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19070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551907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19074_2142443653">
            <w:r>
              <w:rPr>
                <w:webHidden/>
                <w:rStyle w:val="IndexLink"/>
                <w:rtl w:val="true"/>
              </w:rPr>
              <w:t>فهرس الإجمالي</w:t>
            </w:r>
            <w:r>
              <w:rPr>
                <w:rStyle w:val="IndexLink"/>
                <w:rtl w:val="true"/>
              </w:rPr>
              <w:tab/>
            </w:r>
            <w:r>
              <w:rPr>
                <w:rStyle w:val="IndexLink"/>
              </w:rPr>
              <w:t>11</w:t>
            </w:r>
          </w:hyperlink>
        </w:p>
        <w:p>
          <w:pPr>
            <w:pStyle w:val="Contents2"/>
            <w:tabs>
              <w:tab w:val="clear" w:pos="8743"/>
              <w:tab w:val="right" w:pos="9026" w:leader="dot"/>
            </w:tabs>
            <w:rPr/>
          </w:pPr>
          <w:hyperlink w:anchor="__RefHeading___Toc15519076_2142443653">
            <w:r>
              <w:rPr>
                <w:webHidden/>
                <w:rStyle w:val="IndexLink"/>
                <w:rtl w:val="true"/>
              </w:rPr>
              <w:t>مقدمة التحقيق</w:t>
            </w:r>
            <w:r>
              <w:rPr>
                <w:rStyle w:val="IndexLink"/>
                <w:rtl w:val="true"/>
              </w:rPr>
              <w:tab/>
            </w:r>
            <w:r>
              <w:rPr>
                <w:rStyle w:val="IndexLink"/>
              </w:rPr>
              <w:t>12</w:t>
            </w:r>
          </w:hyperlink>
        </w:p>
        <w:p>
          <w:pPr>
            <w:pStyle w:val="Contents3"/>
            <w:tabs>
              <w:tab w:val="clear" w:pos="8459"/>
              <w:tab w:val="right" w:pos="9026" w:leader="dot"/>
            </w:tabs>
            <w:rPr/>
          </w:pPr>
          <w:hyperlink w:anchor="__RefHeading___Toc1551907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519080_2142443653">
            <w:r>
              <w:rPr>
                <w:webHidden/>
                <w:rStyle w:val="IndexLink"/>
                <w:rtl w:val="true"/>
              </w:rPr>
              <w:t xml:space="preserve">مقدّمة التحقيق </w:t>
            </w:r>
            <w:r>
              <w:rPr>
                <w:rStyle w:val="IndexLink"/>
                <w:rtl w:val="true"/>
              </w:rPr>
              <w:t xml:space="preserve">: </w:t>
            </w:r>
            <w:r>
              <w:rPr>
                <w:rStyle w:val="IndexLink"/>
                <w:rtl w:val="true"/>
              </w:rPr>
              <w:t>مراحل تطوّر القواعد الفقهية في الفقه الإمامي</w:t>
            </w:r>
            <w:r>
              <w:rPr>
                <w:rStyle w:val="IndexLink"/>
                <w:rtl w:val="true"/>
              </w:rPr>
              <w:tab/>
            </w:r>
            <w:r>
              <w:rPr>
                <w:rStyle w:val="IndexLink"/>
              </w:rPr>
              <w:t>14</w:t>
            </w:r>
          </w:hyperlink>
        </w:p>
        <w:p>
          <w:pPr>
            <w:pStyle w:val="Contents2"/>
            <w:tabs>
              <w:tab w:val="clear" w:pos="8743"/>
              <w:tab w:val="right" w:pos="9026" w:leader="dot"/>
            </w:tabs>
            <w:rPr/>
          </w:pPr>
          <w:hyperlink w:anchor="__RefHeading___Toc15519082_2142443653">
            <w:r>
              <w:rPr>
                <w:webHidden/>
                <w:rStyle w:val="IndexLink"/>
                <w:rtl w:val="true"/>
              </w:rPr>
              <w:t>الحياة العلمية للمؤلّف</w:t>
            </w:r>
            <w:r>
              <w:rPr>
                <w:rStyle w:val="IndexLink"/>
                <w:rtl w:val="true"/>
              </w:rPr>
              <w:tab/>
            </w:r>
            <w:r>
              <w:rPr>
                <w:rStyle w:val="IndexLink"/>
              </w:rPr>
              <w:t>22</w:t>
            </w:r>
          </w:hyperlink>
        </w:p>
        <w:p>
          <w:pPr>
            <w:pStyle w:val="Contents3"/>
            <w:tabs>
              <w:tab w:val="clear" w:pos="8459"/>
              <w:tab w:val="right" w:pos="9026" w:leader="dot"/>
            </w:tabs>
            <w:rPr/>
          </w:pPr>
          <w:hyperlink w:anchor="__RefHeading___Toc15519084_2142443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5519086_2142443653">
            <w:r>
              <w:rPr>
                <w:webHidden/>
                <w:rStyle w:val="IndexLink"/>
                <w:rtl w:val="true"/>
              </w:rPr>
              <w:t>مؤلّفاته</w:t>
            </w:r>
            <w:r>
              <w:rPr>
                <w:rStyle w:val="IndexLink"/>
                <w:rtl w:val="true"/>
              </w:rPr>
              <w:t>:</w:t>
              <w:tab/>
            </w:r>
            <w:r>
              <w:rPr>
                <w:rStyle w:val="IndexLink"/>
              </w:rPr>
              <w:t>24</w:t>
            </w:r>
          </w:hyperlink>
        </w:p>
        <w:p>
          <w:pPr>
            <w:pStyle w:val="Contents2"/>
            <w:tabs>
              <w:tab w:val="clear" w:pos="8743"/>
              <w:tab w:val="right" w:pos="9026" w:leader="dot"/>
            </w:tabs>
            <w:rPr/>
          </w:pPr>
          <w:hyperlink w:anchor="__RefHeading___Toc15519088_2142443653">
            <w:r>
              <w:rPr>
                <w:webHidden/>
                <w:rStyle w:val="IndexLink"/>
                <w:rtl w:val="true"/>
              </w:rPr>
              <w:t>منهجنا في التحقيق</w:t>
            </w:r>
            <w:r>
              <w:rPr>
                <w:rStyle w:val="IndexLink"/>
                <w:rtl w:val="true"/>
              </w:rPr>
              <w:tab/>
            </w:r>
            <w:r>
              <w:rPr>
                <w:rStyle w:val="IndexLink"/>
              </w:rPr>
              <w:t>26</w:t>
            </w:r>
          </w:hyperlink>
        </w:p>
        <w:p>
          <w:pPr>
            <w:pStyle w:val="Contents3"/>
            <w:tabs>
              <w:tab w:val="clear" w:pos="8459"/>
              <w:tab w:val="right" w:pos="9026" w:leader="dot"/>
            </w:tabs>
            <w:rPr/>
          </w:pPr>
          <w:hyperlink w:anchor="__RefHeading___Toc15519090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5519092_2142443653">
            <w:r>
              <w:rPr>
                <w:webHidden/>
                <w:rStyle w:val="IndexLink"/>
                <w:rtl w:val="true"/>
              </w:rPr>
              <w:t>كلمة شكر وتقدير</w:t>
            </w:r>
            <w:r>
              <w:rPr>
                <w:rStyle w:val="IndexLink"/>
                <w:rtl w:val="true"/>
              </w:rPr>
              <w:tab/>
            </w:r>
            <w:r>
              <w:rPr>
                <w:rStyle w:val="IndexLink"/>
              </w:rPr>
              <w:t>27</w:t>
            </w:r>
          </w:hyperlink>
        </w:p>
        <w:p>
          <w:pPr>
            <w:pStyle w:val="Contents2"/>
            <w:tabs>
              <w:tab w:val="clear" w:pos="8743"/>
              <w:tab w:val="right" w:pos="9026" w:leader="dot"/>
            </w:tabs>
            <w:rPr/>
          </w:pPr>
          <w:hyperlink w:anchor="__RefHeading___Toc15519094_2142443653">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15519096_2142443653">
            <w:r>
              <w:rPr>
                <w:webHidden/>
                <w:rStyle w:val="IndexLink"/>
              </w:rPr>
              <w:t>1</w:t>
            </w:r>
            <w:r>
              <w:rPr>
                <w:rStyle w:val="IndexLink"/>
                <w:rtl w:val="true"/>
              </w:rPr>
              <w:t xml:space="preserve"> - </w:t>
            </w:r>
            <w:r>
              <w:rPr>
                <w:rStyle w:val="IndexLink"/>
                <w:rtl w:val="true"/>
              </w:rPr>
              <w:t>قاعدة من ملك</w:t>
            </w:r>
            <w:r>
              <w:rPr>
                <w:rStyle w:val="IndexLink"/>
                <w:rtl w:val="true"/>
              </w:rPr>
              <w:tab/>
            </w:r>
            <w:r>
              <w:rPr>
                <w:rStyle w:val="IndexLink"/>
              </w:rPr>
              <w:t>32</w:t>
            </w:r>
          </w:hyperlink>
        </w:p>
        <w:p>
          <w:pPr>
            <w:pStyle w:val="Contents3"/>
            <w:tabs>
              <w:tab w:val="clear" w:pos="8459"/>
              <w:tab w:val="right" w:pos="9026" w:leader="dot"/>
            </w:tabs>
            <w:rPr/>
          </w:pPr>
          <w:hyperlink w:anchor="__RefHeading___Toc15519098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551910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أنّها على فرض تماميّتها هل هي من المسائل الفقهيّة وقواعدها ، أو من المسائل الأصوليّة؟</w:t>
            </w:r>
            <w:r>
              <w:rPr>
                <w:rStyle w:val="IndexLink"/>
                <w:rtl w:val="true"/>
              </w:rPr>
              <w:tab/>
            </w:r>
            <w:r>
              <w:rPr>
                <w:rStyle w:val="IndexLink"/>
              </w:rPr>
              <w:t>34</w:t>
            </w:r>
          </w:hyperlink>
        </w:p>
        <w:p>
          <w:pPr>
            <w:pStyle w:val="Contents3"/>
            <w:tabs>
              <w:tab w:val="clear" w:pos="8459"/>
              <w:tab w:val="right" w:pos="9026" w:leader="dot"/>
            </w:tabs>
            <w:rPr/>
          </w:pPr>
          <w:hyperlink w:anchor="__RefHeading___Toc15519102_2142443653">
            <w:r>
              <w:rPr>
                <w:webHidden/>
                <w:rStyle w:val="IndexLink"/>
                <w:rtl w:val="true"/>
              </w:rPr>
              <w:t xml:space="preserve">الجهة الثانية </w:t>
            </w:r>
            <w:r>
              <w:rPr>
                <w:rStyle w:val="IndexLink"/>
                <w:rtl w:val="true"/>
              </w:rPr>
              <w:t xml:space="preserve">: </w:t>
            </w:r>
            <w:r>
              <w:rPr>
                <w:rStyle w:val="IndexLink"/>
                <w:rtl w:val="true"/>
              </w:rPr>
              <w:t xml:space="preserve">في الفرق بين هذه القاعدة وقاعدة </w:t>
            </w:r>
            <w:r>
              <w:rPr>
                <w:rStyle w:val="IndexLink"/>
                <w:rtl w:val="true"/>
              </w:rPr>
              <w:t xml:space="preserve">« </w:t>
            </w:r>
            <w:r>
              <w:rPr>
                <w:rStyle w:val="IndexLink"/>
                <w:rtl w:val="true"/>
              </w:rPr>
              <w:t xml:space="preserve">إقرار العقلاء على أنفسهم نافذ ، أو جائز </w:t>
            </w:r>
            <w:r>
              <w:rPr>
                <w:rStyle w:val="IndexLink"/>
                <w:rtl w:val="true"/>
              </w:rPr>
              <w:t>»</w:t>
              <w:tab/>
            </w:r>
            <w:r>
              <w:rPr>
                <w:rStyle w:val="IndexLink"/>
              </w:rPr>
              <w:t>36</w:t>
            </w:r>
          </w:hyperlink>
        </w:p>
        <w:p>
          <w:pPr>
            <w:pStyle w:val="Contents3"/>
            <w:tabs>
              <w:tab w:val="clear" w:pos="8459"/>
              <w:tab w:val="right" w:pos="9026" w:leader="dot"/>
            </w:tabs>
            <w:rPr/>
          </w:pPr>
          <w:hyperlink w:anchor="__RefHeading___Toc15519104_2142443653">
            <w:r>
              <w:rPr>
                <w:webHidden/>
                <w:rStyle w:val="IndexLink"/>
                <w:rtl w:val="true"/>
              </w:rPr>
              <w:t xml:space="preserve">الجهة الثالثة </w:t>
            </w:r>
            <w:r>
              <w:rPr>
                <w:rStyle w:val="IndexLink"/>
                <w:rtl w:val="true"/>
              </w:rPr>
              <w:t xml:space="preserve">: </w:t>
            </w:r>
            <w:r>
              <w:rPr>
                <w:rStyle w:val="IndexLink"/>
                <w:rtl w:val="true"/>
              </w:rPr>
              <w:t>في الدليل على هذه القاعدة</w:t>
            </w:r>
            <w:r>
              <w:rPr>
                <w:rStyle w:val="IndexLink"/>
                <w:rtl w:val="true"/>
              </w:rPr>
              <w:tab/>
            </w:r>
            <w:r>
              <w:rPr>
                <w:rStyle w:val="IndexLink"/>
              </w:rPr>
              <w:t>38</w:t>
            </w:r>
          </w:hyperlink>
        </w:p>
        <w:p>
          <w:pPr>
            <w:pStyle w:val="Contents3"/>
            <w:tabs>
              <w:tab w:val="clear" w:pos="8459"/>
              <w:tab w:val="right" w:pos="9026" w:leader="dot"/>
            </w:tabs>
            <w:rPr/>
          </w:pPr>
          <w:hyperlink w:anchor="__RefHeading___Toc15519106_2142443653">
            <w:r>
              <w:rPr>
                <w:webHidden/>
                <w:rStyle w:val="IndexLink"/>
                <w:rtl w:val="true"/>
              </w:rPr>
              <w:t xml:space="preserve">الجهة الرابعة </w:t>
            </w:r>
            <w:r>
              <w:rPr>
                <w:rStyle w:val="IndexLink"/>
                <w:rtl w:val="true"/>
              </w:rPr>
              <w:t xml:space="preserve">: </w:t>
            </w:r>
            <w:r>
              <w:rPr>
                <w:rStyle w:val="IndexLink"/>
                <w:rtl w:val="true"/>
              </w:rPr>
              <w:t>في بيان ما هو المراد من هذه القاعدة وهذه القضية الكلية؟</w:t>
            </w:r>
            <w:r>
              <w:rPr>
                <w:rStyle w:val="IndexLink"/>
                <w:rtl w:val="true"/>
              </w:rPr>
              <w:tab/>
            </w:r>
            <w:r>
              <w:rPr>
                <w:rStyle w:val="IndexLink"/>
              </w:rPr>
              <w:t>41</w:t>
            </w:r>
          </w:hyperlink>
        </w:p>
        <w:p>
          <w:pPr>
            <w:pStyle w:val="Contents3"/>
            <w:tabs>
              <w:tab w:val="clear" w:pos="8459"/>
              <w:tab w:val="right" w:pos="9026" w:leader="dot"/>
            </w:tabs>
            <w:rPr/>
          </w:pPr>
          <w:hyperlink w:anchor="__RefHeading___Toc15519108_2142443653">
            <w:r>
              <w:rPr>
                <w:webHidden/>
                <w:rStyle w:val="IndexLink"/>
                <w:rtl w:val="true"/>
              </w:rPr>
              <w:t>الجهة الخامسة</w:t>
            </w:r>
            <w:r>
              <w:rPr>
                <w:rStyle w:val="IndexLink"/>
                <w:rtl w:val="true"/>
              </w:rPr>
              <w:tab/>
            </w:r>
            <w:r>
              <w:rPr>
                <w:rStyle w:val="IndexLink"/>
              </w:rPr>
              <w:t>43</w:t>
            </w:r>
          </w:hyperlink>
        </w:p>
        <w:p>
          <w:pPr>
            <w:pStyle w:val="Contents2"/>
            <w:tabs>
              <w:tab w:val="clear" w:pos="8743"/>
              <w:tab w:val="right" w:pos="9026" w:leader="dot"/>
            </w:tabs>
            <w:rPr/>
          </w:pPr>
          <w:hyperlink w:anchor="__RefHeading___Toc15519110_2142443653">
            <w:r>
              <w:rPr>
                <w:webHidden/>
                <w:rStyle w:val="IndexLink"/>
              </w:rPr>
              <w:t>2</w:t>
            </w:r>
            <w:r>
              <w:rPr>
                <w:rStyle w:val="IndexLink"/>
                <w:rtl w:val="true"/>
              </w:rPr>
              <w:t xml:space="preserve"> - </w:t>
            </w:r>
            <w:r>
              <w:rPr>
                <w:rStyle w:val="IndexLink"/>
                <w:rtl w:val="true"/>
              </w:rPr>
              <w:t>قاعدة الإمكان</w:t>
            </w:r>
            <w:r>
              <w:rPr>
                <w:rStyle w:val="IndexLink"/>
                <w:rtl w:val="true"/>
              </w:rPr>
              <w:tab/>
            </w:r>
            <w:r>
              <w:rPr>
                <w:rStyle w:val="IndexLink"/>
              </w:rPr>
              <w:t>46</w:t>
            </w:r>
          </w:hyperlink>
        </w:p>
        <w:p>
          <w:pPr>
            <w:pStyle w:val="Contents3"/>
            <w:tabs>
              <w:tab w:val="clear" w:pos="8459"/>
              <w:tab w:val="right" w:pos="9026" w:leader="dot"/>
            </w:tabs>
            <w:rPr/>
          </w:pPr>
          <w:hyperlink w:anchor="__RefHeading___Toc15519112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5519114_2142443653">
            <w:r>
              <w:rPr>
                <w:webHidden/>
                <w:rStyle w:val="IndexLink"/>
                <w:rtl w:val="true"/>
              </w:rPr>
              <w:t xml:space="preserve">أمّا الجهة الأولى </w:t>
            </w:r>
            <w:r>
              <w:rPr>
                <w:rStyle w:val="IndexLink"/>
                <w:rtl w:val="true"/>
              </w:rPr>
              <w:t xml:space="preserve">: </w:t>
            </w:r>
            <w:r>
              <w:rPr>
                <w:rStyle w:val="IndexLink"/>
                <w:rtl w:val="true"/>
              </w:rPr>
              <w:t>أي المراد من هذه الجملة وما هو معناها</w:t>
            </w:r>
            <w:r>
              <w:rPr>
                <w:rStyle w:val="IndexLink"/>
                <w:rtl w:val="true"/>
              </w:rPr>
              <w:tab/>
            </w:r>
            <w:r>
              <w:rPr>
                <w:rStyle w:val="IndexLink"/>
              </w:rPr>
              <w:t>48</w:t>
            </w:r>
          </w:hyperlink>
        </w:p>
        <w:p>
          <w:pPr>
            <w:pStyle w:val="Contents3"/>
            <w:tabs>
              <w:tab w:val="clear" w:pos="8459"/>
              <w:tab w:val="right" w:pos="9026" w:leader="dot"/>
            </w:tabs>
            <w:rPr/>
          </w:pPr>
          <w:hyperlink w:anchor="__RefHeading___Toc15519116_2142443653">
            <w:r>
              <w:rPr>
                <w:webHidden/>
                <w:rStyle w:val="IndexLink"/>
                <w:rtl w:val="true"/>
              </w:rPr>
              <w:t xml:space="preserve">أما الجهة الثانية </w:t>
            </w:r>
            <w:r>
              <w:rPr>
                <w:rStyle w:val="IndexLink"/>
                <w:rtl w:val="true"/>
              </w:rPr>
              <w:t xml:space="preserve">: </w:t>
            </w:r>
            <w:r>
              <w:rPr>
                <w:rStyle w:val="IndexLink"/>
                <w:rtl w:val="true"/>
              </w:rPr>
              <w:t>أي الدليل على هذه القاعدة</w:t>
            </w:r>
            <w:r>
              <w:rPr>
                <w:rStyle w:val="IndexLink"/>
                <w:rtl w:val="true"/>
              </w:rPr>
              <w:tab/>
            </w:r>
            <w:r>
              <w:rPr>
                <w:rStyle w:val="IndexLink"/>
              </w:rPr>
              <w:t>53</w:t>
            </w:r>
          </w:hyperlink>
        </w:p>
        <w:p>
          <w:pPr>
            <w:pStyle w:val="Contents3"/>
            <w:tabs>
              <w:tab w:val="clear" w:pos="8459"/>
              <w:tab w:val="right" w:pos="9026" w:leader="dot"/>
            </w:tabs>
            <w:rPr/>
          </w:pPr>
          <w:hyperlink w:anchor="__RefHeading___Toc15519118_2142443653">
            <w:r>
              <w:rPr>
                <w:webHidden/>
                <w:rStyle w:val="IndexLink"/>
                <w:rtl w:val="true"/>
              </w:rPr>
              <w:t xml:space="preserve">الجهة الثالثة </w:t>
            </w:r>
            <w:r>
              <w:rPr>
                <w:rStyle w:val="IndexLink"/>
                <w:rtl w:val="true"/>
              </w:rPr>
              <w:t xml:space="preserve">: </w:t>
            </w:r>
            <w:r>
              <w:rPr>
                <w:rStyle w:val="IndexLink"/>
                <w:rtl w:val="true"/>
              </w:rPr>
              <w:t>في بيان موارد جريان القاعدة على تقدير اعتبارها</w:t>
            </w:r>
            <w:r>
              <w:rPr>
                <w:rStyle w:val="IndexLink"/>
                <w:rtl w:val="true"/>
              </w:rPr>
              <w:tab/>
            </w:r>
            <w:r>
              <w:rPr>
                <w:rStyle w:val="IndexLink"/>
              </w:rPr>
              <w:t>66</w:t>
            </w:r>
          </w:hyperlink>
        </w:p>
        <w:p>
          <w:pPr>
            <w:pStyle w:val="Contents4"/>
            <w:tabs>
              <w:tab w:val="clear" w:pos="8176"/>
              <w:tab w:val="right" w:pos="9026" w:leader="dot"/>
            </w:tabs>
            <w:rPr/>
          </w:pPr>
          <w:hyperlink w:anchor="__RefHeading___Toc15519120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5519122_2142443653">
            <w:r>
              <w:rPr>
                <w:webHidden/>
                <w:rStyle w:val="IndexLink"/>
                <w:rtl w:val="true"/>
              </w:rPr>
              <w:t xml:space="preserve">تذييل </w:t>
            </w:r>
            <w:r>
              <w:rPr>
                <w:rStyle w:val="IndexLink"/>
                <w:rtl w:val="true"/>
              </w:rPr>
              <w:t>:</w:t>
              <w:tab/>
            </w:r>
            <w:r>
              <w:rPr>
                <w:rStyle w:val="IndexLink"/>
              </w:rPr>
              <w:t>71</w:t>
            </w:r>
          </w:hyperlink>
        </w:p>
        <w:p>
          <w:pPr>
            <w:pStyle w:val="Contents2"/>
            <w:tabs>
              <w:tab w:val="clear" w:pos="8743"/>
              <w:tab w:val="right" w:pos="9026" w:leader="dot"/>
            </w:tabs>
            <w:rPr/>
          </w:pPr>
          <w:hyperlink w:anchor="__RefHeading___Toc15519124_2142443653">
            <w:r>
              <w:rPr>
                <w:webHidden/>
                <w:rStyle w:val="IndexLink"/>
              </w:rPr>
              <w:t>3</w:t>
            </w:r>
            <w:r>
              <w:rPr>
                <w:rStyle w:val="IndexLink"/>
                <w:rtl w:val="true"/>
              </w:rPr>
              <w:t xml:space="preserve"> - </w:t>
            </w:r>
            <w:r>
              <w:rPr>
                <w:rStyle w:val="IndexLink"/>
                <w:rtl w:val="true"/>
              </w:rPr>
              <w:t>قاعدة الإسلام يجبّ ما قبله</w:t>
            </w:r>
            <w:r>
              <w:rPr>
                <w:rStyle w:val="IndexLink"/>
                <w:rtl w:val="true"/>
              </w:rPr>
              <w:tab/>
            </w:r>
            <w:r>
              <w:rPr>
                <w:rStyle w:val="IndexLink"/>
              </w:rPr>
              <w:t>74</w:t>
            </w:r>
          </w:hyperlink>
        </w:p>
        <w:p>
          <w:pPr>
            <w:pStyle w:val="Contents2"/>
            <w:tabs>
              <w:tab w:val="clear" w:pos="8743"/>
              <w:tab w:val="right" w:pos="9026" w:leader="dot"/>
            </w:tabs>
            <w:rPr/>
          </w:pPr>
          <w:hyperlink w:anchor="__RefHeading___Toc15519126_2142443653">
            <w:r>
              <w:rPr>
                <w:webHidden/>
                <w:rStyle w:val="IndexLink"/>
              </w:rPr>
              <w:t>4</w:t>
            </w:r>
            <w:r>
              <w:rPr>
                <w:rStyle w:val="IndexLink"/>
                <w:rtl w:val="true"/>
              </w:rPr>
              <w:t xml:space="preserve"> - </w:t>
            </w:r>
            <w:r>
              <w:rPr>
                <w:rStyle w:val="IndexLink"/>
                <w:rtl w:val="true"/>
              </w:rPr>
              <w:t>قاعدة القرعة</w:t>
            </w:r>
            <w:r>
              <w:rPr>
                <w:rStyle w:val="IndexLink"/>
                <w:rtl w:val="true"/>
              </w:rPr>
              <w:tab/>
            </w:r>
            <w:r>
              <w:rPr>
                <w:rStyle w:val="IndexLink"/>
              </w:rPr>
              <w:t>86</w:t>
            </w:r>
          </w:hyperlink>
        </w:p>
        <w:p>
          <w:pPr>
            <w:pStyle w:val="Contents3"/>
            <w:tabs>
              <w:tab w:val="clear" w:pos="8459"/>
              <w:tab w:val="right" w:pos="9026" w:leader="dot"/>
            </w:tabs>
            <w:rPr/>
          </w:pPr>
          <w:hyperlink w:anchor="__RefHeading___Toc15519128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5519130_2142443653">
            <w:r>
              <w:rPr>
                <w:webHidden/>
                <w:rStyle w:val="IndexLink"/>
                <w:rtl w:val="true"/>
              </w:rPr>
              <w:t xml:space="preserve">الجهة الأولى </w:t>
            </w:r>
            <w:r>
              <w:rPr>
                <w:rStyle w:val="IndexLink"/>
                <w:rtl w:val="true"/>
              </w:rPr>
              <w:t xml:space="preserve">: </w:t>
            </w:r>
            <w:r>
              <w:rPr>
                <w:rStyle w:val="IndexLink"/>
                <w:rtl w:val="true"/>
              </w:rPr>
              <w:t>في بيان أدلة القرعة من الكتاب والإجماع والسنة</w:t>
            </w:r>
            <w:r>
              <w:rPr>
                <w:rStyle w:val="IndexLink"/>
                <w:rtl w:val="true"/>
              </w:rPr>
              <w:tab/>
            </w:r>
            <w:r>
              <w:rPr>
                <w:rStyle w:val="IndexLink"/>
              </w:rPr>
              <w:t>88</w:t>
            </w:r>
          </w:hyperlink>
        </w:p>
        <w:p>
          <w:pPr>
            <w:pStyle w:val="Contents3"/>
            <w:tabs>
              <w:tab w:val="clear" w:pos="8459"/>
              <w:tab w:val="right" w:pos="9026" w:leader="dot"/>
            </w:tabs>
            <w:rPr/>
          </w:pPr>
          <w:hyperlink w:anchor="__RefHeading___Toc15519132_2142443653">
            <w:r>
              <w:rPr>
                <w:webHidden/>
                <w:rStyle w:val="IndexLink"/>
                <w:rtl w:val="true"/>
              </w:rPr>
              <w:t xml:space="preserve">الجهة الثانية </w:t>
            </w:r>
            <w:r>
              <w:rPr>
                <w:rStyle w:val="IndexLink"/>
                <w:rtl w:val="true"/>
              </w:rPr>
              <w:t xml:space="preserve">: </w:t>
            </w:r>
            <w:r>
              <w:rPr>
                <w:rStyle w:val="IndexLink"/>
                <w:rtl w:val="true"/>
              </w:rPr>
              <w:t>في بيان مقدار دلالة هذه الأخبار والآيات</w:t>
            </w:r>
            <w:r>
              <w:rPr>
                <w:rStyle w:val="IndexLink"/>
                <w:rtl w:val="true"/>
              </w:rPr>
              <w:tab/>
            </w:r>
            <w:r>
              <w:rPr>
                <w:rStyle w:val="IndexLink"/>
              </w:rPr>
              <w:t>94</w:t>
            </w:r>
          </w:hyperlink>
        </w:p>
        <w:p>
          <w:pPr>
            <w:pStyle w:val="Contents3"/>
            <w:tabs>
              <w:tab w:val="clear" w:pos="8459"/>
              <w:tab w:val="right" w:pos="9026" w:leader="dot"/>
            </w:tabs>
            <w:rPr/>
          </w:pPr>
          <w:hyperlink w:anchor="__RefHeading___Toc15519134_2142443653">
            <w:r>
              <w:rPr>
                <w:webHidden/>
                <w:rStyle w:val="IndexLink"/>
                <w:rtl w:val="true"/>
              </w:rPr>
              <w:t xml:space="preserve">الجهة الثالثة </w:t>
            </w:r>
            <w:r>
              <w:rPr>
                <w:rStyle w:val="IndexLink"/>
                <w:rtl w:val="true"/>
              </w:rPr>
              <w:t xml:space="preserve">: </w:t>
            </w:r>
            <w:r>
              <w:rPr>
                <w:rStyle w:val="IndexLink"/>
                <w:rtl w:val="true"/>
              </w:rPr>
              <w:t>في أنّها أصل أو امارة؟</w:t>
            </w:r>
            <w:r>
              <w:rPr>
                <w:rStyle w:val="IndexLink"/>
                <w:rtl w:val="true"/>
              </w:rPr>
              <w:tab/>
            </w:r>
            <w:r>
              <w:rPr>
                <w:rStyle w:val="IndexLink"/>
              </w:rPr>
              <w:t>97</w:t>
            </w:r>
          </w:hyperlink>
        </w:p>
        <w:p>
          <w:pPr>
            <w:pStyle w:val="Contents4"/>
            <w:tabs>
              <w:tab w:val="clear" w:pos="8176"/>
              <w:tab w:val="right" w:pos="9026" w:leader="dot"/>
            </w:tabs>
            <w:rPr/>
          </w:pPr>
          <w:hyperlink w:anchor="__RefHeading___Toc15519136_2142443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5519138_2142443653">
            <w:r>
              <w:rPr>
                <w:webHidden/>
                <w:rStyle w:val="IndexLink"/>
                <w:rtl w:val="true"/>
              </w:rPr>
              <w:t>وهم ودفع</w:t>
            </w:r>
            <w:r>
              <w:rPr>
                <w:rStyle w:val="IndexLink"/>
                <w:rtl w:val="true"/>
              </w:rPr>
              <w:tab/>
            </w:r>
            <w:r>
              <w:rPr>
                <w:rStyle w:val="IndexLink"/>
              </w:rPr>
              <w:t>99</w:t>
            </w:r>
          </w:hyperlink>
        </w:p>
        <w:p>
          <w:pPr>
            <w:pStyle w:val="Contents3"/>
            <w:tabs>
              <w:tab w:val="clear" w:pos="8459"/>
              <w:tab w:val="right" w:pos="9026" w:leader="dot"/>
            </w:tabs>
            <w:rPr/>
          </w:pPr>
          <w:hyperlink w:anchor="__RefHeading___Toc15519140_2142443653">
            <w:r>
              <w:rPr>
                <w:webHidden/>
                <w:rStyle w:val="IndexLink"/>
                <w:rtl w:val="true"/>
              </w:rPr>
              <w:t xml:space="preserve">الجهة الرابعة </w:t>
            </w:r>
            <w:r>
              <w:rPr>
                <w:rStyle w:val="IndexLink"/>
                <w:rtl w:val="true"/>
              </w:rPr>
              <w:t xml:space="preserve">: </w:t>
            </w:r>
            <w:r>
              <w:rPr>
                <w:rStyle w:val="IndexLink"/>
                <w:rtl w:val="true"/>
              </w:rPr>
              <w:t>في بيان أنّ الاستصحاب مقدّم عليها ، أو هي مقدّم عليه عند تعارضهما</w:t>
            </w:r>
            <w:r>
              <w:rPr>
                <w:rStyle w:val="IndexLink"/>
                <w:rtl w:val="true"/>
              </w:rPr>
              <w:tab/>
            </w:r>
            <w:r>
              <w:rPr>
                <w:rStyle w:val="IndexLink"/>
              </w:rPr>
              <w:t>104</w:t>
            </w:r>
          </w:hyperlink>
        </w:p>
        <w:p>
          <w:pPr>
            <w:pStyle w:val="Contents2"/>
            <w:tabs>
              <w:tab w:val="clear" w:pos="8743"/>
              <w:tab w:val="right" w:pos="9026" w:leader="dot"/>
            </w:tabs>
            <w:rPr/>
          </w:pPr>
          <w:hyperlink w:anchor="__RefHeading___Toc15519142_2142443653">
            <w:r>
              <w:rPr>
                <w:webHidden/>
                <w:rStyle w:val="IndexLink"/>
              </w:rPr>
              <w:t>5</w:t>
            </w:r>
            <w:r>
              <w:rPr>
                <w:rStyle w:val="IndexLink"/>
                <w:rtl w:val="true"/>
              </w:rPr>
              <w:t xml:space="preserve"> - </w:t>
            </w:r>
            <w:r>
              <w:rPr>
                <w:rStyle w:val="IndexLink"/>
                <w:rtl w:val="true"/>
              </w:rPr>
              <w:t>قاعدة لا تعاد</w:t>
            </w:r>
            <w:r>
              <w:rPr>
                <w:rStyle w:val="IndexLink"/>
                <w:rtl w:val="true"/>
              </w:rPr>
              <w:tab/>
            </w:r>
            <w:r>
              <w:rPr>
                <w:rStyle w:val="IndexLink"/>
              </w:rPr>
              <w:t>106</w:t>
            </w:r>
          </w:hyperlink>
        </w:p>
        <w:p>
          <w:pPr>
            <w:pStyle w:val="Contents3"/>
            <w:tabs>
              <w:tab w:val="clear" w:pos="8459"/>
              <w:tab w:val="right" w:pos="9026" w:leader="dot"/>
            </w:tabs>
            <w:rPr/>
          </w:pPr>
          <w:hyperlink w:anchor="__RefHeading___Toc15519144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5519146_2142443653">
            <w:r>
              <w:rPr>
                <w:webHidden/>
                <w:rStyle w:val="IndexLink"/>
                <w:rtl w:val="true"/>
              </w:rPr>
              <w:t xml:space="preserve">وتوضيحها في ضمن مباحث </w:t>
            </w:r>
            <w:r>
              <w:rPr>
                <w:rStyle w:val="IndexLink"/>
                <w:rtl w:val="true"/>
              </w:rPr>
              <w:t>:</w:t>
              <w:tab/>
            </w:r>
            <w:r>
              <w:rPr>
                <w:rStyle w:val="IndexLink"/>
              </w:rPr>
              <w:t>108</w:t>
            </w:r>
          </w:hyperlink>
        </w:p>
        <w:p>
          <w:pPr>
            <w:pStyle w:val="Contents3"/>
            <w:tabs>
              <w:tab w:val="clear" w:pos="8459"/>
              <w:tab w:val="right" w:pos="9026" w:leader="dot"/>
            </w:tabs>
            <w:rPr/>
          </w:pPr>
          <w:hyperlink w:anchor="__RefHeading___Toc15519148_2142443653">
            <w:r>
              <w:rPr>
                <w:webHidden/>
                <w:rStyle w:val="IndexLink"/>
                <w:rtl w:val="true"/>
              </w:rPr>
              <w:t>فالكلام فيه من جهات</w:t>
            </w:r>
            <w:r>
              <w:rPr>
                <w:rStyle w:val="IndexLink"/>
                <w:rtl w:val="true"/>
              </w:rPr>
              <w:tab/>
            </w:r>
            <w:r>
              <w:rPr>
                <w:rStyle w:val="IndexLink"/>
              </w:rPr>
              <w:t>118</w:t>
            </w:r>
          </w:hyperlink>
        </w:p>
        <w:p>
          <w:pPr>
            <w:pStyle w:val="Contents3"/>
            <w:tabs>
              <w:tab w:val="clear" w:pos="8459"/>
              <w:tab w:val="right" w:pos="9026" w:leader="dot"/>
            </w:tabs>
            <w:rPr/>
          </w:pPr>
          <w:hyperlink w:anchor="__RefHeading___Toc15519150_2142443653">
            <w:r>
              <w:rPr>
                <w:webHidden/>
                <w:rStyle w:val="IndexLink"/>
                <w:rtl w:val="true"/>
              </w:rPr>
              <w:t xml:space="preserve">و أما المقام الثاني </w:t>
            </w:r>
            <w:r>
              <w:rPr>
                <w:rStyle w:val="IndexLink"/>
                <w:rtl w:val="true"/>
              </w:rPr>
              <w:t xml:space="preserve">: </w:t>
            </w:r>
            <w:r>
              <w:rPr>
                <w:rStyle w:val="IndexLink"/>
                <w:rtl w:val="true"/>
              </w:rPr>
              <w:t>أي التكلّم في عقد المستثنى من هذا الحديث</w:t>
            </w:r>
            <w:r>
              <w:rPr>
                <w:rStyle w:val="IndexLink"/>
                <w:rtl w:val="true"/>
              </w:rPr>
              <w:tab/>
            </w:r>
            <w:r>
              <w:rPr>
                <w:rStyle w:val="IndexLink"/>
              </w:rPr>
              <w:t>123</w:t>
            </w:r>
          </w:hyperlink>
        </w:p>
        <w:p>
          <w:pPr>
            <w:pStyle w:val="Contents4"/>
            <w:tabs>
              <w:tab w:val="clear" w:pos="8176"/>
              <w:tab w:val="right" w:pos="9026" w:leader="dot"/>
            </w:tabs>
            <w:rPr/>
          </w:pPr>
          <w:hyperlink w:anchor="__RefHeading___Toc15519152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5519154_2142443653">
            <w:r>
              <w:rPr>
                <w:webHidden/>
                <w:rStyle w:val="IndexLink"/>
                <w:rtl w:val="true"/>
              </w:rPr>
              <w:t xml:space="preserve">وإنما الكلام في جهات أخر </w:t>
            </w:r>
            <w:r>
              <w:rPr>
                <w:rStyle w:val="IndexLink"/>
                <w:rtl w:val="true"/>
              </w:rPr>
              <w:t>:</w:t>
              <w:tab/>
            </w:r>
            <w:r>
              <w:rPr>
                <w:rStyle w:val="IndexLink"/>
              </w:rPr>
              <w:t>129</w:t>
            </w:r>
          </w:hyperlink>
        </w:p>
        <w:p>
          <w:pPr>
            <w:pStyle w:val="Contents3"/>
            <w:tabs>
              <w:tab w:val="clear" w:pos="8459"/>
              <w:tab w:val="right" w:pos="9026" w:leader="dot"/>
            </w:tabs>
            <w:rPr/>
          </w:pPr>
          <w:hyperlink w:anchor="__RefHeading___Toc15519156_2142443653">
            <w:r>
              <w:rPr>
                <w:webHidden/>
                <w:rStyle w:val="IndexLink"/>
                <w:rtl w:val="true"/>
              </w:rPr>
              <w:t>ها هنا فروع كثيرة نذكر جملة منها</w:t>
            </w:r>
            <w:r>
              <w:rPr>
                <w:rStyle w:val="IndexLink"/>
                <w:rtl w:val="true"/>
              </w:rPr>
              <w:tab/>
            </w:r>
            <w:r>
              <w:rPr>
                <w:rStyle w:val="IndexLink"/>
              </w:rPr>
              <w:t>137</w:t>
            </w:r>
          </w:hyperlink>
        </w:p>
        <w:p>
          <w:pPr>
            <w:pStyle w:val="Contents4"/>
            <w:tabs>
              <w:tab w:val="clear" w:pos="8176"/>
              <w:tab w:val="right" w:pos="9026" w:leader="dot"/>
            </w:tabs>
            <w:rPr/>
          </w:pPr>
          <w:hyperlink w:anchor="__RefHeading___Toc15519158_2142443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5519160_2142443653">
            <w:r>
              <w:rPr>
                <w:webHidden/>
                <w:rStyle w:val="IndexLink"/>
                <w:rtl w:val="true"/>
              </w:rPr>
              <w:t xml:space="preserve">نعم ها هنا روايات </w:t>
            </w:r>
            <w:r>
              <w:rPr>
                <w:rStyle w:val="IndexLink"/>
                <w:rtl w:val="true"/>
              </w:rPr>
              <w:t>:</w:t>
              <w:tab/>
            </w:r>
            <w:r>
              <w:rPr>
                <w:rStyle w:val="IndexLink"/>
              </w:rPr>
              <w:t>141</w:t>
            </w:r>
          </w:hyperlink>
        </w:p>
        <w:p>
          <w:pPr>
            <w:pStyle w:val="Contents2"/>
            <w:tabs>
              <w:tab w:val="clear" w:pos="8743"/>
              <w:tab w:val="right" w:pos="9026" w:leader="dot"/>
            </w:tabs>
            <w:rPr/>
          </w:pPr>
          <w:hyperlink w:anchor="__RefHeading___Toc15519162_2142443653">
            <w:r>
              <w:rPr>
                <w:webHidden/>
                <w:rStyle w:val="IndexLink"/>
              </w:rPr>
              <w:t>6</w:t>
            </w:r>
            <w:r>
              <w:rPr>
                <w:rStyle w:val="IndexLink"/>
                <w:rtl w:val="true"/>
              </w:rPr>
              <w:t xml:space="preserve"> - </w:t>
            </w:r>
            <w:r>
              <w:rPr>
                <w:rStyle w:val="IndexLink"/>
                <w:rtl w:val="true"/>
              </w:rPr>
              <w:t>قاعدة اليد</w:t>
            </w:r>
            <w:r>
              <w:rPr>
                <w:rStyle w:val="IndexLink"/>
                <w:rtl w:val="true"/>
              </w:rPr>
              <w:tab/>
            </w:r>
            <w:r>
              <w:rPr>
                <w:rStyle w:val="IndexLink"/>
              </w:rPr>
              <w:t>158</w:t>
            </w:r>
          </w:hyperlink>
        </w:p>
        <w:p>
          <w:pPr>
            <w:pStyle w:val="Contents3"/>
            <w:tabs>
              <w:tab w:val="clear" w:pos="8459"/>
              <w:tab w:val="right" w:pos="9026" w:leader="dot"/>
            </w:tabs>
            <w:rPr/>
          </w:pPr>
          <w:hyperlink w:anchor="__RefHeading___Toc15519164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5519166_2142443653">
            <w:r>
              <w:rPr>
                <w:webHidden/>
                <w:rStyle w:val="IndexLink"/>
                <w:rtl w:val="true"/>
              </w:rPr>
              <w:t>أمّا الجهة الأولى</w:t>
            </w:r>
            <w:r>
              <w:rPr>
                <w:rStyle w:val="IndexLink"/>
                <w:rtl w:val="true"/>
              </w:rPr>
              <w:tab/>
            </w:r>
            <w:r>
              <w:rPr>
                <w:rStyle w:val="IndexLink"/>
              </w:rPr>
              <w:t>161</w:t>
            </w:r>
          </w:hyperlink>
        </w:p>
        <w:p>
          <w:pPr>
            <w:pStyle w:val="Contents3"/>
            <w:tabs>
              <w:tab w:val="clear" w:pos="8459"/>
              <w:tab w:val="right" w:pos="9026" w:leader="dot"/>
            </w:tabs>
            <w:rPr/>
          </w:pPr>
          <w:hyperlink w:anchor="__RefHeading___Toc15519168_2142443653">
            <w:r>
              <w:rPr>
                <w:webHidden/>
                <w:rStyle w:val="IndexLink"/>
                <w:rtl w:val="true"/>
              </w:rPr>
              <w:t>وأمّا الجهة الثانية</w:t>
            </w:r>
            <w:r>
              <w:rPr>
                <w:rStyle w:val="IndexLink"/>
                <w:rtl w:val="true"/>
              </w:rPr>
              <w:tab/>
            </w:r>
            <w:r>
              <w:rPr>
                <w:rStyle w:val="IndexLink"/>
              </w:rPr>
              <w:t>162</w:t>
            </w:r>
          </w:hyperlink>
        </w:p>
        <w:p>
          <w:pPr>
            <w:pStyle w:val="Contents3"/>
            <w:tabs>
              <w:tab w:val="clear" w:pos="8459"/>
              <w:tab w:val="right" w:pos="9026" w:leader="dot"/>
            </w:tabs>
            <w:rPr/>
          </w:pPr>
          <w:hyperlink w:anchor="__RefHeading___Toc15519170_2142443653">
            <w:r>
              <w:rPr>
                <w:webHidden/>
                <w:rStyle w:val="IndexLink"/>
                <w:rtl w:val="true"/>
              </w:rPr>
              <w:t xml:space="preserve">الجهة الثالثة </w:t>
            </w:r>
            <w:r>
              <w:rPr>
                <w:rStyle w:val="IndexLink"/>
                <w:rtl w:val="true"/>
              </w:rPr>
              <w:t xml:space="preserve">: </w:t>
            </w:r>
            <w:r>
              <w:rPr>
                <w:rStyle w:val="IndexLink"/>
                <w:rtl w:val="true"/>
              </w:rPr>
              <w:t>في الدليل على اعتبارها ، وهو من وجوه</w:t>
            </w:r>
            <w:r>
              <w:rPr>
                <w:rStyle w:val="IndexLink"/>
                <w:rtl w:val="true"/>
              </w:rPr>
              <w:tab/>
            </w:r>
            <w:r>
              <w:rPr>
                <w:rStyle w:val="IndexLink"/>
              </w:rPr>
              <w:t>164</w:t>
            </w:r>
          </w:hyperlink>
        </w:p>
        <w:p>
          <w:pPr>
            <w:pStyle w:val="Contents4"/>
            <w:tabs>
              <w:tab w:val="clear" w:pos="8176"/>
              <w:tab w:val="right" w:pos="9026" w:leader="dot"/>
            </w:tabs>
            <w:rPr/>
          </w:pPr>
          <w:hyperlink w:anchor="__RefHeading___Toc15519172_2142443653">
            <w:r>
              <w:rPr>
                <w:webHidden/>
                <w:rStyle w:val="IndexLink"/>
                <w:rtl w:val="true"/>
              </w:rPr>
              <w:t xml:space="preserve">الأوّل </w:t>
            </w:r>
            <w:r>
              <w:rPr>
                <w:rStyle w:val="IndexLink"/>
                <w:rtl w:val="true"/>
              </w:rPr>
              <w:t xml:space="preserve">: </w:t>
            </w:r>
            <w:r>
              <w:rPr>
                <w:rStyle w:val="IndexLink"/>
                <w:rtl w:val="true"/>
              </w:rPr>
              <w:t>الروايات</w:t>
            </w:r>
            <w:r>
              <w:rPr>
                <w:rStyle w:val="IndexLink"/>
                <w:rtl w:val="true"/>
              </w:rPr>
              <w:t>.</w:t>
              <w:tab/>
            </w:r>
            <w:r>
              <w:rPr>
                <w:rStyle w:val="IndexLink"/>
              </w:rPr>
              <w:t>164</w:t>
            </w:r>
          </w:hyperlink>
        </w:p>
        <w:p>
          <w:pPr>
            <w:pStyle w:val="Contents3"/>
            <w:tabs>
              <w:tab w:val="clear" w:pos="8459"/>
              <w:tab w:val="right" w:pos="9026" w:leader="dot"/>
            </w:tabs>
            <w:rPr/>
          </w:pPr>
          <w:hyperlink w:anchor="__RefHeading___Toc15519174_2142443653">
            <w:r>
              <w:rPr>
                <w:webHidden/>
                <w:rStyle w:val="IndexLink"/>
                <w:rtl w:val="true"/>
              </w:rPr>
              <w:t xml:space="preserve">الجهة الرابعة </w:t>
            </w:r>
            <w:r>
              <w:rPr>
                <w:rStyle w:val="IndexLink"/>
                <w:rtl w:val="true"/>
              </w:rPr>
              <w:t xml:space="preserve">: </w:t>
            </w:r>
            <w:r>
              <w:rPr>
                <w:rStyle w:val="IndexLink"/>
                <w:rtl w:val="true"/>
              </w:rPr>
              <w:t>في أنّها أصل أو أمارة؟</w:t>
            </w:r>
            <w:r>
              <w:rPr>
                <w:rStyle w:val="IndexLink"/>
                <w:rtl w:val="true"/>
              </w:rPr>
              <w:tab/>
            </w:r>
            <w:r>
              <w:rPr>
                <w:rStyle w:val="IndexLink"/>
              </w:rPr>
              <w:t>169</w:t>
            </w:r>
          </w:hyperlink>
        </w:p>
        <w:p>
          <w:pPr>
            <w:pStyle w:val="Contents3"/>
            <w:tabs>
              <w:tab w:val="clear" w:pos="8459"/>
              <w:tab w:val="right" w:pos="9026" w:leader="dot"/>
            </w:tabs>
            <w:rPr/>
          </w:pPr>
          <w:hyperlink w:anchor="__RefHeading___Toc15519176_2142443653">
            <w:r>
              <w:rPr>
                <w:webHidden/>
                <w:rStyle w:val="IndexLink"/>
                <w:rtl w:val="true"/>
              </w:rPr>
              <w:t xml:space="preserve">الجهة الخامسة </w:t>
            </w:r>
            <w:r>
              <w:rPr>
                <w:rStyle w:val="IndexLink"/>
                <w:rtl w:val="true"/>
              </w:rPr>
              <w:t xml:space="preserve">: </w:t>
            </w:r>
            <w:r>
              <w:rPr>
                <w:rStyle w:val="IndexLink"/>
                <w:rtl w:val="true"/>
              </w:rPr>
              <w:t>في سعة دلالتها ومقدار حجيتها وموارد جريانها</w:t>
            </w:r>
            <w:r>
              <w:rPr>
                <w:rStyle w:val="IndexLink"/>
                <w:rtl w:val="true"/>
              </w:rPr>
              <w:tab/>
            </w:r>
            <w:r>
              <w:rPr>
                <w:rStyle w:val="IndexLink"/>
              </w:rPr>
              <w:t>172</w:t>
            </w:r>
          </w:hyperlink>
        </w:p>
        <w:p>
          <w:pPr>
            <w:pStyle w:val="Contents4"/>
            <w:tabs>
              <w:tab w:val="clear" w:pos="8176"/>
              <w:tab w:val="right" w:pos="9026" w:leader="dot"/>
            </w:tabs>
            <w:rPr/>
          </w:pPr>
          <w:hyperlink w:anchor="__RefHeading___Toc15519178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5519180_2142443653">
            <w:r>
              <w:rPr>
                <w:webHidden/>
                <w:rStyle w:val="IndexLink"/>
                <w:rtl w:val="true"/>
              </w:rPr>
              <w:t xml:space="preserve">فموارد البحث والخلاف أمور </w:t>
            </w:r>
            <w:r>
              <w:rPr>
                <w:rStyle w:val="IndexLink"/>
                <w:rtl w:val="true"/>
              </w:rPr>
              <w:t>:</w:t>
              <w:tab/>
            </w:r>
            <w:r>
              <w:rPr>
                <w:rStyle w:val="IndexLink"/>
              </w:rPr>
              <w:t>173</w:t>
            </w:r>
          </w:hyperlink>
        </w:p>
        <w:p>
          <w:pPr>
            <w:pStyle w:val="Contents3"/>
            <w:tabs>
              <w:tab w:val="clear" w:pos="8459"/>
              <w:tab w:val="right" w:pos="9026" w:leader="dot"/>
            </w:tabs>
            <w:rPr/>
          </w:pPr>
          <w:hyperlink w:anchor="__RefHeading___Toc15519182_2142443653">
            <w:r>
              <w:rPr>
                <w:webHidden/>
                <w:rStyle w:val="IndexLink"/>
                <w:rtl w:val="true"/>
              </w:rPr>
              <w:t xml:space="preserve">الجهة السادسة </w:t>
            </w:r>
            <w:r>
              <w:rPr>
                <w:rStyle w:val="IndexLink"/>
                <w:rtl w:val="true"/>
              </w:rPr>
              <w:t xml:space="preserve">: </w:t>
            </w:r>
            <w:r>
              <w:rPr>
                <w:rStyle w:val="IndexLink"/>
                <w:rtl w:val="true"/>
              </w:rPr>
              <w:t>في تعارضها مع الأمارات والأصول</w:t>
            </w:r>
            <w:r>
              <w:rPr>
                <w:rStyle w:val="IndexLink"/>
                <w:rtl w:val="true"/>
              </w:rPr>
              <w:tab/>
            </w:r>
            <w:r>
              <w:rPr>
                <w:rStyle w:val="IndexLink"/>
              </w:rPr>
              <w:t>202</w:t>
            </w:r>
          </w:hyperlink>
        </w:p>
        <w:p>
          <w:pPr>
            <w:pStyle w:val="Contents3"/>
            <w:tabs>
              <w:tab w:val="clear" w:pos="8459"/>
              <w:tab w:val="right" w:pos="9026" w:leader="dot"/>
            </w:tabs>
            <w:rPr/>
          </w:pPr>
          <w:hyperlink w:anchor="__RefHeading___Toc15519184_2142443653">
            <w:r>
              <w:rPr>
                <w:webHidden/>
                <w:rStyle w:val="IndexLink"/>
                <w:rtl w:val="true"/>
              </w:rPr>
              <w:t>الجهة السابعة</w:t>
            </w:r>
            <w:r>
              <w:rPr>
                <w:rStyle w:val="IndexLink"/>
                <w:rtl w:val="true"/>
              </w:rPr>
              <w:tab/>
            </w:r>
            <w:r>
              <w:rPr>
                <w:rStyle w:val="IndexLink"/>
              </w:rPr>
              <w:t>204</w:t>
            </w:r>
          </w:hyperlink>
        </w:p>
        <w:p>
          <w:pPr>
            <w:pStyle w:val="Contents3"/>
            <w:tabs>
              <w:tab w:val="clear" w:pos="8459"/>
              <w:tab w:val="right" w:pos="9026" w:leader="dot"/>
            </w:tabs>
            <w:rPr/>
          </w:pPr>
          <w:hyperlink w:anchor="__RefHeading___Toc15519186_2142443653">
            <w:r>
              <w:rPr>
                <w:webHidden/>
                <w:rStyle w:val="IndexLink"/>
                <w:rtl w:val="true"/>
              </w:rPr>
              <w:t xml:space="preserve">الجهة الثامنة </w:t>
            </w:r>
            <w:r>
              <w:rPr>
                <w:rStyle w:val="IndexLink"/>
                <w:rtl w:val="true"/>
              </w:rPr>
              <w:t xml:space="preserve">: </w:t>
            </w:r>
            <w:r>
              <w:rPr>
                <w:rStyle w:val="IndexLink"/>
                <w:rtl w:val="true"/>
              </w:rPr>
              <w:t>في أنّ اليد أحد موجبات الضمان إذا كانت على مال الغير بدون أن يكون مأذونا من قبله ، أو من قبل اللّه ، أو يكون وليّا على صاحب المال</w:t>
            </w:r>
            <w:r>
              <w:rPr>
                <w:rStyle w:val="IndexLink"/>
                <w:rtl w:val="true"/>
              </w:rPr>
              <w:tab/>
            </w:r>
            <w:r>
              <w:rPr>
                <w:rStyle w:val="IndexLink"/>
              </w:rPr>
              <w:t>206</w:t>
            </w:r>
          </w:hyperlink>
        </w:p>
        <w:p>
          <w:pPr>
            <w:pStyle w:val="Contents3"/>
            <w:tabs>
              <w:tab w:val="clear" w:pos="8459"/>
              <w:tab w:val="right" w:pos="9026" w:leader="dot"/>
            </w:tabs>
            <w:rPr/>
          </w:pPr>
          <w:hyperlink w:anchor="__RefHeading___Toc15519188_2142443653">
            <w:r>
              <w:rPr>
                <w:webHidden/>
                <w:rStyle w:val="IndexLink"/>
                <w:rtl w:val="true"/>
              </w:rPr>
              <w:t xml:space="preserve">الجهة التاسعة </w:t>
            </w:r>
            <w:r>
              <w:rPr>
                <w:rStyle w:val="IndexLink"/>
                <w:rtl w:val="true"/>
              </w:rPr>
              <w:t xml:space="preserve">: </w:t>
            </w:r>
            <w:r>
              <w:rPr>
                <w:rStyle w:val="IndexLink"/>
                <w:rtl w:val="true"/>
              </w:rPr>
              <w:t>في كون اليد سببا لحصول الملكيّة في عالم الثبوت لا أنّها سبب إثباتي فقط</w:t>
            </w:r>
            <w:r>
              <w:rPr>
                <w:rStyle w:val="IndexLink"/>
                <w:rtl w:val="true"/>
              </w:rPr>
              <w:tab/>
            </w:r>
            <w:r>
              <w:rPr>
                <w:rStyle w:val="IndexLink"/>
              </w:rPr>
              <w:t>210</w:t>
            </w:r>
          </w:hyperlink>
        </w:p>
        <w:p>
          <w:pPr>
            <w:pStyle w:val="Contents2"/>
            <w:tabs>
              <w:tab w:val="clear" w:pos="8743"/>
              <w:tab w:val="right" w:pos="9026" w:leader="dot"/>
            </w:tabs>
            <w:rPr/>
          </w:pPr>
          <w:hyperlink w:anchor="__RefHeading___Toc15519190_2142443653">
            <w:r>
              <w:rPr>
                <w:webHidden/>
                <w:rStyle w:val="IndexLink"/>
              </w:rPr>
              <w:t>7</w:t>
            </w:r>
            <w:r>
              <w:rPr>
                <w:rStyle w:val="IndexLink"/>
                <w:rtl w:val="true"/>
              </w:rPr>
              <w:t xml:space="preserve"> - </w:t>
            </w:r>
            <w:r>
              <w:rPr>
                <w:rStyle w:val="IndexLink"/>
                <w:rtl w:val="true"/>
              </w:rPr>
              <w:t>قاعدة نفي السبيل للكافرين على المسلمين</w:t>
            </w:r>
            <w:r>
              <w:rPr>
                <w:rStyle w:val="IndexLink"/>
                <w:rtl w:val="true"/>
              </w:rPr>
              <w:tab/>
            </w:r>
            <w:r>
              <w:rPr>
                <w:rStyle w:val="IndexLink"/>
              </w:rPr>
              <w:t>214</w:t>
            </w:r>
          </w:hyperlink>
        </w:p>
        <w:p>
          <w:pPr>
            <w:pStyle w:val="Contents3"/>
            <w:tabs>
              <w:tab w:val="clear" w:pos="8459"/>
              <w:tab w:val="right" w:pos="9026" w:leader="dot"/>
            </w:tabs>
            <w:rPr/>
          </w:pPr>
          <w:hyperlink w:anchor="__RefHeading___Toc15519192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551919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مستندها</w:t>
            </w:r>
            <w:r>
              <w:rPr>
                <w:rStyle w:val="IndexLink"/>
                <w:rtl w:val="true"/>
              </w:rPr>
              <w:tab/>
            </w:r>
            <w:r>
              <w:rPr>
                <w:rStyle w:val="IndexLink"/>
              </w:rPr>
              <w:t>216</w:t>
            </w:r>
          </w:hyperlink>
        </w:p>
        <w:p>
          <w:pPr>
            <w:pStyle w:val="Contents3"/>
            <w:tabs>
              <w:tab w:val="clear" w:pos="8459"/>
              <w:tab w:val="right" w:pos="9026" w:leader="dot"/>
            </w:tabs>
            <w:rPr/>
          </w:pPr>
          <w:hyperlink w:anchor="__RefHeading___Toc15519196_2142443653">
            <w:r>
              <w:rPr>
                <w:webHidden/>
                <w:rStyle w:val="IndexLink"/>
                <w:rtl w:val="true"/>
              </w:rPr>
              <w:t xml:space="preserve">الجهة الثانية </w:t>
            </w:r>
            <w:r>
              <w:rPr>
                <w:rStyle w:val="IndexLink"/>
                <w:rtl w:val="true"/>
              </w:rPr>
              <w:t xml:space="preserve">: </w:t>
            </w:r>
            <w:r>
              <w:rPr>
                <w:rStyle w:val="IndexLink"/>
                <w:rtl w:val="true"/>
              </w:rPr>
              <w:t>في بيان مضمون هذه القاعدة ومفادها ، وما هو المراد منها</w:t>
            </w:r>
            <w:r>
              <w:rPr>
                <w:rStyle w:val="IndexLink"/>
                <w:rtl w:val="true"/>
              </w:rPr>
              <w:tab/>
            </w:r>
            <w:r>
              <w:rPr>
                <w:rStyle w:val="IndexLink"/>
              </w:rPr>
              <w:t>222</w:t>
            </w:r>
          </w:hyperlink>
        </w:p>
        <w:p>
          <w:pPr>
            <w:pStyle w:val="Contents3"/>
            <w:tabs>
              <w:tab w:val="clear" w:pos="8459"/>
              <w:tab w:val="right" w:pos="9026" w:leader="dot"/>
            </w:tabs>
            <w:rPr/>
          </w:pPr>
          <w:hyperlink w:anchor="__RefHeading___Toc15519198_2142443653">
            <w:r>
              <w:rPr>
                <w:webHidden/>
                <w:rStyle w:val="IndexLink"/>
                <w:rtl w:val="true"/>
              </w:rPr>
              <w:t xml:space="preserve">الجهة الثالثة </w:t>
            </w:r>
            <w:r>
              <w:rPr>
                <w:rStyle w:val="IndexLink"/>
                <w:rtl w:val="true"/>
              </w:rPr>
              <w:t xml:space="preserve">: </w:t>
            </w:r>
            <w:r>
              <w:rPr>
                <w:rStyle w:val="IndexLink"/>
                <w:rtl w:val="true"/>
              </w:rPr>
              <w:t>في ذكر جملة من موارد تطبيق هذه القاعدة</w:t>
            </w:r>
            <w:r>
              <w:rPr>
                <w:rStyle w:val="IndexLink"/>
                <w:rtl w:val="true"/>
              </w:rPr>
              <w:tab/>
            </w:r>
            <w:r>
              <w:rPr>
                <w:rStyle w:val="IndexLink"/>
              </w:rPr>
              <w:t>222</w:t>
            </w:r>
          </w:hyperlink>
        </w:p>
        <w:p>
          <w:pPr>
            <w:pStyle w:val="Contents2"/>
            <w:tabs>
              <w:tab w:val="clear" w:pos="8743"/>
              <w:tab w:val="right" w:pos="9026" w:leader="dot"/>
            </w:tabs>
            <w:rPr/>
          </w:pPr>
          <w:hyperlink w:anchor="__RefHeading___Toc15519200_2142443653">
            <w:r>
              <w:rPr>
                <w:webHidden/>
                <w:rStyle w:val="IndexLink"/>
              </w:rPr>
              <w:t>8</w:t>
            </w:r>
            <w:r>
              <w:rPr>
                <w:rStyle w:val="IndexLink"/>
                <w:rtl w:val="true"/>
              </w:rPr>
              <w:t xml:space="preserve"> - </w:t>
            </w:r>
            <w:r>
              <w:rPr>
                <w:rStyle w:val="IndexLink"/>
                <w:rtl w:val="true"/>
              </w:rPr>
              <w:t>قاعدة لا ضرر ولا ضرار</w:t>
            </w:r>
            <w:r>
              <w:rPr>
                <w:rStyle w:val="IndexLink"/>
                <w:rtl w:val="true"/>
              </w:rPr>
              <w:tab/>
            </w:r>
            <w:r>
              <w:rPr>
                <w:rStyle w:val="IndexLink"/>
              </w:rPr>
              <w:t>238</w:t>
            </w:r>
          </w:hyperlink>
        </w:p>
        <w:p>
          <w:pPr>
            <w:pStyle w:val="Contents3"/>
            <w:tabs>
              <w:tab w:val="clear" w:pos="8459"/>
              <w:tab w:val="right" w:pos="9026" w:leader="dot"/>
            </w:tabs>
            <w:rPr/>
          </w:pPr>
          <w:hyperlink w:anchor="__RefHeading___Toc15519202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5519204_2142443653">
            <w:r>
              <w:rPr>
                <w:webHidden/>
                <w:rStyle w:val="IndexLink"/>
                <w:rtl w:val="true"/>
              </w:rPr>
              <w:t xml:space="preserve">المقام الأول </w:t>
            </w:r>
            <w:r>
              <w:rPr>
                <w:rStyle w:val="IndexLink"/>
                <w:rtl w:val="true"/>
              </w:rPr>
              <w:t xml:space="preserve">: </w:t>
            </w:r>
            <w:r>
              <w:rPr>
                <w:rStyle w:val="IndexLink"/>
                <w:rtl w:val="true"/>
              </w:rPr>
              <w:t>في مدركها</w:t>
            </w:r>
            <w:r>
              <w:rPr>
                <w:rStyle w:val="IndexLink"/>
                <w:rtl w:val="true"/>
              </w:rPr>
              <w:tab/>
            </w:r>
            <w:r>
              <w:rPr>
                <w:rStyle w:val="IndexLink"/>
              </w:rPr>
              <w:t>240</w:t>
            </w:r>
          </w:hyperlink>
        </w:p>
        <w:p>
          <w:pPr>
            <w:pStyle w:val="Contents3"/>
            <w:tabs>
              <w:tab w:val="clear" w:pos="8459"/>
              <w:tab w:val="right" w:pos="9026" w:leader="dot"/>
            </w:tabs>
            <w:rPr/>
          </w:pPr>
          <w:hyperlink w:anchor="__RefHeading___Toc15519206_2142443653">
            <w:r>
              <w:rPr>
                <w:webHidden/>
                <w:rStyle w:val="IndexLink"/>
                <w:rtl w:val="true"/>
              </w:rPr>
              <w:t xml:space="preserve">المقام الثاني </w:t>
            </w:r>
            <w:r>
              <w:rPr>
                <w:rStyle w:val="IndexLink"/>
                <w:rtl w:val="true"/>
              </w:rPr>
              <w:t xml:space="preserve">: </w:t>
            </w:r>
            <w:r>
              <w:rPr>
                <w:rStyle w:val="IndexLink"/>
                <w:rtl w:val="true"/>
              </w:rPr>
              <w:t>في فقه الحديث</w:t>
            </w:r>
            <w:r>
              <w:rPr>
                <w:rStyle w:val="IndexLink"/>
                <w:rtl w:val="true"/>
              </w:rPr>
              <w:tab/>
            </w:r>
            <w:r>
              <w:rPr>
                <w:rStyle w:val="IndexLink"/>
              </w:rPr>
              <w:t>242</w:t>
            </w:r>
          </w:hyperlink>
        </w:p>
        <w:p>
          <w:pPr>
            <w:pStyle w:val="Contents4"/>
            <w:tabs>
              <w:tab w:val="clear" w:pos="8176"/>
              <w:tab w:val="right" w:pos="9026" w:leader="dot"/>
            </w:tabs>
            <w:rPr/>
          </w:pPr>
          <w:hyperlink w:anchor="__RefHeading___Toc15519208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5519210_2142443653">
            <w:r>
              <w:rPr>
                <w:webHidden/>
                <w:rStyle w:val="IndexLink"/>
                <w:rtl w:val="true"/>
              </w:rPr>
              <w:t>وينبغي التنبيه على أمور</w:t>
            </w:r>
            <w:r>
              <w:rPr>
                <w:rStyle w:val="IndexLink"/>
                <w:rtl w:val="true"/>
              </w:rPr>
              <w:tab/>
            </w:r>
            <w:r>
              <w:rPr>
                <w:rStyle w:val="IndexLink"/>
              </w:rPr>
              <w:t>254</w:t>
            </w:r>
          </w:hyperlink>
        </w:p>
        <w:p>
          <w:pPr>
            <w:pStyle w:val="Contents2"/>
            <w:tabs>
              <w:tab w:val="clear" w:pos="8743"/>
              <w:tab w:val="right" w:pos="9026" w:leader="dot"/>
            </w:tabs>
            <w:rPr/>
          </w:pPr>
          <w:hyperlink w:anchor="__RefHeading___Toc15519212_2142443653">
            <w:r>
              <w:rPr>
                <w:webHidden/>
                <w:rStyle w:val="IndexLink"/>
              </w:rPr>
              <w:t>9</w:t>
            </w:r>
            <w:r>
              <w:rPr>
                <w:rStyle w:val="IndexLink"/>
                <w:rtl w:val="true"/>
              </w:rPr>
              <w:t xml:space="preserve"> - </w:t>
            </w:r>
            <w:r>
              <w:rPr>
                <w:rStyle w:val="IndexLink"/>
                <w:rtl w:val="true"/>
              </w:rPr>
              <w:t>قاعدة نفى العسر والحرج</w:t>
            </w:r>
            <w:r>
              <w:rPr>
                <w:rStyle w:val="IndexLink"/>
                <w:rtl w:val="true"/>
              </w:rPr>
              <w:tab/>
            </w:r>
            <w:r>
              <w:rPr>
                <w:rStyle w:val="IndexLink"/>
              </w:rPr>
              <w:t>276</w:t>
            </w:r>
          </w:hyperlink>
        </w:p>
        <w:p>
          <w:pPr>
            <w:pStyle w:val="Contents3"/>
            <w:tabs>
              <w:tab w:val="clear" w:pos="8459"/>
              <w:tab w:val="right" w:pos="9026" w:leader="dot"/>
            </w:tabs>
            <w:rPr/>
          </w:pPr>
          <w:hyperlink w:anchor="__RefHeading___Toc15519214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5519216_2142443653">
            <w:r>
              <w:rPr>
                <w:webHidden/>
                <w:rStyle w:val="IndexLink"/>
                <w:rtl w:val="true"/>
              </w:rPr>
              <w:t xml:space="preserve">الجهة الأولى </w:t>
            </w:r>
            <w:r>
              <w:rPr>
                <w:rStyle w:val="IndexLink"/>
                <w:rtl w:val="true"/>
              </w:rPr>
              <w:t xml:space="preserve">: </w:t>
            </w:r>
            <w:r>
              <w:rPr>
                <w:rStyle w:val="IndexLink"/>
                <w:rtl w:val="true"/>
              </w:rPr>
              <w:t>في الدليل عليها</w:t>
            </w:r>
            <w:r>
              <w:rPr>
                <w:rStyle w:val="IndexLink"/>
                <w:rtl w:val="true"/>
              </w:rPr>
              <w:tab/>
            </w:r>
            <w:r>
              <w:rPr>
                <w:rStyle w:val="IndexLink"/>
              </w:rPr>
              <w:t>278</w:t>
            </w:r>
          </w:hyperlink>
        </w:p>
        <w:p>
          <w:pPr>
            <w:pStyle w:val="Contents4"/>
            <w:tabs>
              <w:tab w:val="clear" w:pos="8176"/>
              <w:tab w:val="right" w:pos="9026" w:leader="dot"/>
            </w:tabs>
            <w:rPr/>
          </w:pPr>
          <w:hyperlink w:anchor="__RefHeading___Toc15519218_2142443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5519220_2142443653">
            <w:r>
              <w:rPr>
                <w:webHidden/>
                <w:rStyle w:val="IndexLink"/>
                <w:rtl w:val="true"/>
              </w:rPr>
              <w:t xml:space="preserve">وأمّا الروايات </w:t>
            </w:r>
            <w:r>
              <w:rPr>
                <w:rStyle w:val="IndexLink"/>
                <w:rtl w:val="true"/>
              </w:rPr>
              <w:t>:</w:t>
              <w:tab/>
            </w:r>
            <w:r>
              <w:rPr>
                <w:rStyle w:val="IndexLink"/>
              </w:rPr>
              <w:t>279</w:t>
            </w:r>
          </w:hyperlink>
        </w:p>
        <w:p>
          <w:pPr>
            <w:pStyle w:val="Contents3"/>
            <w:tabs>
              <w:tab w:val="clear" w:pos="8459"/>
              <w:tab w:val="right" w:pos="9026" w:leader="dot"/>
            </w:tabs>
            <w:rPr/>
          </w:pPr>
          <w:hyperlink w:anchor="__RefHeading___Toc15519222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ومضمونها</w:t>
            </w:r>
            <w:r>
              <w:rPr>
                <w:rStyle w:val="IndexLink"/>
                <w:rtl w:val="true"/>
              </w:rPr>
              <w:tab/>
            </w:r>
            <w:r>
              <w:rPr>
                <w:rStyle w:val="IndexLink"/>
              </w:rPr>
              <w:t>284</w:t>
            </w:r>
          </w:hyperlink>
        </w:p>
        <w:p>
          <w:pPr>
            <w:pStyle w:val="Contents3"/>
            <w:tabs>
              <w:tab w:val="clear" w:pos="8459"/>
              <w:tab w:val="right" w:pos="9026" w:leader="dot"/>
            </w:tabs>
            <w:rPr/>
          </w:pPr>
          <w:hyperlink w:anchor="__RefHeading___Toc15519224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286</w:t>
            </w:r>
          </w:hyperlink>
        </w:p>
        <w:p>
          <w:pPr>
            <w:pStyle w:val="Contents4"/>
            <w:tabs>
              <w:tab w:val="clear" w:pos="8176"/>
              <w:tab w:val="right" w:pos="9026" w:leader="dot"/>
            </w:tabs>
            <w:rPr/>
          </w:pPr>
          <w:hyperlink w:anchor="__RefHeading___Toc15519226_2142443653">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5519228_2142443653">
            <w:r>
              <w:rPr>
                <w:webHidden/>
                <w:rStyle w:val="IndexLink"/>
                <w:rtl w:val="true"/>
              </w:rPr>
              <w:t>ثمَّ إنّ هاهنا أمران يجب التنبيه عليهما</w:t>
            </w:r>
            <w:r>
              <w:rPr>
                <w:rStyle w:val="IndexLink"/>
                <w:rtl w:val="true"/>
              </w:rPr>
              <w:tab/>
            </w:r>
            <w:r>
              <w:rPr>
                <w:rStyle w:val="IndexLink"/>
              </w:rPr>
              <w:t>288</w:t>
            </w:r>
          </w:hyperlink>
        </w:p>
        <w:p>
          <w:pPr>
            <w:pStyle w:val="Contents2"/>
            <w:tabs>
              <w:tab w:val="clear" w:pos="8743"/>
              <w:tab w:val="right" w:pos="9026" w:leader="dot"/>
            </w:tabs>
            <w:rPr/>
          </w:pPr>
          <w:hyperlink w:anchor="__RefHeading___Toc15519230_2142443653">
            <w:r>
              <w:rPr>
                <w:webHidden/>
                <w:rStyle w:val="IndexLink"/>
              </w:rPr>
              <w:t>10</w:t>
            </w:r>
            <w:r>
              <w:rPr>
                <w:rStyle w:val="IndexLink"/>
                <w:rtl w:val="true"/>
              </w:rPr>
              <w:t xml:space="preserve"> - </w:t>
            </w:r>
            <w:r>
              <w:rPr>
                <w:rStyle w:val="IndexLink"/>
                <w:rtl w:val="true"/>
              </w:rPr>
              <w:t>قاعدة الغرور</w:t>
            </w:r>
            <w:r>
              <w:rPr>
                <w:rStyle w:val="IndexLink"/>
                <w:rtl w:val="true"/>
              </w:rPr>
              <w:tab/>
            </w:r>
            <w:r>
              <w:rPr>
                <w:rStyle w:val="IndexLink"/>
              </w:rPr>
              <w:t>296</w:t>
            </w:r>
          </w:hyperlink>
        </w:p>
        <w:p>
          <w:pPr>
            <w:pStyle w:val="Contents3"/>
            <w:tabs>
              <w:tab w:val="clear" w:pos="8459"/>
              <w:tab w:val="right" w:pos="9026" w:leader="dot"/>
            </w:tabs>
            <w:rPr/>
          </w:pPr>
          <w:hyperlink w:anchor="__RefHeading___Toc15519232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5519234_2142443653">
            <w:r>
              <w:rPr>
                <w:webHidden/>
                <w:rStyle w:val="IndexLink"/>
                <w:rtl w:val="true"/>
              </w:rPr>
              <w:t xml:space="preserve">الجهة الأولى </w:t>
            </w:r>
            <w:r>
              <w:rPr>
                <w:rStyle w:val="IndexLink"/>
                <w:rtl w:val="true"/>
              </w:rPr>
              <w:t xml:space="preserve">: </w:t>
            </w:r>
            <w:r>
              <w:rPr>
                <w:rStyle w:val="IndexLink"/>
                <w:rtl w:val="true"/>
              </w:rPr>
              <w:t>في مستندها</w:t>
            </w:r>
            <w:r>
              <w:rPr>
                <w:rStyle w:val="IndexLink"/>
                <w:rtl w:val="true"/>
              </w:rPr>
              <w:tab/>
            </w:r>
            <w:r>
              <w:rPr>
                <w:rStyle w:val="IndexLink"/>
              </w:rPr>
              <w:t>299</w:t>
            </w:r>
          </w:hyperlink>
        </w:p>
        <w:p>
          <w:pPr>
            <w:pStyle w:val="Contents3"/>
            <w:tabs>
              <w:tab w:val="clear" w:pos="8459"/>
              <w:tab w:val="right" w:pos="9026" w:leader="dot"/>
            </w:tabs>
            <w:rPr/>
          </w:pPr>
          <w:hyperlink w:anchor="__RefHeading___Toc15519236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ومدلولها</w:t>
            </w:r>
            <w:r>
              <w:rPr>
                <w:rStyle w:val="IndexLink"/>
                <w:rtl w:val="true"/>
              </w:rPr>
              <w:tab/>
            </w:r>
            <w:r>
              <w:rPr>
                <w:rStyle w:val="IndexLink"/>
              </w:rPr>
              <w:t>306</w:t>
            </w:r>
          </w:hyperlink>
        </w:p>
        <w:p>
          <w:pPr>
            <w:pStyle w:val="Contents3"/>
            <w:tabs>
              <w:tab w:val="clear" w:pos="8459"/>
              <w:tab w:val="right" w:pos="9026" w:leader="dot"/>
            </w:tabs>
            <w:rPr/>
          </w:pPr>
          <w:hyperlink w:anchor="__RefHeading___Toc15519238_2142443653">
            <w:r>
              <w:rPr>
                <w:webHidden/>
                <w:rStyle w:val="IndexLink"/>
                <w:rtl w:val="true"/>
              </w:rPr>
              <w:t xml:space="preserve">الجهة الثالثة </w:t>
            </w:r>
            <w:r>
              <w:rPr>
                <w:rStyle w:val="IndexLink"/>
                <w:rtl w:val="true"/>
              </w:rPr>
              <w:t xml:space="preserve">: </w:t>
            </w:r>
            <w:r>
              <w:rPr>
                <w:rStyle w:val="IndexLink"/>
                <w:rtl w:val="true"/>
              </w:rPr>
              <w:t>في ذكر جملة من موارد تطبيق هذه القاعدة</w:t>
            </w:r>
            <w:r>
              <w:rPr>
                <w:rStyle w:val="IndexLink"/>
                <w:rtl w:val="true"/>
              </w:rPr>
              <w:tab/>
            </w:r>
            <w:r>
              <w:rPr>
                <w:rStyle w:val="IndexLink"/>
              </w:rPr>
              <w:t>309</w:t>
            </w:r>
          </w:hyperlink>
        </w:p>
        <w:p>
          <w:pPr>
            <w:pStyle w:val="Contents2"/>
            <w:tabs>
              <w:tab w:val="clear" w:pos="8743"/>
              <w:tab w:val="right" w:pos="9026" w:leader="dot"/>
            </w:tabs>
            <w:rPr/>
          </w:pPr>
          <w:hyperlink w:anchor="__RefHeading___Toc15519240_2142443653">
            <w:r>
              <w:rPr>
                <w:webHidden/>
                <w:rStyle w:val="IndexLink"/>
              </w:rPr>
              <w:t>11</w:t>
            </w:r>
            <w:r>
              <w:rPr>
                <w:rStyle w:val="IndexLink"/>
                <w:rtl w:val="true"/>
              </w:rPr>
              <w:t xml:space="preserve"> - </w:t>
            </w:r>
            <w:r>
              <w:rPr>
                <w:rStyle w:val="IndexLink"/>
                <w:rtl w:val="true"/>
              </w:rPr>
              <w:t>قاعدة أصالة الصحّة</w:t>
            </w:r>
            <w:r>
              <w:rPr>
                <w:rStyle w:val="IndexLink"/>
                <w:rtl w:val="true"/>
              </w:rPr>
              <w:tab/>
            </w:r>
            <w:r>
              <w:rPr>
                <w:rStyle w:val="IndexLink"/>
              </w:rPr>
              <w:t>314</w:t>
            </w:r>
          </w:hyperlink>
        </w:p>
        <w:p>
          <w:pPr>
            <w:pStyle w:val="Contents3"/>
            <w:tabs>
              <w:tab w:val="clear" w:pos="8459"/>
              <w:tab w:val="right" w:pos="9026" w:leader="dot"/>
            </w:tabs>
            <w:rPr/>
          </w:pPr>
          <w:hyperlink w:anchor="__RefHeading___Toc15519242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5519244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الدليل على اعتبارها</w:t>
            </w:r>
            <w:r>
              <w:rPr>
                <w:rStyle w:val="IndexLink"/>
                <w:rtl w:val="true"/>
              </w:rPr>
              <w:tab/>
            </w:r>
            <w:r>
              <w:rPr>
                <w:rStyle w:val="IndexLink"/>
              </w:rPr>
              <w:t>316</w:t>
            </w:r>
          </w:hyperlink>
        </w:p>
        <w:p>
          <w:pPr>
            <w:pStyle w:val="Contents3"/>
            <w:tabs>
              <w:tab w:val="clear" w:pos="8459"/>
              <w:tab w:val="right" w:pos="9026" w:leader="dot"/>
            </w:tabs>
            <w:rPr/>
          </w:pPr>
          <w:hyperlink w:anchor="__RefHeading___Toc15519246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الثاني</w:t>
            </w:r>
            <w:r>
              <w:rPr>
                <w:rStyle w:val="IndexLink"/>
                <w:rtl w:val="true"/>
              </w:rPr>
              <w:tab/>
            </w:r>
            <w:r>
              <w:rPr>
                <w:rStyle w:val="IndexLink"/>
              </w:rPr>
              <w:t>317</w:t>
            </w:r>
          </w:hyperlink>
        </w:p>
        <w:p>
          <w:pPr>
            <w:pStyle w:val="Contents3"/>
            <w:tabs>
              <w:tab w:val="clear" w:pos="8459"/>
              <w:tab w:val="right" w:pos="9026" w:leader="dot"/>
            </w:tabs>
            <w:rPr/>
          </w:pPr>
          <w:hyperlink w:anchor="__RefHeading___Toc1551924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الثالث</w:t>
            </w:r>
            <w:r>
              <w:rPr>
                <w:rStyle w:val="IndexLink"/>
                <w:rtl w:val="true"/>
              </w:rPr>
              <w:tab/>
            </w:r>
            <w:r>
              <w:rPr>
                <w:rStyle w:val="IndexLink"/>
              </w:rPr>
              <w:t>319</w:t>
            </w:r>
          </w:hyperlink>
        </w:p>
        <w:p>
          <w:pPr>
            <w:pStyle w:val="Contents3"/>
            <w:tabs>
              <w:tab w:val="clear" w:pos="8459"/>
              <w:tab w:val="right" w:pos="9026" w:leader="dot"/>
            </w:tabs>
            <w:rPr/>
          </w:pPr>
          <w:hyperlink w:anchor="__RefHeading___Toc1551925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الرابع</w:t>
            </w:r>
            <w:r>
              <w:rPr>
                <w:rStyle w:val="IndexLink"/>
                <w:rtl w:val="true"/>
              </w:rPr>
              <w:tab/>
            </w:r>
            <w:r>
              <w:rPr>
                <w:rStyle w:val="IndexLink"/>
              </w:rPr>
              <w:t>320</w:t>
            </w:r>
          </w:hyperlink>
        </w:p>
        <w:p>
          <w:pPr>
            <w:pStyle w:val="Contents3"/>
            <w:tabs>
              <w:tab w:val="clear" w:pos="8459"/>
              <w:tab w:val="right" w:pos="9026" w:leader="dot"/>
            </w:tabs>
            <w:rPr/>
          </w:pPr>
          <w:hyperlink w:anchor="__RefHeading___Toc1551925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الخامس</w:t>
            </w:r>
            <w:r>
              <w:rPr>
                <w:rStyle w:val="IndexLink"/>
                <w:rtl w:val="true"/>
              </w:rPr>
              <w:tab/>
            </w:r>
            <w:r>
              <w:rPr>
                <w:rStyle w:val="IndexLink"/>
              </w:rPr>
              <w:t>321</w:t>
            </w:r>
          </w:hyperlink>
        </w:p>
        <w:p>
          <w:pPr>
            <w:pStyle w:val="Contents4"/>
            <w:tabs>
              <w:tab w:val="clear" w:pos="8176"/>
              <w:tab w:val="right" w:pos="9026" w:leader="dot"/>
            </w:tabs>
            <w:rPr/>
          </w:pPr>
          <w:hyperlink w:anchor="__RefHeading___Toc15519254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5519256_2142443653">
            <w:r>
              <w:rPr>
                <w:webHidden/>
                <w:rStyle w:val="IndexLink"/>
                <w:rtl w:val="true"/>
              </w:rPr>
              <w:t>ثمَّ إنّه هاهنا فروع ربما يستشكل في جريان قاعدة أصالة الصحّة فيها</w:t>
            </w:r>
            <w:r>
              <w:rPr>
                <w:rStyle w:val="IndexLink"/>
                <w:rtl w:val="true"/>
              </w:rPr>
              <w:tab/>
            </w:r>
            <w:r>
              <w:rPr>
                <w:rStyle w:val="IndexLink"/>
              </w:rPr>
              <w:t>325</w:t>
            </w:r>
          </w:hyperlink>
        </w:p>
        <w:p>
          <w:pPr>
            <w:pStyle w:val="Contents3"/>
            <w:tabs>
              <w:tab w:val="clear" w:pos="8459"/>
              <w:tab w:val="right" w:pos="9026" w:leader="dot"/>
            </w:tabs>
            <w:rPr/>
          </w:pPr>
          <w:hyperlink w:anchor="__RefHeading___Toc1551925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السادس</w:t>
            </w:r>
            <w:r>
              <w:rPr>
                <w:rStyle w:val="IndexLink"/>
                <w:rtl w:val="true"/>
              </w:rPr>
              <w:tab/>
            </w:r>
            <w:r>
              <w:rPr>
                <w:rStyle w:val="IndexLink"/>
              </w:rPr>
              <w:t>330</w:t>
            </w:r>
          </w:hyperlink>
        </w:p>
        <w:p>
          <w:pPr>
            <w:pStyle w:val="Contents3"/>
            <w:tabs>
              <w:tab w:val="clear" w:pos="8459"/>
              <w:tab w:val="right" w:pos="9026" w:leader="dot"/>
            </w:tabs>
            <w:rPr/>
          </w:pPr>
          <w:hyperlink w:anchor="__RefHeading___Toc15519260_2142443653">
            <w:r>
              <w:rPr>
                <w:webHidden/>
                <w:rStyle w:val="IndexLink"/>
                <w:rtl w:val="true"/>
              </w:rPr>
              <w:t xml:space="preserve">المبحث السابع </w:t>
            </w:r>
            <w:r>
              <w:rPr>
                <w:rStyle w:val="IndexLink"/>
                <w:rtl w:val="true"/>
              </w:rPr>
              <w:t xml:space="preserve">: </w:t>
            </w:r>
            <w:r>
              <w:rPr>
                <w:rStyle w:val="IndexLink"/>
                <w:rtl w:val="true"/>
              </w:rPr>
              <w:t>في أنّها أصل أو أمارة</w:t>
            </w:r>
            <w:r>
              <w:rPr>
                <w:rStyle w:val="IndexLink"/>
                <w:rtl w:val="true"/>
              </w:rPr>
              <w:tab/>
            </w:r>
            <w:r>
              <w:rPr>
                <w:rStyle w:val="IndexLink"/>
              </w:rPr>
              <w:t>332</w:t>
            </w:r>
          </w:hyperlink>
        </w:p>
        <w:p>
          <w:pPr>
            <w:pStyle w:val="Contents3"/>
            <w:tabs>
              <w:tab w:val="clear" w:pos="8459"/>
              <w:tab w:val="right" w:pos="9026" w:leader="dot"/>
            </w:tabs>
            <w:rPr/>
          </w:pPr>
          <w:hyperlink w:anchor="__RefHeading___Toc15519262_2142443653">
            <w:r>
              <w:rPr>
                <w:webHidden/>
                <w:rStyle w:val="IndexLink"/>
                <w:rtl w:val="true"/>
              </w:rPr>
              <w:t xml:space="preserve">المبحث الثامن </w:t>
            </w:r>
            <w:r>
              <w:rPr>
                <w:rStyle w:val="IndexLink"/>
                <w:rtl w:val="true"/>
              </w:rPr>
              <w:t xml:space="preserve">: </w:t>
            </w:r>
            <w:r>
              <w:rPr>
                <w:rStyle w:val="IndexLink"/>
                <w:rtl w:val="true"/>
              </w:rPr>
              <w:t>في تقديم أصالة الصحّة على الاستصحابات الموضوعيّة أو تقديمها على أصالة الصحّة</w:t>
            </w:r>
            <w:r>
              <w:rPr>
                <w:rStyle w:val="IndexLink"/>
                <w:rtl w:val="true"/>
              </w:rPr>
              <w:tab/>
            </w:r>
            <w:r>
              <w:rPr>
                <w:rStyle w:val="IndexLink"/>
              </w:rPr>
              <w:t>336</w:t>
            </w:r>
          </w:hyperlink>
        </w:p>
        <w:p>
          <w:pPr>
            <w:pStyle w:val="Contents2"/>
            <w:tabs>
              <w:tab w:val="clear" w:pos="8743"/>
              <w:tab w:val="right" w:pos="9026" w:leader="dot"/>
            </w:tabs>
            <w:rPr/>
          </w:pPr>
          <w:hyperlink w:anchor="__RefHeading___Toc15519264_2142443653">
            <w:r>
              <w:rPr>
                <w:webHidden/>
                <w:rStyle w:val="IndexLink"/>
              </w:rPr>
              <w:t>12</w:t>
            </w:r>
            <w:r>
              <w:rPr>
                <w:rStyle w:val="IndexLink"/>
                <w:rtl w:val="true"/>
              </w:rPr>
              <w:t xml:space="preserve"> - </w:t>
            </w:r>
            <w:r>
              <w:rPr>
                <w:rStyle w:val="IndexLink"/>
                <w:rtl w:val="true"/>
              </w:rPr>
              <w:t>قاعدتي الفراغ والتجاوز</w:t>
            </w:r>
            <w:r>
              <w:rPr>
                <w:rStyle w:val="IndexLink"/>
                <w:rtl w:val="true"/>
              </w:rPr>
              <w:tab/>
            </w:r>
            <w:r>
              <w:rPr>
                <w:rStyle w:val="IndexLink"/>
              </w:rPr>
              <w:t>342</w:t>
            </w:r>
          </w:hyperlink>
        </w:p>
        <w:p>
          <w:pPr>
            <w:pStyle w:val="Contents3"/>
            <w:tabs>
              <w:tab w:val="clear" w:pos="8459"/>
              <w:tab w:val="right" w:pos="9026" w:leader="dot"/>
            </w:tabs>
            <w:rPr/>
          </w:pPr>
          <w:hyperlink w:anchor="__RefHeading___Toc15519266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551926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أنّهما هل من الأصول التنزيليّة أو من الأمارات؟</w:t>
            </w:r>
            <w:r>
              <w:rPr>
                <w:rStyle w:val="IndexLink"/>
                <w:rtl w:val="true"/>
              </w:rPr>
              <w:tab/>
            </w:r>
            <w:r>
              <w:rPr>
                <w:rStyle w:val="IndexLink"/>
              </w:rPr>
              <w:t>344</w:t>
            </w:r>
          </w:hyperlink>
        </w:p>
        <w:p>
          <w:pPr>
            <w:pStyle w:val="Contents3"/>
            <w:tabs>
              <w:tab w:val="clear" w:pos="8459"/>
              <w:tab w:val="right" w:pos="9026" w:leader="dot"/>
            </w:tabs>
            <w:rPr/>
          </w:pPr>
          <w:hyperlink w:anchor="__RefHeading___Toc1551927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أنّهما من القواعد الفقهيّة أو من المسائل الأصولية؟</w:t>
            </w:r>
            <w:r>
              <w:rPr>
                <w:rStyle w:val="IndexLink"/>
                <w:rtl w:val="true"/>
              </w:rPr>
              <w:tab/>
            </w:r>
            <w:r>
              <w:rPr>
                <w:rStyle w:val="IndexLink"/>
              </w:rPr>
              <w:t>347</w:t>
            </w:r>
          </w:hyperlink>
        </w:p>
        <w:p>
          <w:pPr>
            <w:pStyle w:val="Contents3"/>
            <w:tabs>
              <w:tab w:val="clear" w:pos="8459"/>
              <w:tab w:val="right" w:pos="9026" w:leader="dot"/>
            </w:tabs>
            <w:rPr/>
          </w:pPr>
          <w:hyperlink w:anchor="__RefHeading___Toc1551927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أنّهما قاعدتين أو قاعدة واحدة؟</w:t>
            </w:r>
            <w:r>
              <w:rPr>
                <w:rStyle w:val="IndexLink"/>
                <w:rtl w:val="true"/>
              </w:rPr>
              <w:tab/>
            </w:r>
            <w:r>
              <w:rPr>
                <w:rStyle w:val="IndexLink"/>
              </w:rPr>
              <w:t>349</w:t>
            </w:r>
          </w:hyperlink>
        </w:p>
        <w:p>
          <w:pPr>
            <w:pStyle w:val="Contents4"/>
            <w:tabs>
              <w:tab w:val="clear" w:pos="8176"/>
              <w:tab w:val="right" w:pos="9026" w:leader="dot"/>
            </w:tabs>
            <w:rPr/>
          </w:pPr>
          <w:hyperlink w:anchor="__RefHeading___Toc15519274_2142443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5519276_2142443653">
            <w:r>
              <w:rPr>
                <w:webHidden/>
                <w:rStyle w:val="IndexLink"/>
                <w:rtl w:val="true"/>
              </w:rPr>
              <w:t>وهاهنا مقامان</w:t>
            </w:r>
            <w:r>
              <w:rPr>
                <w:rStyle w:val="IndexLink"/>
                <w:rtl w:val="true"/>
              </w:rPr>
              <w:tab/>
            </w:r>
            <w:r>
              <w:rPr>
                <w:rStyle w:val="IndexLink"/>
              </w:rPr>
              <w:t>349</w:t>
            </w:r>
          </w:hyperlink>
        </w:p>
        <w:p>
          <w:pPr>
            <w:pStyle w:val="Contents3"/>
            <w:tabs>
              <w:tab w:val="clear" w:pos="8459"/>
              <w:tab w:val="right" w:pos="9026" w:leader="dot"/>
            </w:tabs>
            <w:rPr/>
          </w:pPr>
          <w:hyperlink w:anchor="__RefHeading___Toc1551927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أنّه ما المراد من المضي والتجاوز في القاعدتين؟</w:t>
            </w:r>
            <w:r>
              <w:rPr>
                <w:rStyle w:val="IndexLink"/>
                <w:rtl w:val="true"/>
              </w:rPr>
              <w:tab/>
            </w:r>
            <w:r>
              <w:rPr>
                <w:rStyle w:val="IndexLink"/>
              </w:rPr>
              <w:t>358</w:t>
            </w:r>
          </w:hyperlink>
        </w:p>
        <w:p>
          <w:pPr>
            <w:pStyle w:val="Contents3"/>
            <w:tabs>
              <w:tab w:val="clear" w:pos="8459"/>
              <w:tab w:val="right" w:pos="9026" w:leader="dot"/>
            </w:tabs>
            <w:rPr/>
          </w:pPr>
          <w:hyperlink w:anchor="__RefHeading___Toc15519280_2142443653">
            <w:r>
              <w:rPr>
                <w:webHidden/>
                <w:rStyle w:val="IndexLink"/>
                <w:rtl w:val="true"/>
              </w:rPr>
              <w:t xml:space="preserve">المبحث الخامس </w:t>
            </w:r>
            <w:r>
              <w:rPr>
                <w:rStyle w:val="IndexLink"/>
                <w:rtl w:val="true"/>
              </w:rPr>
              <w:t xml:space="preserve">: </w:t>
            </w:r>
            <w:r>
              <w:rPr>
                <w:rStyle w:val="IndexLink"/>
                <w:rtl w:val="true"/>
              </w:rPr>
              <w:t>في أنّ الدخول في الغير معتبر في جريان القاعدتين أم لا؟</w:t>
            </w:r>
            <w:r>
              <w:rPr>
                <w:rStyle w:val="IndexLink"/>
                <w:rtl w:val="true"/>
              </w:rPr>
              <w:tab/>
            </w:r>
            <w:r>
              <w:rPr>
                <w:rStyle w:val="IndexLink"/>
              </w:rPr>
              <w:t>363</w:t>
            </w:r>
          </w:hyperlink>
        </w:p>
        <w:p>
          <w:pPr>
            <w:pStyle w:val="Contents3"/>
            <w:tabs>
              <w:tab w:val="clear" w:pos="8459"/>
              <w:tab w:val="right" w:pos="9026" w:leader="dot"/>
            </w:tabs>
            <w:rPr/>
          </w:pPr>
          <w:hyperlink w:anchor="__RefHeading___Toc15519282_2142443653">
            <w:r>
              <w:rPr>
                <w:webHidden/>
                <w:rStyle w:val="IndexLink"/>
                <w:rtl w:val="true"/>
              </w:rPr>
              <w:t>المبحث السادس</w:t>
            </w:r>
            <w:r>
              <w:rPr>
                <w:rStyle w:val="IndexLink"/>
                <w:rtl w:val="true"/>
              </w:rPr>
              <w:tab/>
            </w:r>
            <w:r>
              <w:rPr>
                <w:rStyle w:val="IndexLink"/>
              </w:rPr>
              <w:t>366</w:t>
            </w:r>
          </w:hyperlink>
        </w:p>
        <w:p>
          <w:pPr>
            <w:pStyle w:val="Contents3"/>
            <w:tabs>
              <w:tab w:val="clear" w:pos="8459"/>
              <w:tab w:val="right" w:pos="9026" w:leader="dot"/>
            </w:tabs>
            <w:rPr/>
          </w:pPr>
          <w:hyperlink w:anchor="__RefHeading___Toc15519284_2142443653">
            <w:r>
              <w:rPr>
                <w:webHidden/>
                <w:rStyle w:val="IndexLink"/>
                <w:rtl w:val="true"/>
              </w:rPr>
              <w:t xml:space="preserve">المبحث السابع </w:t>
            </w:r>
            <w:r>
              <w:rPr>
                <w:rStyle w:val="IndexLink"/>
                <w:rtl w:val="true"/>
              </w:rPr>
              <w:t xml:space="preserve">: </w:t>
            </w:r>
            <w:r>
              <w:rPr>
                <w:rStyle w:val="IndexLink"/>
                <w:rtl w:val="true"/>
              </w:rPr>
              <w:t>في جريان قاعدة التجاوز في الشروط</w:t>
            </w:r>
            <w:r>
              <w:rPr>
                <w:rStyle w:val="IndexLink"/>
                <w:rtl w:val="true"/>
              </w:rPr>
              <w:tab/>
            </w:r>
            <w:r>
              <w:rPr>
                <w:rStyle w:val="IndexLink"/>
              </w:rPr>
              <w:t>368</w:t>
            </w:r>
          </w:hyperlink>
        </w:p>
        <w:p>
          <w:pPr>
            <w:pStyle w:val="Contents3"/>
            <w:tabs>
              <w:tab w:val="clear" w:pos="8459"/>
              <w:tab w:val="right" w:pos="9026" w:leader="dot"/>
            </w:tabs>
            <w:rPr/>
          </w:pPr>
          <w:hyperlink w:anchor="__RefHeading___Toc15519286_2142443653">
            <w:r>
              <w:rPr>
                <w:webHidden/>
                <w:rStyle w:val="IndexLink"/>
                <w:rtl w:val="true"/>
              </w:rPr>
              <w:t>المبحث الثامن</w:t>
            </w:r>
            <w:r>
              <w:rPr>
                <w:rStyle w:val="IndexLink"/>
                <w:rtl w:val="true"/>
              </w:rPr>
              <w:tab/>
            </w:r>
            <w:r>
              <w:rPr>
                <w:rStyle w:val="IndexLink"/>
              </w:rPr>
              <w:t>374</w:t>
            </w:r>
          </w:hyperlink>
        </w:p>
        <w:p>
          <w:pPr>
            <w:pStyle w:val="Contents3"/>
            <w:tabs>
              <w:tab w:val="clear" w:pos="8459"/>
              <w:tab w:val="right" w:pos="9026" w:leader="dot"/>
            </w:tabs>
            <w:rPr/>
          </w:pPr>
          <w:hyperlink w:anchor="__RefHeading___Toc15519288_2142443653">
            <w:r>
              <w:rPr>
                <w:webHidden/>
                <w:rStyle w:val="IndexLink"/>
                <w:rtl w:val="true"/>
              </w:rPr>
              <w:t xml:space="preserve">المبحث التاسع </w:t>
            </w:r>
            <w:r>
              <w:rPr>
                <w:rStyle w:val="IndexLink"/>
                <w:rtl w:val="true"/>
              </w:rPr>
              <w:t xml:space="preserve">: </w:t>
            </w:r>
            <w:r>
              <w:rPr>
                <w:rStyle w:val="IndexLink"/>
                <w:rtl w:val="true"/>
              </w:rPr>
              <w:t>في وجه عدم جريان قاعدة التجاوز في الوضوء بل في الغسل والتيمم أيضا</w:t>
            </w:r>
            <w:r>
              <w:rPr>
                <w:rStyle w:val="IndexLink"/>
                <w:rtl w:val="true"/>
              </w:rPr>
              <w:tab/>
            </w:r>
            <w:r>
              <w:rPr>
                <w:rStyle w:val="IndexLink"/>
              </w:rPr>
              <w:t>379</w:t>
            </w:r>
          </w:hyperlink>
        </w:p>
        <w:p>
          <w:pPr>
            <w:pStyle w:val="Contents3"/>
            <w:tabs>
              <w:tab w:val="clear" w:pos="8459"/>
              <w:tab w:val="right" w:pos="9026" w:leader="dot"/>
            </w:tabs>
            <w:rPr/>
          </w:pPr>
          <w:hyperlink w:anchor="__RefHeading___Toc15519290_2142443653">
            <w:r>
              <w:rPr>
                <w:webHidden/>
                <w:rStyle w:val="IndexLink"/>
                <w:rtl w:val="true"/>
              </w:rPr>
              <w:t>المبحث العاشر</w:t>
            </w:r>
            <w:r>
              <w:rPr>
                <w:rStyle w:val="IndexLink"/>
                <w:rtl w:val="true"/>
              </w:rPr>
              <w:tab/>
            </w:r>
            <w:r>
              <w:rPr>
                <w:rStyle w:val="IndexLink"/>
              </w:rPr>
              <w:t>382</w:t>
            </w:r>
          </w:hyperlink>
        </w:p>
        <w:p>
          <w:pPr>
            <w:pStyle w:val="Contents2"/>
            <w:tabs>
              <w:tab w:val="clear" w:pos="8743"/>
              <w:tab w:val="right" w:pos="9026" w:leader="dot"/>
            </w:tabs>
            <w:rPr/>
          </w:pPr>
          <w:hyperlink w:anchor="__RefHeading___Toc15519292_2142443653">
            <w:r>
              <w:rPr>
                <w:webHidden/>
                <w:rStyle w:val="IndexLink"/>
              </w:rPr>
              <w:t>13</w:t>
            </w:r>
            <w:r>
              <w:rPr>
                <w:rStyle w:val="IndexLink"/>
                <w:rtl w:val="true"/>
              </w:rPr>
              <w:t xml:space="preserve"> - </w:t>
            </w:r>
            <w:r>
              <w:rPr>
                <w:rStyle w:val="IndexLink"/>
                <w:rtl w:val="true"/>
              </w:rPr>
              <w:t>قاعدة الإعانة على الإثم والعدوان</w:t>
            </w:r>
            <w:r>
              <w:rPr>
                <w:rStyle w:val="IndexLink"/>
                <w:rtl w:val="true"/>
              </w:rPr>
              <w:tab/>
            </w:r>
            <w:r>
              <w:rPr>
                <w:rStyle w:val="IndexLink"/>
              </w:rPr>
              <w:t>386</w:t>
            </w:r>
          </w:hyperlink>
        </w:p>
        <w:p>
          <w:pPr>
            <w:pStyle w:val="Contents3"/>
            <w:tabs>
              <w:tab w:val="clear" w:pos="8459"/>
              <w:tab w:val="right" w:pos="9026" w:leader="dot"/>
            </w:tabs>
            <w:rPr/>
          </w:pPr>
          <w:hyperlink w:anchor="__RefHeading___Toc15519294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551929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مدركها ومستندها</w:t>
            </w:r>
            <w:r>
              <w:rPr>
                <w:rStyle w:val="IndexLink"/>
                <w:rtl w:val="true"/>
              </w:rPr>
              <w:tab/>
            </w:r>
            <w:r>
              <w:rPr>
                <w:rStyle w:val="IndexLink"/>
              </w:rPr>
              <w:t>388</w:t>
            </w:r>
          </w:hyperlink>
        </w:p>
        <w:p>
          <w:pPr>
            <w:pStyle w:val="Contents3"/>
            <w:tabs>
              <w:tab w:val="clear" w:pos="8459"/>
              <w:tab w:val="right" w:pos="9026" w:leader="dot"/>
            </w:tabs>
            <w:rPr/>
          </w:pPr>
          <w:hyperlink w:anchor="__RefHeading___Toc15519298_2142443653">
            <w:r>
              <w:rPr>
                <w:webHidden/>
                <w:rStyle w:val="IndexLink"/>
                <w:rtl w:val="true"/>
              </w:rPr>
              <w:t xml:space="preserve">الجهة الثانية </w:t>
            </w:r>
            <w:r>
              <w:rPr>
                <w:rStyle w:val="IndexLink"/>
                <w:rtl w:val="true"/>
              </w:rPr>
              <w:t xml:space="preserve">: </w:t>
            </w:r>
            <w:r>
              <w:rPr>
                <w:rStyle w:val="IndexLink"/>
                <w:rtl w:val="true"/>
              </w:rPr>
              <w:t>في أنّه ما المراد من هذه القاعدة أي حرمة الإعانة على الإثم</w:t>
            </w:r>
            <w:r>
              <w:rPr>
                <w:rStyle w:val="IndexLink"/>
                <w:rtl w:val="true"/>
              </w:rPr>
              <w:tab/>
            </w:r>
            <w:r>
              <w:rPr>
                <w:rStyle w:val="IndexLink"/>
              </w:rPr>
              <w:t>394</w:t>
            </w:r>
          </w:hyperlink>
        </w:p>
        <w:p>
          <w:pPr>
            <w:pStyle w:val="Contents3"/>
            <w:tabs>
              <w:tab w:val="clear" w:pos="8459"/>
              <w:tab w:val="right" w:pos="9026" w:leader="dot"/>
            </w:tabs>
            <w:rPr/>
          </w:pPr>
          <w:hyperlink w:anchor="__RefHeading___Toc15519300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398</w:t>
            </w:r>
          </w:hyperlink>
        </w:p>
        <w:p>
          <w:pPr>
            <w:pStyle w:val="Contents2"/>
            <w:tabs>
              <w:tab w:val="clear" w:pos="8743"/>
              <w:tab w:val="right" w:pos="9026" w:leader="dot"/>
            </w:tabs>
            <w:rPr/>
          </w:pPr>
          <w:hyperlink w:anchor="__RefHeading___Toc15519302_2142443653">
            <w:r>
              <w:rPr>
                <w:webHidden/>
                <w:rStyle w:val="IndexLink"/>
                <w:rtl w:val="true"/>
              </w:rPr>
              <w:t>فهرس الموضوعات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0_182159"/>
      <w:bookmarkStart w:id="1" w:name="pg15900_182159"/>
      <w:bookmarkEnd w:id="1"/>
    </w:p>
    <w:p>
      <w:pPr>
        <w:pStyle w:val="Heading2"/>
        <w:numPr>
          <w:ilvl w:val="1"/>
          <w:numId w:val="1"/>
        </w:numPr>
        <w:rPr/>
      </w:pPr>
      <w:bookmarkStart w:id="2" w:name="pg15900_182159"/>
      <w:bookmarkStart w:id="3" w:name="__RefHeading___Toc1551907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1907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00_182164"/>
      <w:bookmarkStart w:id="8" w:name="pg15900_182164"/>
      <w:bookmarkEnd w:id="8"/>
    </w:p>
    <w:p>
      <w:pPr>
        <w:pStyle w:val="Heading2"/>
        <w:numPr>
          <w:ilvl w:val="1"/>
          <w:numId w:val="1"/>
        </w:numPr>
        <w:rPr/>
      </w:pPr>
      <w:bookmarkStart w:id="9" w:name="pg15900_182164"/>
      <w:bookmarkStart w:id="10" w:name="__RefHeading___Toc15519074_2142443653"/>
      <w:bookmarkStart w:id="11" w:name="_Toc3"/>
      <w:bookmarkEnd w:id="9"/>
      <w:bookmarkEnd w:id="10"/>
      <w:r>
        <w:rPr>
          <w:rtl w:val="true"/>
        </w:rPr>
        <w:t>فهرس الإجمالي</w:t>
      </w:r>
      <w:bookmarkEnd w:id="11"/>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من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الإسلام يجب 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لاتعاد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السبيل للكافرين على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لاضرر ولا 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نفى العسر والحرج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قاعدتى الفراغ والتجاوز </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الإعانة على الإثم والعدوان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12" w:name="pg15900_182165"/>
    </w:p>
    <w:p>
      <w:pPr>
        <w:pStyle w:val="Heading2"/>
        <w:numPr>
          <w:ilvl w:val="1"/>
          <w:numId w:val="1"/>
        </w:numPr>
        <w:rPr/>
      </w:pPr>
      <w:bookmarkStart w:id="13" w:name="__RefHeading___Toc15519076_2142443653"/>
      <w:bookmarkStart w:id="14" w:name="_Toc4"/>
      <w:bookmarkEnd w:id="12"/>
      <w:bookmarkEnd w:id="13"/>
      <w:r>
        <w:rPr>
          <w:rtl w:val="true"/>
        </w:rPr>
        <w:t>مقدمة التحقيق</w:t>
      </w:r>
      <w:bookmarkEnd w:id="14"/>
    </w:p>
    <w:p>
      <w:pPr>
        <w:pStyle w:val="Heading3"/>
        <w:numPr>
          <w:ilvl w:val="2"/>
          <w:numId w:val="1"/>
        </w:numPr>
        <w:rPr/>
      </w:pPr>
      <w:bookmarkStart w:id="15" w:name="__RefHeading___Toc15519078_2142443653"/>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تطوّر القواعد الفقهية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العلمية للمؤلّف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منهجنا في التحقيق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900_182167"/>
      <w:bookmarkStart w:id="18" w:name="pg15900_182167"/>
      <w:bookmarkEnd w:id="18"/>
    </w:p>
    <w:p>
      <w:pPr>
        <w:pStyle w:val="BookText"/>
        <w:rPr/>
      </w:pPr>
      <w:bookmarkStart w:id="19" w:name="pg15900_182167"/>
      <w:bookmarkEnd w:id="1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15519080_2142443653"/>
      <w:bookmarkStart w:id="21" w:name="_Toc6"/>
      <w:bookmarkEnd w:id="20"/>
      <w:r>
        <w:rPr>
          <w:rtl w:val="true"/>
        </w:rPr>
        <w:t xml:space="preserve">مقدّمة التحقيق </w:t>
      </w:r>
      <w:r>
        <w:rPr>
          <w:rtl w:val="true"/>
        </w:rPr>
        <w:t xml:space="preserve">: </w:t>
      </w:r>
      <w:r>
        <w:rPr>
          <w:rtl w:val="true"/>
        </w:rPr>
        <w:t>مراحل تطوّر القواعد الفقهية في الفقه الإمامي</w:t>
      </w:r>
      <w:bookmarkEnd w:id="21"/>
    </w:p>
    <w:p>
      <w:pPr>
        <w:pStyle w:val="BookText"/>
        <w:rPr/>
      </w:pPr>
      <w:r>
        <w:rPr>
          <w:rFonts w:ascii="Amiri" w:hAnsi="Amiri" w:eastAsia="Amiri" w:cs="Amiri"/>
          <w:color w:val="111111"/>
          <w:sz w:val="28"/>
          <w:sz w:val="28"/>
          <w:szCs w:val="28"/>
          <w:rtl w:val="true"/>
          <w:lang w:bidi="ar-SA"/>
        </w:rPr>
        <w:t>يعتبر علم الفقه من أوسع العلوم الإسلامية و أشهرها، و هذا العلم الوسيع كان قد نشأ وترعرع في أحضان الكتاب و السنة، وقد تمخض علم الفقه عن ولادة علوم أخر، مثل علم الرجال علم أصول الفقه و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نشوء القواعد الفقهية فى أحضان علم الفقه، لكنّها كان لها الدور الكبير في نمو و ازدهاد هذا العلم، و لها سابقة طويلة في تطوّر الفقه الإسلامي الشيعي و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كتاب القواعد الفقهية عند الحنفيين من أهل السنة أوّل كتاب جُمعت فيه بعض القواعد الفقهية، فقد جمع مؤلّفه أبوطاهر الدبّاس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الحنفية في بلاد ما وراء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قاعدة فقهية على مذهب أبي حنيفة، فكان القرن الرابع بداية تدوين القواعد الفقهية لدى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فى الوسط الشيعي فيعتبر كتاب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أقدم كتاب دوّنَ فيه مصنّفه القواعد الفقهية وفقاً لمذهب أهل بيت عليهم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يمكننا إرجاع سبب سبق سبب سبق العامة في تدوين القواعد إلى عاملين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يرجع إلى ماهية فقه العامة حيث قُطعت الرابطة مع نص المعصوم بعد ارتحال النبي الأعظم صلی اللّه عليه وآله، و طبيعي أن انفصال الفقه عن نص المعصوم يجعل الفقه يتبلور ضمن ضوابط معيّنة، كما شهدنا هذا لدى الفقه الإمامي في عصر الغيبة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استخدامهم لأدوات خاصة بهم في عملية الاستنباط الفقهي كالقياس و الاستحسان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المنطلق فى تأسيس القواعد الفقهية لدى الشيعة، فهو أنّ الأئمة عليهم السلام وضعوا أصولاً كلية و أمروا الفقهاء بالتفريع عليها 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يعتبر هذا الأمر واضحاً في الآثار الفقهية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تزايد الاهتمام بجمع القواعد الفقهية و استخراجها من التراث الفقهي وصياغتها بصورة مستقلة في القرن الثامن الهجري، عند ما صنّف الشهيد الأوّل قدّس سرّه كتاب القواعد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الشهيد الأوّل في هذا المضمار الفقيه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تصنيف الأشباه والنظائر، و أسمى كتابه نزهة الناظر في الجمع بين الأشباه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بدخول الأشباه والنظائر في حقل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في إجازته لابن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صنعته كتاب القواعد و الفوائد مختصر يشتمل على ضوابط كلية أصولية و فرعية، تستنبط منها الأحكام الشرعية، لم يعمل الأصحاب مثله</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لامتياز كتاب الشهيد هذا بالتبويب المنظم و البيان الجيد، فقد صــار محل اهتمام المحافل العلمية، فتناولوه بالشرح و البيان، حتى وصل عدد الشروح و الحواشى اثنى عشر كتاباً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قام عدّة من الفقهاء بتنقيح هذا الكتاب و تهذيبه منهم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من أبرز تلامذة الشهيد، فقد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للوهلة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تهذيب القواعد و حذف الزيادات منه أسماه جامع الفوائد في تلخيص القواعد ثم رتبه على نسق الفروع الفقهية، و أسماه نضد القواعد الفقهية على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تقى الدين إبراهيم بن علي الحارثي الكفعمي</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مختصر قواعد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تمهيد القواعد الأصولية و العربية لتفريع فوائد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تصنيف القواعد الفقهية وجمعها استمرّ بعد الشهيد من قِبَل جمع من الفقهاء، و من المصنّفات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الأقطاب الفقهية على مذهب الإمامية، تأليف محمد بن علي بن إبراهيم الأحسائي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حدود </w:t>
      </w:r>
      <w:r>
        <w:rPr>
          <w:rFonts w:ascii="Amiri" w:hAnsi="Amiri" w:eastAsia="Amiri" w:cs="Amiri"/>
          <w:color w:val="111111"/>
          <w:sz w:val="28"/>
          <w:sz w:val="28"/>
          <w:szCs w:val="28"/>
          <w:lang w:bidi="ar-SA"/>
        </w:rPr>
        <w:t>٩٠١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هذا الكتاب من قِبَل مكتبة آية اللّه المرعشي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الستة عشر، تأليف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طبع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المؤلّف سنة </w:t>
      </w:r>
      <w:r>
        <w:rPr>
          <w:rFonts w:ascii="Amiri" w:hAnsi="Amiri" w:eastAsia="Amiri" w:cs="Amiri"/>
          <w:color w:val="111111"/>
          <w:sz w:val="28"/>
          <w:sz w:val="28"/>
          <w:szCs w:val="28"/>
          <w:lang w:bidi="ar-SA"/>
        </w:rPr>
        <w:t>١٣٠٦</w:t>
      </w:r>
      <w:r>
        <w:rPr>
          <w:rFonts w:ascii="Amiri" w:hAnsi="Amiri" w:eastAsia="Amiri" w:cs="Amiri"/>
          <w:color w:val="111111"/>
          <w:sz w:val="28"/>
          <w:sz w:val="28"/>
          <w:szCs w:val="28"/>
          <w:rtl w:val="true"/>
          <w:lang w:bidi="ar-SA"/>
        </w:rPr>
        <w:t xml:space="preserve">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الأصلية و القواعد الشرعية، تأليف السيد عبداللّه شبّر، و الكتاب مطبوع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الأيام من مهمات أدلة الأحكام، تأليف المولى أحمد بن محمد مهدي بن أبي ذر النراقي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١٢٤٥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اشتمل هذا الكتاب على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عائدة، وكلّ عائدة تُعدُّ قاعدة فقهية تركّز عليها البحث و الاستدلال، و قد تم قريباً تحقيق هذا </w:t>
      </w:r>
    </w:p>
    <w:p>
      <w:pPr>
        <w:pStyle w:val="BookText"/>
        <w:rPr/>
      </w:pPr>
      <w:r>
        <w:rPr>
          <w:rFonts w:ascii="Amiri" w:hAnsi="Amiri" w:eastAsia="Amiri" w:cs="Amiri"/>
          <w:color w:val="111111"/>
          <w:sz w:val="28"/>
          <w:sz w:val="28"/>
          <w:szCs w:val="28"/>
          <w:rtl w:val="true"/>
          <w:lang w:bidi="ar-SA"/>
        </w:rPr>
        <w:t>الكتاب و إصداره من قبل مركز الأبحاث و الدراسات الإسلامية التابع لمكتب الإعلام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المقاليد الجعفرية في القواعد الاثني عشرية، تأليف محمد جعفر الإسترآبادي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ascii="IRNazanin" w:hAnsi="IRNazanin" w:eastAsia="IRNazanin"/>
          <w:color w:val="111111"/>
          <w:sz w:val="28"/>
          <w:sz w:val="28"/>
          <w:szCs w:val="28"/>
          <w:lang w:bidi="fa-IR"/>
        </w:rPr>
        <w:t>١٢٦٣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لهذا الكتب أربع نسخ خطية في مكتبة آية اللّه مرعشى و أرقامها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۳۸۵۸</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۳۸۸۲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الأصول، تأليف سيد عبدالفتاح بن علي الحسيني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١٢٧٤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مؤلّفه بعد سنة واحدة من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قاعدة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 الأحكام، تأليف آغا بن عابد الشيروانى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 الأحكام، تأليف ملا نظر على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١٣٠٦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الفقيه، تأليف السيد محمد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١٣٢٦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على الحجر مرّتين، و في الثالثة بالطباعة الحديثة و نُشر في النجف الأشرف فى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مستقصى قواعد المدارك و منتهى ضوابط الفوائد، تأليف ملاً حبيب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١٣٤٠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خمسمائة قاعدة فقهية مع شرح مختصر لكلّ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تأليف مهدي بن حسين بن عزيز الخالصي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هذا الكتاب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ـ تحرير المجلة، تأليف الشيخ محمد حسين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ـ القواعد المحسنية، تأليف سيد حسن القمي الحائري، و هو تقريرات لدرس الميرزا الشيرازي في إطار بعض القواعد الفقهية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و هو هذا الكتاب الماثل بين يدي القارىء الكريم، تأليف </w:t>
      </w:r>
    </w:p>
    <w:p>
      <w:pPr>
        <w:pStyle w:val="BookText"/>
        <w:rPr/>
      </w:pPr>
      <w:r>
        <w:rPr>
          <w:rFonts w:ascii="Amiri" w:hAnsi="Amiri" w:eastAsia="Amiri" w:cs="Amiri"/>
          <w:color w:val="111111"/>
          <w:sz w:val="28"/>
          <w:sz w:val="28"/>
          <w:szCs w:val="28"/>
          <w:rtl w:val="true"/>
          <w:lang w:bidi="ar-SA"/>
        </w:rPr>
        <w:t xml:space="preserve">السيد محمد حسن الموسوى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فيه تدوين القواعد الفقهية أوج كمالها بالنسبة إلى الفقه الإمامي، و على رغم كثرة ما كتب حول القواعد الفقهية بعد السيد البجنوردي، إلا أنه لم يصل إلى مستوى ما كتبه السيد، ذلك لشمولية مباحثه و استيعابه لمعظم القواعد سنداً و دلالة و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شرح المصنّف قدّس سرّه مفصَّلاً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قاعدة فقهية، وناقش كل قاعدة من جوانب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الأساس التشريعي للقاعدة كتاباً وسنّة و إجماعاً و سيرةً، و عالجها بأسلوب فقهي استدلالي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مفاد كل قاعدة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التطبيقية لكلّ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يستطرد و يتوسع في بحثه ليضيف إلى الأمور الثلاث المتقدّمة جوانب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هذه القاعدة أصولية أم فقهية، كما تعرّض لذلك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أحياناً يبحث في دليليّة القاعدة من جهة هل هي أصل عملي أو أمارة؟ و تارة يذكر النسبة بينها و بين القواعد الأخرى، كما تعرّض لذلك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نسبتها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في مقدّمته الموجزة على هذا الكتاب لذلك وقال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فإنّي من سالف لما رأيت أن القواعد الفقهية المتفرقة في أبواب العبادات و المعاملات و الأحكام لم تُجمع في كتاب مشروحاً شرحاً يذلل صعابها، و يكشف الغطاء و اللثام عن معضلاتها، فأحببت أن أجمعها و أشرحها؛ لإيضاح تلك القواعد، دلالة وسنداً و مورداً، و أبين النسبة بينها، و أعيّن الحاكم والمحكوم و الوارد و المورود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يمكن القول إنّه إذا كان تدوين القواعد الفقهية قد مرّ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أوّليّة و تكميلية، وإنّ القرنين الثامن والتاسع قرنا التدوين الأولى، و القرنين الثالث عشر و الرابع عشر قرنا التدوين التكميلي،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تصدّر جميع المصنفات في هذا المجال و في مرحلة التدوين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تجدد الإشارة إلى أنّ هناك كتباً صدرت لبعض الأعلام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بحثت في تلك القواعد إلا لم تَرْقَ الى مستوى ما كتبه البجنوردي من حيث العمق و الشمولية، ونذكر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الفقه، تأليف محمود الشهابي الخراساني، و قد طبع من قبل مؤسسة النشر في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قواعد الفقه، تأليف علي بابا الفيروز كوهي، وقد طبع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قواعد فقه، تأليف محسن شفائي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تأليف آية اللّه ناصر مكارم الشيرازي، مطبوع في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تأليف آية اللّه محمد فاضل اللنكراني، صـدر مـنـه مـجلد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تأليف محمد تقى الفقيه، طُبع مرتين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لمحات على القواعد الفقهية في الأحاديث الكاظمية، تأليف السيد محمد الخامنئي، كتبه بمناسبة انعقاد المؤتمر العالمي الثالث للإمام علي بن موسى الرضا، و يشتمل على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قاعدة فقهية مستلة من أحاديث الإمام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تأليف السيد محمد الموسوى البجنوردي، و الكتاب مطبوع باللغة الفارسية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تأليف السيد محمد جواد المصطفوي و يشتمل على مائة قاعدة </w:t>
      </w:r>
    </w:p>
    <w:p>
      <w:pPr>
        <w:pStyle w:val="BookText"/>
        <w:rPr/>
      </w:pPr>
      <w:r>
        <w:rPr>
          <w:rFonts w:ascii="Amiri" w:hAnsi="Amiri" w:eastAsia="Amiri" w:cs="Amiri"/>
          <w:color w:val="111111"/>
          <w:sz w:val="28"/>
          <w:sz w:val="28"/>
          <w:szCs w:val="28"/>
          <w:rtl w:val="true"/>
          <w:lang w:bidi="ar-SA"/>
        </w:rPr>
        <w:t>فقهية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الفقه، تأليف السيد مصطفى المحقق الداماد، صدر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مختصرة عن مراحل نشوء القواعد الفقهية وتطوّرها، ولكن تبقى هناك بعض الأمور التي يجدر الاهتمام بها و دراستها و لم يكن محل اهتمام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الأبحاث والدراسات النظرية حول القواعد الفقهية، 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الموضوعات التي ينبغى أن تعطينا صورة واضحة عن القواعد الفقهية و موقعها في الاستنباط لم يُحدّد إطارها و لم تُرسم حدودها، و من تلك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للقواعد الفقهية دور فى عملية الاستنباط ؟ وهل تختص في حدود تجميع الموارد الفقهية المختلفة أو تتسع دائرتها فيمكن الاستفادة منها في كيفية الاستنباط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القواعد الفقهية من الأمور التوقيفية أو يمكن التوفّر على قواعد جديدة و مستحدثة ؟ و على الثاني ما هو السبيل للحصول على تلك القواعد و اكتشافها؟</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التفاعل المتبادل في سياق تطور القواعد الفقهية بين فقه أهل البيت و فقه أهل السنّة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ما هو سبب تأخّر وضع قواعد فقهية مستحدثة في الفقه الإمامي؟</w:t>
      </w:r>
    </w:p>
    <w:p>
      <w:pPr>
        <w:pStyle w:val="BookText"/>
        <w:rPr/>
      </w:pPr>
      <w:r>
        <w:rPr>
          <w:rFonts w:ascii="Amiri" w:hAnsi="Amiri" w:eastAsia="Amiri" w:cs="Amiri"/>
          <w:color w:val="111111"/>
          <w:sz w:val="28"/>
          <w:sz w:val="28"/>
          <w:szCs w:val="28"/>
          <w:rtl w:val="true"/>
          <w:lang w:bidi="ar-SA"/>
        </w:rPr>
        <w:t>الى غير ذلك من الأبحاث التي تحتاج الى دراسة عميقة وشاملة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القواعد الفقهية، بمعنى أنّ تلك القواعد تُصنف على أساس موقعها في الفقه، و في أي مجال يُستفاد منها، و ما هي القواعد التي يستفاد منها في أبواب العبادات، و ما هي التي يستفاد منها في أبواب المعاملات و سائر أقسام الفقه المتنوعة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هناك جهوداً بُذلت في هذا المضمار، إلا أنها لازالت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القواعد الفقهية الحيوية من قبيل قاعدة العدالة، قاعدة السهولة، قاعدة المهم و الأهم، قاعدة الحرية ،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رغم كثرة ما كتب حول القواعد الفقهية و أشير لمعظمها، لكن يمكننا دعوى أنّ هناك كثيراً من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تقرّر على أنها قاعدة مستقلة برأسها ـ قد استفيد منها في ثنايا الاستدلالات و الفتاوى الفقهية، إلا أنها لم تدوّن كقاعدة مستقلة و لم تُبيّن حدودها ومعالمها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المجال يقول الأستاذ الفقيه الشهيد مرتضى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غفل عن قاعدة العدالة الاجتماعية مع مالها من أهمية في الفقه، في الوقت الذي يُستفاد العمومات من بعض الآيات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مع تأكيد القرآن الكريم على قضية العدالة الاجتماعية، إلا أنها لم يُستنبط لها أصل أو قاعدة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الأمر صار سبباً لجمود الفكر الاجتماعي لدى فقهائنا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يجدر بالأبحاث الجديدة أن تركّز على الأمور الثلاثة المتقدمة وتوليها اهتماماً متزايداً </w:t>
      </w:r>
      <w:r>
        <w:rPr>
          <w:rFonts w:eastAsia="Amiri" w:cs="Amiri" w:ascii="Amiri" w:hAnsi="Amiri"/>
          <w:color w:val="111111"/>
          <w:sz w:val="28"/>
          <w:szCs w:val="28"/>
          <w:rtl w:val="true"/>
          <w:lang w:bidi="ar-SA"/>
        </w:rPr>
        <w:t xml:space="preserve">. </w:t>
      </w:r>
      <w:bookmarkStart w:id="22" w:name="pg15900_182175"/>
    </w:p>
    <w:p>
      <w:pPr>
        <w:pStyle w:val="Heading2"/>
        <w:numPr>
          <w:ilvl w:val="1"/>
          <w:numId w:val="1"/>
        </w:numPr>
        <w:rPr/>
      </w:pPr>
      <w:bookmarkStart w:id="23" w:name="__RefHeading___Toc15519082_2142443653"/>
      <w:bookmarkStart w:id="24" w:name="_Toc7"/>
      <w:bookmarkEnd w:id="22"/>
      <w:bookmarkEnd w:id="23"/>
      <w:r>
        <w:rPr>
          <w:rtl w:val="true"/>
        </w:rPr>
        <w:t>الحياة العلمية للمؤلّف</w:t>
      </w:r>
      <w:bookmarkEnd w:id="24"/>
    </w:p>
    <w:p>
      <w:pPr>
        <w:pStyle w:val="Heading3"/>
        <w:numPr>
          <w:ilvl w:val="2"/>
          <w:numId w:val="1"/>
        </w:numPr>
        <w:rPr/>
      </w:pPr>
      <w:bookmarkStart w:id="25" w:name="__RefHeading___Toc15519084_2142443653"/>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ولد آية اللّه الميرزا السيد حسن الموسوى البجنوردي سنة </w:t>
      </w:r>
      <w:r>
        <w:rPr>
          <w:rFonts w:ascii="Amiri" w:hAnsi="Amiri" w:eastAsia="Amiri" w:cs="Amiri"/>
          <w:color w:val="111111"/>
          <w:sz w:val="28"/>
          <w:sz w:val="28"/>
          <w:szCs w:val="28"/>
          <w:lang w:bidi="ar-SA"/>
        </w:rPr>
        <w:t>١٣١٦</w:t>
      </w:r>
      <w:r>
        <w:rPr>
          <w:rStyle w:val="FootnoteAnchor"/>
          <w:rtl w:val="true"/>
        </w:rPr>
        <w:footnoteReference w:id="8"/>
      </w:r>
      <w:r>
        <w:rPr>
          <w:rFonts w:ascii="IRNazanin" w:hAnsi="IRNazanin" w:eastAsia="IRNazanin"/>
          <w:color w:val="111111"/>
          <w:sz w:val="28"/>
          <w:sz w:val="28"/>
          <w:szCs w:val="28"/>
          <w:rtl w:val="true"/>
          <w:lang w:bidi="fa-IR"/>
        </w:rPr>
        <w:t xml:space="preserve">في احدى قری بجنورد، و يتصل نسبه بالسيد ابراهيم المجاب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الامام موسى بن جعفر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أنهى البجنوردى دراسته الابتدائية في ،بجنورد، ثمّ انتقل إلى مدينة مشهد، و درس آداب اللغة العربية على الميرزا عبد الجواد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الأديب النيشابوري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تتلمذ الفلسفة على الحاج فاضل الخراساني و آقا بزرگ الشهيدي، و في الاصول علی آقا محمد آقا زاده ابن الآخوند الخراساني، و في الفقه على الحاج آقا حسين القمّي و في التفسير على الحاج فاضل الخراساني، ثمّ صار بعد ذلك من أساتذة حوزة مشهد المعروفين بتدريس الفلسفة و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سنة </w:t>
      </w:r>
      <w:r>
        <w:rPr>
          <w:rFonts w:ascii="Amiri" w:hAnsi="Amiri" w:eastAsia="Amiri" w:cs="Amiri"/>
          <w:color w:val="111111"/>
          <w:sz w:val="28"/>
          <w:sz w:val="28"/>
          <w:szCs w:val="28"/>
          <w:lang w:bidi="ar-SA"/>
        </w:rPr>
        <w:t>١٣٤٠</w:t>
      </w:r>
      <w:r>
        <w:rPr>
          <w:rFonts w:ascii="Amiri" w:hAnsi="Amiri" w:eastAsia="Amiri" w:cs="Amiri"/>
          <w:color w:val="111111"/>
          <w:sz w:val="28"/>
          <w:sz w:val="28"/>
          <w:szCs w:val="28"/>
          <w:rtl w:val="true"/>
          <w:lang w:bidi="ar-SA"/>
        </w:rPr>
        <w:t xml:space="preserve"> ـ و بناءاً على وصية أستاذه الحاج 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صوب النجف الأشرف؛ لإكمال دراساته العليا، وقد استخار اللّه تعالى في أمر سفره عند أستاذه الفاضل الخراساني، فكان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وَنَادَيْنَاهُ مِنْ جَانِبِ الطُّورِ الْأَيْمَنِ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 في النجف من دروس فقهاء و أصوليي هذه الحوزة من أمثال آقا ضياء العراقي و الميرزا محمد حسين النائيني و بعد لحوق آقا ضياء بالرفيق الأعلى ، </w:t>
      </w:r>
    </w:p>
    <w:p>
      <w:pPr>
        <w:pStyle w:val="BookText"/>
        <w:rPr/>
      </w:pPr>
      <w:r>
        <w:rPr>
          <w:rFonts w:ascii="Amiri" w:hAnsi="Amiri" w:eastAsia="Amiri" w:cs="Amiri"/>
          <w:color w:val="111111"/>
          <w:sz w:val="28"/>
          <w:sz w:val="28"/>
          <w:szCs w:val="28"/>
          <w:rtl w:val="true"/>
          <w:lang w:bidi="ar-SA"/>
        </w:rPr>
        <w:t xml:space="preserve">صار البجنوردي استاذاً للدراسات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الخارج ـ في مادة علم أصول الفقه، ثم تصدّى لتدريس الأبحاث العالية في الفقه بعد رحيل السيد أبي الحسن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يلقي دروسه باللغة العربية، وقد حضر لديه جمع من الطلاب الإيرانيين و الناطقين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 نداء ربّه فى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جمادي الثاني سنة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 في جوار أمير المؤمنين عليه السلام النجف و دفن في مقبرة أستاذه السيد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البجنوردي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تضلّعه فى الفقه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بسعة اطلاعه و طول باعه في العلوم الأخرى، مثل آداب اللغة و الفلسفة و العلوم التاريخية والجغرافية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يرتاد المحافل العلمية في العالم الإسلامى، فله روابط و علاقات مع جامعات بغداد و الأزهر و تونس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قوّة حافظته و ذكائه فهو أمر شائع و معروف، حيث كان يحفظ الكثير من الأحاديث، وكذا شعر كبار الشعراء و فطاحلهم</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يرتض البجنوردي الأسلوب المتداول في تدريس الأبحاث العالية في الحوزة العلمية، حيث كان يعتمد فيه الأستاذ على كتاب الفتاوى مادّة لدرسه، فيأخذ مسألة مسألة و يطرحها للبحث، ويقيم الدليل على إثباتها أو نفيها، ثمّ يقرر رأيه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يعتقد أنّ هذا الأسلوب لا يعلّم التلميذ القواعد الرئيسية للاجتهاد حتى يتمكن من تطبيق القاعدة في المورد المشابه؛ و لذا فإنّ التلميذ غالباً ما تطول مدة حضوره في دورس الأبحاث العالية لكي تحصل له ملكة الاستنباط </w:t>
      </w:r>
      <w:r>
        <w:rPr>
          <w:rFonts w:eastAsia="Amiri" w:cs="Amiri" w:ascii="Amiri" w:hAnsi="Amiri"/>
          <w:color w:val="111111"/>
          <w:sz w:val="28"/>
          <w:szCs w:val="28"/>
          <w:rtl w:val="true"/>
          <w:lang w:bidi="ar-SA"/>
        </w:rPr>
        <w:t xml:space="preserve">. </w:t>
      </w:r>
      <w:bookmarkStart w:id="27" w:name="pg15900_182177"/>
    </w:p>
    <w:p>
      <w:pPr>
        <w:pStyle w:val="BookText"/>
        <w:rPr/>
      </w:pPr>
      <w:bookmarkEnd w:id="27"/>
      <w:r>
        <w:rPr>
          <w:rFonts w:ascii="Amiri" w:hAnsi="Amiri" w:eastAsia="Amiri" w:cs="Amiri"/>
          <w:color w:val="111111"/>
          <w:sz w:val="28"/>
          <w:sz w:val="28"/>
          <w:szCs w:val="28"/>
          <w:rtl w:val="true"/>
          <w:lang w:bidi="ar-SA"/>
        </w:rPr>
        <w:t>و لهذا كان يعتقد أنّ الأستاذ إذا اهتم بطرح القواعد الكلية للفقه، ثم طبقها على مصاديقها؛ فإنّ ذلك له أثر كبير فى اختزال المسافة و الإسراع في تنمية قابلية التلميذ في القدرة على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الأساس صاغ المؤلف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استعرض فيه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قاعدة وناقشها دلالة وسنداً و ذكر الأمثلة التطبيقية لها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5519086_2142443653"/>
      <w:bookmarkStart w:id="29" w:name="_Toc9"/>
      <w:bookmarkEnd w:id="28"/>
      <w:r>
        <w:rPr>
          <w:rtl w:val="true"/>
        </w:rPr>
        <w:t>مؤلّفاته</w:t>
      </w:r>
      <w:r>
        <w:rPr>
          <w:rtl w:val="true"/>
        </w:rPr>
        <w:t>:</w:t>
      </w:r>
      <w:bookmarkEnd w:id="29"/>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الأصول،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الحكمة أو قولنا في الحكمة، و هو شرح على الأسفار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من أهل التهجد، يتلو أربعة أجزاء من القرآن الكريم في كلّ يوم، جزءان منه قبل صلاة الصبح و الاخران قبل الغروب، و كان يستيقظ قبل أذان الصبح بساعتين و نصف يتلو فيها جزءاً من القرآن، و يطالع ساعة ثم يشتغل بأداء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ذرّيته فكانوا ستة،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١٣٦٢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محمد، فاطمة ، طاهرة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تلامذته باستثناء أولاده سيد مهدي و سيد محمد 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اللّه يوسف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جواد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محمد طاهر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محمد رضا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السيد محمد علي القاضي الطباطبائي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السيد جلال الدين الاشتياني </w:t>
      </w:r>
      <w:r>
        <w:rPr>
          <w:rFonts w:eastAsia="Amiri" w:cs="Amiri" w:ascii="Amiri" w:hAnsi="Amiri"/>
          <w:color w:val="111111"/>
          <w:sz w:val="28"/>
          <w:szCs w:val="28"/>
          <w:rtl w:val="true"/>
          <w:lang w:bidi="ar-SA"/>
        </w:rPr>
        <w:t>.</w:t>
      </w:r>
      <w:r>
        <w:rPr>
          <w:rStyle w:val="FootnoteAnchor"/>
          <w:rtl w:val="true"/>
        </w:rPr>
        <w:footnoteReference w:id="11"/>
      </w:r>
      <w:bookmarkStart w:id="30" w:name="pg15900_182179"/>
    </w:p>
    <w:p>
      <w:pPr>
        <w:pStyle w:val="Heading2"/>
        <w:numPr>
          <w:ilvl w:val="1"/>
          <w:numId w:val="1"/>
        </w:numPr>
        <w:rPr/>
      </w:pPr>
      <w:bookmarkStart w:id="31" w:name="__RefHeading___Toc15519088_2142443653"/>
      <w:bookmarkStart w:id="32" w:name="_Toc10"/>
      <w:bookmarkEnd w:id="30"/>
      <w:bookmarkEnd w:id="31"/>
      <w:r>
        <w:rPr>
          <w:rtl w:val="true"/>
        </w:rPr>
        <w:t>منهجنا في التحقيق</w:t>
      </w:r>
      <w:bookmarkEnd w:id="32"/>
    </w:p>
    <w:p>
      <w:pPr>
        <w:pStyle w:val="Heading3"/>
        <w:numPr>
          <w:ilvl w:val="2"/>
          <w:numId w:val="1"/>
        </w:numPr>
        <w:rPr/>
      </w:pPr>
      <w:bookmarkStart w:id="33" w:name="__RefHeading___Toc15519090_2142443653"/>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نظراً لعدم توفّرنا على النسخ الخطية لهذه المجموعة النفيسة، و لعدم طباعتها أكثر من مرة، فكان اعتمادنا في التحقيق على المطبوع من هذا الكتاب، الذي طبع بعض منه في النجف، و البعض الآخر في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قمنا به من عمل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الذي اشتمل على تصحيح الأخطاء و وضع علائم الترقيم و ضبط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الكريمة و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الأقوال الفقهية و الأصولية و غيرها و إرجاعها الى مصادرها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مصادر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تَمَّ تعريف مأخذ كلّ قاعدة من هذه القواعد المدوَّنة، و روعي التسلسل الزمني في تثبيت المآخذ و بالنسبة الى الكتب التي مؤلّفوها أحياء فقد رُتِّبت حسب الترتيب الألفبائي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التعريف بالمقالات و الأطروحات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الإمكان ـ التي بحثت في القواعد الفقهية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جدير بالذكر أنّ بعض القواعد الفقهية كأصالة الطهارة و أصالة عدم التذكية لم يُشَرْ إليها في فهرس المآخذ ؛ نظراً الى أنها بحثت في الكتب الأصولية و حدّد </w:t>
      </w:r>
      <w:bookmarkStart w:id="35" w:name="pg15900_182180"/>
    </w:p>
    <w:p>
      <w:pPr>
        <w:pStyle w:val="BookText"/>
        <w:rPr/>
      </w:pPr>
      <w:bookmarkEnd w:id="35"/>
      <w:r>
        <w:rPr>
          <w:rFonts w:ascii="IRNazanin" w:hAnsi="IRNazanin" w:eastAsia="IRNazanin"/>
          <w:color w:val="111111"/>
          <w:sz w:val="28"/>
          <w:sz w:val="28"/>
          <w:szCs w:val="28"/>
          <w:rtl w:val="true"/>
          <w:lang w:bidi="fa-IR"/>
        </w:rPr>
        <w:t>موقعها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وضعنا فهارس إجمالية و تفصيلية لكل مجلد، و في نهاية المجلد السابع قمنا بصياغة الفهارس الفنية التي اشتملت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 فهرس أسماء المعصومين عليهم السلام ، فهرس الأعلام، فهرس الكتب الواردة في المتن و فهرس مصادر التحقيق</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519092_2142443653"/>
      <w:bookmarkStart w:id="37" w:name="_Toc12"/>
      <w:bookmarkEnd w:id="36"/>
      <w:r>
        <w:rPr>
          <w:rtl w:val="true"/>
        </w:rPr>
        <w:t>كلمة شكر وتقدير</w:t>
      </w:r>
      <w:bookmarkEnd w:id="37"/>
    </w:p>
    <w:p>
      <w:pPr>
        <w:pStyle w:val="BookText"/>
        <w:rPr/>
      </w:pPr>
      <w:r>
        <w:rPr>
          <w:rFonts w:ascii="Amiri" w:hAnsi="Amiri" w:eastAsia="Amiri" w:cs="Amiri"/>
          <w:color w:val="111111"/>
          <w:sz w:val="28"/>
          <w:sz w:val="28"/>
          <w:szCs w:val="28"/>
          <w:rtl w:val="true"/>
          <w:lang w:bidi="ar-SA"/>
        </w:rPr>
        <w:t>و في نهاية المطاف نتقدم بخالص شكرنا لكلّ الفضلاء الذين أسهموا معنا و شاركونا في إنجاز هذا المشروع،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سيّد أبو نوفل العميدي و السيد عبدالعزيز الكريمي، و عبدالحليم الحلّي، و عبدالحكيم الضياء، الذين ساعدونا في تخريج الآيات و الروايات و الأقوال و إعداد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علي رضا شالباف الذي قام بتصحيح الأخطاء المطبعية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الإخوة سيّد احمد العلوي، و سيّد على العلوي و عماد الكمالي في الإخراج الفنّى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يداللّه السعدي مدير مكتب نشر الهادي الذي أثمرت متابعته في تعجيل تحقيق الكتاب، كما أنه المتصدّي لطبع هذا الكتاب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نرى لزاماً علينا ان نقدم الشكر والثناء للسادة الأجلاء أولاد المصنّف، آية اللّه سید محمد الموسوى البجنوردي و السيد الكاظم الموسوي البجنوردي، و كذلك للأخ احمد مسجد جامعي معاون وزير الثقافة و الإرشاد الإسلامي، و للأخ على رفيعي علامرودشتي اللذين أسهموا في تحقيق الكتاب و طبعه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نأمل من اللّه تعالى أن يتقبل بلطفه وكرمه هذا العمل القليل، و له الحمد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درايتي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الثانية سنة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902_182183"/>
      <w:bookmarkStart w:id="39" w:name="pg15902_182183"/>
      <w:bookmarkEnd w:id="39"/>
    </w:p>
    <w:p>
      <w:pPr>
        <w:pStyle w:val="Heading2"/>
        <w:numPr>
          <w:ilvl w:val="1"/>
          <w:numId w:val="1"/>
        </w:numPr>
        <w:rPr/>
      </w:pPr>
      <w:bookmarkStart w:id="40" w:name="pg15902_182183"/>
      <w:bookmarkStart w:id="41" w:name="__RefHeading___Toc15519094_2142443653"/>
      <w:bookmarkStart w:id="42" w:name="_Toc13"/>
      <w:bookmarkEnd w:id="40"/>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خلقه محمّد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فإنّي من سالف الزمان لمّا رأيت أن القواعد الفقهيّة المتفرّقة في أبواب العبادات والمعاملات والأحكام لم تجمع في كتاب مشروحا شرحا يذلّل صعابها ، ويكشف الغطاء واللثام عن معضلاتها ، فأحببت أن أجمعها وأشرحها لإيضاح تلك القواعد دلالة وسندا وموردا ، وأبيّن النسبة بينها ، وأعيّن الحاكم والمحكوم ، والوارد والمورد منها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تعالى التوفيق لإتمام هذا العمل ، فإنّه وليّ التوفيق وخير معين ورفيق ، وأسأل اللّه تبارك وتعالى أن يهديني إلى ما هو الحقّ من الوجوه والاحتمالات فإنّه الهاديّ إلى الرشاد ، وأرجو منه تعالى أن يهيّئ الأسباب لطبع جميع مجلّداتها تباعا ، وعليه التكلان</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902_182185"/>
      <w:bookmarkStart w:id="44" w:name="pg15902_182185"/>
      <w:bookmarkEnd w:id="44"/>
    </w:p>
    <w:p>
      <w:pPr>
        <w:pStyle w:val="Heading2"/>
        <w:numPr>
          <w:ilvl w:val="1"/>
          <w:numId w:val="1"/>
        </w:numPr>
        <w:rPr/>
      </w:pPr>
      <w:bookmarkStart w:id="45" w:name="pg15902_182185"/>
      <w:bookmarkStart w:id="46" w:name="__RefHeading___Toc15519096_2142443653"/>
      <w:bookmarkStart w:id="47" w:name="_Toc14"/>
      <w:bookmarkEnd w:id="45"/>
      <w:bookmarkEnd w:id="46"/>
      <w:r>
        <w:rPr/>
        <w:t>1</w:t>
      </w:r>
      <w:r>
        <w:rPr>
          <w:rtl w:val="true"/>
        </w:rPr>
        <w:t xml:space="preserve"> - </w:t>
      </w:r>
      <w:r>
        <w:rPr>
          <w:rtl w:val="true"/>
        </w:rPr>
        <w:t>قاعدة من ملك</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5519098_2142443653"/>
      <w:bookmarkStart w:id="49" w:name="_Toc15"/>
      <w:bookmarkEnd w:id="48"/>
      <w:r>
        <w:rPr>
          <w:rtl w:val="true"/>
        </w:rPr>
        <w:t>اشارة</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5902_182187"/>
      <w:bookmarkStart w:id="51" w:name="pg15902_182187"/>
      <w:bookmarkEnd w:id="51"/>
    </w:p>
    <w:p>
      <w:pPr>
        <w:pStyle w:val="BookText"/>
        <w:rPr/>
      </w:pPr>
      <w:bookmarkStart w:id="52" w:name="pg15902_182187"/>
      <w:bookmarkEnd w:id="52"/>
      <w:r>
        <w:rPr>
          <w:rFonts w:ascii="Amiri" w:hAnsi="Amiri" w:eastAsia="Amiri" w:cs="Amiri"/>
          <w:color w:val="111111"/>
          <w:sz w:val="28"/>
          <w:sz w:val="28"/>
          <w:szCs w:val="28"/>
          <w:rtl w:val="true"/>
          <w:lang w:bidi="ar-SA"/>
        </w:rPr>
        <w:t xml:space="preserve">قاعدة من ملك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ومن القواعد الفقهيّة القاعدة المشهورة المعروفة المتداولة في ألسنة الفقهاء ويتمسّكون بها في موارد عديدة من المسائل الفقهيّة وهي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5519100_2142443653"/>
      <w:bookmarkStart w:id="54" w:name="_Toc16"/>
      <w:bookmarkEnd w:id="53"/>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أنّها على فرض تماميّتها هل هي من المسائل الفقهيّة وقواعدها ، أو من المسائل الأصوليّة؟</w:t>
      </w:r>
      <w:bookmarkEnd w:id="54"/>
    </w:p>
    <w:p>
      <w:pPr>
        <w:pStyle w:val="BookText"/>
        <w:rPr/>
      </w:pPr>
      <w:r>
        <w:rPr>
          <w:rFonts w:ascii="Amiri" w:hAnsi="Amiri" w:eastAsia="Amiri" w:cs="Amiri"/>
          <w:color w:val="111111"/>
          <w:sz w:val="28"/>
          <w:sz w:val="28"/>
          <w:szCs w:val="28"/>
          <w:rtl w:val="true"/>
          <w:lang w:bidi="ar-SA"/>
        </w:rPr>
        <w:t xml:space="preserve">وقد بيّنّا في موارد متعدّدة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القاعدة الفقهيّة والمسألة الأصوليّة ، وأنّ المناط في كون المسألة أصوليّة وقوعها كبرى في قياس يستنتج منه حكم كلّي فرعي إلهي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هذه القاعدة ليست كذلك ، ولا تقع كبرى في قياس الاستنباط ، بل هي بنفسها حكم كلّي فرعي تنطبق على مواردها الجزئيّة الكثيرة في أبواب مختلفة ، كنفوذ إقراره في بيعه وشرائه وهبته وصلحه وعاريته وإجارته وتزويجه وطلاقه </w:t>
      </w:r>
    </w:p>
    <w:p>
      <w:pPr>
        <w:pStyle w:val="BookText"/>
        <w:rPr/>
      </w:pPr>
      <w:r>
        <w:rPr>
          <w:rFonts w:ascii="Amiri" w:hAnsi="Amiri" w:eastAsia="Amiri" w:cs="Amiri"/>
          <w:color w:val="111111"/>
          <w:sz w:val="28"/>
          <w:sz w:val="28"/>
          <w:szCs w:val="28"/>
          <w:rtl w:val="true"/>
          <w:lang w:bidi="ar-SA"/>
        </w:rPr>
        <w:t>وعتقه وسائر عقوده وإيقاعاته ومعاملاته ؛ فحال هذه القاعدة حال سائر القواعد الفقهيّة التي بعد أن أفتى الفقيه بمضمونها واستنبطها من أدلّتها يكون المجتهد والمقلّد في مقام تطبيقها على حدّ سواء ، فتكون كقاعدتي الفراغ والتجاوز وأصالة الصحّة وغير تلك من القواعد الفقهيّة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الأحيان تشخيص الموضوع وتعيينه بيد الفقيه والمجتهد ، ولا يمكن للعامي والمقلّد تشخيصه وتعيينه ، ولا حظّ له في ذلك أصلا مثل أنّ الصبيّ المميّز مالك وقادر على الوقف وأن يتصدّق وأن يوصي ، فإذا أفتى المجتهد بصحّة صدور هذه الأمور عن الصبي المذكور ، وأقرّ الصبيّ المذكور بأحد هذه الأمور أو بجميعها ، فللمقلّد والعامي حينئذ تطبيق هذه القاعدة والحكم بصدور الأمور المذكورة صحيحة عن الصبي المذكور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مالك للأمر الفلاني حسب فتوى الفقيه ، وكلّ من ملك شيئا ملك الإقرار به ، وهذا أيضا حسب فتوى الفقيه ، فيكون إقراره بالوقف أو الصدقة أو الوصيّة مثلا نافذ وجائز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الفرق بين المسألة الأصوليّة والقاعدة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القاعدة الفقهيّة ومسألتها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القاعدة الفقهيّة موضوعها أوسع من موضوع المسألة ، بأن تكون المسائل المتعدّدة الفقهيّة مندرجة تحت تلك القاعدة الفقهيّة ، ويمكن تطبيق تلك القاعدة على جميع تلك المسائل ، مثلا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الآن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مندرجة تحتها مسائل كثيرة فقهيّة في أبواب مختلفة من مسائل أبواب المعاملات ، وتنطبق على جميع تلك المسائل كما تقدّم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والقواعد الفقهية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سعة دائرة انطباقها على المسائل المختلفة المتشتّته في أبواب الفقه وضيقها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جدّا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فأصالة الصحّة في فعل الغير أو في فعل نفسه بناء على كونها غير قاعدة الفراغ ، أو قاعدة الفراغ مثلا وسيعة جدا ، وتجري في أبواب العبادات من الطهارات الثلاث </w:t>
      </w:r>
      <w:bookmarkStart w:id="55" w:name="pg15902_182189"/>
    </w:p>
    <w:p>
      <w:pPr>
        <w:pStyle w:val="BookText"/>
        <w:rPr/>
      </w:pPr>
      <w:bookmarkEnd w:id="55"/>
      <w:r>
        <w:rPr>
          <w:rFonts w:ascii="Amiri" w:hAnsi="Amiri" w:eastAsia="Amiri" w:cs="Amiri"/>
          <w:color w:val="111111"/>
          <w:sz w:val="28"/>
          <w:sz w:val="28"/>
          <w:szCs w:val="28"/>
          <w:rtl w:val="true"/>
          <w:lang w:bidi="ar-SA"/>
        </w:rPr>
        <w:t>والصلاة والصوم والحج ، وفي أبواب المعاملات ، أي في جميع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من جميع ما ذكرنا الفرق بين القاعدة الفقهيّة وبين المسألة الأصوليّة وبين القاعدة الفقهيّة ومسألتها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5519102_2142443653"/>
      <w:bookmarkStart w:id="57" w:name="_Toc17"/>
      <w:bookmarkEnd w:id="56"/>
      <w:r>
        <w:rPr>
          <w:rtl w:val="true"/>
        </w:rPr>
        <w:t xml:space="preserve">الجهة الثانية </w:t>
      </w:r>
      <w:r>
        <w:rPr>
          <w:rtl w:val="true"/>
        </w:rPr>
        <w:t xml:space="preserve">: </w:t>
      </w:r>
      <w:r>
        <w:rPr>
          <w:rtl w:val="true"/>
        </w:rPr>
        <w:t xml:space="preserve">في الفرق بين هذه القاعدة وقاعدة </w:t>
      </w:r>
      <w:r>
        <w:rPr>
          <w:rtl w:val="true"/>
        </w:rPr>
        <w:t xml:space="preserve">« </w:t>
      </w:r>
      <w:r>
        <w:rPr>
          <w:rtl w:val="true"/>
        </w:rPr>
        <w:t xml:space="preserve">إقرار العقلاء على أنفسهم نافذ ، أو جائز </w:t>
      </w:r>
      <w:r>
        <w:rPr>
          <w:rtl w:val="true"/>
        </w:rPr>
        <w:t>»</w:t>
      </w:r>
      <w:bookmarkEnd w:id="57"/>
    </w:p>
    <w:p>
      <w:pPr>
        <w:pStyle w:val="BookText"/>
        <w:rPr/>
      </w:pPr>
      <w:r>
        <w:rPr>
          <w:rFonts w:ascii="Amiri" w:hAnsi="Amiri" w:eastAsia="Amiri" w:cs="Amiri"/>
          <w:color w:val="111111"/>
          <w:sz w:val="28"/>
          <w:sz w:val="28"/>
          <w:szCs w:val="28"/>
          <w:rtl w:val="true"/>
          <w:lang w:bidi="ar-SA"/>
        </w:rPr>
        <w:t xml:space="preserve">وهو أنّ مفاد هذه القاعدة أوسع وأشمل من قاعدة إقرار العقلاء على أنفسهم نافذ أو جائز ؛ لأنّ مورد الإقرار في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على ضرر المقرّ ، أمّا إذا كان على نفعه فغير جائز قطعا من جهة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لنفوذه وجوازه جهة أخرى غير جهة نفوذ إقرار العقلاء على أنفسهم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الشارع بالجواز والنفوذ في تلك القاعدة هو الإقرار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الإقرار على ضرر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الإقرار ولو كان له نفع فيه ، وأمّا في هذه القاعدة فعامّ ، سواء أكان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تشمل هذه القاعدة إقرار الصبي فيما له أن يفعله ، كتصرّفه في ما ملكه بالوقف أو الصدقة أو الوصية به ، بخلاف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تشمله ؛ لانصراف العقلاء فيها إلى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لو أقرّ الصبي بما هو ضرر عليه فيما ليس له أن يفعله ويتصرّف فيه ولا يملكه كالبيع وهبة ماله لغيره لا ينفذ في حقّه ، ويكون ذلك الإقرار في حكم العدم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لاحتمال أن يكون مفاد كلتا القاعدتين واحدا ، حتّى يكون النصّ الوارد في قاعدة إقرار العقلاء دليلا على هذه القاعدة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 على هذا الفرق الأخير أستاذنا المحقّق العراقي قدس سره بعدم انصراف العقلاء في تلك القاعدة إلى البالغين ؛ إذ لا فرق في نظر العرف بين من يكون عمره أقلّ من خمسة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يسير كيوم بل كساعة ، وبين من يكون عمره هذا المقدار تماما بدون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بحسب المتفاهم العرفي تشمل كلتا الصورتين ، أي التامّ وغير التامّ إذا كان النقص قليلا ، وبعدم القول بالفصل يتمّ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ادّعاء الإجماع على عدم شموله لغير البالغين ،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المتيقّن منه على تقدير ثبوته وكونه من الإجماع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كاشف عن رأي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فيما إذا كان تصرّفه ممنوعا ، وأمّا في الأشياء التي شرع له 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كالمذكورات أي الوصيّة والوقف والصدقة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إجماع في البين ، بمعنى أنّه ليس اتّفاق على عدم نفوذ إقراره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يتوهّم من أنّ عموم كونه مسلوب العبارة خصّص بجواز هذه التصرّفات الثلاث ، وأمّا إقراره بوقوع هذه التصرّفات فهو باق تحت عموم العامّ ، فليس بنافذ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هذا فحال قاعدة من ملك أيضا من هذه الجهة حال قاعدة الإقرار لا بدّ وأن 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أستاذنا المحقّق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بأنّه لا شكّ في أنّ المتفاهم العرفي من هذه الجملة ، 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البالغين ، لا الأعمّ منهم ومن غيرهم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قدس سره من عدم الفرق في نظر العرف بين البالغ وغيره ممّن كان عمره أقلّ منه بقليل كاليوم والساعة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يفهم من هذه الجملة خصوص البالغين ، وأمّا تطبيق هذا المفهوم على المصداق فليس بنظر العرف ، فإذا حدّد الشارع هذا المفهوم فيكون تطبيق هذا المفهوم على مصاديقه بالدّقة ، والاّ فهذا الإشكال متّحد الورود على جميع المفاهيم المحدّدة من قبل الشارع ، كمفهوم الكرّ والمسافة وسائر الأوزان والمقادير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لا يفرق بين ما هو من مصاديق المفهوم المحدّد من قبل </w:t>
      </w:r>
      <w:bookmarkStart w:id="58" w:name="pg15902_182191"/>
    </w:p>
    <w:p>
      <w:pPr>
        <w:pStyle w:val="BookText"/>
        <w:rPr/>
      </w:pPr>
      <w:bookmarkEnd w:id="58"/>
      <w:r>
        <w:rPr>
          <w:rFonts w:ascii="Amiri" w:hAnsi="Amiri" w:eastAsia="Amiri" w:cs="Amiri"/>
          <w:color w:val="111111"/>
          <w:sz w:val="28"/>
          <w:sz w:val="28"/>
          <w:szCs w:val="28"/>
          <w:rtl w:val="true"/>
          <w:lang w:bidi="ar-SA"/>
        </w:rPr>
        <w:t>الشرع حقيقة وبالدّقة ، وبين ما هو أقلّ منه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انقطع الدم في الحيض قبل الثلاثة ولو بساعة ، أو نوى الإقامة عشرة أيّام إلاّ ساعة فليس ولا يتحقّق حيض ولا إقامة ، مع أنّ العرف لا يرى الفرق في إطلاق الثلاثة والعشرة أيّام في الثاني بين التامّ والناقص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قدس سره مواضع أخر للنظر تركناها خوفا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القول بوحدة القاعدتين بعيد عن الصواب</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519104_2142443653"/>
      <w:bookmarkStart w:id="60" w:name="_Toc18"/>
      <w:bookmarkEnd w:id="59"/>
      <w:r>
        <w:rPr>
          <w:rtl w:val="true"/>
        </w:rPr>
        <w:t xml:space="preserve">الجهة الثالثة </w:t>
      </w:r>
      <w:r>
        <w:rPr>
          <w:rtl w:val="true"/>
        </w:rPr>
        <w:t xml:space="preserve">: </w:t>
      </w:r>
      <w:r>
        <w:rPr>
          <w:rtl w:val="true"/>
        </w:rPr>
        <w:t>في الدليل على هذه القاعدة</w:t>
      </w:r>
      <w:bookmarkEnd w:id="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أستاذنا المحقّق قدس سره من ثبوت الملازمة بين السلطنة على ثبوت الشي‌ء والسلطنة على إثباته ، بمعنى أنّ القدرة على وجود الشي‌ء واقعا ملازم مع القدرة على إيصاله إلى مرتبة الإظهار والإثبات ، مثلا لو كانت له السلطنة على بيع داره ، أو وقفه ، أو هبته ، أو غير ذلك من التصرفات فلا بدّ وأن تكون له السلطنة على إثبات هذا العمل والفعل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بظاهره واضح الإشكال ، لأنّه لو كان المراد من السلطنة على إثباته بحيث أنّه يكون ثابتا في مرحلة الظاهر بمحض إظهاره وإقراره ، كي يترتّب عليه جميع آثار وجود ذلك الشي‌ء ، سواء أكان له أو عليه أو لغيره أو على ذلك الغير ، فهذا دعوى بلا بيّنة ولا برهان ؛ إذ ربما يكون الإنسان قادرا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قادرا على إثبات ذلك الشي‌ء بمحض إخباره وإقراره ، والاّ كان إخبار كلّ مخبر عن صدور فعل يكون حجّة على وجود ذلك الفعل وذلك العمل وإن أنكره من يتعلّق به العمل ، مثل إنّه لو استأجر البناء على أن يبني له الحائط أو شيئا آخر في داره أو في مكان آخر ، أو استأجر الخيّاط على أن يخيط له كذا ، فأخبر بوقوع ذلك البناء </w:t>
      </w:r>
    </w:p>
    <w:p>
      <w:pPr>
        <w:pStyle w:val="BookText"/>
        <w:rPr/>
      </w:pPr>
      <w:r>
        <w:rPr>
          <w:rFonts w:ascii="Amiri" w:hAnsi="Amiri" w:eastAsia="Amiri" w:cs="Amiri"/>
          <w:color w:val="111111"/>
          <w:sz w:val="28"/>
          <w:sz w:val="28"/>
          <w:szCs w:val="28"/>
          <w:rtl w:val="true"/>
          <w:lang w:bidi="ar-SA"/>
        </w:rPr>
        <w:t>أو تلك الخياطة تكون أخبار البناء أو الخياط حجّة ، مع أنّه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الملازمة بين السلطنة على إيجاد الشي‌ء والسلطنة على إثباته هو أنّ الشارع إن جعل سلطانا على أمر ، كما أنّه جعل الحاكم الشرعي سلطانا على نصب القيّم مثلا على القصر ، أو على جعل المتولّي للوقف الذي لم يجعل الواقف له متولّ ، فجعله الحاكم سلطانا على هذه الأمور ملازم مع جعل إخباره عن هذه الأمور وإقراره بها حجة على إثباتها ، فكلّ عمل وفعل تحت سلطنته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تكوينا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إقراره بوقوعه حجّة ، سواء أكان له أو عليه أو لغيره أو على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دعوى بلا برهان أيضا ، من جهة عدم لزوم لغويّة الجعل الأوّل ، أي كونه سلطانا على تلك الأمور من دون كون إخباره عن وقوعها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الإشهاد على صدورها منه حتّى في مثل الرجوع إلى زوجته المطلقة رجعة في العدّة ، فيشهد عدلين على أنّه رجع إليها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إليها في حال عدم انقضاء العدّة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إخبارا عن صدور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رجوع قوليّ ، ويترتّب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أن يكون من قبيل إثبات الرجوع بإقراره ومن مصاديق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الجعل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إقراره حجّة على وقوع ذلك الأمر الذي له السلطنة على 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الجعل الأوّل ، حتّى يكون الدليل الذي يدلّ على سلطنته على إيقاع ذلك الأمر يدلّ بالدلالة الالتزاميّة على سلطنته شرعا على إثباته ، فيكون إخباره عن وقوعه حجّة على وقوعه ؛ لأنّه لا ملازمة بينهما ، لا عقلا ولا شرعا ولا عرفا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الملازمة عقلا وشرعا فواضح ، وأمّا عرفا فمن جهة أنّ العرف لا يفهم </w:t>
      </w:r>
    </w:p>
    <w:p>
      <w:pPr>
        <w:pStyle w:val="BookText"/>
        <w:rPr/>
      </w:pP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بيد من أخذ بالساق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أنّ إخبار الزوج بطلاق زوجته حجّة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وتقريبه أنّ هذه القضيّة الكلّيّة ، أي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القضايا المسلّمة عندهم ، ويستدلّون بها على فتاويهم كما يستدلّون بالآية والرواية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قدس سره في التذكرة بسماع دعوى المسلم إن أمّن الحربي في زمان يملك أمانه وهو قبل الأسر ، وادّعى الإجماع على سماع هذه الدعوى</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هذا الإجماع الذي ادّعاه العلاّمة قدس سره إجماع على مورد من موارد هذه القاعدة ، ولا يثبت به الكلّيّة المذكورة ، ولكنّه يدلّ على أنّ هذه القضيّة في الجملة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تتبّعت كلمات القوم ترى أنّ جلّ الأكابر والمحقّقين تمسّكوا بهذه الكلّيّة في موارد جزئيّة ، كأنّها دليل معتبر عندهم ، وأرسلوها إرسال المسلّمات كأنّها آية أو رواية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جملة من تلك الموارد شيخنا الأنصاري قدس سره في ملحقات المكاسب </w:t>
      </w:r>
      <w:r>
        <w:rPr>
          <w:rStyle w:val="FootnoteAnchor"/>
          <w:rtl w:val="true"/>
        </w:rPr>
        <w:footnoteReference w:id="16"/>
      </w:r>
      <w:r>
        <w:rPr>
          <w:rFonts w:ascii="IRNazanin" w:hAnsi="IRNazanin" w:eastAsia="IRNazanin"/>
          <w:color w:val="111111"/>
          <w:sz w:val="28"/>
          <w:sz w:val="28"/>
          <w:szCs w:val="28"/>
          <w:rtl w:val="true"/>
          <w:lang w:bidi="fa-IR"/>
        </w:rPr>
        <w:t>في مقام شرح هذه القاعدة ،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مرادنا من تمسّكهم بهذه الكلّيّة في الموارد الجزئيّة ، أي في غير ما إذا كان على نفسه ، وإلاّ فيما إذا كان الإقرار على نفسه فذلك نافذ يقينا ؛ بدليل معتبر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من دون احتياج إلى هذه القاعدة أصلا</w:t>
      </w:r>
      <w:r>
        <w:rPr>
          <w:rFonts w:eastAsia="Amiri" w:cs="Amiri" w:ascii="Amiri" w:hAnsi="Amiri"/>
          <w:color w:val="111111"/>
          <w:sz w:val="28"/>
          <w:szCs w:val="28"/>
          <w:rtl w:val="true"/>
          <w:lang w:bidi="ar-SA"/>
        </w:rPr>
        <w:t xml:space="preserve">. </w:t>
      </w:r>
      <w:bookmarkStart w:id="61" w:name="pg15902_182194"/>
    </w:p>
    <w:p>
      <w:pPr>
        <w:pStyle w:val="BookText"/>
        <w:rPr/>
      </w:pPr>
      <w:bookmarkEnd w:id="61"/>
      <w:r>
        <w:rPr>
          <w:rFonts w:ascii="Amiri" w:hAnsi="Amiri" w:eastAsia="Amiri" w:cs="Amiri"/>
          <w:color w:val="111111"/>
          <w:sz w:val="28"/>
          <w:sz w:val="28"/>
          <w:szCs w:val="28"/>
          <w:rtl w:val="true"/>
          <w:lang w:bidi="ar-SA"/>
        </w:rPr>
        <w:t>وعمدة الكلام في إثبات هذه القاعدة والكلّيّة هو فيما إذا كان إقراره وإخباره بوقوع ما يملك شرعا إيقاعه في غير موارد الإقرار على النفس ممّا كان له ، أو لغيره ، أو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 أفاد شيخنا الأعظم قدس سره في هذا المقام بقوله ولكن الإنصاف أنّ القضيّة المذكورة في الجملة إجماعيّة ، بمعنى أنّه ما من أحد من الأصحاب ممّن وصل إلينا كلامهم إلاّ وقد عمل بهذه القضيّة في بعض الموارد ، بحيث نعلم أنّه لا مستند سواها ، فإنّ من ذكرنا خلافهم إنّما خالفوا في بعض موارد القضيّة ، وعملوا بها في مورد آخر انتهى</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ثمَّ يذكر بعض موارد خلاف بعضهم ، وموارد عمل ذلك البعض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يخفى أنّ خلاف بعضهم في بعض المصاديق لا يضرّ بتحقّق الإجماع على اعتبار هذه القاعدة ، لأنّ معنى الإجماع على اعتبار دليل وقاعدة هو أن يستند الجميع إلى ذلك الدليل وتلك القاعدة ولو في مورد واحد ، لا أنّهم لا يختلفون ولو كان في واحد من صغرياته وموارده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الإجماع على عنوان مطلق ، يتمسّك بإطلاق ذلك العنوان لمورد الشكّ ، ولو كان ذلك المورد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أنّ اعتبار القضيّة الكلّيّة إذا ثبت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الدليل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على جميع الموارد وإن كان بعضها محلّ خلاف</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519106_2142443653"/>
      <w:bookmarkStart w:id="63" w:name="_Toc19"/>
      <w:bookmarkEnd w:id="62"/>
      <w:r>
        <w:rPr>
          <w:rtl w:val="true"/>
        </w:rPr>
        <w:t xml:space="preserve">الجهة الرابعة </w:t>
      </w:r>
      <w:r>
        <w:rPr>
          <w:rtl w:val="true"/>
        </w:rPr>
        <w:t xml:space="preserve">: </w:t>
      </w:r>
      <w:r>
        <w:rPr>
          <w:rtl w:val="true"/>
        </w:rPr>
        <w:t>في بيان ما هو المراد من هذه القاعدة وهذه القضية الكلية؟</w:t>
      </w:r>
      <w:bookmarkEnd w:id="63"/>
    </w:p>
    <w:p>
      <w:pPr>
        <w:pStyle w:val="BookText"/>
        <w:rPr/>
      </w:pPr>
      <w:r>
        <w:rPr>
          <w:rFonts w:ascii="Amiri" w:hAnsi="Amiri" w:eastAsia="Amiri" w:cs="Amiri"/>
          <w:color w:val="111111"/>
          <w:sz w:val="28"/>
          <w:sz w:val="28"/>
          <w:szCs w:val="28"/>
          <w:rtl w:val="true"/>
          <w:lang w:bidi="ar-SA"/>
        </w:rPr>
        <w:t>أي ما هو الظاهر منها حسب متفاهم العرف حتّى يستكشف المراد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يشمل الأعيان والأفعال ، وهذه </w:t>
      </w:r>
    </w:p>
    <w:p>
      <w:pPr>
        <w:pStyle w:val="BookText"/>
        <w:rPr/>
      </w:pPr>
      <w:r>
        <w:rPr>
          <w:rFonts w:ascii="Amiri" w:hAnsi="Amiri" w:eastAsia="Amiri" w:cs="Amiri"/>
          <w:color w:val="111111"/>
          <w:sz w:val="28"/>
          <w:sz w:val="28"/>
          <w:szCs w:val="28"/>
          <w:rtl w:val="true"/>
          <w:lang w:bidi="ar-SA"/>
        </w:rPr>
        <w:t xml:space="preserve">القضيّة الكلّيّة الشرطيّة مركّبة من 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شرط ، والأخرى جزاء ، والقضيّة الشرطيّة المتكفّلة لبيان الحكم الشرعي يكون الشرط موضوعا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المستطيع يجب عليه الحج ، فالجملة الأولى من 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للجملة الثانية ، فيرجع مفاد هذه الكلّيّة ، إلى أنّ المالك لشي‌ء سواء أكان ذلك الشي‌ء عينا من الأعيان الخارجية ، أو فعلا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أنّ نفس العين الخارجي ليست قابلة لتعلّق الإقرار بها إلاّ باعتبار تعلّق فعل من أفعاله بها ، فيرجع معنى هذه الكلّيّة إلى أنّ المالك لفعل من الأفعال يملك الإقرار بذلك الفعل ، وظاهر كون الإنسان مالكا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في مقام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سلطانا على ذلك الفعل شرعا ، أي كان له شرعا إيجاده وإيقاعه ، لا صرف القدرة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كان شرعا مالكا لبيع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شرائه أو هبته أو وقفه أو عتقه أو غير ما ذكر من أنحاء التصرّفات أو تزويج امرأة أو طلاقها ، أو أيّ تصرّف كان مشروعا له أي كان مجعولا له من طرف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بأيّ عين من الأعيان ، أو لم يكن متعلّقا بعين أصلا ، ففي جميع ذلك يملك الإقرار به ، سواء أكان له هذه السلطنة أوّلا وبالذات ، أو كانت آتية من قبل موكله أو من جهة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وجود الدليل على اعتبار هذه الجملة وهذه الكلّيّة لكان يجب الأخذ بهذه الظاهر ، وتطبيقه على جميع موارده ، إلاّ أن يأتي في مورد من موارده دليل من إجماع أو غيره على التخصيص وعدم نفوذ إقراره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العمدة في دليلها الإجماع فلا بدّ وأن يلاحظ معقد الإجماع هل هو مطلق الأفعال التي يملكها ، سواء أكان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الآثار التي لذلك الفعل لغيره ، سواء أكان له أو عليه ، أو مخصوص نفوذه بالنسبة إلى الآثار التي لنفسه لا لغيره؟ </w:t>
      </w:r>
      <w:bookmarkStart w:id="64" w:name="pg15902_182196"/>
    </w:p>
    <w:p>
      <w:pPr>
        <w:pStyle w:val="BookText"/>
        <w:rPr/>
      </w:pPr>
      <w:bookmarkEnd w:id="64"/>
      <w:r>
        <w:rPr>
          <w:rFonts w:ascii="Amiri" w:hAnsi="Amiri" w:eastAsia="Amiri" w:cs="Amiri"/>
          <w:color w:val="111111"/>
          <w:sz w:val="28"/>
          <w:sz w:val="28"/>
          <w:szCs w:val="28"/>
          <w:rtl w:val="true"/>
          <w:lang w:bidi="ar-SA"/>
        </w:rPr>
        <w:t>وبعد ، إن قيل باختصاصه بالنسبة إلى نفسه ، فهل مطلق بالنسبة إلى ماله أو عليه أو مخصوص نفوذ إقراره بما عليه ، لا بما له؟</w:t>
      </w:r>
    </w:p>
    <w:p>
      <w:pPr>
        <w:pStyle w:val="BookText"/>
        <w:rPr/>
      </w:pPr>
      <w:r>
        <w:rPr>
          <w:rFonts w:ascii="Amiri" w:hAnsi="Amiri" w:eastAsia="Amiri" w:cs="Amiri"/>
          <w:color w:val="111111"/>
          <w:sz w:val="28"/>
          <w:sz w:val="28"/>
          <w:szCs w:val="28"/>
          <w:rtl w:val="true"/>
          <w:lang w:bidi="ar-SA"/>
        </w:rPr>
        <w:t xml:space="preserve">والإنصاف أنّ كلمات الفقهاء وعباراتهم في هذا المقام مختلفة جدّا ، والذي يظهر من مجموع كلماتهم وعباراتهم في مختلف أبواب الفقه أنّه لا اختصاص له بخصوص الآثار التي له بالنسبة إلى نفسه ، وتكون عليه لا له حتّى يكون مفاد هذه القاعدة مفاد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نافذ ، أو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متّفقون على سماع إقرار الولي الإجباري فيما يملكه ولو كان على ضرر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نفوذ إقراره حتّى وإن كان بالنسبة إلى ضرر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إذا كان ذلك الأثر الذي ضرر على الغير أثرا لنفس فعله ، من دون مدخليّة فعل شخص آخر في ترتيب ذلك الأثر ، وإلاّ فهو مالك لإقرار فعل نفسه الذي يملكه ، لا لفعل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موضوع الأثر مركّبا من فعل نفسه وفعل غيره ، فبإقراره لفعل نفسه لا يثبت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الفرق بين العقود والإيقاعات ، فإذا كان مالكا لإيقاع كطلاق أو عتق أو غيرهما ، فبإقراره يثبت وقوع ذلك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مالكا لعقد من بيع أو هبة أو إجارة أو غير ذلك من العقود ، فبإقراره لصدور ذلك العنوان لا يثبت ذلك العنوان بالنسبة إلى الجزء الآخر الذي يملكه غيره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5519108_2142443653"/>
      <w:bookmarkStart w:id="66" w:name="_Toc20"/>
      <w:bookmarkEnd w:id="65"/>
      <w:r>
        <w:rPr>
          <w:rtl w:val="true"/>
        </w:rPr>
        <w:t>الجهة الخامسة</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نفوذ إقراره بالنسبة إلى فعل يملكه شرعا مشروط بأن يكون مالكا حال الإقرار وفي زمانه ، أو يكفي كونه مالكا في زمان وقوع الفعل ولو لم يكن مالكا لذلك الفعل في زمان الإقرار؟ مثلا بعد أن بلغ الصبي يقر من كان وليا عليه بأنّه باع ماله الفلاني بكذا ، أو اشترى له بكذا في الزمن الذي كان وليّا عليه ، أو بعد انقضاء العدّة </w:t>
      </w:r>
    </w:p>
    <w:p>
      <w:pPr>
        <w:pStyle w:val="BookText"/>
        <w:rPr/>
      </w:pPr>
      <w:r>
        <w:rPr>
          <w:rFonts w:ascii="Amiri" w:hAnsi="Amiri" w:eastAsia="Amiri" w:cs="Amiri"/>
          <w:color w:val="111111"/>
          <w:sz w:val="28"/>
          <w:sz w:val="28"/>
          <w:szCs w:val="28"/>
          <w:rtl w:val="true"/>
          <w:lang w:bidi="ar-SA"/>
        </w:rPr>
        <w:t>يقرّ بالرجوع في زمان العدّة وهكذا في سائر الموارد ممّا يشاكل هذين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والفروع الفقهيّة المترتبة على هذا الأمر كثيرة ، ويترتّب عليها نتائج مهمّة ، مثلا يقرّ وكيل شخص بعد عزله بصدور أفعال فيها ضرر على موكّله ، حين وكالته عنه في تلك الأفعال ، وكذلك مثلا يقرّ وليّ البنت بعد كبرها وصيرورتها مالكة أمرها بتزويجها من شخص معيّن في حال صغرها وكونها مولى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هذه الجهة الخامسة إلى أنّه هل المراد من معقد الإجماع في هذه المسألة هو مالكيّته للفعل 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فرضنا كونه صادقا في إقراره هذا ، كان صدور الفعل عن سلطنة شرعيّة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من مالكيّته لهذا الفعل الذي أقرّ بصدوره عنه هو أنّه لو لم يكن صادرا إلى حين الإقرار تكون لها السلطنة في تلك الحال على إيجاده؟</w:t>
      </w:r>
    </w:p>
    <w:p>
      <w:pPr>
        <w:pStyle w:val="BookText"/>
        <w:rPr/>
      </w:pPr>
      <w:r>
        <w:rPr>
          <w:rFonts w:ascii="Amiri" w:hAnsi="Amiri" w:eastAsia="Amiri" w:cs="Amiri"/>
          <w:color w:val="111111"/>
          <w:sz w:val="28"/>
          <w:sz w:val="28"/>
          <w:szCs w:val="28"/>
          <w:rtl w:val="true"/>
          <w:lang w:bidi="ar-SA"/>
        </w:rPr>
        <w:t>فبناء على احتمال الأوّل يكفي كونه مالكا حين وقوع الفعل الذي يدّعي وقوعه في ذلك الحين ، وأمّا بناء على احتمال الثاني فلا بدّ من كونه مالكا وقادرا وسلطانا على إيجاد الفعل حال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المتيقّن من مورد انعقاد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كما رجحنا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فلا مجال لإثباته بالإجماع وليس دليل لفظي من آية ، أو رواية معتبرة حتّى يتمسّك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يتوهّم جريان استصحاب بقاء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له حال وقوع الفعل الذي يقرّ بوقوعه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المتقدّم وفي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موضوع تلك السلطنة المتيقّنة هو القادر والمالك لإيجاد الفعل في زمان إقراره ، والموضوع بهذا المعنى تبدّل يقينا ؛ لأنّه في المقام ليس قادرا شرعا على إيجاد ذلك الفعل حال الإقرار ، كما هو المفروض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مالكيّة إيجاد الفعل شرعا في القضيّة المتيقّنة ، وعدمها في المشكوكة </w:t>
      </w:r>
    </w:p>
    <w:p>
      <w:pPr>
        <w:pStyle w:val="BookText"/>
        <w:rPr/>
      </w:pPr>
      <w:r>
        <w:rPr>
          <w:rFonts w:ascii="Amiri" w:hAnsi="Amiri" w:eastAsia="Amiri" w:cs="Amiri"/>
          <w:color w:val="111111"/>
          <w:sz w:val="28"/>
          <w:sz w:val="28"/>
          <w:szCs w:val="28"/>
          <w:rtl w:val="true"/>
          <w:lang w:bidi="ar-SA"/>
        </w:rPr>
        <w:t xml:space="preserve">ليست من مقوّمات الموضوع في نظر العرف ؛ فوحدة القضيّتين بحسب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شرط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في محلّه أنّ المناط في الاتّحاد بين القضيّتين هو النظر العرفي وذلك من جهة أنّ العرف بمناسبة الحكم والموضوع يرون القدرة على إيجاد الفعل شرعا حال إقراره وفي زمانه من مقوّمات موضوع السلطنة على الإقرار بوقوعه ، فلا يبقى مجال لجريان هذا الاستصحاب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لا تجري ، ولا يكون إقراره نافذا إلاّ فيما إذا كان قادرا لإيجاد الفعل حال إقراره فبناء على هذا لا ينفذ إقراره على الموكل بعد عزله أو انعزاله ولو كان زمان وقوع الفعل الذي أقرّ به قبل عزله أو انعزاله ، وكذا في سائر الفروع وباقي المقامات ، كما لو أقرّ بالرجوع في العدّة بعد انقضائها ، أو أقرّ الولي بعقد الصغيرة في صغرها بعد بلوغها ، وصيرورتها مالكة أمرها</w:t>
      </w:r>
      <w:r>
        <w:rPr>
          <w:rFonts w:eastAsia="Amiri" w:cs="Amiri" w:ascii="Amiri" w:hAnsi="Amiri"/>
          <w:color w:val="111111"/>
          <w:sz w:val="28"/>
          <w:szCs w:val="28"/>
          <w:rtl w:val="true"/>
          <w:lang w:bidi="ar-SA"/>
        </w:rPr>
        <w:t xml:space="preserve">. </w:t>
      </w:r>
      <w:bookmarkStart w:id="67" w:name="pg15902_182199"/>
    </w:p>
    <w:p>
      <w:pPr>
        <w:pStyle w:val="Heading2"/>
        <w:numPr>
          <w:ilvl w:val="1"/>
          <w:numId w:val="1"/>
        </w:numPr>
        <w:rPr/>
      </w:pPr>
      <w:bookmarkStart w:id="68" w:name="__RefHeading___Toc15519110_2142443653"/>
      <w:bookmarkStart w:id="69" w:name="_Toc21"/>
      <w:bookmarkEnd w:id="67"/>
      <w:bookmarkEnd w:id="68"/>
      <w:r>
        <w:rPr/>
        <w:t>2</w:t>
      </w:r>
      <w:r>
        <w:rPr>
          <w:rtl w:val="true"/>
        </w:rPr>
        <w:t xml:space="preserve"> - </w:t>
      </w:r>
      <w:r>
        <w:rPr>
          <w:rtl w:val="true"/>
        </w:rPr>
        <w:t>قاعدة الإمكان</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5519112_2142443653"/>
      <w:bookmarkStart w:id="71" w:name="_Toc22"/>
      <w:bookmarkEnd w:id="70"/>
      <w:r>
        <w:rPr>
          <w:rtl w:val="true"/>
        </w:rPr>
        <w:t>اشارة</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902_182201"/>
      <w:bookmarkStart w:id="73" w:name="pg15902_182201"/>
      <w:bookmarkEnd w:id="73"/>
    </w:p>
    <w:p>
      <w:pPr>
        <w:pStyle w:val="BookText"/>
        <w:rPr/>
      </w:pPr>
      <w:bookmarkStart w:id="74" w:name="pg15902_182201"/>
      <w:bookmarkEnd w:id="74"/>
      <w:r>
        <w:rPr>
          <w:rFonts w:ascii="Amiri" w:hAnsi="Amiri" w:eastAsia="Amiri" w:cs="Amiri"/>
          <w:color w:val="111111"/>
          <w:sz w:val="28"/>
          <w:sz w:val="28"/>
          <w:szCs w:val="28"/>
          <w:rtl w:val="true"/>
          <w:lang w:bidi="ar-SA"/>
        </w:rPr>
        <w:t xml:space="preserve">قاعدة الإمكان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ومن جملة القواعد الفقهيّة هي القاعدة المعروفة عندهم بقاعدة الإمكان وهي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ما يمكن أن يكون حيضا فهو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 عن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هذه الجملة والكليّة ، وأنّه ما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هذه الكلية وانه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مواردها والفروع التي تنطبق هذه القاعدة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519114_2142443653"/>
      <w:bookmarkStart w:id="76" w:name="_Toc23"/>
      <w:bookmarkEnd w:id="75"/>
      <w:r>
        <w:rPr>
          <w:rtl w:val="true"/>
        </w:rPr>
        <w:t xml:space="preserve">أمّا الجهة الأولى </w:t>
      </w:r>
      <w:r>
        <w:rPr>
          <w:rtl w:val="true"/>
        </w:rPr>
        <w:t xml:space="preserve">: </w:t>
      </w:r>
      <w:r>
        <w:rPr>
          <w:rtl w:val="true"/>
        </w:rPr>
        <w:t>أي المراد من هذه الجملة وما هو معناها</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فيها من الألفاظ 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المراد منه ، وإلاّ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الدم السائل الذي يقذفه الرحم المتّصف بصفة كذا ، وله شروط وقيود باعتبار سنّ المرأة التي منها سيلان ذلك الدم ، وتوالي الدم ، واتّصافه بأوصاف مخصوصة ، ولا يكون أقلّ من ثلاثة أيّام متوالية ولا أكثر من عشرة ، ويكون بينه وبين الحيضة السابقة فصل أقلّ الطهر وهي عشرة أيّام متوالية وسائر القيود والشرائط المذكورة في الفقه في باب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وإن كان في حدّ نفسه له معان متعدّدة ، من الإمكان العامّ والخاصّ والأخصّ والاستقبالي والاستعدادي والوقوعي والاحتمالي وبالقياس إلى الغير ، ولكن الظاهر أنّ المراد منه هاهنا هو الإمكان الوقوعي ، أي ما لا يترتّب على وقوعه وثبوته محذور عقلي ولا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أنّ المراد من إمكان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قول ابن قبة حيث قال بامتناعها </w:t>
      </w:r>
      <w:r>
        <w:rPr>
          <w:rStyle w:val="FootnoteAnchor"/>
          <w:rtl w:val="true"/>
        </w:rPr>
        <w:footnoteReference w:id="20"/>
      </w:r>
      <w:r>
        <w:rPr>
          <w:rFonts w:ascii="Amiri" w:hAnsi="Amiri" w:eastAsia="Amiri" w:cs="Amiri"/>
          <w:color w:val="111111"/>
          <w:sz w:val="28"/>
          <w:sz w:val="28"/>
          <w:szCs w:val="28"/>
          <w:rtl w:val="true"/>
          <w:lang w:bidi="ar-SA"/>
        </w:rPr>
        <w:t>هو إمكان وقوعا ، أي لا يلزم من حجيته محذور ،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الجملة بناء على هذا المعنى كل دم لا يلزم من كونه حيضا محذور لا عقلا ولا شرعا في عالم الإثبات لا بحسب الواقع فهو عند الشارع محكوم بالحيضيّة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الإمكان هو الدائر في المحاورات العرفيّة ، فإذا يقولون بأنّ الشّي‌ء الفلاني ممكن أن يقع ، يريدون به أنّه لا يلزم من وجوده محذور ، ولا شكّ في أنّ الفقهاء في ذكر هذه الجملة يتكلّمون على طريقة أهل المحاورة ، لا أنّهم يتكلّمون باصطلاح أو بمعنى غير جار استعمال اللفظ بذلك المعنى في محاوراتهم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الإمكان بالقياس إلى الغير الذي ذكره صاحب الكفاية قدس سره في هذا المقام ، وقال بأنّ الإمكان في القاعدة بهذا المعنى فأجنبي عن المقام ؛ لأنّ الإمكان بالقياس إلى الغير معناه أنّه إذا قاسيناه بذلك الغير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ضرورة وجوده ولا ضرورة عدمه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وجوده ولا عدمه ، كما إذا فرضنا واجبين فكلّ واحد منهما لا علّة لوجود الآخر ولا لعدمه ، بل كلّ واحد منهما أجنبي عن الآخر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 الحيض ممكن أي بالقياس إلى القيود والأدلّة الشرعيّة وهذا هو المراد منه فعجيب ؛ لأنّ الأدلّة الشرعيّة لا تخلو من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يقتضي الحكم </w:t>
      </w:r>
    </w:p>
    <w:p>
      <w:pPr>
        <w:pStyle w:val="BookText"/>
        <w:rPr/>
      </w:pPr>
      <w:r>
        <w:rPr>
          <w:rFonts w:ascii="Amiri" w:hAnsi="Amiri" w:eastAsia="Amiri" w:cs="Amiri"/>
          <w:color w:val="111111"/>
          <w:sz w:val="28"/>
          <w:sz w:val="28"/>
          <w:szCs w:val="28"/>
          <w:rtl w:val="true"/>
          <w:lang w:bidi="ar-SA"/>
        </w:rPr>
        <w:t>بحيضيّته ، وإمّا يقتضي الحكم بعدم حيضيّته لفقد قيد أو شرط من شروطه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اعتبار أمر في حيضيّته ممّا هو مفقود في هذا الدم الخارجي ، كتوالي الدم في ثلاثة أيام فلا يمكن أن يقال إنّه بالقياس إلى الأدلّة الشرعيّة ممكن أن يكون حيضا بالمعنى الذي ذكرنا للإمكان بالقياس إلى الغير ؛ لأنّ الأدلّة الشرعيّة بالأخرة إمّا يقتضي بالحيضيّة أو يقتضي عدمه بحيث لو لم تكن هذه القاعدة موجودة لكان الفقيه حسب الأدلّة الشرعيّة يحكم إمّا بالحيضيّة وإمّا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يقال بأنّ المراد من الإمكان في المقام هو الاحتمال بحسب الأدلّة الشرعيّة ، ففي مورد الشكّ في شرط أو قيد في الشبهة الحكميّة ، وكذلك في احتمال وجود مانع كالحمل مثلا ، يحتمل أن يكون الدم حيضا ، فيحكم بحيضيّته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من الإمكان الوقوعي هو هذا المعنى ، أي لا يلزم من جعله حيضا محذور شرعا أو عقلا في عالم الإثبات ، لا عدم محذور في عالم الثبوت ؛ لأنّه بذلك المعنى يكون وجوده واجبا ولو بالغير ؛ لأنّه أيّ محذور لوقوعه أعظم من عدم علّة وجوده يكون واجبا بالغير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بالإمكان الوقوعي هاهنا عدم وجود محذور من وقوعه في عالم الإثبات وبناء على هذا المعنى المختار تشمل القاعدة كلتا الشبهتين الحكمية والموضوعية جميعا ، فكلّما لم يكن دليل شرعي أو عقلي على عدم حيضيّته فهو حيض ، فتكون قاعدة ظاهريّة في مورد الشكّ والشبهة ، سواء كانت حكميّة أو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كقاعدة الطهارة وقاعدة الحلّ أصلا غير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بعضهم عن هذا المعنى بالإمكان الشرعي ، أي كلّما كان دم يمكن شرعا أن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قيام دليل شرعا على أنّه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حكم بحيضيّته ظاهرا وترتيب آثار </w:t>
      </w:r>
    </w:p>
    <w:p>
      <w:pPr>
        <w:pStyle w:val="BookText"/>
        <w:rPr/>
      </w:pPr>
      <w:r>
        <w:rPr>
          <w:rFonts w:ascii="Amiri" w:hAnsi="Amiri" w:eastAsia="Amiri" w:cs="Amiri"/>
          <w:color w:val="111111"/>
          <w:sz w:val="28"/>
          <w:sz w:val="28"/>
          <w:szCs w:val="28"/>
          <w:rtl w:val="true"/>
          <w:lang w:bidi="ar-SA"/>
        </w:rPr>
        <w:t>الحيض عليه ما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سال دم من خنثى المشكل وشكّ في أنّه حيض أم لا ، فتارة يكون الشكّ من جهة الشكّ في أنّه رجل أو امرأة ، وأخرى من جهة أنّه على تقدير كونها امرأة يشكّ في أنّه حيض لاحتمال شرطيّة شرط ، أو قيدية قيد مفقود ، أو مانع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الشكّ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لاحتمال فقد قيد أو شرط مما اعتبره الشارع في حيضية الدم أو وجود مانع كالحمل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هذه القاعدة لأنّه لم يدلّ دليل من طرف الشرع أو العقل على عدم حيضيّته فاحتمال الحيضية موجود مع عدم دليل على نفيه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من الجهة الأولى ، أي من ناحية أنّه رجل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إنّ مورد هذه القاعدة هو فيما إذا أحرز أنّ هذا الدم سال من رحم المرأة وشكّ في أنّه هل هو الدم الطبيعي الذي يقذفه رحم المرأة المسمى بالحيض ، أو من سائر الدماء التي تخرج من الرحم أو الفرج لأسباب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القاعدة ؛ لعدم إحراز كونها امرأة ، وإلاّ أي إن لم نقل بلزوم إحراز كونها امرأة ، بل المناط في جريان القاعدة هو الشكّ في الحيضيّة من أيّ سبب وجهة حصل ، ولو كان الشكّ من جهة قابلية المحلّ فتجري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وأن ينظر إلى دليل القاعدة وأنّ مفاده هل هو أنّ الدم الخارج عن المحل القابل إذا كان ممكن الحيضيّة ، أي لم يكن دليل على نفي حيضيّته فهو حيض؟ فبناء على هذا في الدم الذي قذفه رحم التي يشكّ في أنّها صغيرة أو يائسة لا تجري قاعدة الإمكان أيضا مثل الخنثى المشكل ، وأمّا إن كان مفاد الأدلّة صرف الاحتمال ، وعدم وجود دليل على الخلاف شرعا أو عقلا فتجري القاعدة في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الثاني ، كما سيأتي في بيان الأدلّة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بهذا الإمكان على ما يستظهر من مقاعد إجماعاتهم </w:t>
      </w:r>
    </w:p>
    <w:p>
      <w:pPr>
        <w:pStyle w:val="BookText"/>
        <w:rPr/>
      </w:pPr>
      <w:r>
        <w:rPr>
          <w:rFonts w:ascii="Amiri" w:hAnsi="Amiri" w:eastAsia="Amiri" w:cs="Amiri"/>
          <w:color w:val="111111"/>
          <w:sz w:val="28"/>
          <w:sz w:val="28"/>
          <w:szCs w:val="28"/>
          <w:rtl w:val="true"/>
          <w:lang w:bidi="ar-SA"/>
        </w:rPr>
        <w:t xml:space="preserve">وكلماتهم وأقوالهم هو أنّه كلّ دم يمكن أن يكون حيضا أي يحتمل أن يكون بحسب الواقع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أنّ للحيض واقعا محفوظا ، لا أنّ الشارع اعتبر في الدم الذي يخرج من الرحم قيودا وجوديّة وعدميّة وسمّاه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يدلّ دليل على أنّه ليس بحيض لا عقلا ولا شرعا فهو في عالم الإثبات حيض ، ويجب ترتيب آثار الحيض على ذلك الدم ما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قاعدة ظاهريّة مجعولة للشاكّ ، سواء كانت الشبهة حكميّة أو موضوعيّة ، فلا تجري في الدم المشكوك فيه في حال الصغر أو اليأس أو الحمل بناء على كونه مانعا ، وغير ذلك مما اعتبره الشارع وجاء الدليل على اعتباره وجودا أو عدما ؛ لأنّ الدليل الدالّ على اعتبار هذه القيود الوجوديّة أو العدميّة رافع للشكّ الذي أخذ موضوعا في القاعدة ، فيكون حاكما على القاعدة شأن كلّ أمارة بالنسبة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فمرادنا بالإمكان الوقوعي ليس أنّه لا يلزم محذور في حاقّ الواقع من وقوعه حتّى يكون الحكم به حكما واقعيّا ، بل المراد كما شرحناه عدم دليل على نفيه في مقام الإثبات ، فحكم الشارع بوقوعه إثباتا لا ثبوتا ، ولزوم ترتيب آثار الحيض على ذلك الدم في عالم الإثبات ما لم ينكشف الخلاف ؛ ولذلك قلنا أنّها قاعدة ظاهريّة في مورد الشكّ ، لا قاعدة متكفلة لبيان الحكم الواقعي ، بل حالها حال سائر الأصول العمليّة غير التنزيليّة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كلام الشيخ الأنصاري قدس سره </w:t>
      </w:r>
      <w:r>
        <w:rPr>
          <w:rStyle w:val="FootnoteAnchor"/>
          <w:rtl w:val="true"/>
        </w:rPr>
        <w:footnoteReference w:id="21"/>
      </w:r>
      <w:r>
        <w:rPr>
          <w:rFonts w:ascii="Amiri" w:hAnsi="Amiri" w:eastAsia="Amiri" w:cs="Amiri"/>
          <w:color w:val="111111"/>
          <w:sz w:val="28"/>
          <w:sz w:val="28"/>
          <w:szCs w:val="28"/>
          <w:rtl w:val="true"/>
          <w:lang w:bidi="ar-SA"/>
        </w:rPr>
        <w:t>أنّ المراد من الإمكان في هذه القاعدة هو الإمكان بالقياس إلى جميع ما اعتبره الشارع من القيود الوجودية والعدمية ، أو يحتمل دخله فيه وجودا أو عدما فيه أي في الحيض عنده أي عند الشارع ما لم يكن دليل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هذا لو حصل الشكّ في مدخلية شي‌ء وجودا أو عدما في </w:t>
      </w:r>
      <w:bookmarkStart w:id="77" w:name="pg15902_182206"/>
    </w:p>
    <w:p>
      <w:pPr>
        <w:pStyle w:val="BookText"/>
        <w:rPr/>
      </w:pPr>
      <w:bookmarkEnd w:id="77"/>
      <w:r>
        <w:rPr>
          <w:rFonts w:ascii="Amiri" w:hAnsi="Amiri" w:eastAsia="Amiri" w:cs="Amiri"/>
          <w:color w:val="111111"/>
          <w:sz w:val="28"/>
          <w:sz w:val="28"/>
          <w:szCs w:val="28"/>
          <w:rtl w:val="true"/>
          <w:lang w:bidi="ar-SA"/>
        </w:rPr>
        <w:t>كون الدم حيضا كتوالي ثلاثة أيام مثلا فلا يمكن التمسّك لكونه حيضا بقاعدة الإمكان ؛ لما قلنا من أنّ المراد من الإمكان هو إمكان كونه حيضا حتّى بالقياس إلى ما يحتمل دخله وجودا أو عدما في كونه حيضا عند الشارع إن لم يكن دليل على عدم اعتباره ، وبناء على هذا لا تجري القاعدة في الشبهة الحكميّة وتكون مختصّة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هذا المعنى الأخير الذي اختاره الشيخ الأعظم الأنصاري قدس سره من أنّ الإمكان بلحاظ كلّ ما اعتبره الشارع من القيود الوجودية أو العدمية ، أو ما احتمل اعتباره من طرفه فبعد إحراز الجميع يكون مجرى قاعدة الإمكان ، وإلاّ مع الشكّ في تحقّق أحد القيود الوجوديّة أو العدميّة التي متيقّن اعتبارها أو يكون محتمل الاعتبار فلا تجري ؛ ولذلك قلنا تختصّ بالشبهات الموضوعيّة ، ويكفي لإحراز تلك القيود الوجوديّة أو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أو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الجارية لإثبات الشرط كاستصحاب بقائه ، أو لعدم المانع كما في الشكّ في طروّ اليأس ، فأصالة عدم حصول اليأس كافية في إحراز شرطيّة عدم اليأس إن قلنا بأنّه شرط ، كما أنّها كافية في إحراز عدم مانعيّة اليأس إن قلنا بأنّ اليأس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كان في بيان ما هو المراد من الإمكان في القاعدة من المعنيين المذكورين ، وقد عرفت أنّه بأحد المعنيين تجري القاعدة في الشبهات الحكميّة ، وبالمعنى الثاني هو مختار الشيخ الأعظم الأنصاري قدس سره لا تجري إلاّ في الشبهات الموضوعية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5519116_2142443653"/>
      <w:bookmarkStart w:id="79" w:name="_Toc24"/>
      <w:bookmarkEnd w:id="78"/>
      <w:r>
        <w:rPr>
          <w:rtl w:val="true"/>
        </w:rPr>
        <w:t xml:space="preserve">أما الجهة الثانية </w:t>
      </w:r>
      <w:r>
        <w:rPr>
          <w:rtl w:val="true"/>
        </w:rPr>
        <w:t xml:space="preserve">: </w:t>
      </w:r>
      <w:r>
        <w:rPr>
          <w:rtl w:val="true"/>
        </w:rPr>
        <w:t>أي الدليل على هذه القاعدة</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يوجب تعيين معنى الإمكان من بين المعاني المحتملة ، وهل المعنى الأوّل الذي بيّنّاه للإمكان هو الذي تنطبق عليه الأدلّة ، أو المعنى الثاني الذي اختاره الشيخ </w:t>
      </w:r>
    </w:p>
    <w:p>
      <w:pPr>
        <w:pStyle w:val="BookText"/>
        <w:rPr/>
      </w:pPr>
      <w:r>
        <w:rPr>
          <w:rFonts w:ascii="Amiri" w:hAnsi="Amiri" w:eastAsia="Amiri" w:cs="Amiri"/>
          <w:color w:val="111111"/>
          <w:sz w:val="28"/>
          <w:sz w:val="28"/>
          <w:szCs w:val="28"/>
          <w:rtl w:val="true"/>
          <w:lang w:bidi="ar-SA"/>
        </w:rPr>
        <w:t>الأعظم الأنصاري قدس سره ؟</w:t>
      </w:r>
    </w:p>
    <w:p>
      <w:pPr>
        <w:pStyle w:val="BookText"/>
        <w:rPr/>
      </w:pPr>
      <w:r>
        <w:rPr>
          <w:rFonts w:ascii="Amiri" w:hAnsi="Amiri" w:eastAsia="Amiri" w:cs="Amiri"/>
          <w:color w:val="111111"/>
          <w:sz w:val="28"/>
          <w:sz w:val="28"/>
          <w:szCs w:val="28"/>
          <w:rtl w:val="true"/>
          <w:lang w:bidi="ar-SA"/>
        </w:rPr>
        <w:t xml:space="preserve">فنقول استدلوا عليها بأدلّة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وتقريبه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الظاهر أنّ الدّم الذي يقذفه الرحم من غير علّة هو دم الحيض ، فيكون من قبيل ظهور الألفاظ بالنسبة إلى مرادات المتكلّمين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الظهورات في باب الألفاظ من جهة بناء العقلاء في محاوراتهم على بيان مراداتهم بما هو ظاهر اللفظ وترتيب الأثر عليه ، ولم يردع الشارع عن هذه الطريقة ، بل سلك هو أيضا في محاوراته هذا المسلك ولم يخترع طريقا آخر بل حاله حال أهل المحاورة والعرف في مقام الإفادة والاستفادة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ظواهر الألفاظ أجنبي عن المقام ؛ إذ أنّ الحيض أمر تكويني خاصّ كسائر ما يترشّح من الإنسان بل مطلق الحيوان ، فحمله على ترشّح خاصّ يحتاج إلى دليل وأمارة عليه ، ولا ظهور لذلك في حدّ نفسه أصلا وعلى فرض أن كان ، يحتاج إلى دليل على حجية هذا الظهور وليس شي‌ء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به الغلبة فصغرى وكبرى ممنوعة ؛ لأنّه قلّ من امرأة لا تبتلى بالاستحاضة ، مضافا إلى وجود دماء آخر في الرحم غير الحيض والاستحاضة ، وعلى فرض وجود الغلبة لا 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به أنّ مقتضى أصالة السلامة هو أنّ الدم الذي يقذفه الرحم السالم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لا دليل أوّلا على أنّ مقتضى السلامة أنّ الدم الخارج من الرحم السالم حيض ، إذ الدم الخارج منه يمكن أن يكون حيضا ويمكن أن لا يكون ، إذ كثيرا ما يخرج من الرحم السالم غير الحيض من سائر الدماء كما هو واضح بالعيان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على فرض كونها مقتضيا لذلك فليس من قبيل العلة التامّة بحيث يقطع </w:t>
      </w:r>
    </w:p>
    <w:p>
      <w:pPr>
        <w:pStyle w:val="BookText"/>
        <w:rPr/>
      </w:pPr>
      <w:r>
        <w:rPr>
          <w:rFonts w:ascii="Amiri" w:hAnsi="Amiri" w:eastAsia="Amiri" w:cs="Amiri"/>
          <w:color w:val="111111"/>
          <w:sz w:val="28"/>
          <w:sz w:val="28"/>
          <w:szCs w:val="28"/>
          <w:rtl w:val="true"/>
          <w:lang w:bidi="ar-SA"/>
        </w:rPr>
        <w:t>الإنسان أنّ كل دم يقذفه يكون حيضا ؛ إذ من الواضح أنّ الرحم السالم ربما يقذف الدم قبل البلوغ أو بعد اليأس بزمان يسير أو ربما يزيد على العشرة ، وكلّ هذه ليس بحيض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الدم الخارج من الرحم السالم في غير ما دلّ الدليل على عدم كونه حيضا يظنّ أنه حيض ، ولكن لا دليل على اعتبار هذا الظنّ ، فمقتضى أصالة حرمة العمل بالظنّ عدم جواز العمل بهذا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ربما يدّعي من أنّ ما عدا الحيض من الدماء التي يقذفها الرحم خلاف مقتضى الفطرة الأوليّة للنساء وخلقتها الأصليّة لهنّ ولا بدّ وأن يكون من جهة علّة وآفة في الرحم ، ومقتضى أصالة السلامة نفي هذه الاحتمالات ، فلا بدّ وأن يحمل على أنّه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هذه الدعاوي إلاّ من موجبات الظنّ بأنّ الدم الخارج حيض ، وقلنا أنّه لا دليل على اعتبار مثل هذا الظنّ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من الأصل استصحاب عدم كون هذا الدم الخارج من العرق العاذل حتى يكون حيضا ، لعدم احتمال دم ثالث في البين ، أو استصحاب عدم كون هذا الدم استحاضة بالعدم الأزلي وبطور السالبة المنتفية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استصحاب العدم النعتي وليس هذا العدم حالة سابقة ، وقد أبطلنا استصحاب العدم الأزلي لإثبات عدم النعت في الأصول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عدم كونه حيضا على فرض تسليم جريان استصحاب العدم الأزلي لإثبات عدم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كونه استحاضة أو عدم كونه من عرق العاذل لإثبات كون هذا الدم المشكوك حيضا من أردء أقسام المثبتات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على أنّ ما رأت المرأة التي هي في سنّ من تحيض من الدم </w:t>
      </w:r>
    </w:p>
    <w:p>
      <w:pPr>
        <w:pStyle w:val="BookText"/>
        <w:rPr/>
      </w:pPr>
      <w:r>
        <w:rPr>
          <w:rFonts w:ascii="Amiri" w:hAnsi="Amiri" w:eastAsia="Amiri" w:cs="Amiri"/>
          <w:color w:val="111111"/>
          <w:sz w:val="28"/>
          <w:sz w:val="28"/>
          <w:szCs w:val="28"/>
          <w:rtl w:val="true"/>
          <w:lang w:bidi="ar-SA"/>
        </w:rPr>
        <w:t>الخارج من الرحم أنّه حيض ، إلا إذا علم عدم كونه حيضا بواسطة الأدلّة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الدليل إلى مراجعة العرف في تشخيص مصاديق مفهوم الذي جعله الشارع موضوعا لحكمه ، مثلا جعل الشارع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للحرمة ، فإذا شكّ في صوت أنّه من مصاديق الغناء فالمرجع في تشخيص المصداق لذلك المفهوم هو العرف ، فإذا كان بناء العرف مثلا على أنّ كل صوت شكّ في أنّه غناء فهو غناء ، فهذا البناء من أهل العرف حجّة على كونه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أيضا كذلك ، إذا كان بناء عرف النساء أنّ كلّ دم لم يعلم أنّه استحاضة أو دم آخر غير دم الحيض فهو من مصاديق مفهوم الحيض الذي هو مفهوم عرفي ، لا أنّه من مخترعات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تطبيق المفهوم على المصاديق ليس بيد العرف ، وإنّما المرجع هو العرف في تعيين المفاهيم وفهم المراد منها ، وأمّا تطبيق المفهوم على المصداق فهو دقي وبيد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الشكّ في الصدق من جهة عدم معرفة حدود المفهوم من حيث السعة والضيق ، ويسمّى بالشك في الصدق مقابل الشبهة المصداقيّة ، ففي مثل هذا المورد لا بأس بمراجعة العرف ؛ لأنّه في الحقيقة يرجع إلى تعيين حدود المفهوم ، ويكون المناط فيه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منشأ الشكّ أمور خارجيّة أو احتمال فقدان شرط شرعي أو قيد أو وجود مانع كذلك بناء على جريان هذه القاعدة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تلك الجهة ، أي من جهة الشبهة المصداقية قطعا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ظاهر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 وأنّ الوظيفة العمليّة في ظرف الشكّ ما هو؟ وبناء العرف في هذا المقام لا أثر له ، ولو صحّ ما ذكرنا من مراجعة العرف في مقام تشخيص مصاديق المشتبهة للمفاهيم فيكون بناؤهم رافعا للشكّ وأمارة على الحيض إن كانت الشبهة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w:t>
      </w:r>
    </w:p>
    <w:p>
      <w:pPr>
        <w:pStyle w:val="BookText"/>
        <w:rPr/>
      </w:pPr>
      <w:r>
        <w:rPr>
          <w:rFonts w:ascii="Amiri" w:hAnsi="Amiri" w:eastAsia="Amiri" w:cs="Amiri"/>
          <w:color w:val="111111"/>
          <w:sz w:val="28"/>
          <w:sz w:val="28"/>
          <w:szCs w:val="28"/>
          <w:rtl w:val="true"/>
          <w:lang w:bidi="ar-SA"/>
        </w:rPr>
        <w:t>كان المراد من بناء العرف بنائهم على ترتيب آثار الحيض على دم المشكوك الحيضيّة عملا ، فيحتاج حجيّة هذه البناء منهم على إمضاء الشارع على فرض تحقّق هذا البناء منهم ، مع أنّ تحقّق مثل هذا البناء في غير مورد الأمارات الشرعيّة كالعادة ووجود الصفات وغيرهما لا يخلو من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موارد العادة ، أو فيما إذا كان الدم بصفات الحيض فإرجاع الشارع إليهما وإن كان مسلّما ، ولكن لا ربط له بقاعدة الإمكان ، بل إرجاعه إليهما يكون رادعا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أثر في أخبار الباب من الإرجاع إلى قاعدة الإمكان عند فقد العادة وعدم الصفات ، مع أنّه لو كانت القاعدة بمعنى بناء العرف المذكور ممضاة من قبل الشارع لكان يقتضي الإرجاع إليها أيضا ، خصوصا عند 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عدم إرجاع الشارع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في حيضيّة الدم الخارج من مدخل الرحم خصوصا بعد فقد العادة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إمضائه لهذه البناء على تقدير تسليم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المتشرّعة بما هم متشرّعة لا بما هم عقلاء على ترتيب آثار الحيض على الدم المشكوك كونه حيضا ، ولا شكّ في أنّ السيرة العمليّة من المتشرّعة بما هم متشرّعة ، مثل الإجماع والاتّفاق القولي كاشف قطعي عن رأي الإمام علیه السلام لأنّها في الحقيقة إجماع عملي من المتشرّعة أعمّ من أن يكونوا فقهاء مجتهدين أم كانوا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وملاك الحجيّة وهو الاستناد وكونه مسببا عن رأي المعصوم في كليهما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معلوميّة هذا الاتّفاق منهم بمجرّد كون الدم مشكوك الحيضيّة ، وعلى تقدير تحقّقه فلعلّه من جهة وجود أمارة من العادة أو الصفات أو غيرهما احتياطا فيما يمكن الاحتياط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كاشفيّة السيرة عن رأي الإمام علیه السلام منوطة باتّصالها إلى زمان المعصوم ، ولا طريق إلى إثبات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تحقّقت السيرة من المتشرّعة بما هم متشرّعة من </w:t>
      </w:r>
    </w:p>
    <w:p>
      <w:pPr>
        <w:pStyle w:val="BookText"/>
        <w:rPr/>
      </w:pPr>
      <w:r>
        <w:rPr>
          <w:rFonts w:ascii="Amiri" w:hAnsi="Amiri" w:eastAsia="Amiri" w:cs="Amiri"/>
          <w:color w:val="111111"/>
          <w:sz w:val="28"/>
          <w:sz w:val="28"/>
          <w:szCs w:val="28"/>
          <w:rtl w:val="true"/>
          <w:lang w:bidi="ar-SA"/>
        </w:rPr>
        <w:t>دون استناد إلى الأدلّة الشرعية من الصفات والعادة والروايات الواردة في هذا الباب ، ومن دون كون ترتيب آثار الحيضيّة من باب الاحتياط ، وكانت متّصلة بزمان المعصوم ولم يردع عنها فتكون دليلا 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جميع مقدّمات هذا الدليل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كاشف اللثام من أنّه لو لم يعتبر قاعدة الإمكان عند الشكّ في كون الدم حيضا لما أمكن الحكم بحيضيّة دم ؛ لعدم اليقين بها غالبا ، وعدم دليل آخر من أصل أو أمارة يدلّ على كونه حيضا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الشارع أمارات لإثبات كونه حيضا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العادة وقتا وعددا أو أحدهما وإن لم يكن بصفات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 الدم بصفات الحيض وإن لم يكن في العادة ، كما في قوله علیه السلام في مرسل يونس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الحيض أسود يعرف </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علیه السلام في خبر حفص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امرأة سألته عن المرأة يستمرّ بها الدم ، فلا تدري حيض هو أم غيره؟ قال علیه السلام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دم الحيض حارّ عبيط أسود ، له دفع وحرارة ، ودم الاستحاضة بارد رقيق ، فإذا كان للدم حرارة ودفع وسواد فلتدع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امرأة ما زاد على هذا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في التذكرة </w:t>
      </w:r>
      <w:r>
        <w:rPr>
          <w:rStyle w:val="FootnoteAnchor"/>
          <w:rtl w:val="true"/>
        </w:rPr>
        <w:footnoteReference w:id="25"/>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دم الحيض ليس به خفاء ، وهو دم حار محتدم ، له 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معرفة الحيض بالصفات </w:t>
      </w:r>
    </w:p>
    <w:p>
      <w:pPr>
        <w:pStyle w:val="BookText"/>
        <w:rPr/>
      </w:pPr>
      <w:r>
        <w:rPr>
          <w:rFonts w:ascii="Amiri" w:hAnsi="Amiri" w:eastAsia="Amiri" w:cs="Amiri"/>
          <w:color w:val="111111"/>
          <w:sz w:val="28"/>
          <w:sz w:val="28"/>
          <w:szCs w:val="28"/>
          <w:rtl w:val="true"/>
          <w:lang w:bidi="ar-SA"/>
        </w:rPr>
        <w:t xml:space="preserve">كثيرة فراجع محلّها ، أي باب علائم دم الحيض من كتاب جامع أحاديث الشيعة في أحكام الشريعة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الحكم بكونه حيضا مع التوالي ثلاثة أيّام والانقطاع على ما دون العشرة وان لم يكن بصفات الحيض وغير ذلك من الامارات ، فلا بأس في الرجوع إلى أصالة العدم فيما لم يكن يقين وإحدى هذه الأمارات ، ولا يلزم من عدم اعتبار قاعدة الإمكان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يستظهر منها حكم الشارع بأنّ الدم الذي لم تدلّ الأدلّة الشرعيّة على عدم كونه حيضا فهو حيض ، بمعنى أنّ ما اعتبره الشارع في الحيضيّة من القيود الوجوديّة والعدميّة موجودة فيه ، فبالنسبة إلى الأدلّة الشرعيّة لا مانع من 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تلك الأخبار الكثيرة في الموارد المختلفة أنّ مثل هذا الدم حيض ؛ ولذلك عبّر جماعة عن الإمكان في هذه القاعدة بالإمكان القياسي ، أي بالقياس إلى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هذا المعنى لا ينافي ما ذكرنا من أنّ المراد بالإمكان المذكور في القاعدة هو الإمكان الوقوعي شرعا ، أي لا يلزم من وقوعه شرعا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عمر المرأة أقلّ من تسع ، أو أكثر من خمسين في غير القرشية ، أو من ستين فيها فلا يمكن أن يكون حيضا بالإمكان الوقوعي عند الشارع ؛ لأنّه يلزم من كونه حيضا محذور شرعا بعد ما اعتبر كون عمر المرأة التي تحيض تسع فما زاد ، وأن لا يكون أكثر من خمسين أو ستّين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الدالّة على أنّ ما تراه المرأة قبل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عشرة </w:t>
      </w:r>
    </w:p>
    <w:p>
      <w:pPr>
        <w:pStyle w:val="BookText"/>
        <w:rPr/>
      </w:pPr>
      <w:r>
        <w:rPr>
          <w:rFonts w:ascii="Amiri" w:hAnsi="Amiri" w:eastAsia="Amiri" w:cs="Amiri"/>
          <w:color w:val="111111"/>
          <w:sz w:val="28"/>
          <w:sz w:val="28"/>
          <w:szCs w:val="28"/>
          <w:rtl w:val="true"/>
          <w:lang w:bidi="ar-SA"/>
        </w:rPr>
        <w:t xml:space="preserve">الطهر الفاصلة بين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الحيضة الأولى ، وما تراه بعدها فهو من الحيضة المستقبلة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يونس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المرأة ترى الدم ثلاثة أيّام أو أربعة أيّام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الطهر ثلاثة أيام أو أربعة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الدم ثلاثة أيّام أو أربعة أيّام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الطهر ثلاثة أيّام ، أو أربعة أيّام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الدم ثلاثة أيّام ، أو أربعة أيّام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تصنع ما بينها وبين الشهر ، فإن انقطع عنها وإلاّ فهي بمنزلة المستحاضة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أخرى عن يونس بن يعقوب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ترى الدم خمسة أيّام والطهر خمسة أيام ، وترى الدم أربعة أيّام ، وترى الطهر ستّة أيّام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رأت الدم لم تصلّ ، وإن رأت الطهر صلّت ما بينها وبين ثلاثين يوما ، فإذا تمّت ثلاثون يوما فرأت الدم دما صبيبا اغتسلت واستثفرت واحتشّت بالكرسف في وقت كلّ صلاة ، فإذا رأت صفرة توضّأت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ترى الدم قبل وقت حيضها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الدم قبل وقت حيضها فلتدع الصلاة ، فإنّه ربما تعجل بها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 عن أبي عبد اللّه علیه السلام أنّه سأل عن الحلبي ترى </w:t>
      </w:r>
    </w:p>
    <w:p>
      <w:pPr>
        <w:pStyle w:val="BookText"/>
        <w:rPr/>
      </w:pPr>
      <w:r>
        <w:rPr>
          <w:rFonts w:ascii="Amiri" w:hAnsi="Amiri" w:eastAsia="Amiri" w:cs="Amiri"/>
          <w:color w:val="111111"/>
          <w:sz w:val="28"/>
          <w:sz w:val="28"/>
          <w:szCs w:val="28"/>
          <w:rtl w:val="true"/>
          <w:lang w:bidi="ar-SA"/>
        </w:rPr>
        <w:t xml:space="preserve">الدم أتترك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الحبلى ربما قذفت بالدم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الحبلى ترى الدم ثلاثة أيّام أو أربعة أتصلي؟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عن الصلاة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منصور بن حازم ، عن أبي عبد اللّه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ساعة رأت المرأة الدم فهي 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هناك روايات أخر تمسكوا بها أيضا لإثبات هذه القاعدة تركناها لكي لا يطول المقام ، وما ذكرنا منها أظهر في المقصود ممّا لم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يمكن المناقشة في دلالة هذه الروايات على اعتبار هذه القاعدة بطور الكلية في الشبهة الحكميّة والموضوعيّة بصرف احتمال كون الدم حيضا مع عدم محذور شرعا من الحكم بحيضيّته ، بمعنى عدم دليل شرعي على عدم كونه حيضا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منها كون الدم حيضا على أيّ حال ، بلا اشتباه في كونه حيضا أم لا ، وأنّما الشكّ في كونه من الحيضة الأولى أم الثانية ، فيقول علیه السلام بأنّ الدم الذي قبل العشرة من الحيضة الأولى وما بعدها من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جهة أنّ النقاء المتخلّل بين الدمين إذا لم يزد مع ما في طرفيه على العشرة فالمجموع حيضة واحدة ،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فالدم الأوّل من حيضة والثاني من حيضة أخرى ، وإلاّ يلزم أن يكون أكثر الحيض أكثر من العشرة ، وهو معلوم العدم ؛ فليس في مقام الحكم بكونه حيضا فيما إذا تردّد بين كونه حيضا وبين عدمه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روايتان يونس بن يعقوب الأولى والثانية فالظاهر أنّهما في المرأة التي استدام بها الدم واختلط عليها عادتها ، فتعمل عمل الحائض عند رؤية كلّ دم لاحتمال كونه هو الحيض ، وعمل الطهر عند كلّ طهر حتّى يتبيّن حالها فيما بعد وترجع إلى عادتها وإلاّ فالحكم بحيضيّة كلّ دم من تلك الدماء معلوم العدم ؛ لعدم الفصل بين الدمين بالنقاء العشرة التي هي أقلّ الطهر ، وكون مجموع الدمين مع النقاء المتخلّل بينهما أكثر من عشرة في بعض الصور منها ، فلا يمكن تطبيقها على قاعدة الإمكان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ربما تعجل بها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 تقدّم الدم قليلا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يوم أو يومين على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يخرجها عن كونها ذات العادة الوقتيّة ، لأنّه ربما تعجل بها الوقت ، فيكون الحكم بحيضيّته من جهة كونه في الوقت وهي ذات العادة الوقتيّة ، وهي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تعجل بها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توسعة في الوقت ، فلا ربط لها بقاعدة الإمكان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بكون الدم الذي قبل الحيض بيوم أو يومين فهو حيض وإن كان ذا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 فهي صريحة في أنّ التقدّم بيوم أو يومين على وقت العادة لا يخرجها عن كونها ذات العادة الوقتية بالنسبة إلى هذا الدم المتقدم على الوقت ، وإلاّ فبمقتضى صفة كونه ذا صفرة يجب أن يحكم عليه بأنّه استحاضة ولكنّه حيث أنّ أماريّة الوقت والعادة مقدّمة على الصفات فيحكم بحيضيّته ؛ ولذا وردت في الروايات أنّ الصفرة في أيّام الحيض حيض وفي غيرها استحاضة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عبد اللّه بن سنان 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أنّ الحيض يجتمع مع الحبل ، ولا فرق بين الحبل وغيره في إمكان تحقّق الحيض معه ، وهذا لا ينافي أنّ إثباته يحتاج إلى أمارات وعلائم التي جعلها الشارع طريقا إلى معرفة الحيض ؛ فلا ربط لهما بقاعدة </w:t>
      </w:r>
    </w:p>
    <w:p>
      <w:pPr>
        <w:pStyle w:val="BookText"/>
        <w:rPr/>
      </w:pP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أنّ الحيض بمحض وجوده في نهار رمضان يوجب الإفطار ، سواء أكان في أوّل النهار أو في آخر النهار بعد الفراغ عن كونه حيضا ، لا أنّه في مورد الشكّ في حيضيّته يحكم بكونه حيضا ؛ فلا ربط لها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الواردة في باب تميّز دم الحيض عن دم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تستدخل قطنة ، فإن خرجت والدم فيها مطوّق فهو دم العذرة ، وإن خرجت والدم فيها منغمس فدم الحيض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جعل الشارع الانغماس في القطنة أمارة للحيض ، والتطوق أمارة للعذرة ، فإن عمل بها فتكون من باب قيام الأمارة على الحيض مقابل الاشتباه بالعذرة لا مطلقا ، وإن لم يعمل بها فلا يدلّ على شي‌ء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لها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الرواية الواردة في تميّز الحيض عن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عن الجانب الأيسر فحيض ، وإن كان خروج الدم عن الجانب الأيمن فقرحة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جعل الخروج من كلّ واحد من الطرفين أمارة لأحدهما مع انحصار الاحتمال فيهما ، ولا يكون احتمال كون الدم دما آخر كالاستحاضة مثلا ، فان عمل بها يكون إثبات الحيض بالأمارة لا بقاعدة الإمكان وإلاّ فلا يدل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اختلاف النسخ ، ففي بعضها جعل الأيسر علامة الحيض ، وفي بعضها الأيمن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روايات الاستظهار بيوم أو يومين </w:t>
      </w:r>
      <w:r>
        <w:rPr>
          <w:rStyle w:val="FootnoteAnchor"/>
          <w:rtl w:val="true"/>
        </w:rPr>
        <w:footnoteReference w:id="37"/>
      </w:r>
      <w:r>
        <w:rPr>
          <w:rFonts w:ascii="Amiri" w:hAnsi="Amiri" w:eastAsia="Amiri" w:cs="Amiri"/>
          <w:color w:val="111111"/>
          <w:sz w:val="28"/>
          <w:sz w:val="28"/>
          <w:szCs w:val="28"/>
          <w:rtl w:val="true"/>
          <w:lang w:bidi="ar-SA"/>
        </w:rPr>
        <w:t>، فليس إلاّ من جهة الاحتياط حتّى يتبيّن الحال ، كما هو ظاهر لفظ الاستظهار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بعض الروايات أنّ المرأة إذا تجاوز الدم عن عادتها فهي تستظهر بيوم أو يومين أو ثلاثة أيّام كصحيح البزنطي عن أبي الحسن الرضا علیه السلام ، سألته عن الطامث كم تستظهر؟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بيوم أو يومين أو ثلاثة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 يونس بن يعقوب ،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رأت الدم في حيضها حتى تجاوز وقتها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تنظر عادتها التي كانت تجلس ، ثمَّ تستظهر بعشرة أيّام </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أخبار الاستظهار مختلفة جدّا من حيث تعيين مقدار الاستظهار بين يوم واحد ، ويومين ، وثلاثة أيّام ، وعشرة أيّام ، وثلثي أيّامها في النفساء ؛ ولذلك حملوها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المقصود من الاستظهار تبيّن حال الدم وأنّه بعد تجاوزه عن مقدار عادتها العدديّة هل ينقطع على العشرة أو ما دونها حتى يكون المجموع حيضا ، أو يتجاوز عن العشرة حتى تأخذ بعادتها؟ فلا ربط لها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وقد ادّعاه جماعة من الأصحاب كالمحقّق في المعتبر </w:t>
      </w:r>
      <w:r>
        <w:rPr>
          <w:rStyle w:val="FootnoteAnchor"/>
          <w:rtl w:val="true"/>
        </w:rPr>
        <w:footnoteReference w:id="40"/>
      </w:r>
      <w:r>
        <w:rPr>
          <w:rFonts w:ascii="Amiri" w:hAnsi="Amiri" w:eastAsia="Amiri" w:cs="Amiri"/>
          <w:color w:val="111111"/>
          <w:sz w:val="28"/>
          <w:sz w:val="28"/>
          <w:szCs w:val="28"/>
          <w:rtl w:val="true"/>
          <w:lang w:bidi="ar-SA"/>
        </w:rPr>
        <w:t xml:space="preserve">، والعلامة في المنتهى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دم يمكن أن يكون حيضا فهو حيض</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وأرسله إرسال المسلّمات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الأصحاب</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دم يمكن أن يكون حيضا وينقطع على العشرة فإنّه حيض ، سواء اتّفق لونه أو اختلف ، ضعيف أو قوي إجماعا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الصفرة والكدرة في أيّام الحيض حيض ، وفي أيّام الطهر طهر ، سواء كان أيّام العادة أو الأيّام التي يمكن أن تكون حائضا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صحّة ما ذهبنا إليه إجماع الفرقة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مفتاح الكرامة ، في شرح قول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دم يمكن أن يكون حيضا فهو حيض إجماعا ، كما في المعتبر ، والمنتهى ، ونهاية الأحكام ذكره في مبحث الاستحاضة ، ومجمع البرهان ، وفي جامع المقاصد نسبه إلى الأصحاب ، وفي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الشهيد في اللمعة فيكون مشهورا بناء على ما ذكره في آخرها وقال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لكان الحكم به مشكلا من حيث ترك المعلوم ثبوته بمجرد الإمكان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يعوّلوا على الإمكان ، وإنّما عوّلوا على الإجماع ، والمجمعون اطلعوا على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مفتاح الكرامة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هذه الكلمات من هؤلاء الأكابر والأعاظم تكشف عن تسلّمهم على هذه القاعدة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الكلام في أنّه هل من الإجماع المصطلح الأصولي الذي قلنا بحجيّته واستكشاف رأي المعصوم علیه السلام منه أم لا ، بل اتّفاقهم مستند إلى ما ذكرنا من الأدلّة </w:t>
      </w:r>
      <w:bookmarkStart w:id="80" w:name="pg15902_182219"/>
    </w:p>
    <w:p>
      <w:pPr>
        <w:pStyle w:val="BookText"/>
        <w:rPr/>
      </w:pPr>
      <w:bookmarkEnd w:id="80"/>
      <w:r>
        <w:rPr>
          <w:rFonts w:ascii="Amiri" w:hAnsi="Amiri" w:eastAsia="Amiri" w:cs="Amiri"/>
          <w:color w:val="111111"/>
          <w:sz w:val="28"/>
          <w:sz w:val="28"/>
          <w:szCs w:val="28"/>
          <w:rtl w:val="true"/>
          <w:lang w:bidi="ar-SA"/>
        </w:rPr>
        <w:t>الخمسة المتقدّمة؟</w:t>
      </w:r>
    </w:p>
    <w:p>
      <w:pPr>
        <w:pStyle w:val="BookText"/>
        <w:rPr/>
      </w:pPr>
      <w:r>
        <w:rPr>
          <w:rFonts w:ascii="Amiri" w:hAnsi="Amiri" w:eastAsia="Amiri" w:cs="Amiri"/>
          <w:color w:val="111111"/>
          <w:sz w:val="28"/>
          <w:sz w:val="28"/>
          <w:szCs w:val="28"/>
          <w:rtl w:val="true"/>
          <w:lang w:bidi="ar-SA"/>
        </w:rPr>
        <w:t>والظاهر أنّ مستند المتّفقين مختلفة ، فبعضهم لا يستندون إلاّ إلى نفس الاتّفاق والإجماع ، من دون أن يكون لهم مستند آخر عقليّا أو نقليّا ، وبعضهم الآخر يستندون إلى الأدلّة المتقدّمة ، وهم أيضا مختلفون فبعضهم يستندون إلى أصالة السلامة ، وبعضهم يستندون إلى الأخبار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مثل هذا الإجماع لا يفيد لإثبات قاعدة كلّية ظاهريّة في مقام الشكّ ، خصوصا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الأقوال في هذه القاعدة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باعتبارها في الشبهة الحكميّة والموضوعية جميعا ، وآخر بعدم اعتبارها مطلقا ، وقول بالتفصيل بين الشبهة الحكميّة والموضوعيّة ، بعدم اعتبارها في الأولى واعتبارها في الثانية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5519118_2142443653"/>
      <w:bookmarkStart w:id="82" w:name="_Toc25"/>
      <w:bookmarkEnd w:id="81"/>
      <w:r>
        <w:rPr>
          <w:rtl w:val="true"/>
        </w:rPr>
        <w:t xml:space="preserve">الجهة الثالثة </w:t>
      </w:r>
      <w:r>
        <w:rPr>
          <w:rtl w:val="true"/>
        </w:rPr>
        <w:t xml:space="preserve">: </w:t>
      </w:r>
      <w:r>
        <w:rPr>
          <w:rtl w:val="true"/>
        </w:rPr>
        <w:t>في بيان موارد جريان القاعدة على تقدير اعتبارها</w:t>
      </w:r>
      <w:bookmarkEnd w:id="82"/>
    </w:p>
    <w:p>
      <w:pPr>
        <w:pStyle w:val="Heading4"/>
        <w:numPr>
          <w:ilvl w:val="3"/>
          <w:numId w:val="1"/>
        </w:numPr>
        <w:rPr/>
      </w:pPr>
      <w:bookmarkStart w:id="83" w:name="__RefHeading___Toc15519120_2142443653"/>
      <w:bookmarkStart w:id="84" w:name="_Toc26"/>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ولا بدّ في تعيين ذلك من النظر إلى دليل اعتبارها ، وأنّه هل يدلّ على اعتبارها في كلّ مورد لم يعلم بعدم كونه حيضا بحسب الأدلّة الشرعيّة وإن احتمل ذلك ، فتدلّ هذه القاعدة بناء على هذا كون كلّ دم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دليل على عدم حيضيّته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حيض أم لا ، بل دائرة اعتبارها أضيق ممّا ذكر؟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سعة دائرة موارد جريانها هو دلالة دليل اعتبارها سعة وضيقا ، فلو كان الدليل على اعتبارها هو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معنى من معانيه التي ذكرناها يكون موردها عامّا يشمل الشبهة الحكميّة والموضوعيّة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عرفت عدم صحّة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يكون دليلها هو 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الدليل الثاني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فرض تحقّقه وحجيّة ذلك البناء على أكثر من كون الدم المشكوك من جهة الشبهة الموضوعيّة والأمور الخارجيّة حيضا ، فلا يشمل الشكّ في كونه من جهة الشبهة الحكميّة ؛ لأنّه مع احتمال اعتبار الشارع قيد وجودي أو عدمي لا يبقى مجال لدلالة بناء العرف والعقلاء على حيضية الدم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والعقلاء يحتاج حجيته إلى إمضاء الشارع ، ومع احتمال اعتبار الشارع وجود قيد مفقود في الدم المشكوك ، أو عدم قيد موجود فيه لا إمضاء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الإشكالات الواردة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الوجه الثالث أي السيرة المتشرّعة فعلى فرض تحقّقها عندهم بما هم متشرّعة واتّصالها بزمان المعصوم ولم يكن استنادهم إلى الروايات ، وإلاّ فيكون المدرك هي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فيها ولم يكن حكمهم بالحيضيّة من باب الأدلّة الشرعيّة والصفات والعلامات والعادة ، ولم يكن ردع عن قبل الشارع ، فلا بدّ وأن يلاحظ معقد السيرة هل هو خصوص الشبهة الموضوعيّة أو الأعمّ منها ومن الحكمية؟</w:t>
      </w:r>
    </w:p>
    <w:p>
      <w:pPr>
        <w:pStyle w:val="BookText"/>
        <w:rPr/>
      </w:pPr>
      <w:r>
        <w:rPr>
          <w:rFonts w:ascii="Amiri" w:hAnsi="Amiri" w:eastAsia="Amiri" w:cs="Amiri"/>
          <w:color w:val="111111"/>
          <w:sz w:val="28"/>
          <w:sz w:val="28"/>
          <w:szCs w:val="28"/>
          <w:rtl w:val="true"/>
          <w:lang w:bidi="ar-SA"/>
        </w:rPr>
        <w:t>وأما بناء على الوجه الرابع مع وضوح بطلانه في نفسه لا يفيد إلاّ فيما لا يكون مثبتا للحيضيّة ، وإن كان ذلك الدليل أصلا غير تنزيلي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التي استدلّوا بها على هذه القاعدة ، فلو قلنا بدلالتها على اعتبار هذه القاعدة وأغمضنا النظر عن الإشكالات التي أوردناها على دلالة تلك الأخبار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في دلالتها على اعتبار هذه القاعدة حتّى في الشبهات الحكميّة نظر بل إشكال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هذه التعليلات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علیه السلام في رواية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الحبلى ربما قذفت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أو قوله علیه السلام في رواية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ربما تعجل بها الوقت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كونها حبلى ، أو وجود الدم قبل وقت العادة ليس ممّا يمنع عن كون هذا الدم الخارجي حيضا ، فتدلّ على أنّ هذا الدم الخارجي إذا شككت في أنّه حيض من جهة احتمال كون الحبلى أو وجوده قبل وقت العادة مانعا خارجيا عن كونه حيضا فهو حيض ؛ لأنّه لا منافاة بين الحبل والحيض ، لأنّ الحبلى أيضا مثل غيرها ربما تقذف الدم وأيضا لا منافاة خارجا وتكوينا بين تقدّم الدم على الوقت وبين كونه حيضا ؛ لأنّه قد يعجل بها الوقت ، لا أنّه علیه السلام بصدد بيان أنّه عند الشكّ في مانعيّة الحمل أو مانعيّة وجود الدم قبل الوقت يكون حيضا حتّى يكون حكمه بالحيضيّة في مورد الشبهة الحكميّة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ودلالة الروايات على هذه القاعدة لو ثبتت تكون من ناحية هذه التعليلات ، وقد عرفت أنّ هذه التعليلات على دلالتها على القاعدة المذكورة لا تدلّ على أكثر من أنّ الدم المشكوك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الأمور الخارجيّة ، ككون المرأة حبلى ، أو تقدّم الدم على العادة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يلاحظ معقد الإجماع ، وهل انعقد الإجماع على فرض تحققه على اعتبارها مطلقا؟ سواء أكانت الشبهة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منشأ الشكّ احتمال اعتبار قيد وجودي من طرف الشارع ، وهو مفقود كالتوالي مثلا ، أو احتمال اعتبار قيد عدمي في دم الحيض ، وهو موجود كاحتمال اعتبار عدم كون عمرها أكثر من خمسين مثلا وهو أكثر ، أو اعتبار عدم كونها حاملا وهي حامل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موضوعيّة فقط ، منشأ الشكّ هي الأمور الخارجيّة ، أو لا بل انعقد على اعتبارها في الشبهات الموضوعيّة فقط ، أو يكون معقد الإجماع في بعض </w:t>
      </w:r>
    </w:p>
    <w:p>
      <w:pPr>
        <w:pStyle w:val="BookText"/>
        <w:rPr/>
      </w:pPr>
      <w:r>
        <w:rPr>
          <w:rFonts w:ascii="Amiri" w:hAnsi="Amiri" w:eastAsia="Amiri" w:cs="Amiri"/>
          <w:color w:val="111111"/>
          <w:sz w:val="28"/>
          <w:sz w:val="28"/>
          <w:szCs w:val="28"/>
          <w:rtl w:val="true"/>
          <w:lang w:bidi="ar-SA"/>
        </w:rPr>
        <w:t>الشبهات الموضوعية لا جميعا وهو خصوص مورد الروايات فقط دون سائر الشبهات الموضوعيّة؟</w:t>
      </w:r>
    </w:p>
    <w:p>
      <w:pPr>
        <w:pStyle w:val="BookText"/>
        <w:rPr/>
      </w:pPr>
      <w:r>
        <w:rPr>
          <w:rFonts w:ascii="Amiri" w:hAnsi="Amiri" w:eastAsia="Amiri" w:cs="Amiri"/>
          <w:color w:val="111111"/>
          <w:sz w:val="28"/>
          <w:sz w:val="28"/>
          <w:szCs w:val="28"/>
          <w:rtl w:val="true"/>
          <w:lang w:bidi="ar-SA"/>
        </w:rPr>
        <w:t>والإنصاف أنّه لو أغمضنا عن الإشكال الذي أوردنا على الإجماع فالذي يستظهر من معاقد إجماعاتهم واتّفاقاتهم هو المعنى الوسط ، أي اعتبارها في جميع الشبهات الموضوعيّة دون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مثل هذا الإجماع ليس ببعيد ، وهو الوجه في حجيّة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لمّا كانت هذه القاعدة مجعولة للشاكّ في حيضيّة الدم فيكون حكما ظاهريّا ، وأصلا عمليّا غير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هناك أمارة على أنّ الدم الكذائي حيض أو ليس بحيض ، أو أصل تنزيلي كاستصحاب الحيضيّة أو عدمها فلا يبقى مجال لجريان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بعض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كان المدرك لهذه القاعدة هي السيرة وهكذا أصالة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قبيل الأصول التنزيليّة ، فتتعارض مع سائر الأصول التنزيليّة كالاستصحاب مثلا ، إلاّ أن يكون مرجّح في البين يوجب تقديم أحدهما ، وإلاّ فمقتضى القاعدة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عدم الاحتياج إلى هذه القاعدة في جميع الموارد التي دلّ الدليل على كونه حيضا أو ليس بحيض من نصّ أو إجماع ، بل لا مورد لها ؛ لأنّها أصل عملي ، فمع وجود الأمارة المعتبرة من نصّ أو إجماع ، على الحيضيّة يرتفع موضوعها تعبّدا وفي عالم التشريع ، أي لا يبقى شكّ وتحيّر حتّى تصل النوبة إلى جريانها ولا فرق في حكومة الأمارات عليها بين أن يكون مؤدّاها موافقا للقاعدة أو مخالفا 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الأصول التنزيليّة على تقدير كونها أصلا غير تنزيلي ، ففي أيّام العادة التي حكم الشارع بحيضيّة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واجدة للصفات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لجريان القاعدة ، كما أنّه لو كان في غير أيّام العادة ولكن كان بصفات الحيض أيضا كذلك ، لأنّ </w:t>
      </w:r>
    </w:p>
    <w:p>
      <w:pPr>
        <w:pStyle w:val="BookText"/>
        <w:rPr/>
      </w:pPr>
      <w:r>
        <w:rPr>
          <w:rFonts w:ascii="Amiri" w:hAnsi="Amiri" w:eastAsia="Amiri" w:cs="Amiri"/>
          <w:color w:val="111111"/>
          <w:sz w:val="28"/>
          <w:sz w:val="28"/>
          <w:szCs w:val="28"/>
          <w:rtl w:val="true"/>
          <w:lang w:bidi="ar-SA"/>
        </w:rPr>
        <w:t>الشارع جعل الصفات أمارة على الحيضيّة ولو لم يكن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غير أيّام العادة لو كان بصفات الاستحاضة من كونه أصفرا باردا رقيقا فلا تجري القاعدة ؛ لأنّ الشارع جعل هذه الصفات في غير أيّام العادة أمارة الاستحاضة ، وكذلك فيما زاد على العشرة حكم الشارع بعدم حيضيّة ما زاد على العشرة ؛ لأنّ أكثر الحيض عشرة ، وكذلك ما زاد على العادة بشرط تجاوز الدم عن العشرة لحكم الشارع بأنّ ما زاد على العادة إن لم ينقطع على العشرة 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التطويق أمارة كون الدم دم العذرة عند اشتباه دم الحيض بدم العذرة فلا تجري القاعدة إذا كان الدم مطوقة في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الخروج من جانب الأيمن كان أمارة على كونه دم القرحة ، أو خروجه من جانب الأيسر كان أمارة الحيضيّة ، ففي كلا الموردين لا مجال لجريان القاعدة ، وكذا في كلّ مورد كان الشكّ من جهة احتمال اعتبار قيد وجودي مفقود في الدم ، أو احتمال اعتبار قيد عدمي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الحكميّة لا تجري القاعدة ، وكذلك في مستدامة الدم بناء على رجوعها إلى الروايات بأن تأخذ في شهر ثلاثة وفي شهر سبعة ، أو ترجع إلى عادة أهلها وأقاربها أو ترجع إلى التميّز بالصفات إن كانت ولم يكن الدم لونا واحدا ، ففي جميع ذلك لا مجال لجريان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كون القاعدة أصلا غير تنزيلي في كلّ مورد كان استصحاب الحيضية واستصحاب عدمها أيضا لا مجال لجريان القاعدة ؛ كلّ ذلك لأجل حكومة الأمارات والروايات على الأصول مطلقا ، والأصول التنزيلية على غير التنزيلية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 موارد جريان القاعدة في خصوص الشبهات الموضوعيّة فيما إذا لم يكن أمارة أو أصل تنزيلي ، إذا قلنا بأنّها أصل غير تنزيلي ، سواء أكانت موافقة للقاعدة أو كانت مخالفة لها</w:t>
      </w:r>
      <w:r>
        <w:rPr>
          <w:rFonts w:eastAsia="Amiri" w:cs="Amiri" w:ascii="Amiri" w:hAnsi="Amiri"/>
          <w:color w:val="111111"/>
          <w:sz w:val="28"/>
          <w:szCs w:val="28"/>
          <w:rtl w:val="true"/>
          <w:lang w:bidi="ar-SA"/>
        </w:rPr>
        <w:t xml:space="preserve">. </w:t>
      </w:r>
      <w:bookmarkStart w:id="85" w:name="pg15902_182224"/>
    </w:p>
    <w:p>
      <w:pPr>
        <w:pStyle w:val="Heading4"/>
        <w:numPr>
          <w:ilvl w:val="3"/>
          <w:numId w:val="1"/>
        </w:numPr>
        <w:rPr/>
      </w:pPr>
      <w:bookmarkStart w:id="86" w:name="__RefHeading___Toc15519122_2142443653"/>
      <w:bookmarkStart w:id="87" w:name="_Toc27"/>
      <w:bookmarkEnd w:id="85"/>
      <w:bookmarkEnd w:id="86"/>
      <w:r>
        <w:rPr>
          <w:rtl w:val="true"/>
        </w:rPr>
        <w:t xml:space="preserve">تذييل </w:t>
      </w:r>
      <w:r>
        <w:rPr>
          <w:rtl w:val="true"/>
        </w:rPr>
        <w:t>:</w:t>
      </w:r>
      <w:bookmarkEnd w:id="87"/>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القطع في دم يخرج من النساء بأنّه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عدم فصل أقلّ الطهر بين هذا الدم والحيض السابق عليه ، أو من جهة تجاوزه عن العشرة ، أو من جهة كونه أقلّ من الثلاثة ، أو لأيّ جهة من الجهات المذكورة في محلّها ممّا لا يمكن أن يكون حيضا حسب القواعد المقرّرة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أمره بين أن يكون استحاضة أو دم آخر غير الحيض فيحكم بأنه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بناءهم على أنّ الأصل في الدم الخارج عن فرج المرأة بعد القطع بعدم كونه حيضا أنّه استحاضة ، فهذا أصل ثانوي بعد عدم جريان قاعدة الإمكان وعدم أمارة كونه دم عذرة من تطويقه في القطنة التي تستدخلها في مخرج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قالوا في مقام الاستدلال على هذا الأصل الثانوي والقاعدة الطولية لتلك القاعدة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الاستحاضة دم طبيعي بالنسبة إلى سائر الدماء بعد عدم كونه حيضا يقينا لخروجه عن العرق العاذل وتكوّنه في أغلب الأمزجة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حادث لا بدّ وأن يكون حدوثه من أجل وجود علّة ، وخروجه من العرق العاذل إن كان صحيحا لا بدّ وأن يكون لحدوث علّة قد توجد فتنعدم ، وإلاّ فلا بدّ وأن يدوم الخروج وتكون المرأة مستدام الدم ، فإذا شككنا في وجود تلك العلّة كيف يمكن الحكم بأنّ معلولها موجود؟</w:t>
      </w:r>
    </w:p>
    <w:p>
      <w:pPr>
        <w:pStyle w:val="BookText"/>
        <w:rPr/>
      </w:pPr>
      <w:r>
        <w:rPr>
          <w:rFonts w:ascii="Amiri" w:hAnsi="Amiri" w:eastAsia="Amiri" w:cs="Amiri"/>
          <w:color w:val="111111"/>
          <w:sz w:val="28"/>
          <w:sz w:val="28"/>
          <w:szCs w:val="28"/>
          <w:rtl w:val="true"/>
          <w:lang w:bidi="ar-SA"/>
        </w:rPr>
        <w:t>إلاّ أن يأتي دليل تعبّدي على أن المحتمل استحاضة ، وهذا أوّل الكلام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تكونه في أغلب الأمزجة لا يوجب إلاّ الظنّ بكونه استحاضة من باب الحمل على الأكثر ، ولا دليل على حجيّة مثل هذا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الاستحاضة أغلب من سائر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الصغرى يأتي فيه ما ذكرنا في جواب الوجه الأوّل ، من عدم الدليل على حجيّة مثل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علة أخرى غير علّة الاستحاضة من الدماء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معارضتها بأصالة عدم حدوث علّة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 في مقام دفع المعارضة بأنّ علّة الاستحاضة دائما موجودة فلا مجرى لأصالة عدمها ، وذلك من جهة أنّه لو كان الأمر كذلك لكان دم الاستحاضة دائميّا ، لعدم إمكان تخلّف المعلول عن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موجود دائما من قبيل المقتضى لا العلّة التامّة ، ولذلك قد يتخلّف ولا يجري دم الاستحاضة لعدم وجود سائر أجزاء العلّة التامّة من الشرائط وإعدام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المعارضة وتجري أصالة العدم بالنسبة إلى تلك الشرائط وإعدام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مضافا إلى أنّ إثبات كون الدم بأنّه دم استحاضة باستصحاب عدم حدوث علّة سائر الدماء عجيب كما هو واضح ، إلاّ على القول بصحّة الأصول المثبتة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على فرض صحّة هذه القاعدة وأن يكون لها أصل فعند الشكّ يرتّب آثار الاستحاضة ، إمّا الكثرة أو القليلة أو المتوسّطة في موارد كثيرة من موارد الاشتباه ، كلّ واحدة من هذه الأقسام الثلاثة بالعلامات المعيّنة لها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902_182227"/>
      <w:bookmarkStart w:id="89" w:name="pg15902_182227"/>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pg15902_182227"/>
      <w:bookmarkStart w:id="91" w:name="__RefHeading___Toc15519124_2142443653"/>
      <w:bookmarkStart w:id="92" w:name="_Toc28"/>
      <w:bookmarkEnd w:id="90"/>
      <w:bookmarkEnd w:id="91"/>
      <w:r>
        <w:rPr/>
        <w:t>3</w:t>
      </w:r>
      <w:r>
        <w:rPr>
          <w:rtl w:val="true"/>
        </w:rPr>
        <w:t xml:space="preserve"> - </w:t>
      </w:r>
      <w:r>
        <w:rPr>
          <w:rtl w:val="true"/>
        </w:rPr>
        <w:t>قاعدة الإسلام يجبّ ما قبله</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الإسلام يجبّ ما قبله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والكلام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وموارد جريانها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فيه الخبر المشهور المعروف المروي عند العامّة والخاصّة عن النبي صلی اللّه علیه و آله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مجمع البحرين بزيادة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والتوبة تجبّ ما قبلها من الكفر والمعاصي والذنوب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وفي المحكى عن أبي الفرج الأصبهاني ، وأيضا في المحكي عن سيرة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حكاية إسلام 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وفد مع جماعة من بني مالك على مقوقس ملك مصر ، فلمّا رجعوا قتلهم المغيرة في الطريق وفرّ إلى المدينة مسلما ، وعرض خمس أموالهم على النبي صلی اللّه علیه و آله فلم يقبله ، وقال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المغيرة على نفسه ، وصار يحتمل ما قرب وما بعد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ذكر ابن سعد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إسلام مغيرة بن شعبة وغدره برفقائه من بني مالك ، وقتلهم وسلبهم أموالهم وفراره إلى المدينة وعرضه </w:t>
      </w:r>
    </w:p>
    <w:p>
      <w:pPr>
        <w:pStyle w:val="BookText"/>
        <w:rPr/>
      </w:pPr>
      <w:r>
        <w:rPr>
          <w:rFonts w:ascii="IRNazanin" w:hAnsi="IRNazanin" w:eastAsia="IRNazanin"/>
          <w:color w:val="111111"/>
          <w:sz w:val="28"/>
          <w:sz w:val="28"/>
          <w:szCs w:val="28"/>
          <w:rtl w:val="true"/>
          <w:lang w:bidi="fa-IR"/>
        </w:rPr>
        <w:t xml:space="preserve">أموالهم على رسول اللّه صلی اللّه علیه و آله وآبائه عن أخذه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قبل إسلامه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وروى في البحار في ذكر قضايا أمير المؤمنين علیه السلام أنّه جاء رجل إلى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طلّقت امرأتي في الشرك تطليقة ، وفي الإسلام تطليقتين فما ترى؟ فسكت عمر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 حتّى يجي‌ء علي بن أبي طالب ، فجاء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عليه قصّتك ، فقصّ عليه القصة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هدم الإسلام ما كان قبله هي عندك على واحدة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القمّي قدس سره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6"/>
      </w:r>
      <w:r>
        <w:rPr>
          <w:rFonts w:ascii="IRNazanin" w:hAnsi="IRNazanin" w:eastAsia="IRNazanin"/>
          <w:color w:val="111111"/>
          <w:sz w:val="28"/>
          <w:sz w:val="28"/>
          <w:szCs w:val="28"/>
          <w:rtl w:val="true"/>
          <w:lang w:bidi="fa-IR"/>
        </w:rPr>
        <w:t xml:space="preserve">، فإنّها نزلت في عبد اللّه بن أبي أميّة أخي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قال هذا لرسول اللّه صلی اللّه علیه و آله بمكّة قبل الهجرة ، فلمّا خرج رسول اللّه صلی اللّه علیه و آله الى فتح مكّة استقبله عبد اللّه بن أبي أميّة ، فسلم على رسول اللّه صلی اللّه علیه و آله فلم يرد علیه السلام ، فأعرض عنه ولم يجبه بشي‌ء ، وكانت أخته أمّ سلمة مع رسول اللّه صلی اللّه علیه و آله فدخل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أختي إنّ رسول اللّه قبل إسلام الناس كلّهم وردّ عليّ إسلامي وليس يقبلني كما قبل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رسول اللّه صلی اللّه علیه و آله على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سعد بك جميع الناس إلاّ أخي من بين قريش والعرب رددت إسلامه وقبلت الناس كلّهم؟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 إنّ أخاك كذّبني تكذيبا لم يكذّبني أحد من الناس ، هو الذي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تَفْجُرَ لَنا مِنَ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صلی اللّه علیه و آله ألم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يجبّ ما كان قبله؟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 اللّه صلی اللّه علیه و آله إسلامه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السيرة الحلبيّة في المجلّد الثالث صفحة مائة وخمسة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لمّا شفّع في أخيه ابن أبي سرح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بايعته وآمنته؟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يذكر ما جرى منه معك من القبيح ويستحي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فيها في صفحة مائة وستّة ، في المجلّد المذكور ، في إسلام هبار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يجبّ ما قبله والهجرة تجبّ ما قبلها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ذكرنا ، ومن شهرة هذا الحديث بين الفريقين ، يثق الإنسان بصدوره عن النّبي صلی اللّه علیه و آله الذي هو موضوع الحجيّة ، فلا إشكال فيه من ناحية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الكلام فيه من ناحية الدلالة ، فما هو الظاهر المتفاهم العرفي من هذه الجملة هو أنّ ما صدر عن الكافر في حال كفره من قول أو فعل بل ما كان له من اعتقاد يترتّب على ذلك الفعل أو القول أو الاعتقاد ضرر أو عقوبة عليه ، بحيث يكون ذلك الضرر من آثار ما ذكر في الإسلام لا في حال الكفر ، فالإسلام يقطع بقاء ذلك الفعل أو القول أو الاعتقاد ، ويجعله كالعدم وبلا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فباب الضمانات والديون في حال الكفر خارج عن مفاد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الأمور ثابتة في حال الكفر ، وليست من الآثار التي تثبت في حال الإسلام لتلك الأمور دون حال الكفر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صدر عنه صلی اللّه علیه و آله في مقام الامتنان على من يسلم ، وأيضا لترغيبه في قبول الإسلام ، وأن لا يخاف من الأقوال أو الأفعال التي صدرت عنه في حال كفره ، كما يشهد بذلك وروده خوف هبار بن أسود ، ومغيرة بن شعبة ممّا </w:t>
      </w:r>
    </w:p>
    <w:p>
      <w:pPr>
        <w:pStyle w:val="BookText"/>
        <w:rPr/>
      </w:pPr>
      <w:r>
        <w:rPr>
          <w:rFonts w:ascii="IRNazanin" w:hAnsi="IRNazanin" w:eastAsia="IRNazanin"/>
          <w:color w:val="111111"/>
          <w:sz w:val="28"/>
          <w:sz w:val="28"/>
          <w:szCs w:val="28"/>
          <w:rtl w:val="true"/>
          <w:lang w:bidi="fa-IR"/>
        </w:rPr>
        <w:t>فعلاه في حال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من قضية شفاعة عثمان لأخيه من الرضاعة ابن أبي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من استدلال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لأخيها عبد اللّه بن أبي أميّة بقولها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قلت إنّ الإسلام يجبّ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أو الأقوال التي تصدر من الكافر في حال كفره إن كانت يترتّب على ذلك الفعل أو القول الصادر عنه في حال كفره أثر في الإسلام يكون ضررا عليه ، بمعنى أنّه ذلك الفعل أو ذلك القول لو كان يصدر عنه في حال الإسلام لكان يعاقب ، كما أنه لو زنى أو شرب الخمر أو قتل مسلما وكذا في غير ما ذكر من الأفعال المحرمة شرعا التي على من يرتكبها عقاب من تعزير أو حدّ أو قصاص أو دية فالإسلام يقطع ما قبله ويجعله كالعدم ، بمعنى رفع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سرق في حال الكفر لا يقطع يده ، أو قتل مسلما لا يقاد ، أو زنى محصنا لا يرجم ، أو سبّ النبي صلی اللّه علیه و آله أو اللّه جلّ جلاله لا يقتل ؛ كلّ ذلك لأنّ الإسلام يجبّ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الحديث في مقام الامتنان لا بدّ وأن يكون الرفع وجعل الفعل والقول كالعدم بالنسبة إلى الآثار التي في رفعها امتنان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جار بالنسبة إلى التروك أيضا ، أي مفاد الحديث أنّ ترك الفعل الذي له أثر في الإسلام لا في حال الكفر ، بمعنى أنّه لو كان على تركه أمرا في حال الكفر يترتّب أثر عليه في الإسلام ، أي لو كان هذا الترك منه في حال الإسلام كان عليه كذا فالإسلام أيضا يرفع أثر ذلك الترك إذا كان في رفعه 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بناء على أنّ الكفّار مكلّفون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فتركهم للعبادات كالصلاة والصوم والزكاة لو كان في حال الإسلام كان يجب عليه قضاء ما فات ، وبالنسبة إلى الصوم كان يجب عليه الكفّارات أيضا ؛ لأنّه تعمد الإفطار في نهار شهر رمضان من غير عذر ، ولكن حيث صدرت هذه التروك عنه في حال الكفر فهذه الآثار التي في رفعها امتنان </w:t>
      </w:r>
    </w:p>
    <w:p>
      <w:pPr>
        <w:pStyle w:val="BookText"/>
        <w:rPr/>
      </w:pP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أوضح الواضحات أنّه صلی اللّه علیه و آله لم يكلّف أحدا من أصحابه الذين تركوها بقضاء عبادات التي فاتت عنهم أيّام كفرهم ، وكذلك الزكاة مع أنّ العين الزكويّة كانت موجودة عندهم لم يطلب من أحد منهم من الذين آمنوا بعد تشريع الزكاة زكاة السنين التي كانوا على الكفر بعد تشريع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حلول الحول بعد إسلامه فلا يسقط ويجب عليه ، لأنّ توجيه الخطاب بإيتاء الزكاة إليه في حال الإسلام ، فلا وجه لسقوطها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زمان التعلّق قبل أن يسلم فالإسلام يجعل هذا التعلّق وثبوت هذا الحقّ للفقراء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هذا الحقّ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بالأداء ، أو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ما ذكرنا في معنى الحديث بأنّه يلزم منه تخصيص الأكثر ، إذ لا ريب في بقاء عقوده وإيقاعاته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خارجة عن مجرى الحديث ومصبّه بالتخصّص ، لا بالتخصيص حتّى يلزم تخصيص الأكثر ؛ وذلك من جهة ما ذكرنا أنّ هذا الحديث حيث أنّه في مقام الامتنان وترغيب الناس إلى الإسلام فالظاهر من مفاده هو أنّ كلّ فعل أو قول أو اعتقاد يكون من آثاره في الإسلام ضرر عليه فالإسلام يجعله كالعدم ، وكذلك لو ترك أمرا وكان من آثار تركه ذلك الأمر في الإسلام لزوم تداركه بقضائه أو أدائه فالإسلام يرفع لزوم تداركه قضاء أو أداء ، كقضاء العبادات الفائتة عنه ، وأيضا كأداء زكاة ماله مع بقاء عينه ولكن بشرط توجّه الخطاب إليه حال الكفر ، لا حال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زمان تعلّق الزكاة وحصول شرائطها بتمامها حال الكفر ، بحيث لو كان مكلّفا الآن في حال الإسلام يكون منشأ تكليفه ذلك الخطاب المتوجّه إليه حال كفره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مثل هذا المعنى للحديث إمّا لم يرد عليه تخصيص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p>
    <w:p>
      <w:pPr>
        <w:pStyle w:val="BookText"/>
        <w:rPr/>
      </w:pPr>
      <w:r>
        <w:rPr>
          <w:rFonts w:ascii="Amiri" w:hAnsi="Amiri" w:eastAsia="Amiri" w:cs="Amiri"/>
          <w:color w:val="111111"/>
          <w:sz w:val="28"/>
          <w:sz w:val="28"/>
          <w:szCs w:val="28"/>
          <w:rtl w:val="true"/>
          <w:lang w:bidi="ar-SA"/>
        </w:rPr>
        <w:t xml:space="preserve">عن أن يكون 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عقوده وإيقاعاته وديونه وجميع ضماناته في حال كفره لو كان فيها ضرر أو حرج أو ضيق أو مؤاخذة فليس من ناحية الإسلام ، بل تلك الآثار كانت ثابتة عليه مع قطع النظر عن الإسلام ، فهي خارجة عن مفاد الحديث بالتخصّص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يدلّ أيضا ما ذكره في البحار في قضايا أمير المؤمنين علیه السلام في رجل طلّق امرأته في الكفر مرّة واحدة ، وفي الإسلام تطليقتين ، فقال علیه السلام في 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على واحدة هدم الإسلام ما قبله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وذلك من جهة أنّ حرمة المطلّقة ثلاثا حكم ثابت في الإسلام ، فإن أوجد السبب في الإسلام يترتّب هذا الحكم عليه ، وأمّا إن أوجد تمام السبب أو بعضه في حال الشرك فلا يترتّب عليه ، بل لا بدّ من إيجاد تمام السبب في حال الإسلام ، فإن أوجد بعض السبب في حال الشرك وبعضه في حال الإسلام فلا بدّ من إتمام ذلك البعض في حال الإسلام كي يترتّب عليه الأثر ؛ ولذا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عندك على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التطليقة الواقعة في حال الشرك لا أثر لها بالنسبة إلى هذا الحكم الثابت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الكلام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الحديث بحسب المتفاهم العرفي مؤيّدا بحكم أمير المؤمنين علیه السلام في المورد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تطليقة حال الشرك وتطليقتين في حال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ترتّب الأثر على الطلاق الواقع في حال الكفر بالنسبة إلى هذا الأثر الذي له في الإسلام أنّ الإسلام يجبّ ما قبله ممّا لو كان مسلما لكان هذا الأثر يترتّب على فعله أو قوله أو عقيدته ، فينتج أنّ الكافر لو أسلم وكانت ذمّته مشغولة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ما ارتكبه في حال الكفر ، وكان اشتغال ذمّته من ناحية الإسلام لا من ناحية 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فإسلامه موجب لسقوط ما في ذمّته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جميع العبادات التي فاتت منه في حال كفره وشركه من الصلاة </w:t>
      </w:r>
    </w:p>
    <w:p>
      <w:pPr>
        <w:pStyle w:val="BookText"/>
        <w:rPr/>
      </w:pPr>
      <w:r>
        <w:rPr>
          <w:rFonts w:ascii="Amiri" w:hAnsi="Amiri" w:eastAsia="Amiri" w:cs="Amiri"/>
          <w:color w:val="111111"/>
          <w:sz w:val="28"/>
          <w:sz w:val="28"/>
          <w:szCs w:val="28"/>
          <w:rtl w:val="true"/>
          <w:lang w:bidi="ar-SA"/>
        </w:rPr>
        <w:t>والزكاة والخمس والصيام حتّى الحجّ فيما إذا كان مستطيعا حال كفره واستقرّ عليه ولم يؤدّه فصار غير مستطيع وبعد ذلك أسلم فإذا أسلم يسقط جميع ذلك عنه بسبب جبّ الإسلام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أنّه بناء على ما ذكرنا في معنى الحديث أنّ ما هو من حقوق اللّه تعالى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بدنيّا فقط ، أو ماليا فقط ، أو كان مركّبا منهما ، فالأوّل كالصلاة ، والثاني كالزكاة ، والثالث كالحجّ وليس للمخلوقين مدخل وحقّ فيه إذا لم يكن معتقدا به في حال الكفر بل اعتقاده به يكون من ناحية إسلامه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تسقط بالإسلام ، ولا يكون عليه شي‌ء ، ولا قضاء فيما فيه القضاء لو كان الفوت في حال الإسلام لجبّ الإسلام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يكن هذا الحكم من معتقداتهم في دينهم قبل أن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كذلك ، أي كانوا معتقدين به حال كفرهم لكونه من دينهم أيضا ، فيكون ذلك الحكم مشتركا بين دينهم والإسلام ، وذلك قد يكون في العبادات ، وقد يكون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العبادات كما لو كان في حال كفره نذر أن يصوم يوما ، أو يتصدّق بكذا قربة إلى اللّه ، فخالف ولم يفعل ، وفرضنا أنّ الوفاء بالنذر واجب في دينه أيضا ، وكذا يجب القضاء في دينهم لو لم يأت بالنذر المعيّن الموقّت ، فهل الإسلام يجبّ وجوب القضاء أو الأداء عليه أم لا؟</w:t>
      </w:r>
    </w:p>
    <w:p>
      <w:pPr>
        <w:pStyle w:val="BookText"/>
        <w:rPr/>
      </w:pPr>
      <w:r>
        <w:rPr>
          <w:rFonts w:ascii="Amiri" w:hAnsi="Amiri" w:eastAsia="Amiri" w:cs="Amiri"/>
          <w:color w:val="111111"/>
          <w:sz w:val="28"/>
          <w:sz w:val="28"/>
          <w:szCs w:val="28"/>
          <w:rtl w:val="true"/>
          <w:lang w:bidi="ar-SA"/>
        </w:rPr>
        <w:t xml:space="preserve">فبناء على ما استظهرنا وذكرنا في معنى الحديث من أنّ المراد منه أنّ ما كانت ذمّته مشغولة حال كفره بحكم الإسلام لا بحكم دينه فالإسلام يجبّ ذلك الاشتغال ، وأمّا لو كان اشتغال ذمّته من ناحية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الإسلام أيضا في هذا الحكم موافقا مع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الحديث ، فلا يجبّ الإسلام مثل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لزوم إتيانه الآن بعد أن أسلم قضاء أو أداء مستند إلى ثبوت وجوب الأداء </w:t>
      </w:r>
    </w:p>
    <w:p>
      <w:pPr>
        <w:pStyle w:val="BookText"/>
        <w:rPr/>
      </w:pPr>
      <w:r>
        <w:rPr>
          <w:rFonts w:ascii="Amiri" w:hAnsi="Amiri" w:eastAsia="Amiri" w:cs="Amiri"/>
          <w:color w:val="111111"/>
          <w:sz w:val="28"/>
          <w:sz w:val="28"/>
          <w:szCs w:val="28"/>
          <w:rtl w:val="true"/>
          <w:lang w:bidi="ar-SA"/>
        </w:rPr>
        <w:t>أو القضاء عليه من ناحية الإسلام ، وإلاّ فهو بعد أن أسلم يرى ذلك الحكم باطلا لو لا أنّ الإسلام يقرّه ويمضيه ، فيكون الآن اشتغال ذمّته به حتّى في ذلك الوقت بحكم الإسلام في نظره واعتقاده ، لا من جهة دينه السابق ؛ لأنّه الآن يرى أنّ ذلك الدين كان باطلا من أصل أو كان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دية قتل الخطأ ، أو الجرح والجناية على أعضاء الغير ولو كان عن عمد ، فيما إذا رضي المجني عليه بالدية ثابتا في دينه السابق قبل أن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 الحديث لمثل هذا المورد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في استظهار المراد من الحديث أنّه عبارة عن أنّ ما صدر عنه من قول أو فعل أو كان له عقيدة كلّ ذلك إن كان قبل أن يسلم وكان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ضرر أو مشقة أو عقوبة على ذلك القول أو على ذلك الفعل أو على تلك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يرفع ذلك الأثر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في المفروض والمورد ليس من هذا القبيل ، بل كان هذا الأثر والضرر يترتّب على قوله أو فعله حتّى في دينه ، وما احتملناه ووجّهنا به الجبّ في نظيره في العبادات لا يخلو من نظر وإشكال ، كما هو غير خفيّ على الناقد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هذا الحديث في مقام الامتنان ، والجبّ في المفروض وإن كان امتنانا على الفاعل لكنّه خلاف الامتنان في حقّ المجني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ورد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 دم كان في الجاهلية فهو تحت قدمي هاتين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مع أنّهم كانوا معتقدين بالقصاص والدية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كان دية الأشخاص مختلفة عندهم ، حتّى أنّ دية بعض الطبقات كان ألف بعير ؛ فمع أنّهم كانوا معتقدين بها أسقطها صلی اللّه علیه و آله بعد الإسلام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قدمي هاتين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يظهر من قوله صلی اللّه علیه و آله 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غدر بأصحابه وقتلهم وأخذ </w:t>
      </w:r>
    </w:p>
    <w:p>
      <w:pPr>
        <w:pStyle w:val="BookText"/>
        <w:rPr/>
      </w:pPr>
      <w:r>
        <w:rPr>
          <w:rFonts w:ascii="IRNazanin" w:hAnsi="IRNazanin" w:eastAsia="IRNazanin"/>
          <w:color w:val="111111"/>
          <w:sz w:val="28"/>
          <w:sz w:val="28"/>
          <w:szCs w:val="28"/>
          <w:rtl w:val="true"/>
          <w:lang w:bidi="fa-IR"/>
        </w:rPr>
        <w:t xml:space="preserve">أموالهم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فاطمأنّه صلی اللّه علیه و آله بهذا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يجبّ ما قبله من آثار فعله الذي صدر عنه حال الكفر ، ولو كانوا معتقدين بترتّب ذلك الأثر حال الكفر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المعنى أيضا يناسب ما قيل في وجه صدور هذا الحديث عنه صلی اللّه علیه و آله ، ولكن مع ذلك كلّه لا يمكن الالتزام بهذا المعنى في جميع التزاماتهم ، من عقودهم وإيقاعاتهم وسائر معاملاتهم ولو كان موافقا للامتنان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فالأولى أن يقال في أمثال هذه الموارد التي ذكرناها أنّ عدم القصاص والدية لدليل خاصّ ، وهو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دم كان في الجاهلية فهو تحت قدمي هاتين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ذكرنا واستظهرناه في معنى الحديث أنّه لو وطأ امرأة ذات بعل في حال الكفر ، أو وطأها في عدتها في تلك الحال أنّه ترفع حرمة نكاحها للواطئ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زنى بامرأة فحرمة بنتها وأمّها ترتفع بإسلامه لو كان وقوع الزنا في حال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أوقب غلاما في حال الكفر ترتفع حرمة نكاح أمّه وأخته وبنته بإسلامه ؛ كلّ 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ما هو موجب لحدّ أو تعزير إذا صدر عنه في حال الكفر فالإسلام يجبّ ذلك الفعل أو القول الذي كان موجبا للحدّ لو لم يسلم ، كما إذا زنى أو لاط أو سرق أو غير ذلك من الجرائم التي توجب الحدّ أو التعزير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الأحداث الموجبة للحدث الأكبر كالجماع ، أو الحيض ، أو النفاس فحيث أنّ الشارع جعل الطهارة شرطا لأشياء كالصلاة والطواف ومس المصحف مثلا ، فتلك الأحداث التي صارت سببا لصيرورته محدثا حيث أنّ آثارها لا ترتفع إلا بالغسل أو الوضوء أو التيمم كلّ في محلّه ومع شرائطه ، فبعد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إيجاد ما هو مشروط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يتطهّر من ذلك الحدث بأحد الطهارات الثلاث ، أي </w:t>
      </w:r>
    </w:p>
    <w:p>
      <w:pPr>
        <w:pStyle w:val="BookText"/>
        <w:rPr/>
      </w:pPr>
      <w:r>
        <w:rPr>
          <w:rFonts w:ascii="Amiri" w:hAnsi="Amiri" w:eastAsia="Amiri" w:cs="Amiri"/>
          <w:color w:val="111111"/>
          <w:sz w:val="28"/>
          <w:sz w:val="28"/>
          <w:szCs w:val="28"/>
          <w:rtl w:val="true"/>
          <w:lang w:bidi="ar-SA"/>
        </w:rPr>
        <w:t xml:space="preserve">الغسل والوضوء والتيمم كلّ في محلّه ومع شرائطه ؛ وذلك لعدم إمكان امتثال ما هو مشروط بالطهارة بدونها ، ولا وجه لإجراء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أصلا ، ولا أثر لها لإثبات الشرط ووجوده ، كما أنّ الرضاع الحاصل في حال الكفر يوجب حصول أحد العناوين المحرّمة كالأمومة والبنتيّة والأختيّة وغير ذلك من العناوين المذكورة في الآية الشريفة ، وإذا حصل أحد هذه العناوين فأسلم فإسلامه لا يمكن أن يرفع الحرمة عن أخته الرضاعي أو أمّه كذلك ، وكذلك في سائر العناوين المحرّمة المذكورة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يتوهّم أحد أنّ هذه العناوين إذا حصلت في حال الكفر عن النسب فأسلم لا يوجب رفع التحريم ، فكذلك الأمر فيما إذا حصل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هذه العناوين إضافات تكوينيّة قد تحصل بواسطة الولادة ، وقد تحصل بواسطة الرضاع ، وقد جعلها الشارع موضوعا لحرمة نكاحهنّ على من اتّصف بأنّهنّ أمّا أمّه أو أخته أو بنته أو عمّته أو خالته إلى غير ذلك ، وإذا وجد الموضوع وأحرز وجوده وجدانا أو تعبّدا فيترتّب عليه الحكم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معنى الحديث أنّ الفعل الصادر في حال الكفر بمنزلة العدم حتّى بالنسبة إلى آثاره التكوينيّة ، فحينئذ كان من الممكن أن يقال إنّ الرضاع الواقع في حال الكفر أو الولادة أو أسبابها الواقعة في تلك الحال لا أثر لها ، كما أنّه قيل في الولادة من الزنا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في المقام أنّه بعد ما ثبت صدور هذا الحديث بواسطة الوثوق الحاصل من نقل هؤلاء يجب الأخذ بما هو مفاده ، أي ما هو الظاهر منه بحسب المتفاهم العرفي ، إلاّ أن يأتي دليل من إجماع أو رواية معمول بها يكون مخصّصا له في مورد ، أو يكون حاكما عليه في ذلك المورد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ما هو الظاهر من الحديث بحسب المتفاهم العرفي وذكرناه ، فلا نعيد</w:t>
      </w:r>
      <w:r>
        <w:rPr>
          <w:rFonts w:eastAsia="Amiri" w:cs="Amiri" w:ascii="Amiri" w:hAnsi="Amiri"/>
          <w:color w:val="111111"/>
          <w:sz w:val="28"/>
          <w:szCs w:val="28"/>
          <w:rtl w:val="true"/>
          <w:lang w:bidi="ar-SA"/>
        </w:rPr>
        <w:t xml:space="preserve">. </w:t>
      </w:r>
      <w:bookmarkStart w:id="93" w:name="pg15902_182239"/>
    </w:p>
    <w:p>
      <w:pPr>
        <w:pStyle w:val="Heading2"/>
        <w:numPr>
          <w:ilvl w:val="1"/>
          <w:numId w:val="1"/>
        </w:numPr>
        <w:rPr/>
      </w:pPr>
      <w:bookmarkStart w:id="94" w:name="__RefHeading___Toc15519126_2142443653"/>
      <w:bookmarkStart w:id="95" w:name="_Toc29"/>
      <w:bookmarkEnd w:id="93"/>
      <w:bookmarkEnd w:id="94"/>
      <w:r>
        <w:rPr/>
        <w:t>4</w:t>
      </w:r>
      <w:r>
        <w:rPr>
          <w:rtl w:val="true"/>
        </w:rPr>
        <w:t xml:space="preserve"> - </w:t>
      </w:r>
      <w:r>
        <w:rPr>
          <w:rtl w:val="true"/>
        </w:rPr>
        <w:t>قاعدة القرعة</w:t>
      </w:r>
      <w:bookmarkEnd w:id="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5519128_2142443653"/>
      <w:bookmarkStart w:id="97" w:name="_Toc30"/>
      <w:bookmarkEnd w:id="96"/>
      <w:r>
        <w:rPr>
          <w:rtl w:val="true"/>
        </w:rPr>
        <w:t>اشارة</w:t>
      </w:r>
      <w:bookmarkEnd w:id="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5902_182241"/>
      <w:bookmarkStart w:id="99" w:name="pg15902_182241"/>
      <w:bookmarkEnd w:id="99"/>
    </w:p>
    <w:p>
      <w:pPr>
        <w:pStyle w:val="BookText"/>
        <w:rPr/>
      </w:pPr>
      <w:bookmarkStart w:id="100" w:name="pg15902_182241"/>
      <w:bookmarkEnd w:id="100"/>
      <w:r>
        <w:rPr>
          <w:rFonts w:ascii="Amiri" w:hAnsi="Amiri" w:eastAsia="Amiri" w:cs="Amiri"/>
          <w:color w:val="111111"/>
          <w:sz w:val="28"/>
          <w:sz w:val="28"/>
          <w:szCs w:val="28"/>
          <w:rtl w:val="true"/>
          <w:lang w:bidi="ar-SA"/>
        </w:rPr>
        <w:t xml:space="preserve">قاعدة القرعة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ومن جملة القواعد الفقهيّة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وأن نبحث فيها من جهات حتّى يتبيّن الحال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5519130_2142443653"/>
      <w:bookmarkStart w:id="102" w:name="_Toc31"/>
      <w:bookmarkEnd w:id="101"/>
      <w:r>
        <w:rPr>
          <w:rtl w:val="true"/>
        </w:rPr>
        <w:t xml:space="preserve">الجهة الأولى </w:t>
      </w:r>
      <w:r>
        <w:rPr>
          <w:rtl w:val="true"/>
        </w:rPr>
        <w:t xml:space="preserve">: </w:t>
      </w:r>
      <w:r>
        <w:rPr>
          <w:rtl w:val="true"/>
        </w:rPr>
        <w:t>في بيان أدلة القرعة من الكتاب والإجماع والسنة</w:t>
      </w:r>
      <w:bookmarkEnd w:id="102"/>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قضيّة النبي يونس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مخاصمتهم في تكفّل مريم واقتراعهم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لَدَيْهِمْ إِذْ يُلْقُونَ أَقْلامَهُمْ أَيُّهُمْ يَكْفُلُ مَرْيَمَ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والقصّتان وشرحهما مذكورتان في التفاسير فراجعها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المراد من المساهمة هو الاقتراع ، أعني أنّ النبي يونس علیه السلام اقترع معهم فكان من المغلوبين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والثاني في بيان كيفية اقتراعهم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من هو أحقّ بأن يتكفّل مريم ، وذلك أنّ زكريّا علیه السلام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بها ، عندي خالتها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نقرع عليها ، فانطلقوا إلى نهر الأردن فألقوا فيه أقلامهم التي كانوا يكتبون بها الوحي على أنّ من ارتفع قلمه فوق الماء فهو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أقلامهم كانت من الحديد ، فألقوا أقلامهم ثلاث مرّات ، وفي كلّ مرة يرتفع قلم زكريّا علیه السلام وترسب أقلامهم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الواردة في هذه القاعدة عن الأئمّة الأطهار علیهم السلام ، فادّعى تواترها ، ولا يبعد أن يكون التواتر المعنوي ثابتة فيها ؛ لكثرة ما ورد فيها من الأخبار العامّة التي لا اختصاص لها بمورد خاصّ ، بل مطلق تشمل جميع الموارد المجهولة أو المشتبهة أو المشكلة على اختلاف ألسنتها ، من الأخبار الخاصّة الواردة في موارد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ونذكر جملة من الطائفتين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حكيم المروي في الفقيه والتهذيب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القرعة في أي شي‌ء؟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مجهول ففيه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القرعة تخطئ وتصيب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حكم اللّه به فليس بمخطئ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المرسل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تقارع قوم فوّضوا أمرهم إلى اللّه إلاّ خرج بهم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قضيّة أعدل من القرعة ، إذا فوّض الأمر إلى اللّه أليس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دعائم الإسلام ، عن أمير المؤمنين وأبي جعفر وأبي عبد اللّه علیهم السلام أنّهم أوجبوا الحكم بالقرعة فيما أشكل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وأيضا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حكم في الملتبس أثبت من القرعة ، أليس هو التفويض إلى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قصّة يونس النبي علیه السلام في قوله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زكريا علیه السلام وقوله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لَدَيْهِمْ إِذْ يُلْقُونَ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عبد المطلب لمّا نذر أن يذبح من يولد له ، فولد له عبد اللّه أبو رسول اللّه صلی اللّه علیه و آله فألقى اللّه عليه محبّته ، وألقى السهام على إبل ينحرها يتقرّب بها مكانه ، فلم تزل السهام تقع عليه وهو يزيد حتّى بلغت مائة ، فوقعت السهام على الإبل فأعاد السهام مرارا وهي تقع على الإبل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 ربّي قد رضي إلى آخره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الوسائل ، في ذيل خبر محمّد بن الحسن الطوسي ، بإسناده عن أبي عبد اللّه علیه السلام أنّه بعد ما حكم بالقرعة في الفرع المذكور في تلك الرواية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القرعة سنة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في الوسائل عنه ، أي محمّد بن الحسن الطوسي بإسناده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رسول اللّه صلی اللّه علیه و آله عليا علیه السلام إلى اليمن فقال له حين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بأعجب ما ورد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أتاني قوم قد تبايعوا جارية ، فوطئها جميعهم في طهر واحد فولدت غلاما واحتجّوا كلّهم يدّعيه ، فأسهمت بينهم فجعلته للذي خرج سهمه وضمنته نصيبهم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قوم تنازعوا ، ثمَّ فوضّوا أمرهم إلى اللّه إلاّ خرج سهم الحقّ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بإسناده عن عاصم بن حميد ، عن أبي بصير ، عن أبي جعفر علیه السلام </w:t>
      </w:r>
    </w:p>
    <w:p>
      <w:pPr>
        <w:pStyle w:val="BookText"/>
        <w:rPr/>
      </w:pPr>
      <w:r>
        <w:rPr>
          <w:rFonts w:ascii="Amiri" w:hAnsi="Amiri" w:eastAsia="Amiri" w:cs="Amiri"/>
          <w:color w:val="111111"/>
          <w:sz w:val="28"/>
          <w:sz w:val="28"/>
          <w:szCs w:val="28"/>
          <w:rtl w:val="true"/>
          <w:lang w:bidi="ar-SA"/>
        </w:rPr>
        <w:t xml:space="preserve">نحوه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تنازعوا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في الوسائل عن محاسن البرقي ، عن ابن محبوب ، عن جميل بن صالح ،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أبا عبد اللّه علیه السلام عن مسألة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تخرج في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 قضية أعدل من القرعة إذا فوّضوا أمرهم إلى اللّه عزّ وجلّ ، أليس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فَكانَ مِنَ الْمُدْحَضِينَ </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النمط ممّا يمكن أن يستخرج منها كبرى 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حكمهم علیهم السلام بالقرعة في موارد خاصّة فكثيرة جدّا ، نذكر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في الوسائل عن محمد بن الحسن بإسناده عن أحمد بن محمد ، عن ابن أبي نجران ، عن أبي المغراء ، عن الحلبي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الحرّ والعبد والمشرك على امرأة في طهر واحد وادعوا الولد أقرع بينهم ، وكان الولد للذي يقرع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الوسائل عنه بإسناده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قال أوّل مملوك أملكه حرّ فورث ثلاثة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يقرع بينهم ، فمن أصابه القرعة أعتق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في الوسائل عنه أيضا عن حمّاد ، عن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حنيفة على أبي عبد اللّه علیه السلام فقال له أبو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بيت سقط على قوم ، فبقي منهم صبيّان ، أحدهما حرّ والآخر مملوك لصاحبه ، فلم يعرف الحرّ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نصف هذا أو نصف هذا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كذلك ، ولكنّه يقرع </w:t>
      </w:r>
    </w:p>
    <w:p>
      <w:pPr>
        <w:pStyle w:val="BookText"/>
        <w:rPr/>
      </w:pPr>
      <w:r>
        <w:rPr>
          <w:rFonts w:ascii="Amiri" w:hAnsi="Amiri" w:eastAsia="Amiri" w:cs="Amiri"/>
          <w:color w:val="111111"/>
          <w:sz w:val="28"/>
          <w:sz w:val="28"/>
          <w:szCs w:val="28"/>
          <w:rtl w:val="true"/>
          <w:lang w:bidi="ar-SA"/>
        </w:rPr>
        <w:t xml:space="preserve">بينهما فمن أصابته القرعة فهو الحرّ ويعتق هذا ويجعل مولى لهذا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في الوسائل عنه أيضا ، عن حريز ، عمّن أخبره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باليمن في قوم انهدمت عليهم دارهم وبقي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حرّ ، والآخر مملوك ، فأسهم أمير المؤمنين علیه السلام بينهما ، فخرج السهم على أحدهما ، فجعل له المال وأعتق الآخر </w:t>
      </w:r>
      <w:r>
        <w:rPr>
          <w:rFonts w:eastAsia="IRNazanin" w:cs="IRNazanin"/>
          <w:color w:val="111111"/>
          <w:sz w:val="28"/>
          <w:szCs w:val="28"/>
          <w:rtl w:val="true"/>
          <w:lang w:bidi="fa-IR"/>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التي جمعها في الوسائل في الباب الثالث عشر من أبواب كيفيّة الحكم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الحكم بالقرعة في القضايا المشكلة وجملة من مواقعها 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فراجع ذلك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ذكر في الوسائل في باب تحريم لحم البهيمة التي ينكحها الآدمي ولبنها ، فإن اشتبهت استخرجت بالقرعة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أحمد بن يحيى ، عن محمد بن عيسى ، عن الرجل علیه السلام أنّه سئل عن رجل نظر إلى راع نزا على شاة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عرفها ذبحها وأحرقها ، وإن لم يعرفها قسّمها نصفين أبدا حتّى يقع السهم بها ، فتذبح وتحرق وقد نجت سائرها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أيضا في الوسائل عن الشيخ بطريق آخر </w:t>
      </w:r>
      <w:r>
        <w:rPr>
          <w:rStyle w:val="FootnoteAnchor"/>
          <w:rtl w:val="true"/>
        </w:rPr>
        <w:footnoteReference w:id="79"/>
      </w:r>
      <w:r>
        <w:rPr>
          <w:rFonts w:ascii="Amiri" w:hAnsi="Amiri" w:eastAsia="Amiri" w:cs="Amiri"/>
          <w:color w:val="111111"/>
          <w:sz w:val="28"/>
          <w:sz w:val="28"/>
          <w:szCs w:val="28"/>
          <w:rtl w:val="true"/>
          <w:lang w:bidi="ar-SA"/>
        </w:rPr>
        <w:t xml:space="preserve">، وعن تحف العقول ما هو بهذا المضمون أو قريب منه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في نوادره ، عن عثمان بن عيسى ، عن </w:t>
      </w:r>
    </w:p>
    <w:p>
      <w:pPr>
        <w:pStyle w:val="BookText"/>
        <w:rPr/>
      </w:pPr>
      <w:r>
        <w:rPr>
          <w:rFonts w:ascii="IRNazanin" w:hAnsi="IRNazanin" w:eastAsia="IRNazanin"/>
          <w:color w:val="111111"/>
          <w:sz w:val="28"/>
          <w:sz w:val="28"/>
          <w:szCs w:val="28"/>
          <w:rtl w:val="true"/>
          <w:lang w:bidi="fa-IR"/>
        </w:rPr>
        <w:t xml:space="preserve">بعض أصحابه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أوحى إلى موسى علیه السلام أنّ بعض أصحابك ينمّ عليك فاحذره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لا أعرفه أخبرني حتّى أعرفه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عبت عليه النميمة وتكلّفني أن أكون نمّاما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وكيف أصنع؟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أصحابك عشرة عشرة ، ثمَّ تقرع بينهم ، فإنّ السهم يقع على العشرة التي هو فيهم ، ثمَّ تفرّقهم وتقرع بينهم ، فإنّ السهم يقع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الرجل أنّ السهام تقرع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صاحبك لا واللّه لا أعود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في البحار روايتين عن أبي جعفر علیه السلام ، حاصل مضمونهما أنّ عليا علیه السلام إذا لم يجد من الكتاب والسنّة رجم ، أي ساهم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في المعضلات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في اعتبار القرعة في الموارد الخاصّة كثيرة متفرّقة في أبواب الفقه ، وينبغي أن يعدّ دلالة الآيات والأخبار على اعتبارها من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أحد من الإماميّة الاثنى عشريّة ما ادّعى عدم اعتباره بنحو السلب الكلّي ، فهذا الشهيد قدس 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التعادل والتراجيح من مقدّمته في اشتباه القبلة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السيد رضي الدين بن طاوس هنا إلى الرجوع إلى القرعة ، استضعافا لمستند وجوب الصلاة إلى الأربع ؛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القرعة الواردة لكل أمر مشتبه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كتاب القضاء من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ولد مولود ليس له ما للرجال ولا ما للنساء أقرع عليه ، فإن خرج سهم الرجال ألحق بهم وورث ميراثهم ، وإن خرج سهم النساء ألحق بهنّ وورث ميراثهنّ ، وكلّ أمر مشكل مجهول يشتبه </w:t>
      </w:r>
      <w:bookmarkStart w:id="103" w:name="pg15902_182247"/>
    </w:p>
    <w:p>
      <w:pPr>
        <w:pStyle w:val="BookText"/>
        <w:rPr/>
      </w:pPr>
      <w:bookmarkEnd w:id="103"/>
      <w:r>
        <w:rPr>
          <w:rFonts w:ascii="IRNazanin" w:hAnsi="IRNazanin" w:eastAsia="IRNazanin"/>
          <w:color w:val="111111"/>
          <w:sz w:val="28"/>
          <w:sz w:val="28"/>
          <w:szCs w:val="28"/>
          <w:rtl w:val="true"/>
          <w:lang w:bidi="fa-IR"/>
        </w:rPr>
        <w:t xml:space="preserve">الحكم فيه فينبغي أن يستعمل فيه القرعة ؛ لما روى عن الأئمّة علیهم السلام ، وتواترت به الآثار ، وأجمعت عليه الشيعة الإماميّة ، انتهى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الشيخ أيضا ما ظاهره الإجماع على اعتبارها ولا أظنّ أنّ أحدا من الإماميّة ينكر اعتبارها في الجملة لكن هذا الاتّفاق ليس هو الإجماع المصطلح الأصولي الذي هو حجّة على الحكم الشرعي ؛ لأنّه من المحتمل القريب بل من المقطوع أنّ مستند المتّفقين هو هذه الأخبار والآيات ، وعلى كل حال لا ينبغي الارتياب في اعتبار القرعة وتشريعه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519132_2142443653"/>
      <w:bookmarkStart w:id="105" w:name="_Toc32"/>
      <w:bookmarkEnd w:id="104"/>
      <w:r>
        <w:rPr>
          <w:rtl w:val="true"/>
        </w:rPr>
        <w:t xml:space="preserve">الجهة الثانية </w:t>
      </w:r>
      <w:r>
        <w:rPr>
          <w:rtl w:val="true"/>
        </w:rPr>
        <w:t xml:space="preserve">: </w:t>
      </w:r>
      <w:r>
        <w:rPr>
          <w:rtl w:val="true"/>
        </w:rPr>
        <w:t>في بيان مقدار دلالة هذه الأخبار والآيات</w:t>
      </w:r>
      <w:bookmarkEnd w:id="105"/>
    </w:p>
    <w:p>
      <w:pPr>
        <w:pStyle w:val="BookText"/>
        <w:rPr/>
      </w:pPr>
      <w:r>
        <w:rPr>
          <w:rFonts w:ascii="Amiri" w:hAnsi="Amiri" w:eastAsia="Amiri" w:cs="Amiri"/>
          <w:color w:val="111111"/>
          <w:sz w:val="28"/>
          <w:sz w:val="28"/>
          <w:szCs w:val="28"/>
          <w:rtl w:val="true"/>
          <w:lang w:bidi="ar-SA"/>
        </w:rPr>
        <w:t>وهل تدلّ على جريانها في الشبهات الحكميّة والموضوعيّة جميعا سواء كانتا بدويّة أو مقرونة بالعلم الإجمالي ، أو لا تدلّ إلاّ على جريانها في الشبهات الموضوعيّة؟</w:t>
      </w:r>
    </w:p>
    <w:p>
      <w:pPr>
        <w:pStyle w:val="BookText"/>
        <w:rPr/>
      </w:pPr>
      <w:r>
        <w:rPr>
          <w:rFonts w:ascii="Amiri" w:hAnsi="Amiri" w:eastAsia="Amiri" w:cs="Amiri"/>
          <w:color w:val="111111"/>
          <w:sz w:val="28"/>
          <w:sz w:val="28"/>
          <w:szCs w:val="28"/>
          <w:rtl w:val="true"/>
          <w:lang w:bidi="ar-SA"/>
        </w:rPr>
        <w:t>لا شبهة في عدم جريانها في الشبهات الحكميّة ، وأنّما الكلام في أنّ خروجها من باب التخصيص أو التخصّص ، وإلاّ فالقول بشمولها للشبهات البدويّة الحكميّة ينبغي أن يعد من المضحكات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العامّة الواردة في أدلّة القرعة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المجهول ، وعنوان المشتبه ، وعنوان المشكل ، وعنوان الملتبس ، وفي بعض الروايات عنوان المعضلات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والأوّلان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لهما عموم بحسب المفهوم بحيث أنّ مفهوميهما يشمل الشبهة بصورها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والموضوعية ، سواء كانتا </w:t>
      </w:r>
    </w:p>
    <w:p>
      <w:pPr>
        <w:pStyle w:val="BookText"/>
        <w:rPr/>
      </w:pPr>
      <w:r>
        <w:rPr>
          <w:rFonts w:ascii="IRNazanin" w:hAnsi="IRNazanin" w:eastAsia="IRNazanin"/>
          <w:color w:val="111111"/>
          <w:sz w:val="28"/>
          <w:sz w:val="28"/>
          <w:szCs w:val="28"/>
          <w:rtl w:val="true"/>
          <w:lang w:bidi="fa-IR"/>
        </w:rPr>
        <w:t xml:space="preserve">بدويّة أو مقرونة بالعلم الإجمالي ، ولكن التتبّع في موارد تلك الروايات والتأمّل في العلّة التي ذكرها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 قضية أعدل من القرعة إذا فوضّوا أمرهم إلى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يوجب الاطمئنان بأنّ المراد من هذه العناوين الأربعة أو الخمسة هو المجهول والمشتبه الذي في الشبهة الموضوعيّة المقرونة بالعلم الإجمالي إذا كان من المشكلات والمعضلات التي لا طريق إلى إثباتها ، وكان الاحتياط إما ليس بممكن ، أو يوجب العسر والحرج ، أو نعلم بأنّ الشارع ما أوجب الاحتياط فيها ، ففي مثل هذا المورد شرّع القرعة ، ولا فرق بين أن يكون المشتبه من حقوق اللّه أو من حقوق الناس ، ولا بين أن يكون له واقع معيّن في عالم الثبوت وتكون القرعة واسطة ودليلا في عالم الإثبات ، أو لم يكن له واقع معيّن في عالم الثبوت والقرعة واسطة في الثبوت ،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زوجاتي طالق ، أو أحد عبيدي حرّ بناء على صحّة مثل هذا الطلاق ومثل هذا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مثل الغنم الموطوء المشتبه في قطيع الغنم وإن كان مقتضى القاعدة الأوّلية هو الاجتناب عن جميع أفراده إن لم تكن الشبهة غير محصورة ، ولكن حيث نعلم بأنّ الشارع لم يوجب الاحتياط لأنّه تضييع المال الكثير الذي لا يتحمّل عادة ، والمفروض أنّه لا يمكن تعيين الموطوء وما هو موضوع الحكم بحرمة لحمه وسائر ما يتفرّع عليه ووجوب إحراقه ، فصار من المشكلات والمعضلات في الشبهة الموضوعيّة المقرونة بالعلم الإجمالي التي هي مورد تشريع القرعة ؛ لأنّ تضمين الواطئ ليس إلاّ في خصوص الموطوء ، لا في سائر أفراد القطيع ، فالاحتياط يكون ضررا عظيما على صاحب القطيع ؛ ولذلك لا مورد للاحتياط ، ولذلك صار مشكلا ومعضلا حلّه بالقرعة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غالب موارد القرعة أي الشبهة الموضوعيّة المقرونة بالعلم الإجمالي التي لا يجب ولا يجوز فيها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يمكن وقوع النزاع والمخاصمة فيه ، ولذلك ترى أنّ الفقهاء تعرّضوا لذكر القرعة في كتاب القضاء في مسألة تعارض البيّنات مع </w:t>
      </w:r>
    </w:p>
    <w:p>
      <w:pPr>
        <w:pStyle w:val="BookText"/>
        <w:rPr/>
      </w:pPr>
      <w:r>
        <w:rPr>
          <w:rFonts w:ascii="Amiri" w:hAnsi="Amiri" w:eastAsia="Amiri" w:cs="Amiri"/>
          <w:color w:val="111111"/>
          <w:sz w:val="28"/>
          <w:sz w:val="28"/>
          <w:szCs w:val="28"/>
          <w:rtl w:val="true"/>
          <w:lang w:bidi="ar-SA"/>
        </w:rPr>
        <w:t xml:space="preserve">عدم مرجّح لإحديهما ، وحكموا بالقرعة بعد التساوي وفقد المرجّح ، بل ادّعى جماعة منهم الإجماع على الرجوع إلى القرعة حينئذ ، ولكن هذا لا يدلّ على اختصاص القرعة بمورد وقوع المخاصمة والنزاع ، بل لو لم يكن هناك نزاع وخصومة في البين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عبيدي حرّ ، أو إحدى زوجاتي طالق ، أو هو صاحب القطيع من الغنم وطأ إحدى شياته فيريد تعيين وظيفة نفسه بالاقتراع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تشمله مع عدم خصومة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يستفاد من مجموع الأدلّة أنّ مورد القرعة هي الشبهة الموضوعيّة المقرونة بالعلم الإجمالي الذي لا يمكن فيه الاحتياط ، أو لا يجوز وإن كان ممكنا ، أو لا يجب وليس هناك أصل أو أمارة موافق للمعلوم بالإجمال كي يكون موجبا لانحلاله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المعضلات ، ففي مثل هذا المورد شرّعت القرعة لحلّ المعضلة والمشكلة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إلى ذلك أبو جعفر الباقر علیه السلام فيما روى المحدّث المجلسي قدس سره عن عبد الرحيم القصير ، عن أبي جعفر علیه السلام في المجلّد الأوّل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أنّهم علیهم السلام عندهم مواد العلم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عليّ علیه السلام إذا ورد أمر ما نزل به كتاب ولا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فأصاب ،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المعضلات </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 أو طريق لنفس تلك الرواية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وتلك المعضلات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المراد هو الموضوع المشتبه الذي ما نزل بالخصوص حكم لا في الكتاب ولا في السنّة ، وإلاّ فالموضوعات الكلّية حكمها في الكتاب والسنّة موجودة ، كما أنّه لا يمكن أن يكون المراد الشبهة البدويّة ؛ لأنّها أيضا حكمها في الكتاب والسنّة موجودة وليست بمعضلة ، لأنّ القواعد المجعولة للشكّ مستوعب لجميع الشكوك البدويّة ، فلا بدّ وأن يكون المراد ما ذكرناه من الضابط لمورد القرعة حتّى تكون من </w:t>
      </w:r>
      <w:bookmarkStart w:id="106" w:name="pg15902_182250"/>
    </w:p>
    <w:p>
      <w:pPr>
        <w:pStyle w:val="BookText"/>
        <w:rPr/>
      </w:pPr>
      <w:bookmarkEnd w:id="106"/>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استاذنا المحقق قدس سره </w:t>
      </w:r>
      <w:r>
        <w:rPr>
          <w:rStyle w:val="FootnoteAnchor"/>
          <w:rtl w:val="true"/>
        </w:rPr>
        <w:footnoteReference w:id="87"/>
      </w:r>
      <w:r>
        <w:rPr>
          <w:rFonts w:ascii="Amiri" w:hAnsi="Amiri" w:eastAsia="Amiri" w:cs="Amiri"/>
          <w:color w:val="111111"/>
          <w:sz w:val="28"/>
          <w:sz w:val="28"/>
          <w:szCs w:val="28"/>
          <w:rtl w:val="true"/>
          <w:lang w:bidi="ar-SA"/>
        </w:rPr>
        <w:t xml:space="preserve">من الوجه لعدم شمول كلّ أمر مجهول للشبهة الحكميّة من أنّ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نفس الشي‌ء وذاته مجهول لا حكمه ، فيختصّ بالشبهات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عامّ يشمل الأحكام والموضوعات ، فالحكم المجهول مثل الموضوع المجهول كلاهما يصدق عليهما أنّه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المحدّث القمّي قدس سره في سفينة البحار موارد استعمال القرعة في الأخبار المذكورة في كتاب البحار كلّها ، من مصاديق الضابط الذي ذكرنا لمورد استعمال القرعة</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فلا نطول المقام وأنت راجع إذا أحببت</w:t>
      </w:r>
      <w:r>
        <w:rPr>
          <w:rFonts w:eastAsia="IRNazanin" w:cs="IRNazanin"/>
          <w:color w:val="111111"/>
          <w:sz w:val="28"/>
          <w:szCs w:val="28"/>
          <w:rtl w:val="true"/>
          <w:lang w:bidi="fa-IR"/>
        </w:rPr>
        <w:t>.</w:t>
      </w:r>
    </w:p>
    <w:p>
      <w:pPr>
        <w:pStyle w:val="Heading3"/>
        <w:numPr>
          <w:ilvl w:val="2"/>
          <w:numId w:val="1"/>
        </w:numPr>
        <w:rPr/>
      </w:pPr>
      <w:bookmarkStart w:id="107" w:name="__RefHeading___Toc15519134_2142443653"/>
      <w:bookmarkStart w:id="108" w:name="_Toc33"/>
      <w:bookmarkEnd w:id="107"/>
      <w:r>
        <w:rPr>
          <w:rtl w:val="true"/>
        </w:rPr>
        <w:t xml:space="preserve">الجهة الثالثة </w:t>
      </w:r>
      <w:r>
        <w:rPr>
          <w:rtl w:val="true"/>
        </w:rPr>
        <w:t xml:space="preserve">: </w:t>
      </w:r>
      <w:r>
        <w:rPr>
          <w:rtl w:val="true"/>
        </w:rPr>
        <w:t>في أنّها أصل أو امارة؟</w:t>
      </w:r>
      <w:bookmarkEnd w:id="108"/>
    </w:p>
    <w:p>
      <w:pPr>
        <w:pStyle w:val="Heading4"/>
        <w:numPr>
          <w:ilvl w:val="3"/>
          <w:numId w:val="1"/>
        </w:numPr>
        <w:rPr/>
      </w:pPr>
      <w:bookmarkStart w:id="109" w:name="__RefHeading___Toc15519136_2142443653"/>
      <w:bookmarkStart w:id="110" w:name="_Toc34"/>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والفرق بين الأمارة والأصل قد تقدّم في هذا الكتاب مرارا ، وقد بيّنا أنّ الأمارة ما تكون فيها جهة كشف ، والشارع يجعلها حجّة لجهة كشفها ، بمعنى أنّه يعتبرها كشفا تامّا في عالم اعتباره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فالاماريّة لشي‌ء متقوّم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جهة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يعتبره كشفا تامّا في عالم اعتباره التشريعي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الكاشفيّة في شي‌ء إمّا تامّ لا نقص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أنّ كاشفيّته تامّ لا يحتمل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يحتاج إلى جعل الحجيّة له ، بل يكون جعل الحجيّة له محال ؛ لأنّه من قبيل تحصيل الحاصل ، بل أسوء منه ؛ لأنّه من قبيل تحصيل </w:t>
      </w:r>
    </w:p>
    <w:p>
      <w:pPr>
        <w:pStyle w:val="BookText"/>
        <w:rPr/>
      </w:pPr>
      <w:r>
        <w:rPr>
          <w:rFonts w:ascii="Amiri" w:hAnsi="Amiri" w:eastAsia="Amiri" w:cs="Amiri"/>
          <w:color w:val="111111"/>
          <w:sz w:val="28"/>
          <w:sz w:val="28"/>
          <w:szCs w:val="28"/>
          <w:rtl w:val="true"/>
          <w:lang w:bidi="ar-SA"/>
        </w:rPr>
        <w:t xml:space="preserve">ما هو الحاصل بالوجدان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ناقص ويحتمل الخلاف ، فحينئذ إن جعله الشارع حجّة بتتميم كشفه في عالم الاعتبار بأنّ يعتبر هذا الكشف الناقص تامّا فهذا يصير امارة فإذا كان في شي‌ء هاتان الجهتان نسمّيه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الكشف قد يكون من جهة الملازمة بين الكاشف والمنكشف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أحدهما علّة والآخر معلول ، أو يكونان معلولي 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الكشف يكون كشفا تامّا لا يحتمل الخلاف ، وإلاّ يلزم تخلّف العلّة عن المعلول أو المعلول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جهة أخرى ليست موجبة لدوام المطابقة ولكنّها موجبة لكون ذلك الشي‌ء غالب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يكون كشفا ناقصا يحتمل الخلاف ويسمّى بالظنّ ، كما أنّ القسم الأوّل يسمّى بالقطع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في أنّه بعد ملاحظة قوله صلی اللّه علیه و آله 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قوم تنازعوا ثمَّ فوّضوا أمرهم إلى اللّه إلاّ خرج سهم الحق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وبعد ملاحظة قول أبي الحسن الكاظم علیه السلام في ذيل رواية محمّد بن 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حكم اللّه به فليس بمخطئ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بعد قول الراوي أي محمّد بن 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القرعة تخطي وتصيب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 الإنسان بأنّها غالب المطابقة ، إن لم نقل بأنّ هذا الكلام وأمثاله ممّا يوجب القطع بدوام المطابقة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كما في الاستخارة أقوالهم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خاب من استخار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الاطمئنان بإصابتها للواقع ، ولذلك نقل لي عن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الاستخارة من أقوى الأمارات وأقوى الحج على إثبات الصانع ؛ لأنّه لو لم يكن صانع كان أيّ ارتباط بين عدد الزوج أو الفرد ، وبين ما فيه المصلحة والمفسدة؟ ولكن اللّه تعالى شأنه هو الذي يجعل ما فيه المصلحة أو المفسدة زوجا أو فردا بعد تفويض الأمر إليه تعالى ، وكذلك الأمر في القرعة</w:t>
      </w:r>
      <w:r>
        <w:rPr>
          <w:rFonts w:eastAsia="IRNazanin" w:cs="IRNazanin"/>
          <w:color w:val="111111"/>
          <w:sz w:val="28"/>
          <w:szCs w:val="28"/>
          <w:rtl w:val="true"/>
          <w:lang w:bidi="fa-IR"/>
        </w:rPr>
        <w:t xml:space="preserve">. </w:t>
      </w:r>
      <w:bookmarkStart w:id="111" w:name="pg15902_182252"/>
    </w:p>
    <w:p>
      <w:pPr>
        <w:pStyle w:val="BookText"/>
        <w:rPr/>
      </w:pPr>
      <w:bookmarkEnd w:id="111"/>
      <w:r>
        <w:rPr>
          <w:rFonts w:ascii="Amiri" w:hAnsi="Amiri" w:eastAsia="Amiri" w:cs="Amiri"/>
          <w:color w:val="111111"/>
          <w:sz w:val="28"/>
          <w:sz w:val="28"/>
          <w:szCs w:val="28"/>
          <w:rtl w:val="true"/>
          <w:lang w:bidi="ar-SA"/>
        </w:rPr>
        <w:t>فالإنصاف أنّه بعد ملاحظة هذه الروايات إنكار أنّ القرعة لا يوجب الظنّ بإصابة الواقع ليس في محلّه ، كما أنّ الأمر في الاستخارة أيضا كذلك ، بل هي أيضا في الحقيقة نوع من الاقتراع ، خصوصا في استخارة ذات الرقاع التي هي من أعظم الاستخارات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كون حجيّتها من باب تتميم الكشف فيكفي فيه قول أبي الحسن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حكم اللّه به فليس بمخطئ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ردع الراوي حينما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القرعة تخطي وتصيب </w:t>
      </w:r>
      <w:r>
        <w:rPr>
          <w:rFonts w:eastAsia="IRNazanin" w:cs="IRNazanin"/>
          <w:color w:val="111111"/>
          <w:sz w:val="28"/>
          <w:szCs w:val="28"/>
          <w:rtl w:val="true"/>
          <w:lang w:bidi="fa-IR"/>
        </w:rPr>
        <w:t>».</w:t>
      </w:r>
    </w:p>
    <w:p>
      <w:pPr>
        <w:pStyle w:val="Heading4"/>
        <w:numPr>
          <w:ilvl w:val="3"/>
          <w:numId w:val="1"/>
        </w:numPr>
        <w:rPr/>
      </w:pPr>
      <w:bookmarkStart w:id="112" w:name="__RefHeading___Toc15519138_2142443653"/>
      <w:bookmarkStart w:id="113" w:name="_Toc35"/>
      <w:bookmarkEnd w:id="112"/>
      <w:r>
        <w:rPr>
          <w:rtl w:val="true"/>
        </w:rPr>
        <w:t>وهم ودفع</w:t>
      </w:r>
      <w:bookmarkEnd w:id="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ربما يتوهّم منافاة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تَسْتَقْسِمُوا بِالْأَزْلامِ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مع مشروعيّة الاستخارة ؛ وذلك من جهة نصوصيّة الآية في أنّ الاستقسام بالأزلام فسق ، مع أنّه عبارة عن الاستخارة التي كانت متعارفة عندهم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الطبري في تفسيره </w:t>
      </w:r>
      <w:r>
        <w:rPr>
          <w:rStyle w:val="FootnoteAnchor"/>
          <w:rtl w:val="true"/>
        </w:rPr>
        <w:footnoteReference w:id="92"/>
      </w:r>
      <w:r>
        <w:rPr>
          <w:rFonts w:ascii="Amiri" w:hAnsi="Amiri" w:eastAsia="Amiri" w:cs="Amiri"/>
          <w:color w:val="111111"/>
          <w:sz w:val="28"/>
          <w:sz w:val="28"/>
          <w:szCs w:val="28"/>
          <w:rtl w:val="true"/>
          <w:lang w:bidi="ar-SA"/>
        </w:rPr>
        <w:t xml:space="preserve">، والزمخشري في الكشاف </w:t>
      </w:r>
      <w:r>
        <w:rPr>
          <w:rStyle w:val="FootnoteAnchor"/>
          <w:rtl w:val="true"/>
        </w:rPr>
        <w:footnoteReference w:id="93"/>
      </w:r>
      <w:r>
        <w:rPr>
          <w:rFonts w:ascii="Amiri" w:hAnsi="Amiri" w:eastAsia="Amiri" w:cs="Amiri"/>
          <w:color w:val="111111"/>
          <w:sz w:val="28"/>
          <w:sz w:val="28"/>
          <w:szCs w:val="28"/>
          <w:rtl w:val="true"/>
          <w:lang w:bidi="ar-SA"/>
        </w:rPr>
        <w:t xml:space="preserve">، وجمع آخر في تفسير هذه الآية أنّ العرب في الجاهلية كانوا يستقسمون بالأزلام ، أي يطلبون الخير وقسمة الأرزاق بالقداح ، أي السهام ؛ لأنّ أزلام جمع الزلم وهو السهم لا ريش عليه ، فكانوا يتفأّلون بها في أمورهم ، ويطلبون ما هو الخير من فعل أو ترك بتلك السهام والأزلام في جميع أمورهم التي يريدون أن يبتدءوا بها من أسفارهم ، ومساكنهم ومراكبهم ، ومتاجرهم ، ومناكحهم إلى غير ذلك من مهمّاتهم ؛ وذلك بمراجعتهم إلى تلك السهام المعيّنة التي كانت عند شخص كان بمنزلة السادن لتلك السهام المحترمة عندهم ، وكانت تلك السهام مكتوبة على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بعضها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p>
    <w:p>
      <w:pPr>
        <w:pStyle w:val="BookText"/>
        <w:rPr/>
      </w:pPr>
      <w:r>
        <w:rPr>
          <w:rFonts w:ascii="Amiri" w:hAnsi="Amiri" w:eastAsia="Amiri" w:cs="Amiri"/>
          <w:color w:val="111111"/>
          <w:sz w:val="28"/>
          <w:sz w:val="28"/>
          <w:szCs w:val="28"/>
          <w:rtl w:val="true"/>
          <w:lang w:bidi="ar-SA"/>
        </w:rPr>
        <w:t>غفل ، لم يكتب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أرادوا سفرا أو أمرا آخر يهتمّون به ، ضربوا على تلك السهام فإن خرج السهم الذي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حاجته ويقدم على ذلك الأمر ، وإن خرج السهم الذي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على ذلك الأمر ، وإن خرج السهم لم يكتب عليه شي‌ء وهو غفل أعادوا العمل حتى يخرج أحد السهمين الّذين كتب على أحدهما الأمر ، وعلى الآخر النهي ، فيعمل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فالمتوهّم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العمل عين الاستخارة التي عند الإماميّة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عزّهم وشرفهم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المشي على طبق الاستخارة ، ونفس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وفسقا ؛ لقوله تعالى بعد هذه الجملة ، 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تَسْتَقْسِمُوا بِالْأَزْلامِ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مخصوص بهذه الجملة أو يشملها في 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الدفع ، فجوابه أنّ هذا الاحتمال في تفسير الآية باطل قطعا ؛ لأنّه من الواضح الجلي أنّ الآية الشريفة في مقام بيان كيفيّة أكل اللحوم في الجاهليّة ، وتميّز ما هو حلال منها وما هو حرام أي المذكى وغير المذكّى ؛ لأنّه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في الجاهلية إذا أجدبت سنة وصارت سنة قحط فالأغنياء من العشيرة يشترون جزورا ويجزونه أجزاء ، وكانت عندهم سهام وهي الأزلام ، أي القداح لا ريش لها وكانت تلك القداح بيد أمين لهم ، وهي عشرة سهام أسماؤها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 والتوأم ، والرقيب ، والحلس ، والنافس ، والمسبل ، والمعلى ، والوغد ، والسفيح ، والمنيح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فالفذّ له سهم واحد ، والتوأم له سهمان ، والرقيب له ثلاثة أسهم ، والحلس له أربعة أسهم ، والنافس له خمسة أسهم ، والمسبل له ستّة أسهم ، والمعلى له سبعة أسهم ، أي النصيب الأوفر ، ومجموع السهام ثمانية وعشرون سهما ، والوغد والسفيح والمنيح لم تكن لها سهم ، فهذه الثلاثة كانت مهملة ، أي لا نصيب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الأمين يجعل السهام في خريطة ويخرج كلّ واحدة من تلك السهام باسم واحد من العشرة المقامرين ، فمن خرج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سهما من الجزور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سهمان ، وهكذا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نصيب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باسمه أحد الثلاثة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الوغد والسفيح والمنيح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ثمن الجزور ولا سهم له من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ونقلوا أنّ السبعة الذين كانت تخرج لهم السهام كانوا يقسمون سهامهم على الفقراء من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تبارك وتعالى نهى عن أكل مثل هذا اللحم ؛ لأنّه مأخوذ بالقمار فيكون أكله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أنّه قمار أنّهم يسمّون تلك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قداح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نظّمه بعضهم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فذّ وتوأم ورقيب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حلس ونافس ثمَّ مسبل</w:t>
      </w:r>
    </w:p>
    <w:p>
      <w:pPr>
        <w:pStyle w:val="BookText"/>
        <w:rPr/>
      </w:pPr>
      <w:r>
        <w:rPr>
          <w:rFonts w:ascii="Amiri" w:hAnsi="Amiri" w:eastAsia="Amiri" w:cs="Amiri"/>
          <w:color w:val="111111"/>
          <w:sz w:val="28"/>
          <w:sz w:val="28"/>
          <w:szCs w:val="28"/>
          <w:rtl w:val="true"/>
          <w:lang w:bidi="ar-SA"/>
        </w:rPr>
        <w:t xml:space="preserve">والمعلى والوغد ثمَّ 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ومنيح وذي الثلاثة تهمل</w:t>
      </w:r>
    </w:p>
    <w:p>
      <w:pPr>
        <w:pStyle w:val="BookText"/>
        <w:rPr/>
      </w:pPr>
      <w:r>
        <w:rPr>
          <w:rFonts w:ascii="Amiri" w:hAnsi="Amiri" w:eastAsia="Amiri" w:cs="Amiri"/>
          <w:color w:val="111111"/>
          <w:sz w:val="28"/>
          <w:sz w:val="28"/>
          <w:szCs w:val="28"/>
          <w:rtl w:val="true"/>
          <w:lang w:bidi="ar-SA"/>
        </w:rPr>
        <w:t xml:space="preserve">ولكلّ ممّا عداها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أن تعدّ أول أول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هذا النظم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ثلاثة أسهم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ستّة أسهم ، ولكن من تفسير عليّ بن إبراهيم القمّي </w:t>
      </w:r>
      <w:r>
        <w:rPr>
          <w:rStyle w:val="FootnoteAnchor"/>
          <w:rtl w:val="true"/>
        </w:rPr>
        <w:footnoteReference w:id="95"/>
      </w:r>
      <w:r>
        <w:rPr>
          <w:rFonts w:ascii="Amiri" w:hAnsi="Amiri" w:eastAsia="Amiri" w:cs="Amiri"/>
          <w:color w:val="111111"/>
          <w:sz w:val="28"/>
          <w:sz w:val="28"/>
          <w:szCs w:val="28"/>
          <w:rtl w:val="true"/>
          <w:lang w:bidi="ar-SA"/>
        </w:rPr>
        <w:t>قدس سره وبعض التفاسير عكس هذا ، أي للرقيب ستّة أسهم وللمسبل ثلاثة أسهم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ظاهر الجملة المذكورة في الآية الشريفة هو هذا المعنى ، فلا ربط لها بالاستخارة والنهي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كون معنى الجملة ما ذكروه فالمراد بها ما حكاه الطبري في تفسيره في الجزء السادس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هبل أعظم أصنام قريش بمكّة وكانت على بئر في جوف الكعبة ، وكانت تلك البئر هي التي يجمع فيها ما يهدى للكعبة ، وكانت عند هبل سبعة أقداح ، كلّ قدح فيه كتاب ، 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اختلفوا في الغفل من يحمله منهم ضربوا بالقداح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إذا أرادوه يضرب به ، فإن خرج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أرادوا أمرا ضربوا به في القداح ، فإذا خرج ذلك القدح لم يفعلوا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أن يحفروا للماء ضربوا بالقداح وفيها ذلك القدح ، فحيثما خرج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إذا أرادوا أن يجتنبوا غلاما ، أو أن ينكحوا منكحا ، أو أن يدفنوا ميّتا ، أو يشكّوا في نسب واحد منهم ذهبوا إلى هبل بمائة درهم وبجزور ، فأعطوها صاحب القداح الذي يضربها ثمَّ قرّبوا صاحبهم الذي يريدون به ما يريدون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هذا فلان بن فلان أردنا به كذا وكذا فاخرج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لصاحب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فيضرب فإن خرج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حليفا ، وإن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منزلته منهم لا نسب له ولا حلف ، وإن خرج شي‌ء سوى هذا ممّا يعملون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به ، وإن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عامهم ذلك حتّى يأتوا به مرّة أخرى ينتهون في أمورهم إلى ذلك ممّا خرجت به القداح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هذا هو المراد بالاستقسام بالأزلام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 xml:space="preserve">كذلك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نهى عن إيكال الأمر إلى هبل وطلب الخير منه ، لأنّ هذا شرك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الاستخارة التي هي إيكال الأمر إلى اللّه وتفويضه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أن يقاس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الاستخارة التي هي اطاعة وعبادة وإيكال إلى اللّه تعالى وتفويض الأمر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عبادة الأوثان وطلب الخير والرزق من هبل الذي هو صخرة لا يضرّ ولا ينفع؟</w:t>
      </w:r>
    </w:p>
    <w:p>
      <w:pPr>
        <w:pStyle w:val="BookText"/>
        <w:rPr/>
      </w:pPr>
      <w:r>
        <w:rPr>
          <w:rFonts w:ascii="Amiri" w:hAnsi="Amiri" w:eastAsia="Amiri" w:cs="Amiri"/>
          <w:color w:val="111111"/>
          <w:sz w:val="28"/>
          <w:sz w:val="28"/>
          <w:szCs w:val="28"/>
          <w:rtl w:val="true"/>
          <w:lang w:bidi="ar-SA"/>
        </w:rPr>
        <w:t>وهل هذا إلاّ مقايسة الشرك بالتوحيد وعبادة اللّه والخضوع له وتفويض الأمور إليه بعبادة الأوثان وتفويض الأمر إليها؟</w:t>
      </w:r>
    </w:p>
    <w:p>
      <w:pPr>
        <w:pStyle w:val="BookText"/>
        <w:rPr/>
      </w:pPr>
      <w:r>
        <w:rPr>
          <w:rFonts w:ascii="Amiri" w:hAnsi="Amiri" w:eastAsia="Amiri" w:cs="Amiri"/>
          <w:color w:val="111111"/>
          <w:sz w:val="28"/>
          <w:sz w:val="28"/>
          <w:szCs w:val="28"/>
          <w:rtl w:val="true"/>
          <w:lang w:bidi="ar-SA"/>
        </w:rPr>
        <w:t xml:space="preserve">وكيف يمكن إنكار طلب الخير وإخراج الحقّ من اللّه وهو تبارك وتعالى ينقل في قصّة كفالة مريم ابنة عمران أنّ زكريا علیه السلام مع سائر القوم من عبّاد بني إسرائيل طلبوا إخراج الحقّ من اللّه تبارك وتعالى بإلقاء أقلامهم في نهر الأردن أيّهم يكفل مريم ، حين يقول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لَدَيْهِمْ إِذْ يُلْقُونَ أَقْلامَهُمْ أَيُّهُمْ يَكْفُلُ مَرْيَمَ وَما كُنْتَ لَدَيْهِمْ إِذْ يَخْتَصِمُونَ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طولنا المقام وأطنبنا الكلام لما حكي لنا من وقوع شبهة في أذهان جماعة من الشبان الذين تطرّقت في نفوسهم وساوس الشيطان ، فاللّه هو الهادي إلى سواء السبيل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لك عدم صحّة ما ذكره المقدس الأردبيلي قدس سره في آيات أحكامه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تَسْتَقْسِمُوا بِالْأَزْلامِ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يفهم منه تحريم الاستخارة المشهورة التي قال الأكثر بجوازها بل باستحبابها ، ويدلّ عليه الروايات ، إلى آخر ما قال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4" w:name="pg15902_182257"/>
    </w:p>
    <w:p>
      <w:pPr>
        <w:pStyle w:val="BookText"/>
        <w:rPr/>
      </w:pPr>
      <w:bookmarkEnd w:id="11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مثله عجيب فسبحان من لا يخطئ ، وكيف يمكن أن يكون طلب الخير من اللّه جلّ جلاله الذي هو حقيقة الاستخارة من مصاديق الاستقسام بالأزلام؟ فالأوّل عبادة وإيكال أمره وتفويضه إلى اللّه ، والثاني شرك وطلب الخير من هبل أو من الأزلام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5519140_2142443653"/>
      <w:bookmarkStart w:id="116" w:name="_Toc36"/>
      <w:bookmarkEnd w:id="115"/>
      <w:r>
        <w:rPr>
          <w:rtl w:val="true"/>
        </w:rPr>
        <w:t xml:space="preserve">الجهة الرابعة </w:t>
      </w:r>
      <w:r>
        <w:rPr>
          <w:rtl w:val="true"/>
        </w:rPr>
        <w:t xml:space="preserve">: </w:t>
      </w:r>
      <w:r>
        <w:rPr>
          <w:rtl w:val="true"/>
        </w:rPr>
        <w:t>في بيان أنّ الاستصحاب مقدّم عليها ، أو هي مقدّم عليه عند تعارضهما</w:t>
      </w:r>
      <w:bookmarkEnd w:id="11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هذا فرع وقوع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وقوع ذلك ؛ لأنّه بناء على ما بيّنّاه من اختصاص القرعة بالشبهات الموضوعيّة المقرونة بالعلم الإجمالي فلا تجري في ثلاثة أقسام من صور الشبهة الحكميّة بكلا قسميها البدويّة والمقرونة بالعلم الإجمالي ، والموضوعية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الموضوعيّة المقرونة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القرعة على الشرط المتقدّم وهو أن لا يجب أو لا يجوز فيها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حدّ نفسها ممّا يمكن جريان الاستصحاب فيها ، لكنّها غالبا يسقط فيها الاستصحاب بالمعارضة ولو كان بين شخصين أو أشخاص ، مثلا في باب تعارض البيّنات الذي هي العمدة في كون الحقّ بين شخصين أو أشخاص الاستصحابات متعارضة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فرضنا وجود مورد يكون مجرى لكليهما بدون سقوط أحدهما فيكون الاستصحاب حاكما على القرعة ، وذلك من جهة أنّ القرعة إنّما شرّعت في مورد لا حيلة ولا علاج لحلّ المشكل والملتبس ؛ ولذلك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وتلك المعضلات </w:t>
      </w:r>
      <w:r>
        <w:rPr>
          <w:rFonts w:eastAsia="IRNazanin" w:cs="IRNazanin"/>
          <w:color w:val="111111"/>
          <w:sz w:val="28"/>
          <w:szCs w:val="28"/>
          <w:rtl w:val="true"/>
          <w:lang w:bidi="fa-IR"/>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قيّدنا موضوعها بأنّها لا يكون مجرى للاحتياط الواجب ، وإلاّ </w:t>
      </w:r>
    </w:p>
    <w:p>
      <w:pPr>
        <w:pStyle w:val="BookText"/>
        <w:rPr/>
      </w:pPr>
      <w:r>
        <w:rPr>
          <w:rFonts w:ascii="Amiri" w:hAnsi="Amiri" w:eastAsia="Amiri" w:cs="Amiri"/>
          <w:color w:val="111111"/>
          <w:sz w:val="28"/>
          <w:sz w:val="28"/>
          <w:szCs w:val="28"/>
          <w:rtl w:val="true"/>
          <w:lang w:bidi="ar-SA"/>
        </w:rPr>
        <w:t>فيقدّم عليها مع أنّه من أضعف الأصول ، فضلا من الاستصحاب الذي هو من أقوى الأصول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تتعجّب أنّه كيف يقدّم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الأمارة ، أي القرعة؟ مع أنّه تقدّم مرارا حكومة الامارات جميعا على الأصول ؛ وذلك من جهة أنّ ما ذكر إنّما كان فيما إذا تحقّق موضوع الأمارة وكانت المعارضة في مؤدّاها ، وأمّا لو كان الأصل رافعا لموضوع الأمارة تعبّدا كما في المقام فلا ؛ حيث أنّ الاستصحاب على تقدير عدم سقوطه بالمعارضة رافع لموضوع القرعة ، أي كونه مشكلا ومعضلا</w:t>
      </w:r>
      <w:r>
        <w:rPr>
          <w:rFonts w:eastAsia="Amiri" w:cs="Amiri" w:ascii="Amiri" w:hAnsi="Amiri"/>
          <w:color w:val="111111"/>
          <w:sz w:val="28"/>
          <w:szCs w:val="28"/>
          <w:rtl w:val="true"/>
          <w:lang w:bidi="ar-SA"/>
        </w:rPr>
        <w:t xml:space="preserve">. </w:t>
      </w:r>
      <w:bookmarkStart w:id="117" w:name="pg15902_182259"/>
    </w:p>
    <w:p>
      <w:pPr>
        <w:pStyle w:val="Heading2"/>
        <w:numPr>
          <w:ilvl w:val="1"/>
          <w:numId w:val="1"/>
        </w:numPr>
        <w:rPr/>
      </w:pPr>
      <w:bookmarkStart w:id="118" w:name="__RefHeading___Toc15519142_2142443653"/>
      <w:bookmarkStart w:id="119" w:name="_Toc37"/>
      <w:bookmarkEnd w:id="117"/>
      <w:bookmarkEnd w:id="118"/>
      <w:r>
        <w:rPr/>
        <w:t>5</w:t>
      </w:r>
      <w:r>
        <w:rPr>
          <w:rtl w:val="true"/>
        </w:rPr>
        <w:t xml:space="preserve"> - </w:t>
      </w:r>
      <w:r>
        <w:rPr>
          <w:rtl w:val="true"/>
        </w:rPr>
        <w:t>قاعدة لا تعاد</w:t>
      </w:r>
      <w:bookmarkEnd w:id="1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5519144_2142443653"/>
      <w:bookmarkStart w:id="121" w:name="_Toc38"/>
      <w:bookmarkEnd w:id="120"/>
      <w:r>
        <w:rPr>
          <w:rtl w:val="true"/>
        </w:rPr>
        <w:t>اشارة</w:t>
      </w:r>
      <w:bookmarkEnd w:id="1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5902_182261"/>
      <w:bookmarkStart w:id="123" w:name="pg15902_182261"/>
      <w:bookmarkEnd w:id="123"/>
    </w:p>
    <w:p>
      <w:pPr>
        <w:pStyle w:val="BookText"/>
        <w:rPr/>
      </w:pPr>
      <w:bookmarkStart w:id="124" w:name="pg15902_182261"/>
      <w:bookmarkEnd w:id="124"/>
      <w:r>
        <w:rPr>
          <w:rFonts w:ascii="Amiri" w:hAnsi="Amiri" w:eastAsia="Amiri" w:cs="Amiri"/>
          <w:color w:val="111111"/>
          <w:sz w:val="28"/>
          <w:sz w:val="28"/>
          <w:szCs w:val="28"/>
          <w:rtl w:val="true"/>
          <w:lang w:bidi="ar-SA"/>
        </w:rPr>
        <w:t xml:space="preserve">قاعدة لا تعاد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ومن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تنطبق على فروع كثيرة مذكورة في الفقه ، في أبواب الخلل من 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ومدرك هذه القاعدة هي الرواية المرويّة الصحيحة عن أبي جعفر الباقر علیه السلام ، رواها الفقيه بإسناده عن زرارة ، عن أبي جعفر الباقر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 والوقت ، والقبلة والركوع ،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القراءة سنّة ، والتشهد سنة ، ولا تنقض السنّة الفريضة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الخدشة فيها من حيث السند والصدور ؛ لصحّة سندها وعمل الأصحاب بها ، فالعمدة بيان مقدار دلالتها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5519146_2142443653"/>
      <w:bookmarkStart w:id="126" w:name="_Toc39"/>
      <w:bookmarkEnd w:id="125"/>
      <w:r>
        <w:rPr>
          <w:rtl w:val="true"/>
        </w:rPr>
        <w:t xml:space="preserve">وتوضيحها في ضمن مباحث </w:t>
      </w:r>
      <w:r>
        <w:rPr>
          <w:rtl w:val="true"/>
        </w:rPr>
        <w:t>:</w:t>
      </w:r>
      <w:bookmarkEnd w:id="1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هل تشمل إخلال العامد العالم بالحكم ، بمعنى أنّه لو أخلّ بشرط أو بجزء بسبب عدم إتيانه بهما عمدا عالما ، أو أتى بمانع عمدا مع علمه بأنّه مانع ، فعقد المستثنى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يدلّ على عدم لزوم الإعادة وكفاية ما أتى به أم لا؟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صدور هذا الاحتمال من أحد في هذا الحديث الشريف ؛ لأنّه مخالف لأدلّة الأجزاء والشرائط والموانع ؛ إذ معنى جعل شي‌ء جزءا أو شرطا للصلاة أنّ الصلاة لا تتحقّق بدونه ، كما أنّ معنى جعل شي‌ء مانعا هو عدم تحقّقها وعدم امتثال الأمر الصلاتي مع وجوده فلو كانت الصلاة صحيحة مع الإخلال بأجزائها وشرائطها عمدا مع العلم بالحكم فيلزم الخلف ؛ إذ معناه أنّ ما هو جزء أو شرط أو مانع بأدلّة الأجزاء والشرائط والموانع ليس بجزء ولا بشرط ولا بمانع ، وهذا عين الخلف والمناقضة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فنفس أدلّة الأجزاء والشرائط والموانع مناقضة مع هذا الاحتمال مطابقة أو التزاما ؛ إذ ما كان منها يثبت الجزئيّة أو الشرطيّة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فيما إذا أخلّ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مناقضا مع هذا الحديث بناء على هذا الاحتمال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منها بلسان نفي الصلاة بعدمها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بفاتحة </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يكون مناقضا معه بالالتزام ، فمن المقطوع المسلّم عدم شمول الحديث للعامد العالم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تكلّف البعض وهو العالم المدقّق المتّقي الميرزا محمّد تقي الشيرازي قدس سره لإمكان ذلك بالالتزام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بالخمسة المستثناة وغيرها ممّا ثبت ركنيّته والآخر بإتيان باقي الأجزاء والشرائط معها ، فلو أتى بالخمسة وغيرها ممّا ثبت ركنيّته وترك الباقي عمدا مع العلم بوجوب إتيانها فالأمر المتعلّق بنفس الخمسة وغيرها ممّا ثبت ركنيّته يسقط بالامتثال ، والأمر المتعلّق بإتيان باقي الأجزاء والشرائط أيضا يسقط بواسطة عدم بقاء المحلّ والموضوع له ؛ إذ محلّه وموضوعه كان إتيان باقي الأجزاء والشرائط مع الخمسة ، والمفروض أنّه أتى بالخمسة وسقط أمرها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قلنا في الإتيان بالجهر في موضع الإخفات أو بالعكس مع الجهل تقصيرا أنّه تعلّق أمر بذات الصلاة الجامع بين الجهر والإخفات ، وأمر آخر بإتيانها </w:t>
      </w:r>
    </w:p>
    <w:p>
      <w:pPr>
        <w:pStyle w:val="BookText"/>
        <w:rPr/>
      </w:pPr>
      <w:r>
        <w:rPr>
          <w:rFonts w:ascii="Amiri" w:hAnsi="Amiri" w:eastAsia="Amiri" w:cs="Amiri"/>
          <w:color w:val="111111"/>
          <w:sz w:val="28"/>
          <w:sz w:val="28"/>
          <w:szCs w:val="28"/>
          <w:rtl w:val="true"/>
          <w:lang w:bidi="ar-SA"/>
        </w:rPr>
        <w:t>جهرا في الجهريّة وإخفاتا في الإخفاتيّة ، فإذا أتى بالجهر في موضع الإخفات أو بالعكس ، أو أتى بالإتمام في موضع القصر فقد أتى بما هو المأمور به بأحد الأمرين ، فيسقط ذلك الأمر بالامتثال ، والأمر الآخر أيضا بعدم الموضوع والمحلّ ؛ لأنّ محلّ الجهر أو الإخفات أو القصر في صلاة المسافر هو المأمور به بالأمر الذي سقط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فيما نذر أن يأتي بصلاته الواجبة مقرونة بخصوصيّة مستحبّة ؛ وذلك كما لو نذر بصلاة الظهر مثلا جماعة ، أو في المسجد فأتي بها منفردا أو في الدار ، فالأمر الأوّل العبادي يسقط بإتيان الفريضة بدون تلك الخصوصيّة لإتيانه بما هو متعلّقة وإلاّ يلزم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النذري أيضا يسقط ، لعدم بقاء المحلّ والموضوع له ، لأنّ متعلّقه كان خصوصيّة في متعلّق الأمر الأوّل ، ومع الإتيان به لا يبقى محلّ لتلك الخصوصيّة حتّى يأتي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الالتزام بالأمرين بالبيان المتقدّم لازمه استحقاق العقاب فيما إذا كان عالما بالحكم أو جاهلا مقصرا ، لتفويته للواجب بإتيانه المأمور به بذلك الأمر بدون الخصوصيّة في مورد النذر ، وبدون أن يقصر في مورد المسافر ، وبدون الجهر في مورد الجهر ، وبدون الإخفات في مورد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بالالتزام بذلك بأن يقال بصحّة صلاته وعدم وجوب الإعادة إذا أتى بالمستثنى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ثبت ركنيّته وكان مع ذلك مستحقّا للعقاب من ناحية تفويته الواجب الآخر ، أي سائر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أفاد في إمكان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العلم بالحكم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هذا صرف فرض ، وإلاّ فهو أمر مخالف للواقع ، والمسلّم المقطوع أنّه ليس للصلاة إلاّ أمر واحد متعلّق بمجموع هذه الأجزاء والشرائط وإعدام تلك الموانع ، بأنّ ما هو داخل تحت ذلك الأمر قيدا وتقييدا نسمّيه الجزء ، وما هو </w:t>
      </w:r>
    </w:p>
    <w:p>
      <w:pPr>
        <w:pStyle w:val="BookText"/>
        <w:rPr/>
      </w:pPr>
      <w:r>
        <w:rPr>
          <w:rFonts w:ascii="Amiri" w:hAnsi="Amiri" w:eastAsia="Amiri" w:cs="Amiri"/>
          <w:color w:val="111111"/>
          <w:sz w:val="28"/>
          <w:sz w:val="28"/>
          <w:szCs w:val="28"/>
          <w:rtl w:val="true"/>
          <w:lang w:bidi="ar-SA"/>
        </w:rPr>
        <w:t>داخل تحت ذلك الأمر تقييدا لا قيدا فإن كان التقييد الداخل تحت الأمر هو التقييد بوجود شي‌ء فنسمي ذلك الشي‌ء بالشرط ، وإن كان هو التقييد بعدم شي‌ء نسمّي ذلك الشي‌ء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فمرادنا من عدم إمكان شمول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العلم بأجزاء الصلاة وشرائطه وموانعه ولزومه للخلف والمناقضة ، هو بعد الفراغ عن أنّه ليس للصلاة إلاّ أمر واحد 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وحدته في مقام الثبوت بيانه بصورة القطعات في مقام الإثبات والتبليغ إلى المكلّفين ، فتارة يبيّن جزئيّة شي‌ء للصلاة بصورة عدمها بعدمه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يقم صلبه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بالأمر به فيها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واقرأ سورة من سور القرآن ، واغسل ثوبك ، واستقبل ،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بصورة أخرى كالنهي عن الصلاة في غير المأكول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الأوامر المتعلّقة بالأجزاء والشرائط ليست إلاّ أوامر غيريّة مولويّة ، أو إرشادية إلى أنّ المركّب المأمور به حصوله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موقوف على وجود هذا الشي‌ء في الأجزاء والشرائط ، وعلى عدمه في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نقضه ببعض أفعال الحجّ بأنّ الحجّ صحيح لا يجب إعادته مع ترك ذلك الفعل عمدا مع العلم بحكم ذلك الفعل أي بوجوبه في الحجّ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فجوابه أنّه لو دلّ دليل على مثل ذلك من إجماع أو رواية معتبرة فلا بدّ من حمله على كونه من قبيل الواجب في الواجب ، أو من قبيل تعدّد المطلوب ، وإلاّ يكون من </w:t>
      </w:r>
    </w:p>
    <w:p>
      <w:pPr>
        <w:pStyle w:val="BookText"/>
        <w:rPr/>
      </w:pPr>
      <w:r>
        <w:rPr>
          <w:rFonts w:ascii="Amiri" w:hAnsi="Amiri" w:eastAsia="Amiri" w:cs="Amiri"/>
          <w:color w:val="111111"/>
          <w:sz w:val="28"/>
          <w:sz w:val="28"/>
          <w:szCs w:val="28"/>
          <w:rtl w:val="true"/>
          <w:lang w:bidi="ar-SA"/>
        </w:rPr>
        <w:t>قبيل الخلف والمناقضة ، وعلى كلّ حال لا ينبغي الارتياب في عدم شمول الصحيحة لحال العمد مع العلم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تشمل الإخلال العمدي مع الجهل بالحكم ، سواء كان الجهل عن تقصير ، أو عن قصور مطلقا ، أو يفرق بينهما بشمولها لمورد الجهل عن قصور دون ما إذا كان عن تقصير ، أو لا تشمل مطلقا؟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إلى عدم شمول الصحيحة للعامد الجاهل مطلقا ، قصورا كان أو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الشيخ الأعظم الأنصاري قدس سره بين الجهل عن قصور فقال بالشمول ، وبين الجهل عن تقصير فقال بعدم الشمول</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ثمَّ إنّ ما ذهب إليه المشهور من القول بعدم الشمول مطلقا لم يفرّقوا بين أن يكون الجهل بالحكم قصورا أو تقصيرا من أوّل الأمر ولم يكن مسبوقا بالعلم ، أو كان 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يفرّقوا بين نسيان الحكم والجهل به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يقولون بعدم شمول الصحيحة للعامد الجاهل مطلقا ، سواء كان منشأ جهله نسيان الحكم أو كان من أوّل الأمر جاهلا ، وأيضا سواء كان جهله عن قصور أو عن تقصير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للقول المشهور بعدم شمول الصحيحة للإخلال العمدي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 قصور أو تقصير ، وسواء كان الجهل بالحكم مسبوقا بالعلم به أو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والمستفاد من الحديث هو نفي الإعادة في مورد لو لا هذا الحديث لكان مأمورا بالإعادة ، ونفيه للإعادة في مثل المورد المذكور يكون في غير الخمسة المذكورة كما هو صريح المستثنى فيكون العقد المستثنى منه من الحديث الشريف مفاده الذي هو عبارة عن عدم الإعادة مختصّا بمورد السهو ونسيان الموضوع ، لا نسيان الحكم الذي هو عبارة عن الجهل المسبوق بالعلم وما هو من قبيل </w:t>
      </w:r>
    </w:p>
    <w:p>
      <w:pPr>
        <w:pStyle w:val="BookText"/>
        <w:rPr/>
      </w:pPr>
      <w:r>
        <w:rPr>
          <w:rFonts w:ascii="Amiri" w:hAnsi="Amiri" w:eastAsia="Amiri" w:cs="Amiri"/>
          <w:color w:val="111111"/>
          <w:sz w:val="28"/>
          <w:sz w:val="28"/>
          <w:szCs w:val="28"/>
          <w:rtl w:val="true"/>
          <w:lang w:bidi="ar-SA"/>
        </w:rPr>
        <w:t xml:space="preserve">السهو والنسيان ، مثل الاضطرار وغيره ممّا يوجب سقوط الأمر بالمركّب التامّ الأجزاء والشرائط ، بحيث لو كانت الإعادة واجبة ويكون الإتيان بالتامّ الكامل لازما لا بدّ وأن يكون بصورة الأمر بالإعادة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الأمر الأوّل المتعلّق بالمركّب التامّ الأجزاء والشرائط باقيا ولم يسقط ، فلا معنى لمجي‌ء أمر جديد من قبل المولى يأمر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مجرى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إذا كان الأمر الأوّل ساقطا بواسطة السهو والنسيان والاضطرار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فالعامد إلى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جهة الجهل بالحكم قصورا أو تقصيرا أو من جهة نسيان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الأمر الأوّل لم يسقط عنه لأنّ الجهل بالحكم لا يوجب سقوط الأمر مطلقا ، قصورا كان أو تقصيرا أو نسيانا ، وذلك للإجماع على اشتراك التكاليف بين العالم والجاهل بها ، وبعضهم ادّعى تواتر الأخبار على ذلك ، ولا فرق في ذلك بين الجهل قصورا أو تقصيرا وإنّما الفرق بينهما في أنّ الجاهل المقصّر يستحقّ العقاب دون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له خطاب جديد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المحرّك له نحو الإتيان بالمأمور به الكامل التّام الأجزاء والشرائط هو الأمر الباقي إلى زمان ارتفاع الجهل بكلا قسميه ، وأيضا إلى زمان ارتفاع نسيان الحكم وحصول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معنى الحديث كما استظهرنا نفي الإعادة عن مورد لو لا هذا الحديث كان مخاطبا بالإعادة فلا يشمل مورد العمد مطلقا ، سواء كان عالما بالحكم ، أو جاهلا قصورا أو تقصيرا ، أو ناسيا للحكم ؛ لعدم الأمر بالإعادة في هذه الموارد ولو لم يكن هذا الحديث ، بل كان وجوب الإتيان بالتامّ بعد رفع الجهل بنفس الأمر الأوّل لبقائه وعدم سقوطه بواسطة الجهل ولو كان عن قصور أو كان بواسطة نسيان الحكم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قال شيخنا الأستاذ قدس سره بعدم شمول الحديث للعامد الجاهل مطلقا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أنت خبير بأنّ مفهوم الإعادة عبارة عن إيجاد الشي‌ء بعد إيجاده ثانيا أو ثالثا ، وهكذا مقابل الإيجاد ابتداء من غير سبق إيجاده ، غاية الأمر أنّ الإعادة بالمعنى المذكور قد تكون إعادة بالدّقة بحيث يكون الوجود الثاني مثل الوجود الأوّل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الوجود الثاني نفس الوجود الأوّل بالدقّة فمحال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إعادة عرفا ولو كان المعاد لا يكون على طبق الوجود الأوّل تماما وطابق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الإعادة عرفا قد يكون الوجود الأوّل مشتملا على زيادات ، وقد يكون بالعكس ، وقد يكون إعادة ادّعاء من حيث 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ففي موارد الإخلال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الجهل بالحكم بكلا قسميه ، أو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لزوم الإتيان بالصلاة التامّ الأجزاء والشرائط بعد الالتفات إلى أنّه أخلّ بإتيانها كما هي من جهة ترك جزء أو شرط أو ارتكاب مانع يكون بالأمر الأوّل ، ولكن هذا الوجود التامّ حيث أنّه يكون بعد ذلك الوجود الناقص الذي أتى به يصدق عليه أنّه إعادة ، فلو لم يكن هذا الحديث كان مقتضى الأمر الأوّل الباقي أن يأتي به ويعيده تامّ الأجزاء ، ولكن هذا الحديث ينفي إعادته ثانيا تامّا ويقول بكفاية ذلك الناقص الذي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قصور في شمول الحديث لموارد الجهل والنسيان للحكم ، من جهة صدق الإعادة على الإتيان بها ثانيا تامّ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ما ذكرنا ورود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الأخبار مع عدم سقوط الأمر الأوّل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فيمن أجهر في موضع الإخفات متعمّدا أو بالعكس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نقض صلاته وعليه الإعادة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فيمن صلّى أربعا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قرأ عليه آية التقصير وفسرت له فصلّى أربعا أعاد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إنكار شمول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لموارد الإخلال العمدي الصادر عن الجهل بالحكم قصورا أو تقصيرا ، أو الناشئ عن نسيان الحكم استنادا إلى عدم صدق الإعادة على الإتيان بالصلاة التامّ لأنّه بالأمر الأوّل ، لا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 ولا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يستدلّ للمشهور بأنّ شمول الحديث للإخلال العمدي في مورد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قصورا أو تقصيرا ، وكذلك في مورد نسيان الحكم الذي هو أيضا عبارة عن الجهل بالحكم غاية الأمر جهل مسبوق بالعلم وإلاّ في حال النسيان لا شكّ في أنّه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إبطال الأدلّة الدالّة على أنّ ما عدا الخمسة من الأجزاء والشرائط والموانع أيضا لها دخل في الصلاة ، إمّا بوجودها كالأوّلين أي الجزء والشرط ، أو بعدمها كالموانع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ما ذكرنا مرارا أنّ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لها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حال الجهل بها ؛ وذلك لأنّ التقابل بين الإطلاق والتقييد تقابل العدم والملكة ، لا تقابل السلب والإيجاب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شرحنا المسألة في باب المطلق والمقيّد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فالدليل على عدم إمكان التقييد بقيد هو بنفسه دليل على عدم إمكان الإطلاق اللحاظي بالنسبة إلى ذلك القيد ، ولا شكّ في عدم إمكان تقييد الحكم بحال الجهل أو العلم به ؛ لأنّ هاتين الصفتين متأخّران عن الحكم المتعلّق بهما ، ومعنى التقييد بهما جعلهما جزءا </w:t>
      </w:r>
    </w:p>
    <w:p>
      <w:pPr>
        <w:pStyle w:val="BookText"/>
        <w:rPr/>
      </w:pPr>
      <w:r>
        <w:rPr>
          <w:rFonts w:ascii="Amiri" w:hAnsi="Amiri" w:eastAsia="Amiri" w:cs="Amiri"/>
          <w:color w:val="111111"/>
          <w:sz w:val="28"/>
          <w:sz w:val="28"/>
          <w:szCs w:val="28"/>
          <w:rtl w:val="true"/>
          <w:lang w:bidi="ar-SA"/>
        </w:rPr>
        <w:t>لموضوع فيكون مقدّما على الحكم باعتبار كون كلّ واحد منهما جزء لموضوعه ، ومتأخّرا عنه باعتبار كون الحكم متعلّقا لكل واحد منهما ، فيلزم 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التقييد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فيكون الإطلاق أيضا كذلك ؛ لما ذكرنا من أنّ التقابل بينهما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في الإطلاق اللحاظي ، والإطلاق بنتيجة الإطلاق لا مانع منه كما أنّ التقييد بنتيجة التقييد أيضا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الإطلاق في المقام يثبت بادعاء الاتّفاق على اشتراك الجاهل والعالم في التكاليف ، فلو شمل هذا الحديث مورد الإخلال العمدي جهلا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قصورا 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معارضا مع تلك الأدلّة الكثيرة الدالّة على جزئيّة ما عدا الخمسة من أجزاء الصلاة ، وكذلك بالنسبة إلى ما تدلّ على شرائطها وموانعها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لحال الجهل ونسيان الحكم نفي الجزئيّة والشرطيّة والمانعيّة عن جميع أجزاء الصلاة وشرائطها وموانعها ما عدا هذه الخمسة المذكورة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لازم جزئيّة شي‌ء أو شرطيّته أو مانعيّته للصلاة في حال الجهل بكلا قسميه لزوم إعادته بعد الالتفات إلى الإخلال به ، خصوصا إذا كان الالتفات 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لازم هذه الأمور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بناء على شموله لحال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لنفي هذه الأمور ، أي الجزئيّة والشرطيّة والمانعيّة في حال الجهل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فيدور الأمر بين رفع اليد عن ظاهر تلك الأدلّة الدالّة على الجزئيّة والشرطيّة والمانعيّة في حال الجهل ، وبين حملها على حال العلم فتكون جزئيّة تلك الأجزاء وكذلك شرطيّتها ومانعيّتها مخصوصة بحال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الإجماع ، بل خلاف ما ادّعى من تواتر الأخبار ، بل الضرورة على اشتراك الجاهل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السهو والنسيان ، أي لا تجب الإعادة فيما إذا كان الإخلال صدر عن سهو أو عن نسيان الموضوع ، حتّى لا يشمل مورد الجهل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محذور في هذا الحمل ، بل هو المتعيّن ، فيكون من قبيل دليل نفي الضرر والحرج حاكما على الأدلّة الأوليّة ، أي يدلّ على تضييق دائرة الجزئيّة والشرطيّة والمانعيّة ، ورفعها ونفيها في حال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مع أنّ سياق الحديث من أول الأمر ليس إلاّ في مقام التعرّض لحال السهو والخطأ ونسيان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القول بشمول الحديث لحال الجهل ، خصوصا إذا كان عن تقصير لا ينبغي أن يصدر عن فقيه ، بل لا يتصوّر تقصير بناء على نفي الجزئيّة والشرطيّة والمانعيّة من غير هذه الخمسة في حال الجهل ؛ إذ ليس في تلك الحال جزء أو شرط أو مانع حتّى يجب عليه التعلّم ، حتّى يكون تركه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 توجيه التكليف إلى الجاهل القاصر قبيح لعجزه عن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يخطر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السهو والخطأ ونسيان الموضوع مشمولا للحديث ، كما أنّه ليس ببعيد إن لم يكن إجماع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شموله للجاهل المقصّر مع الالتفات في الوقت وبقاء الوقت لأداء الصلاة لا يخلو من غرابة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 عن الشيخ الأعظم الأنصاري قدس سره من التفصيل بين الجهل قصورا وقال بشموله له ، وبين الجهل عن تقصير وقال بعدم الشمول</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فإن كان وجهه ما احتملناه من عدم صحّة توجيه الأمر إلى الجاهل القاصر لعجزه عن الامتثال فله وجه ، وإن كان أيضا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الصحيحة في مقام بيان حكم من كان له تكليف واقعا ، فتكليفه في زمان الجهل بالناقص ، وعدم وجوب الصلاة التامّ الأجزاء والشرائط عليه ، فلا يشمل الجاهل المقصر ؛ لأنّه بسبب تقصيره استحقّ العقاب فسقط أمره بالتامّ بواسطة العصيان ، </w:t>
      </w:r>
      <w:bookmarkStart w:id="127" w:name="pg15902_182271"/>
    </w:p>
    <w:p>
      <w:pPr>
        <w:pStyle w:val="BookText"/>
        <w:rPr/>
      </w:pPr>
      <w:bookmarkEnd w:id="127"/>
      <w:r>
        <w:rPr>
          <w:rFonts w:ascii="Amiri" w:hAnsi="Amiri" w:eastAsia="Amiri" w:cs="Amiri"/>
          <w:color w:val="111111"/>
          <w:sz w:val="28"/>
          <w:sz w:val="28"/>
          <w:szCs w:val="28"/>
          <w:rtl w:val="true"/>
          <w:lang w:bidi="ar-SA"/>
        </w:rPr>
        <w:t>فليس أمر بالتامّ متوجّه إليه حتّى يشمله الحديث ، ويكون مفاده أيّها الجاهل الذي أنت مأمور بإتيان المركّب التامّ إتيانك بالناقص يكفي ويجزي ، ولا يجب عليك الإعادة ، لأنّه ليس مأمورا به بعد العصيان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عجيب لا ينبغي أن يسند إلى مثل شيخنا الأعظم الأنصاري ، وحيث أنّ مواقع الخلل فيه واضح ولذلك لا نتعرّض لما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المستفاد من ظاهر الصحيحة ، أي فيما تدلّ عليه بالدلالة التصديقيّة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نتكلّم في عقد المستثنى منه ، 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عقد المستثنى ، 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p>
    <w:p>
      <w:pPr>
        <w:pStyle w:val="Heading3"/>
        <w:numPr>
          <w:ilvl w:val="2"/>
          <w:numId w:val="1"/>
        </w:numPr>
        <w:rPr/>
      </w:pPr>
      <w:bookmarkStart w:id="128" w:name="__RefHeading___Toc15519148_2142443653"/>
      <w:bookmarkStart w:id="129" w:name="_Toc40"/>
      <w:bookmarkEnd w:id="128"/>
      <w:r>
        <w:rPr>
          <w:rtl w:val="true"/>
        </w:rPr>
        <w:t>فالكلام فيه من جهات</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الجملة أنّ كلّ إخلال وقع في الصلاة إذا لم يكن ذلك الإخلال من قبل الخمسة ، ولم يكن عن عمد مع العلم بالحكم أو مع الجهل به مطلقا سواء كان عن قصور أو عن تقصير فلا يوجب الإعادة ؛ فينتج رفع الجزئيّة والشرطيّة والمانعيّة عن جزء أو شرط تركهما خطأ أو نسيانا ، أو أتى بمانع كذلك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سقط الأمر بالصلاة الكاملة التامّة بواسطة العذر العقلي أو الشرعي ، وكان بمقتضى إطلاق أدلّة الأجزاء والشرائط يجب عليه الإعادة في الوقت ، بل القضاء في خارج الوقت بعد رفع العذر ؛ فحديث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الجزئيّة والشرطيّة والمانعيّة ، وينفيها بنفي الإعادة ، فيكون الحديث حاكما على إطلاق أدلّة الأجزاء والشرائط والموانع ، بحيث لو لم يكن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مقتضى تلك الإطلاقات ثبوت الجزئيّة والشرطيّة والمانعيّة حتّى في حال السهو والنسيان ؛ ولازمه وجوب الإعادة في الوقت بعد رفع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فالحديث يضيق دائرة الإطلاقات ، ويخصّص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الجزئيّة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حال السهو والنسيان ، بل بغير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هذه الموارد فينفي الجزئيّة والشرطيّة والمانعيّة بل ينفي هذه الأمور في كلّ مورد سقط الأمر ، ولو بواسطة التزاحم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أنّه لو كان أمر بالصلاة التامّ الأجزاء والشرائط فيعارض الحديث ؛ لأنّ مقتضى ذلك الأمر يكون الإعادة بعد الالتفات ، خصوصا إذا كان رفع العذر في الوقت مع بقائه لأدائه ، ولا حكومة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ذلك الأمر ، بخلاف ما إذا سقط الأمر ولو كان سقوطه بواسطة التزاحم أو الإكراه أو الاضطرار ، فليس شي‌ء في البين يعارض هذه الصحيحة إلاّ دليل الأجزاء والشرائط ، وقد تقدّم أنّها محكومة بلا تعاد ، ويكون حال لا تعاد بالنسبة إليها حال أدلّة نفي الضرر والحرج بالنسبة إلى العمومات وإطلاقات الأدلّة الأوّليّة ، فلا تبقى معارضة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الحكم ، أي عدم وجوب الإعادة في الموارد المذكورة من السهو والنسيان والخطأ والاضطرار وغيرها عند الإخلال بها هل يختصّ بالنقيصة ، أو يشمل الزيادة أيضا فيما إذا كانت الزيادة موجبة للإعادة؟</w:t>
      </w:r>
    </w:p>
    <w:p>
      <w:pPr>
        <w:pStyle w:val="BookText"/>
        <w:rPr/>
      </w:pPr>
      <w:r>
        <w:rPr>
          <w:rFonts w:ascii="Amiri" w:hAnsi="Amiri" w:eastAsia="Amiri" w:cs="Amiri"/>
          <w:color w:val="111111"/>
          <w:sz w:val="28"/>
          <w:sz w:val="28"/>
          <w:szCs w:val="28"/>
          <w:rtl w:val="true"/>
          <w:lang w:bidi="ar-SA"/>
        </w:rPr>
        <w:t>الأقوى هو الشمول ؛ وذلك من جهة أنّ الظاهر والمتفاهم العرفي من هذه الجملة أنّ الخلل الواقع من غير ناحية هذه الخمسة لا يكون موجبا للإعادة ، سواء كان سبب وقوع الخلل نقيصة شي‌ء من الأشياء التي لها دخل في الصلاة وجودا أو عدما ، أو زيادته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يرد عليه أنّ التقدير في طرف المستثنى منه إمّا أن يكون وجود الشي‌ء ، فيلزم أن يكون مفاد الحديث عدم وجوب الإعادة من وجود كلّ ما اعتبر في الصلاة إلاّ من وجود هذه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عدم الشي‌ء ، فيكون مفاد الحديث لا تجب الإعادة من عدم كلّ ما اعتبر في الصلاة إلاّ من عدم هذه </w:t>
      </w:r>
    </w:p>
    <w:p>
      <w:pPr>
        <w:pStyle w:val="BookText"/>
        <w:rPr/>
      </w:pP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في حدّ نفسه صحيحا ولكن خلاف ظاهر الحديث ؛ إذ ظاهره عدم وجوب إعادة الصلاة مطلقا ، ومن أيّ جهة كانت إلاّ من ناحية هذه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طبيعة إعادة الصلاة ، لا خصوص نفي إعادتها من قبل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شي‌ء ولو كان معنى الحديث عدم إعادتها من ناحية خصوص عدم كلّ شي‌ء معتبر وجوده في الصلاة لم تشمل الإعادة من قبل وجود بعض القواطع ، كالتكلّم فيها سهوا مثلا ، وقد عرفت أنّ ظاهره العموم ، خصوصا بقرينة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والمستثنى ممّا يكون زيادتها ونقيصتها موجبة للإعادة ، فبحكم وحدة السياق لا بدّ وأن يكون المستثنى منه أيضا زيادتها ونقيصتها لا توجب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ينبغي أن يشكّ في أنّ الظاهر والمتفاهم العرفي في معنى الحديث نفي الإعادة مطلقا ، من أيّ سبب وناحية كانت موجبة للإعادة لو لا هذا الحديث ، سواء كان الإخلال من ناحية زيادة شي‌ء فيما إذا كانت الزيادة لو لا هذا الحديث موجبة للإعادة ، أو كان من ناحية نقيصة شي‌ء وجوده أو عدمه معتبر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ما عرفت ما ذكرنا من معنى الحديث يظهر لك أنّه لا فرق في عدم وجوب الإعادة بين أن يكون الخلل من ناحية فقد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ترك فاتحة الكتاب مثلا في الركعتين الأوليين ، أو في إحديهما ما لم يكن ذلك الجزء من الخمسة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ناحية ترك شرط سهوا ونسيانا ما لم يكن من الخمسة المستثناة ، كالطمأنينة والاستقرار مثلا ، أو كان من ناحية وجود مانع أو قاطع ما لم يكن من الخمسة ، كالتكلّم سهوا أو نسيانا ، أو صلّى في غير المأكول سهوا أو نسيانا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ربما يقال من أنّ للشي‌ء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أفرادي وإطلاق أحوالي ، فباعتبار العموم الأفرادي حيث أنّه نكرة </w:t>
      </w:r>
    </w:p>
    <w:p>
      <w:pPr>
        <w:pStyle w:val="BookText"/>
        <w:rPr/>
      </w:pPr>
      <w:r>
        <w:rPr>
          <w:rFonts w:ascii="Amiri" w:hAnsi="Amiri" w:eastAsia="Amiri" w:cs="Amiri"/>
          <w:color w:val="111111"/>
          <w:sz w:val="28"/>
          <w:sz w:val="28"/>
          <w:szCs w:val="28"/>
          <w:rtl w:val="true"/>
          <w:lang w:bidi="ar-SA"/>
        </w:rPr>
        <w:t>واقعة في سياق النفي يشمل كلّ فرد من أفراد الشي‌ء بنحو العامّ الاستغراقي ، وباعتبار إطلاقه يشمل حالة كون ذلك الشي‌ء جزء أو شرطا أو مانعا ، فلو شمل الجميع بالإطلاق فبالعموم الأفرادي يشمل كلّ فرد من أفراد الجزء ، وكذلك بالنسبة إلى الشرط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فشموله للموانع والشروط مضافا إلى الأجزاء يحتاج إلى ثبوت إطلاق للشي‌ء مضافا إلى عمومه الأفرادي ، والدليل على عموم الشي‌ء بنحو الاستغراقي موجود ولكن لا دليل في الحديث على ثبوت الإطلاق له بحيث يشمل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والشرائط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أن الخمسة المستثناة مشتملة على الأجزاء والشرائط دون الموانع ، فبحكم وحدة السياق لا بدّ وأن يكون المراد في طرف المستثنى منه أيضا أعمّ من الأجزاء والشرائط ، ولا دليل على شموله للموانع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المقدّر هو الإخلال لا الشي‌ء ، بمعنى أنّ العرف يفهم من قوله علیه السلام في عقد المستثنى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تعاد الصلاة من الإخلال بها ، فيكون الإخلال له عموم حسب التفاهم العرفي باعتبار سببه أيّ إخلال ، من أيّ ناحية وأيّ سبب إلاّ من ناحية هذه الخمسة ، فيشمل الموانع بنفس العموم من دون احتياج إلى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مصبّ العموم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أن يكون هو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الأجزاء والشرائط والموانع ، وذلك من جهة أنّ المراد من عدم وجوب إعادة الصلاة ومن الخلل الوارد عليها من ناحية كلّ شي‌ء أي كلّ شي‌ء من الأشياء التي لها دخل في تحقّق حقيقة الصلاة ، إمّا وجودا أو عدما ، فما هو دخيل وجودا قيدا وتقييدا فهو الجزء ، وتقيدا لا قيدا فهو الشرط ، وما هو دخيل عدمه أي الصلاة مقيّدة بعدمه بنحو يكون التقييد داخلا دون القيد فهو المانع ؛ فالحديث يشمل بعمومه الأجزاء والشرائط والموانع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العموم ليس عموما عقليّا لا يكون قابلا للتخصيص ، بل يمكن أن يرد الدليل بالنسبة إلى بعض الموانع ، أو بعض الشرائط ، بل بعض الأجزاء غير </w:t>
      </w:r>
    </w:p>
    <w:p>
      <w:pPr>
        <w:pStyle w:val="BookText"/>
        <w:rPr/>
      </w:pPr>
      <w:r>
        <w:rPr>
          <w:rFonts w:ascii="Amiri" w:hAnsi="Amiri" w:eastAsia="Amiri" w:cs="Amiri"/>
          <w:color w:val="111111"/>
          <w:sz w:val="28"/>
          <w:sz w:val="28"/>
          <w:szCs w:val="28"/>
          <w:rtl w:val="true"/>
          <w:lang w:bidi="ar-SA"/>
        </w:rPr>
        <w:t>الأجزاء المذكورة في عداد الخمسة المستثناة ، أعني الركوع والسجود بأنّ الخلل من ناحيتها سهوا أيضا توجب الإعادة ، كما أنّه ورد بالنسبة إلى القيام المتّصل بالركوع ، وتكبيرة الإحرام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قالوا إنّ الأركان ليست منحصرة بالخمسة المذكورة ، إن كان معنى الركن هو الذي يكون تركه عمدا أو سهوا موجبا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أنّ وقوع الصلاة في غير المأكول يكون موجبا للإعادة ولو سهوا ، فهذا لا يدلّ على عدم شمول الحديث للموانع بناء على عدم كون المأكوليّة شرطا إذا كان لباس المصلي من الحيوان ، بل كان مالا يؤكل مانعا كما هو ظاهر موثّقة ابن بكير ، إذ من الممكن أن يكون فتواهم بالإعادة من جهة وجود دليل خاصّ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الحديث للإعادة والقضاء جميعا ، بمعنى أنّه يدلّ على نفي الإعادة في الوقت ونفي القضاء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نفي الإعادة في عقد المستثنى منه إن كان هو المعنى اللغوي للإعادة ، فيكون معناه نفي لزوم إيجادها ثانيا بعد ذلك الإيجاد الأوّل الذي سها عن إيجاد جزء أو شرط ، أو سها عن ترك مانع ، سواء كان الإيجاد الثاني في الوقت الذي نسمّيه بالإعادة اصطلاحا ، أو كان في خارج الوقت الذي نسمّيه بالقضاء ؛ لأجل شمول الإعادة بهذا المعنى اللغوي لكليهما بدون فرق أصلا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المراد منه نفي الإعادة بالمعنى الاصطلاحي للإعادة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إيجادها ثانيا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يدلّ على نفي القضاء بالدلالة الالتزاميّة ، بل يدلّ على نفيها بطريق أولى ؛ لأنّ لازم عدم لزوم الإعادة في الوقت سقوط الأمر عن الكامل التامّ وكفاية ما أتى به من الفاقد للجزء أو الشرط أو الواجد للمانع ، وإيفائه للغرض ؛ فلم يفت شي‌ء منه ، لا الواجب لسقوط الأمر بالامتثال بما أتى به من الناقص ، ولا الملاك لإيفاء ما أتى به للغرض ، فلا يبقى موضوع لوجوب القضاء</w:t>
      </w:r>
      <w:r>
        <w:rPr>
          <w:rFonts w:eastAsia="Amiri" w:cs="Amiri" w:ascii="Amiri" w:hAnsi="Amiri"/>
          <w:color w:val="111111"/>
          <w:sz w:val="28"/>
          <w:szCs w:val="28"/>
          <w:rtl w:val="true"/>
          <w:lang w:bidi="ar-SA"/>
        </w:rPr>
        <w:t xml:space="preserve">. </w:t>
      </w:r>
      <w:bookmarkStart w:id="130" w:name="pg15902_182276"/>
    </w:p>
    <w:p>
      <w:pPr>
        <w:pStyle w:val="Heading3"/>
        <w:numPr>
          <w:ilvl w:val="2"/>
          <w:numId w:val="1"/>
        </w:numPr>
        <w:rPr/>
      </w:pPr>
      <w:bookmarkStart w:id="131" w:name="__RefHeading___Toc15519150_2142443653"/>
      <w:bookmarkStart w:id="132" w:name="_Toc41"/>
      <w:bookmarkEnd w:id="130"/>
      <w:bookmarkEnd w:id="131"/>
      <w:r>
        <w:rPr>
          <w:rtl w:val="true"/>
        </w:rPr>
        <w:t xml:space="preserve">و أما المقام الثاني </w:t>
      </w:r>
      <w:r>
        <w:rPr>
          <w:rtl w:val="true"/>
        </w:rPr>
        <w:t xml:space="preserve">: </w:t>
      </w:r>
      <w:r>
        <w:rPr>
          <w:rtl w:val="true"/>
        </w:rPr>
        <w:t>أي التكلّم في عقد المستثنى من هذا الحديث</w:t>
      </w:r>
      <w:bookmarkEnd w:id="132"/>
    </w:p>
    <w:p>
      <w:pPr>
        <w:pStyle w:val="Heading4"/>
        <w:numPr>
          <w:ilvl w:val="3"/>
          <w:numId w:val="1"/>
        </w:numPr>
        <w:rPr/>
      </w:pPr>
      <w:bookmarkStart w:id="133" w:name="__RefHeading___Toc15519152_2142443653"/>
      <w:bookmarkStart w:id="134" w:name="_Toc42"/>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والركوع ،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جهات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الخمسة المذكورة فيه ، وأنّه ما المراد منها؟</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وإن كانت لها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بضم الطاء اسم مصدر مأخوذ من تطهّر ، كالوضوء من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صفة مشبّه بمعنى الطاهر ، كالعجوز بمعنى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صيغة مبالغة ، وهذا الوزن في صيغ المبالغة معروفة مشهورة بخلاف الاحتمالين الأوّلين فإنّ فيهما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اسم لما يتطهّر به ، كالوضوء والسحور ، والفطور ، لما يتوضأ وما يتسحّر وما يفطر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مصدرا من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الاحتمالات ما عدا الاحتمال الأوّل فيما إذا قرأت بفتح الطاء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الظاهر منها في هذا الحديث أن يكون إمّا مصدرا من طهر بضم الهاء ، ويكون بمعنى الطهارة ، فيكون معنى الحديث أنه لا تعاد الصلاة إلاّ من أشياء أحدها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اسم لما يتطهّر به ، ويكون معنى الحديث أنّه لا تعاد الصلاة الاّ من أشياء أحدها ما يتطهّر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الماء أو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كناية عن الطهارة الحاصلة عن أحدهما حسب المتفاهم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يناسب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الطهورين لا </w:t>
      </w:r>
    </w:p>
    <w:p>
      <w:pPr>
        <w:pStyle w:val="BookText"/>
        <w:rPr/>
      </w:pPr>
      <w:r>
        <w:rPr>
          <w:rFonts w:ascii="Amiri" w:hAnsi="Amiri" w:eastAsia="Amiri" w:cs="Amiri"/>
          <w:color w:val="111111"/>
          <w:sz w:val="28"/>
          <w:sz w:val="28"/>
          <w:szCs w:val="28"/>
          <w:rtl w:val="true"/>
          <w:lang w:bidi="ar-SA"/>
        </w:rPr>
        <w:t xml:space="preserve">صلاة له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لا شكّ في أنّ الظاهر من هذه الكلمة هي الطهارة في الحديث الشريف ؛ لأنّها إن كانت مصدر الطهر بضم الهاء فهو مرادف للطهارة ، لأنّ كليهما مصدران لطهر بتنصيص أهل اللغة ، وإن كانت بمعنى ما يتطهّر به كالوضوء بفتح الواو فأيضا لا بدّ وأن يكون المراد منها هي الطهارة ؛ إذ لا معنى لإعادة الصلاة بواسطة السهو عن الماء والتراب إلاّ أن يكون المراد الطهارة الحاصلة منها ، فكأنّه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 أشياء أحدها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الطهارة وإن كانت أعمّ من الطهارة الحدثيّة والخبثيّة جميعا لكن الظاهر أنّ المراد منها في الحديث خصوص الطهارة الحدثيّة لأنّه لا شكّ في أنّ الحديث في مقام أهميّة هذه الخمسة التي ثلاثة منها من الشرائط واثنان منها من الأجزاء من بين سائر الأجزاء والشرائط ، فبتركها وإن كان سهوا لا تتحقّق الصلاة ولا توجد ، ومن هذه الجهة اصطلح الفقهاء على تسمية هذه الأمور ركنا ، وعرّفوا الركن بأنّه ما كان زيادته ونقيصته أو خصوص نقيصته سهوا وعمدا موجبا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أنّه من مجموع الأخبار في الموارد المختلفة يفهم أهميّة الطهارة الحدثية حتّى اشتهر عنهم علیهم السلام أنّ فاقد الطهورين لا صلاة له ، وأيضا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فمن باب مناسبة الحكم والموضوع وأهميّة الطهارة الحدثيّة في الصلاة يقطع الفقيه بأنّ المراد منها هي الطهارة الحدثية ، فالطهارة الخبثيّة للثوب والبدن داخلة في عقد المستثنى منه لا المستثنى ، فلو أخلّ بها سهوا ونسيانا لا يوجب الإعادة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المراد به هو الزمان الذي عيّن الشارع لكلّ واحدة من الفرائض الخمس ، وذلك الزمان لكلّ واحدة منها مذكور في الفقه في باب أوقات الفرائض الخمس ، وهي مشهورة معروفة عند أغلب المسلمين فلا حاجة إلى </w:t>
      </w:r>
    </w:p>
    <w:p>
      <w:pPr>
        <w:pStyle w:val="BookText"/>
        <w:rPr/>
      </w:pPr>
      <w:r>
        <w:rPr>
          <w:rFonts w:ascii="Amiri" w:hAnsi="Amiri" w:eastAsia="Amiri" w:cs="Amiri"/>
          <w:color w:val="111111"/>
          <w:sz w:val="28"/>
          <w:sz w:val="28"/>
          <w:szCs w:val="28"/>
          <w:rtl w:val="true"/>
          <w:lang w:bidi="ar-SA"/>
        </w:rPr>
        <w:t>ذكر تلك الأوقات وبيانها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الصحيحة أنّه لو أتى بها خارج الوقت مقدما عليه ، أو مؤخّرا عنه عمدا أو سهوا تكون صلواته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وجوب القضاء في خارج الوقت الذي هو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صحتها إذا أتى بعنوان القضاء لا الأداء ، ولكنّه لا شكّ في أنّه لو أتى بها بتمامها قبل الوقت تكون صلاته باطلة ، سواء أكان الإتيان بها قبل الوقت عمدا علما ، أو جهلا قصورا أو تقصيرا ، أو كان سهوا ونسيانا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دخل فيها قبل الوقت مع قيام الحجّة عنده على دخول الوقت ، ودخل الوقت قبل أن يفرغ عنها فالمشهور حكموا بالصحّة ، اعتمادا على رواية وردت بهذا المضمون ، وإلاّ فمقتضى هذه الصحيحة هو بطلانها ، لأنّ ظاهرها لزوم وقوع الصلاة بتمامها في الوقت ، فلو خرج شي‌ء منها عن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المقدار الخارج قبل الوقت أو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داخلا في المستثنى لا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كان المقدار الخارج قبل الوقت مع قيام الحجّة عنده على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صحّتها وعدم بطلانها رواية ابن أبي عمير ، عن إسماعيل بن 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وأنت ترى أنّك في وقت ولم يدخل الوقت ، فدخل الوقت وأنت في الصلاة فقد أجزأت عنك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في الرواية بضعف إسماعيل بن رياح مع أنّ الراوي عنه محمّد بن أبي عمير لا وجه له ، والمشهور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الحكم بالصحّة بواسطة الدليل الخاصّ أعني هذه الرواية ، وإلا مقتضى الصحيحة بطلانها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p>
    <w:p>
      <w:pPr>
        <w:pStyle w:val="BookText"/>
        <w:rPr/>
      </w:pPr>
      <w:r>
        <w:rPr>
          <w:rFonts w:ascii="Amiri" w:hAnsi="Amiri" w:eastAsia="Amiri" w:cs="Amiri"/>
          <w:color w:val="111111"/>
          <w:sz w:val="28"/>
          <w:sz w:val="28"/>
          <w:szCs w:val="28"/>
          <w:rtl w:val="true"/>
          <w:lang w:bidi="ar-SA"/>
        </w:rPr>
        <w:t>مقدار الخارج بعد الوقت فإن أدرك من الوقت مقدار ركعة كان كمن أدرك الوقت جميعا ، وهذا أيضا بالأدلّة الخاصّة الواردة في هذا المقام ، وإلاّ فمقتضى عقد المستثنى لزوم إعادتها وإن كان إتيانها في خارج الوقت سهوا إن كان بعنوان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المسألة في الفقه في باب أوقات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معلومة معروفة عند جميع المسلمين ، حتّى صار أهل القبلة عنوانا لهم ، وهي عبارة عمّا أمر اللّه تعالى بتولية الوجه إليها في الصلاة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أي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أنّها للبعيد عن الكعبة أو سمتها وجانبها؟ وعلى أيّ التقادير وأيّ قول اخترناه يكون مفاد عقد المستثنى بطلان الصلاة لو وقعت إلى غير القبلة وإن كان سهوا ونسيانا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في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أدلّة خاصّة تدلّ في بعض الصور والفروض على صحّة الصلاة وإن وقعت إلى غير القبلة من باب تخصيص الحديث أو الحكومة بالتوسعة فيها تعبّدا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بين المشرق والمغرب كلّه قبلة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ومعلوم أنّ مقتضى عقد المستثنى كان لزوم الإعادة إذا صلّى سهوا أو نسيانا إلى غير القبلة ، لكن هذه الرواية حاكمة على عقد المستثنى ؛ لأنّ مفادها توسعة القبلة إلى ما بين المشرق والمغرب ، كما أنّه في الثاني من الخمسة التي مذكورة في عقد المستثنى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أدرك ركعة من الصلاة في الوقت فقد أدرك الوقت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يكون حاكما على عقد المستثنى بسبب توسعة في الوقت تعبّدا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التوجّه إلى القبلة حيث أنّه شرط في جميع حالات الصلاة </w:t>
      </w:r>
    </w:p>
    <w:p>
      <w:pPr>
        <w:pStyle w:val="BookText"/>
        <w:rPr/>
      </w:pPr>
      <w:r>
        <w:rPr>
          <w:rFonts w:ascii="Amiri" w:hAnsi="Amiri" w:eastAsia="Amiri" w:cs="Amiri"/>
          <w:color w:val="111111"/>
          <w:sz w:val="28"/>
          <w:sz w:val="28"/>
          <w:szCs w:val="28"/>
          <w:rtl w:val="true"/>
          <w:lang w:bidi="ar-SA"/>
        </w:rPr>
        <w:t>والاشتغال بها من أوّل الدخول فيها إلى آخرها ، فإذا خرج جزء صغير منها عن القبلة ولم يأت به إليها تكون الصلاة فاقدة لهذا الشرط ، وتكون داخلة في عقد المستثنى لا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خروجها بتمامها عن القبلة وبين خروج مقدار منها عنه وان كان ذلك المقدار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مقولة الوضع ، وكلّ واحد منهما عبارة عن هيئة خاصّة حاصلة لجسم الإنسان من نسبة أجزاء جسمه بعضها إلى بعض ومجموعها إلى الخارج ، فيكونان كالقيام والقعود والانبطاح والاستلقاء ، فهذه كلّها أوضاع للجسم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المفاهيم كلّها مفاهيم عرفيّة ، يحمل ما يفهم العرف منها ، إلاّ إذا أتى دليل على أنّ الشارع تصرّف فيها في عالم موضوعيّتها لأحكامه بالزيادة أو النقيصة ممّا يفهمه العرف ، وأمّا إذا أطلق فيحمل على ذلك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فالركوع عند العرف له مصاديق بل مراتب ، فمن أوّل خفض الرأس من أوّل مرتبة من انحناء البدن إلى الانحناء والنفوس التامّ يسمّى عند العرف بالركوع ، فإن أطلق الشارع في حكمه عليه وقال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 في كل ركعة من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بأيّ مصداق من مصاديقه العرفيّة وأيّة مرتبة من مراتبه فقد امتثل ، ما لم يكن انصراف أو قرينة على إرادة أحد المصاديق أو المراتب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جاء تحديد من قبل الشارع في عالم موضوعيّته لحكمه ، فلا بدّ من أن ينظر إلى مقدار دلالة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ما يستفاد من أدلّة تحديد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الانحناء إلى حدّ تصل يداه إلى ركبتيه وصولا لو أراد وضع شي‌ء منهما عليهما لوضعه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الانحناء بلا خلاف ، وقدره أن تكون بحيث تبلغ يداه إلى </w:t>
      </w:r>
    </w:p>
    <w:p>
      <w:pPr>
        <w:pStyle w:val="BookText"/>
        <w:rPr/>
      </w:pPr>
      <w:r>
        <w:rPr>
          <w:rFonts w:ascii="Amiri" w:hAnsi="Amiri" w:eastAsia="Amiri" w:cs="Amiri"/>
          <w:color w:val="111111"/>
          <w:sz w:val="28"/>
          <w:sz w:val="28"/>
          <w:szCs w:val="28"/>
          <w:rtl w:val="true"/>
          <w:lang w:bidi="ar-SA"/>
        </w:rPr>
        <w:t xml:space="preserve">ركبتيه ، وهو قول أهل العلم كافّة إلاّ أبا حنيفة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الانحناء إلى أن تبلغ راحتاه إلى ركبتيه إجماعا ، إلاّ من أبي حنيفة ، انتهى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العبارة التي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الصريح فيما حكينا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الإجماع على هذا التحديد من العامّة والخاصّة ما عدا أبي حنيفة ، والظاهر أنّ أبي حنيفة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الركوع عبارة عن مطلق الانحناء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مفهومه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اعتبر الوضع الفعلي للكفّين على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اكتفى بإمكان وصول أطراف الأصابع إلى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اختلاف تفاسيرهم اختلاف تعابير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لسنا في مقام تحقيق هذه المسألة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الأقرب بنظري ممّا يستفاد من الأخبار بلوغ الانحناء إلى حدّ وصول أطراف الأصابع إلى الركبتين ؛ لصحيحة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وصلت أطراف أصابعك في ركوعك إلى ركبتيك أجزأك ذلك ، وأحبّ إليّ أن تمكّن كفّيك من ركبتيك فتجعل أصابعك في عين الركبة وتفرّج بينها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وأخبار أخر 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ما هو المراد من الركوع في عقد المستثنى؟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المراد أنّه إذا وقع خلل في الصلاة من ناحية الركوع فتجب الإعادة سواء أكان بالنقيصة أو بالزيادة ، فلو فات منه الركوع وصلّى بلا ركوع في جميع الركعات ، أو في بعضها يجب عليه الإعادة ، لا كلام في ذلك</w:t>
      </w:r>
      <w:r>
        <w:rPr>
          <w:rFonts w:eastAsia="Amiri" w:cs="Amiri" w:ascii="Amiri" w:hAnsi="Amiri"/>
          <w:color w:val="111111"/>
          <w:sz w:val="28"/>
          <w:szCs w:val="28"/>
          <w:rtl w:val="true"/>
          <w:lang w:bidi="ar-SA"/>
        </w:rPr>
        <w:t xml:space="preserve">. </w:t>
      </w:r>
      <w:bookmarkStart w:id="135" w:name="pg15902_182282"/>
    </w:p>
    <w:p>
      <w:pPr>
        <w:pStyle w:val="Heading4"/>
        <w:numPr>
          <w:ilvl w:val="3"/>
          <w:numId w:val="1"/>
        </w:numPr>
        <w:rPr/>
      </w:pPr>
      <w:bookmarkStart w:id="136" w:name="__RefHeading___Toc15519154_2142443653"/>
      <w:bookmarkStart w:id="137" w:name="_Toc43"/>
      <w:bookmarkEnd w:id="135"/>
      <w:bookmarkEnd w:id="136"/>
      <w:r>
        <w:rPr>
          <w:rtl w:val="true"/>
        </w:rPr>
        <w:t xml:space="preserve">وإنما الكلام في جهات أخر </w:t>
      </w:r>
      <w:r>
        <w:rPr>
          <w:rtl w:val="true"/>
        </w:rPr>
        <w:t>:</w:t>
      </w:r>
      <w:bookmarkEnd w:id="13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وجوب الإعادة فيما إذا ترك الركوع بجميع مراتبها بحيث لم يأت به أصلا ، أو فيما إذا لم يأت بالمرتبة الكاملة وإن أتى بسائر المراتب؟</w:t>
      </w:r>
    </w:p>
    <w:p>
      <w:pPr>
        <w:pStyle w:val="BookText"/>
        <w:rPr/>
      </w:pPr>
      <w:r>
        <w:rPr>
          <w:rFonts w:ascii="Amiri" w:hAnsi="Amiri" w:eastAsia="Amiri" w:cs="Amiri"/>
          <w:color w:val="111111"/>
          <w:sz w:val="28"/>
          <w:sz w:val="28"/>
          <w:szCs w:val="28"/>
          <w:rtl w:val="true"/>
          <w:lang w:bidi="ar-SA"/>
        </w:rPr>
        <w:t>والصحيح هو أنّه وجوب الإعادة يكون فيما إذا لم يأت بما حدّده الشارع وإن أتى بما دون ذلك من المراتب ؛ لأنّ الحكم الشرعي إذا كان موضوعه الركوع فيكون ثبوت ذلك الحكم في ظرف وجود ما يراه الشارع ركوعا ، لا ما يراه العرف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تصرّف من قبل الشارع ، بمعنى أنّه لم يكن تحديد من قبل الشارع لكان حينئذ المرجع في تعيين الموضوع هو العرف ، لكن الأمر ليس كذلك ، فإنّ الشارع حدّد الركوع المعتبر في الصلاة ، فإذا ركع في صلاته ولم يصل إلى حدّ الذي حدّده الشارع به فيصدق أنّه فات منه الركوع وإن أتى به ببعض مراتب المعني العرفي ، ولكن ذلك لا يفيد ؛ لأنّه ليس موضوعا للحكم الشرعي ، فيدخل في المستثنى مع صدق الركوع العرفي على ما أتى به ، فتجب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مقتضى هذا الحديث لزوم إعادة الصلاة عند عدم الإتيان وفوته وعدم إمكان تداركه في نفس الصلاة ، ومقتضى القاعدة الأوليّة صدق الفوت بعدم الإتيان به في محلّه الذي عيّن الشارع له ، فلو تجاوز عن ذلك المحلّ ولم يأت به يصدق أنّه فات منه ، إلاّ أنّ الشارع تصرّف في المستفاد عرفا عن مفهوم تجاوز المحلّ ، وفرّق في إمكان التدارك بين احتمال عدم الإتيان والقطع به في أجزاء الصلاة ، فجعل محلّ تدارك احتمال العدم عدم المضي عن الشي‌ء والتجاوز عنه أو عدم الدخول في غيره ، ومحلّ تدارك القطع بالعدم عدم الدخول في الركن الذي بعده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التجاوز في الجزء المنسي وعدم إمكان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التفت إلى نسيانه وعدم الإتيان به قطعا سواء أكان ذلك الجزء المنسي ركنا أو لم يكن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الدخول في الركن الذي بعده ؛ لأنّه ان لم يدخل فيه فيرجع ويعيد ولا يلزم </w:t>
      </w:r>
    </w:p>
    <w:p>
      <w:pPr>
        <w:pStyle w:val="BookText"/>
        <w:rPr/>
      </w:pP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كان غير ركن ، كما لو نسي فاتحة الكتاب وتذكر قبل أن يدخل في الركوع بعد قراءة السورة أو بعد القنوت في الركعة الثانية مثلا فيرجع ويتدارك ، ثمَّ يأتي بما بعدها ؛ كلّ ذلك امتثالا لأوامرها المتعلّقة بالأجزاء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يلزم زيادة بعض الأجزاء غير الركني إذا أتى بما بعد المنسي ممّا أتى بها قبلا في حال نسيان فاتحة الكتاب في المفروض ، ويلزم النقيصة إن لم يأت بها ثانيا ؛ لوقوع ما أتى بها قبلا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يجب عليه أن يأتي بها ثانيا ولا يلزم محذور أصلا ؛ لأنّ الإتيان بها ثانيا بواسطة بقاء أمرها وعدم سقوطه بالإتيان السابق لعدم إتيانها في محالّها ، فلم يحصل الامتثال ، ولم يسقط الأمر ، فيجب أن يأتي بها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أتى بها أوّلا فلا يضرّ زيادتها ؛ لأنّها زيادة سهويّة ومشمول للعقد المستثنى منه ، فالتدارك لا يوجب الإعادة فلم يفت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الدخول في الركن فيلزم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نقيصة الركن إن لم يأت به بعد تدارك المنسي ، ومعلوم أنّه يوجب البطلان ، أو زيادته إن أتى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 في هذا الفرض ما قلنا في الفرض الأوّل أنّ ما أتى به زيادة سهويّة فيشمله الحديث ولا يجب الإعادة ؛ لأنّ المفروض أنّ ما أتى به أوّلا ركن فداخل في عقد المستثنى لا المستثنى منه ، فعلى كلا التقديرين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فيما إذا كان الجزء المنسي ركنا ، فلو تذكر قبل الدخول في الركن الذي بعده يأتي بالركن المنسي ، فلو نسي السجدتين من الركعة الثانية وتذكر قبل أن يدخل في ركوع الركعة الثالثة يأتي بهما وبما بعدهما ، ولا يلزم محذور كما عرفت في الجزء غير الركني حرفا بحرف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تذكر بعد الدخول في الركن الذي بعده ، كما أنّه في المثال المذكور لو تذكر </w:t>
      </w:r>
    </w:p>
    <w:p>
      <w:pPr>
        <w:pStyle w:val="BookText"/>
        <w:rPr/>
      </w:pPr>
      <w:r>
        <w:rPr>
          <w:rFonts w:ascii="Amiri" w:hAnsi="Amiri" w:eastAsia="Amiri" w:cs="Amiri"/>
          <w:color w:val="111111"/>
          <w:sz w:val="28"/>
          <w:sz w:val="28"/>
          <w:szCs w:val="28"/>
          <w:rtl w:val="true"/>
          <w:lang w:bidi="ar-SA"/>
        </w:rPr>
        <w:t>نسيان السجدتين من الركعة الثانية بعد الدخول في ركوع الركعة الثالثة ، فتدارك السجدتين موجب للبطلان على كلّ حال ؛ لأنّه إن لم يأت بركوع الركعة الثالثة بعد إتيانه بالسجدتين فيكون من نقيصة الركن ؛ لأنّ ما أتى به كان في غير محله فهو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به يكون من زيادة الركن ، وزيادة الركن ولو كان سهوا موجب للبطلان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نسيان الجزء ، ركنا كان أو غيره يكون مشمولا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في ركن آخر ، غاية الأمر إن كان الجزء المنسي ركنا يكون داخلا في المستثنى ، وإن كان غير ركن يكون داخلا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نسيان الجزء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أو غير ركن مع عدم الدخول في الركن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مشمولا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تداركه ، وليس بداخل في المستثنى منه إن كان غير ركن حتّى لا يوجب الإعادة ولا يجب تداركه ، ولا في عقد المستثنى إن كان ركنا حتّى توجب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تجاوز المحلّ أي الدخول في الركن الذي بعده لا يمكن التدارك ، فإن كان ركنا يكون داخلا في المستثنى وتجب الإعادة ، وإن كان غير ركن لا تجب الإعادة بل لا يجب شي‌ء أصلا ، ووجوب القضاء أو سجدة السهو لنسيان بعض الأجزاء شي‌ء آخر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والسجود وإن كانا من الخمسة المستثناة ولكن لا يشملها عقد المستثنى إذا نسي المصلّي عنهما ، إلاّ إذا كان تذكره لنسيانهما بعد الصلاة أو بعد الدخول في الركن المتأخر عنهما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لو كان المنسي هو الركوع فالدخول في الركن المتأخّر عنه الذي هو عبارة عن السجدتين ليس بالدخول في السجدة الأولى ؛ لأنّ المحذور الذي ذكرناه لا يلزم في هذا الفرض ، والمحذور كان عبارة عن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نقيصة الركن عمدا ، أو زيادته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موجب للبطلان ؛ لأنّ السجدة الواحدة لا زيادتها زيادة </w:t>
      </w:r>
    </w:p>
    <w:p>
      <w:pPr>
        <w:pStyle w:val="BookText"/>
        <w:rPr/>
      </w:pPr>
      <w:r>
        <w:rPr>
          <w:rFonts w:ascii="Amiri" w:hAnsi="Amiri" w:eastAsia="Amiri" w:cs="Amiri"/>
          <w:color w:val="111111"/>
          <w:sz w:val="28"/>
          <w:sz w:val="28"/>
          <w:szCs w:val="28"/>
          <w:rtl w:val="true"/>
          <w:lang w:bidi="ar-SA"/>
        </w:rPr>
        <w:t>الركن ، ولا نقيصتها نقيصة الركن ، فلا يحصل الدخول في الركن إلاّ بالدخول في السجدة الثانية ، فحينئذ يكون التدارك مستلزما لأحد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الركوع والسجود من الخمسة المستثناة باعتبار نفس الركوع والسجود وحقيقتهما وماهيّتهما ، وأمّا شرائطهما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والواجبات التي فيهما الخارجة عن حقيقتهما وماهيّتها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داخلة في المستثنى منه كسائر الأجزاء والشرائط للصلاة ؛ وذلك من جهة أنّ الحكم في جانب عقد المستثنى على نفس هذه العناوين الخمسة ، فلا يشمل ما هو خارج عن حقيقتهما إلاّ بدليل خاصّ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 المستثنى منه فهو عامّ يشمل كلّ ما هو من أجزاء الصلاة أو شرائطها إذا لم يكن من هذه الخمسة ، فواجبات الركوع أو السجود والشرائط التي لهما ما لم يكن لها دخل في تحقّق حقيقتهما تكون خارجة عن عقد المستثنى وداخلة في عقد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قلنا بأنّ وضع الكفّين على الركبتين واجب في الركوع وليس من محقّقاته ومتمّماته ، فإذا نسي المصلي ولم يضع كفه على ركبتيه فلا تجب عليه الإعادة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سائر الواجبات ، كالذكر الواجب ، والطمأنينة ، بل ورفع الرأس ، والانتصاب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السجود ، فما هو محقّق لحقيقة السجدة كوضع الجبهة مثلا حاله في الركنيّة حال أصل السجود ؛ لأنّ السجود كما بيّنّا عبارة عن الهيئة الحاصلة لجسم الإنسان بواسطة نسبة أجزائه بعضها إلى بعض ونسبة المجموع إلى الخارج ، فإذا لم يكن بذلك الوضع الخاصّ لا يتحقّق السجود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واجباته التي ليست داخلة في حقيقة السجدة كوضع اليدين والركبتين وأنامل إبهامي الرجلين فهي أمور واجبة في حال السجود ، وهي خارجة عن حقيقته وليست بركن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 بذلك السيد الطباطبائي بحر العلوم قدس سره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وواجب السجود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الركن بغير شبهة</w:t>
      </w:r>
    </w:p>
    <w:p>
      <w:pPr>
        <w:pStyle w:val="BookText"/>
        <w:rPr/>
      </w:pPr>
      <w:r>
        <w:rPr>
          <w:rFonts w:ascii="Amiri" w:hAnsi="Amiri" w:eastAsia="Amiri" w:cs="Amiri"/>
          <w:color w:val="111111"/>
          <w:sz w:val="28"/>
          <w:sz w:val="28"/>
          <w:szCs w:val="28"/>
          <w:rtl w:val="true"/>
          <w:lang w:bidi="ar-SA"/>
        </w:rPr>
        <w:t xml:space="preserve">ووضعه للستّة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فرض بلا خلاف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ولا يخفى أنّ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وواجب السجود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تسامح ، حيث يظهر منه عدم وجوب باقي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فمثل الذكر الواجب فيه والطمأنينة والجلوس بعده مطمئنا كلّها لو نسيها المصلّي تكون داخلة في عقد المستثنى منه لا المستثنى ، فلا تجب الإعادة بتركها سهوا ونسيانا ، وقد عرفت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الظاهر من عقد المستثنى انحصار الأركان في هذه الخمسة ، وأنّها فقط هي التي توجب تركها أو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أركان أخر وهي من المسلّمات عند الفقهاء ، وهي النيّة ، وتكبيرة الإحرام ، والقيام حالها ، والقيام المتّصل بالركوع ؛ فهذه الأربعة أيضا عندهم أركان يوجب الإخلال بها الإعادة ولو كان سهوا ، فيكون الدليل الدالّ على ركنيّة هذه الأربعة مخصّصا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استثناء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عقد المستثنى منه ؛ لأنّ مفاد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الإعادة بوقوع الإخلال سهوا من ناحية جميع أجزاء الصلاة وشرائطها ، وكما خصّص هذا العموم بواسطة استثناء الخمسة بما عداها ، كذلك خصّص بواسطة تلك الأدلّة الدالّة على ركنيّة هذه الأربعة بما عداها ، فالخارج عن تحت عموم المستثنى منه تسعة 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المستثناة وهذه الأربعة ، فخروج هذه الأربعة بدليل خاصّ ومخصّص آخر ، كما هو الشأن في أغلب العمومات حيث ترد عليها مخصّصات متعدّدة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يمكن أن يقال بالنسبة إلى القيام المتّصل بالركوع لا يحتاج إثبات وجوب الإعادة بتركه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منفصل ؛ لأنّ تركه ولو كان سهوا </w:t>
      </w:r>
    </w:p>
    <w:p>
      <w:pPr>
        <w:pStyle w:val="BookText"/>
        <w:rPr/>
      </w:pPr>
      <w:r>
        <w:rPr>
          <w:rFonts w:ascii="Amiri" w:hAnsi="Amiri" w:eastAsia="Amiri" w:cs="Amiri"/>
          <w:color w:val="111111"/>
          <w:sz w:val="28"/>
          <w:sz w:val="28"/>
          <w:szCs w:val="28"/>
          <w:rtl w:val="true"/>
          <w:lang w:bidi="ar-SA"/>
        </w:rPr>
        <w:t xml:space="preserve">موجب لترك الركوع ؛ لما قيل من أنّ حقيقة الركوع عبارة عن الانحناء عن القيام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من القيام إلى حدّ الركوع داخل في حقيقة الركوع ، فعدم القيام ملازم مع عدم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الركوع والسجود هما هيئتان حاصلتان للجسم بواسطة الوضع الخاصّ ، كالقيام والقعود ، فالهوى من القيام واجب آخر ويكون من مقدّمات الركوع وليس داخلا في حقيقته ، فلو دلّ دليل على أنّ القيام المتّصل بالركوع ركن فهو ، وإلاّ فالاستثناء في الحديث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أركان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والشرائط التي تكون تركها سهوا أيضا توجب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تسعه ، خمسة منها هي الخمسة المستثناة في هذا الحديث ، وأربعة منها وهي النية وتكبيرة الإحرام والقيام حال التكبيرة والقيام المتصل بالركوع ، تستفاد ركنيّتها من أدلّة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المنسي هو الركوع ، فدخل في السجدة الثانية فلا شكّ في أنّه إذا تذكر بعد الدخول في السجدة الثانية فتجاوز عن محلّ التدارك ولا يمكن تداركه ؛ لما ذكرنا من لزوم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زيادة الركن إن أتى بالسجدتين بعد تدارك الركوع ، وإمّا نقيصته إن لم يأت بهما ؛ لأنّ إتيانهما قبل تدارك الركوع حيث كان في غير محلّه كان لغوا وبلا فائدة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تذكر قبل أن يدخل في السجدة الثانية فمحلّ التدارك باق وإن تمّت السجدة الأولى ؛ وذلك لعدم محذور في أن يتدارك الركوع ثمَّ يأتي بالسجدتين ، ولا يلزم منه إلاّ زيادة سجدة واحدة ولا يضرّ ذلك ؛ لعدم كون السجدة الواحدة ركنا ، وإن كان ظاهر الاستثناء ركنيّتها ؛ وذلك من جهة حكومة لا تعاد الصغير ، أعني قوله علیه السلام في خبر منصور بن حازم ، عن الصادق علیه السلام في رجل استيقن أنّه زاد سجدة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يعيد الصلاة من سجدة ، ويعيدها من ركعة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فيقيّد لا يعيد عن السجدة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هذا الخبر وجوب الإعادة عن السجود الذي هو مستفاد من الاستثناء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السجدة الواحدة ، أي يكون المراد ممّا في الاستثناء وجوب الإعادة عن السجدتين لا السجدة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هذا الخبر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بعدم وجوب الإعادة فيه مخصوص بالخلل في السجدة الواحدة ولا يشمل غيرها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بعدم وجوب الإعادة عامّ يشمل جميع أجزاء الصلاة وشرائطها بل وموانعها ، ما عدا الخمسة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هذا الخبر ومفاده عدم وجوب الإعادة عن نسيان سجدة واحدة فيما إذا كان نفس السجدة الواحدة متعلّقة للسهو والنسيان ابتداء ، لا أنّ السهو تعلّق بشي‌ء آخر ابتداء وأوّلا بالذات كما في المقام ، فإنّ المفروض أنّ المصلّي سها عن الركوع ابتداء ، وأتى بالسجدة الواحدة عمدا واختيارا ، فإذا قلنا أتى بها سهوا ونسيانا في غير محلّه يكون معناه أنّ إتيانه بها في غير محلّها الذي هو عبارة عن لزوم كونها بعد الركوع بواسطة نسيان الركوع ، فإسناد السهو والنسيان إلى السجدة في المفروض من قبيل الوصف بحال متعلّق الموصوف ويكون إسنادا مجازيّا فلا يشمله الخبر الذي نسمّيه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حاكما أو مخصّصا للعموم الذي يستفاد من المستثنى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تجب الإعادة في المفروض كما ذهب إليها المشهور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سهو الركوع في المفروض من قبيل الواسطة في الثبوت لا الواسطة في العروض ، بمعنى أنّ سهو الركوع صار سببا لنسيان محلّ السجدة ؛ لأنّ محلّها بعد الركوع ، وحيث أنّه غافل عن إتيان الركوع ، أو تخيّل إتيانه فيتخيّل أنّه محلّ إتيان </w:t>
      </w:r>
    </w:p>
    <w:p>
      <w:pPr>
        <w:pStyle w:val="BookText"/>
        <w:rPr/>
      </w:pPr>
      <w:r>
        <w:rPr>
          <w:rFonts w:ascii="Amiri" w:hAnsi="Amiri" w:eastAsia="Amiri" w:cs="Amiri"/>
          <w:color w:val="111111"/>
          <w:sz w:val="28"/>
          <w:sz w:val="28"/>
          <w:szCs w:val="28"/>
          <w:rtl w:val="true"/>
          <w:lang w:bidi="ar-SA"/>
        </w:rPr>
        <w:t>السجدة ، وهذا هو السهو والنسيان عن محلّ السجدة حقيقة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ذات السجدة في هذا الفرض ليست 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منصور بن حازم ظاهرها أن تكون ذات السجدة منسيّة لا محلّها ، فيكون فتوى المشهور بلزوم الإعادة في محلّها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أنّه لو سجد على أرض نجسة نسيانا وسهوا ، هل تجب عليه إعادة الصلاة لعدم إتيانه بالسجدة الصحيحة لأنّها مشروطة بطهارة محلّها ، أو لا تجب لأنّ طهارة المحلّ من شرائط صحة السجدة وليست من مقوّماتها ، فليست داخلة في المستثنى ، فيشملها عموم المستثنى منه؟</w:t>
      </w:r>
    </w:p>
    <w:p>
      <w:pPr>
        <w:pStyle w:val="BookText"/>
        <w:rPr/>
      </w:pPr>
      <w:r>
        <w:rPr>
          <w:rFonts w:ascii="Amiri" w:hAnsi="Amiri" w:eastAsia="Amiri" w:cs="Amiri"/>
          <w:color w:val="111111"/>
          <w:sz w:val="28"/>
          <w:sz w:val="28"/>
          <w:szCs w:val="28"/>
          <w:rtl w:val="true"/>
          <w:lang w:bidi="ar-SA"/>
        </w:rPr>
        <w:t>والأظهر عدم وجوب الإعادة بناء على كون المراد من الطهور في عقد المستثنى هي الطهارة الحدثيّة ، لا الأعمّ منها ومن الطهارة الخبثيّة ؛ إذ حينئذ تكون طهارة محلّ السجدة من شرائط الركن الذي هو عبارة في المقام عن السجدتين ، وحال شرائط الركن حال شرائط نفس الصلاة التي تقدّم أنّها داخلة في عموم المستثنى منه في الحديث ما لم تكن من الخمسة ، فلا تجب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شرائط الأركان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 ، بمعنى أنّ بتركها ينعدم الركن ، إذ هي من مقوّمات الركن ، أو جاء الدليل على بطلان ذلك الركن بترك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ركنيّ ، فلا ينعدم الركن بانعدامه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حيث أنّ الخلل فيه موجب لوقوع الخلل في نفس الركن ، فلا يكون مشمولا لعموم المستثنى منه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فلا مانع من شمول العقد المستثنى منه له ؛ إذا ليس داخلا في المستثنى ولا من مقوّمات ما هو داخل في المستثنى ، فلا مانع من شمول المستثنى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طهارة محلّ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 وهذا أمر واضح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الفروعات ، والموارد التي ينطبق الحديث عليها </w:t>
      </w:r>
      <w:bookmarkStart w:id="138" w:name="pg15902_182290"/>
    </w:p>
    <w:p>
      <w:pPr>
        <w:pStyle w:val="BookText"/>
        <w:rPr/>
      </w:pPr>
      <w:bookmarkEnd w:id="138"/>
      <w:r>
        <w:rPr>
          <w:rFonts w:ascii="Amiri" w:hAnsi="Amiri" w:eastAsia="Amiri" w:cs="Amiri"/>
          <w:color w:val="111111"/>
          <w:sz w:val="28"/>
          <w:sz w:val="28"/>
          <w:szCs w:val="28"/>
          <w:rtl w:val="true"/>
          <w:lang w:bidi="ar-SA"/>
        </w:rPr>
        <w:t>بحسب عقد المستثنى منه أو المستثنى ، واستخراج حكمها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مفاد الحديث هو عدم وجوب الإعادة بوقوع خلل فيها من ناحية جميع الأجزاء والشرائط والموانع سهوا ، ما لم يكن من الخمسة المذكورة في المستثنى ، ووجوب الإعادة بوقوع الخلل من ناحية تلك الخمسة وإن كان الخلل بالزيادة أو النقيصة سهوا ، أنّ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519156_2142443653"/>
      <w:bookmarkStart w:id="140" w:name="_Toc44"/>
      <w:bookmarkEnd w:id="139"/>
      <w:r>
        <w:rPr>
          <w:rtl w:val="true"/>
        </w:rPr>
        <w:t>ها هنا فروع كثيرة نذكر جملة منها</w:t>
      </w:r>
      <w:bookmarkEnd w:id="140"/>
    </w:p>
    <w:p>
      <w:pPr>
        <w:pStyle w:val="Heading4"/>
        <w:numPr>
          <w:ilvl w:val="3"/>
          <w:numId w:val="1"/>
        </w:numPr>
        <w:rPr/>
      </w:pPr>
      <w:bookmarkStart w:id="141" w:name="__RefHeading___Toc15519158_2142443653"/>
      <w:bookmarkStart w:id="142" w:name="_Toc45"/>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الخلل العمدي وان كان بسبب عدم إخراج حرف من مخرجها ، بحيث يكون الخارج حرفا آخر في نظر عرف العرب ، مثل أن ينطق بالضاد زاء أو ذالا أو ظاء ، أو كان بتبديل حركة من الأعاريب إلى غيرها ولم يكن على طبقها قراءة من القراءات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قراءة فاتحة الكتاب ، بل وفي قراءة السورة الواجبة ، بل في الأذكار الواجبة 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امتثال المركّب بإتيانه بجميع أجزائه وشرائطه تامّة كاملة كما أخذت فيه ، فإن وقع إخلال عمدي في بعض تلك الأجزاء أو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شرائط نفس الصلاة ، أو شرائط أجزائها ، أو شرائط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الامتثال ، وتجب الإعادة بمقتضى أدلّة اعتبار تلك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يشمل الإخلال العمدي ، بل قلنا أنّه لا يعقل أن يشمل بعد الفراغ عن كونها أجزاء وشرائط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البطلان بين أن يكون إخلال العمدي بالنسبة إلى الأركان ، أو كان بالنسبة إلى غيرها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جزء من الصلاة ، أو أتى به بوجه غير صحيح لوجود خلل فيه ، وإن كان الخلل بسبب عدم خروج حروف ذلك الجزء من مخارجها إذا كان ذلك </w:t>
      </w:r>
    </w:p>
    <w:p>
      <w:pPr>
        <w:pStyle w:val="BookText"/>
        <w:rPr/>
      </w:pPr>
      <w:r>
        <w:rPr>
          <w:rFonts w:ascii="Amiri" w:hAnsi="Amiri" w:eastAsia="Amiri" w:cs="Amiri"/>
          <w:color w:val="111111"/>
          <w:sz w:val="28"/>
          <w:sz w:val="28"/>
          <w:szCs w:val="28"/>
          <w:rtl w:val="true"/>
          <w:lang w:bidi="ar-SA"/>
        </w:rPr>
        <w:t xml:space="preserve">الجزء قراءة أو ذكرا واجبا ، أو كان الخلل بسبب لحن في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الحركات والسكنات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خارجة عن موازين اللغة العربيّة ، أو ترك شرطا من شرائط الصلاة ، أو شرائط أجزائها ، أو شرائط شروطها على أنواعها وأقسامها ، سواء كانت الأجزاء والشرائط ركنا كالأركان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الخمسة المستثناة في الحديث مع النية ، وتكبيرة الإحرام ، والقيام حالهما ، والقيام المتّصل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أتى بمانع من الموانع ، كأن صلّى في الذهب أو الحرير أو غير المأكول جهلا بالحكم قصورا أو تقصيرا ، على كلام تقدّم في الجاهل القاصر ، ففي جميع ذلك تبطل الصلاة وتجب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فرق في البطلان بالإخلال جهلا بالحكم قصورا أو تقصيرا بين أن يكون الإخلال بالزيادة أو كان بالنقيصة ؛ ووجه ذلك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موارد الجهل بالحكم بكلا قسميه ، على كلام في الجهل قصورا وقد تقدّم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أدلّة الأجزاء والشرائط والموانع وجوب الإعادة بفقد أيّ جزء أو شرط ، وبوجود أيّ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الجهل ليس مانعا عن توجّه الخطاب ، بل هو مانع عن تنجّزه إذا كان بعد الفحص أو كان عن قصور ، وإلاّ فليس بمانع حتّى عن التنجز واستحقاق العقاب على مخالفة الواقع وإن كان جاهلا ، 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جاء دليل خاصّ أو عامّ على الأجزاء ، وعدم وجوب الإعادة فيما إذا وقع الإخلال جهلا بالحكم قصورا أو تقصيرا بنحو يكون حاكما أو مخصصا يؤخذ به ، والمفروض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صورة الجهل لما ذكرنا مفصلا وليس هناك دليل آخر إلاّ في بعض الموارد ، كباب الجهر والإخفات والإتمام في موضع القصر ، وكذلك في بعض الأجزاء والشرائط في الحجّ ممّا هو مذكور في الكتب الفقهيّة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بالصلاة سهوا ونسيانا فالإخلال إمّا بالزيادة أو بالنقيصة ، وكلّ واحدة منهما إمّا في الأجزاء والشرائط الركنيّة وإمّا في غيرها مما ليس بركن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بالنقيصة وكان من الأجزاء أو الشرائط الركنيّة فإمّا أن يلتفت إلى سهوه بعد الفراغ من الصلاة وإتيان المنافي فتجب عليه الإعادة قطعا بمقتضى الأدلّة الأوّليّة التي يبيّن الأجزاء والشرائط ، وبالنسبة إلى الخمسة المذكورة في المستثنى نفس عقد المستثنى يدلّ على وجوب الإعادة ، مضافا إلى أدلّة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التفاته إلى جزئيّة المسهو أو شرطيّته بعد الفراغ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التفاته في أثناء الصلاة فإن لم يتجاوز محلّ المنسي يأتي به بعد الالتفات وبالإجزاء التي بعده وكان قد أتى بها نسيانا ، فلا شي‌ء عليه ، لما ذكرنا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تجاوز المحلّ بدخوله في الركن الذي بعد المنسي ، فيكون حاله حال الالتفات إليه بعد الصلاة فتجب عليه الإعادة لأنّه لا يمكن التدارك ؛ لما ذكرنا من لزوم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نقص الركن ، وإمّا زيادته ، وكلاهما مبطلان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لو نسي النيّة بناء على إمكان نسيانها حتّى كبّر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نسيانها بعد تكبيرة الإحرام يجب عليه الإعادة ؛ لأنّ التدارك لا يمكن للزوم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نسي التكبيرة حتّى دخل في الركوع يجب عليه الإعادة أيضا لعين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عليه الإعادة لو نسي القيام حال التكبيرة بناء على كونه ركنا ؛ لعين ما ذكرنا لأنّ تداركه مستلزم لزيادة التكبيرة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يخفي أنّ نسيان تكبيرة الإحرام والنيّة يرجع إلى عدم دخوله في الصلاة ، فعلى فرض إمكان نسيان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عبارة عن الخطور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النية فلم تنعقد الصلاة ؛ لأنّه لا فرق بين الصلاة وبين سائر الحركات اللغويّة والألعاب إلاّ بها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التكبيرة فلقول الصادق علیه السلام في رجل سها خلف الإمام ، فلم </w:t>
      </w:r>
    </w:p>
    <w:p>
      <w:pPr>
        <w:pStyle w:val="BookText"/>
        <w:rPr/>
      </w:pPr>
      <w:r>
        <w:rPr>
          <w:rFonts w:ascii="IRNazanin" w:hAnsi="IRNazanin" w:eastAsia="IRNazanin"/>
          <w:color w:val="111111"/>
          <w:sz w:val="28"/>
          <w:sz w:val="28"/>
          <w:szCs w:val="28"/>
          <w:rtl w:val="true"/>
          <w:lang w:bidi="fa-IR"/>
        </w:rPr>
        <w:t xml:space="preserve">يفتتح الصلاة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الصلاة ولا صلاة بغير افتتاح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لا شكّ في أنّ النيّة ركن من أركان الصلاة ، فإن أمكن وقوع السهو فيها فتجب الإعادة ، ولا تشملها عقد المستثنى منه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لم تكن مذكورة في عقد المستثنى إلاّ أنّها داخلة حكما ؛ للأدلّة الدالّة على ركنيّتها ، فتخصّص تلك الأدلّة عقد المستثنى منه كالاستثناء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تكبيرة الافتتاح وإن لم تكن مذكورة في الحديث في عقد المستثنى إلاّ أنّ أدلّة ركنيّتها تجعلها بحكم المستثنى في تخصيصها لعقد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لو نسي النيّة والتكبيرة يجب عليه استئناف الصلاة متى تذكر ، سواء دخل في الركن الذي بعدهما أي الركوع أم لا ، والقيام حال التكبيرة بحكم التكبيرة ، وأمّا القيام حال النيّة فتابع للقول بركنيّته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لو نسي الركوع قبل تجاوز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الدخول في السجدة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ويأتي به وبما بعده ؛ لما ذكرنا من عدم لزوم محذور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نسيه بعد تجاوز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وبيّنّا أنّ تجاوز محلّه بدخول السجدة الثانية لما ذكرنا من أنّ زيادة سجدة واحدة سهوا لا توجب الإعادة ، كما تدلّ عليه رواية منصور بن حازم ، فإنّ فيها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يعيد الصلاة من سجدة ويعيدها من ركعة </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فلا يلزم محذور من تدارك الركوع ما لم يدخل في السجدة الثانية وإن أتمّ السجدة الأولى ورفع رأسه عنها واستقرّ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فلو تذكر نسيان الركوع بعد تجاوز محلّه الذي لا يمكن تداركه فيجب عليه الإعادة ، كما أنّه لو تذكر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فيهما واحد وهو عدم إمكان التدارك في الصورتين</w:t>
      </w:r>
      <w:r>
        <w:rPr>
          <w:rFonts w:eastAsia="Amiri" w:cs="Amiri" w:ascii="Amiri" w:hAnsi="Amiri"/>
          <w:color w:val="111111"/>
          <w:sz w:val="28"/>
          <w:szCs w:val="28"/>
          <w:rtl w:val="true"/>
          <w:lang w:bidi="ar-SA"/>
        </w:rPr>
        <w:t xml:space="preserve">. </w:t>
      </w:r>
      <w:bookmarkStart w:id="143" w:name="pg15902_182294"/>
    </w:p>
    <w:p>
      <w:pPr>
        <w:pStyle w:val="Heading4"/>
        <w:numPr>
          <w:ilvl w:val="3"/>
          <w:numId w:val="1"/>
        </w:numPr>
        <w:rPr/>
      </w:pPr>
      <w:bookmarkStart w:id="144" w:name="__RefHeading___Toc15519160_2142443653"/>
      <w:bookmarkStart w:id="145" w:name="_Toc46"/>
      <w:bookmarkEnd w:id="143"/>
      <w:bookmarkEnd w:id="144"/>
      <w:r>
        <w:rPr>
          <w:rtl w:val="true"/>
        </w:rPr>
        <w:t xml:space="preserve">نعم ها هنا روايات </w:t>
      </w:r>
      <w:r>
        <w:rPr>
          <w:rtl w:val="true"/>
        </w:rPr>
        <w:t>:</w:t>
      </w:r>
      <w:bookmarkEnd w:id="14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مسلم يدلّ على عدم بطلان الصلاة بترك الركوع نسيانا ولو تذكر بعد تجاوز المحلّ أي بعد الفراغ عن السجدتين ، والصحيح هو المروي عن أحدهما علیهماالسلام في رجل شكّ بعد ما سجد أنّه لم يركع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استيقن فليلق السجدتين اللتين لا ركعة لهما فيبني على صلاته على التمام ، وإن كان لم يستيقن إلاّ بعد ما فرغ وانصرف فليقم وليصلّ ركعة وسجدتين ولا شي‌ء عليه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اختلاف الأخبار نشأت في المسألة أقوال وتفاصيل مذكورة في الكتب الفقهيّة لا حاجة إلى ذكرها بعد ما عرفت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أخر تدلّ على وجوب الإعادة ، وقد عمل بها الأصحاب ، وعليه فتوى المشهور ؛ فالصحيح هو ما ذكرنا من التدارك بإتيان الركوع وما بعده ممّا أتى به لو لم يدخل في السجدة الثانية وإن كان أتمّ السجدة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تذكره بعد الفراغ من الصلاة ، أو بعد تجاوز المحلّ بأن يكون دخل في السجدة الثانية فيجب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المنسي قيام المتّصل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لا يمكن تداركه إلاّ بإتيان الركوع ثانيا ، وإلاّ لا يكون قيام المتّصل بالركوع فيكون مبطلا مطلقا ، سواء تذكر قبل تجاوز محلّ تدارك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الدخول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 أو بعد الفراغ عن الصلاة ؛ لأنّه في جميع الأحوال تداركه مستلزم لزيادة الركن أي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في جميع موارد إمكان تدارك ما فات سهوا إذا كان مستلزما للزيادة السهويّة يجب سجدة السهو لكل زيادة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نسيان الركوع ، أو القيام المتّصل بالركوع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نسي السجدتين فإمّا أن يكون تذكره بعد تجاوز محلّهما أي بعد الدخول في ركوع الركعة التالية ، وإمّا أن يتذكّر قبله ، أي يكون تذكره قبل الدخول في ركوع الركعة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فتكون صلاته باطلة وتجب عليه الإعادة ؛ لما ذكرنا من لزوم أحد المحذورين في التدارك ، ومع عدم التدارك بطلانها وفسادها واضحة لفوات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تذكره قبل الدخول في ركوع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ويأتي بهما وبما بعدهما مما أتى بها في غير محلّها ؛ لأنّ إتيانها قبلا حيث كان في غير محلّها كان في حكم العدم ، والزيادة التي تحصل في الصلاة من إتيان تلك الأجزاء مرّتين لا تضرّ بصحّة الصلاة ؛ لأنّها زيادة سهوية في غير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لكلّ زيادة من تلك الزيادات السهويّة سجدتان للسهو عنها ، بناء على وجوب سجدتي السهو لكلّ زيادة ونقيصة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وجوبهما مخصوصا بالستّة المعروفة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سهوا بكلام الآدميين ، والسّلام في غير محلّه ، ونسيان سجدة واحدة ، ونسيان التشهّد ، والشك بين الأربع والخمس بعد إكمال السجدتين ، والقيام في موضع القعود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نسيان السجدتين من الركعة الأخيرة حيث لا ركن بعدهما حتّى يأتي هذا التقسيم ، أي التذكّر والالتفات إلى سهوه قبل الدخول في الركن الذي بعدهما أو بعد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الالتفات إلى سهوه وتذكره بعد السّلام وإتيان ما هو المنافي عمدا وسهوا ، فصلاته باطلة يجب عليه الإعادة ؛ ويدلّ عليه عقد المستثنى من هذا الحديث ، لأنّه ؛ ترك الركن ولا يمكن تداركه ؛ لأنّ تذكره بعد السّلام وبعد إتيان ما هو المنافي عمدا وسهوا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تركه قبل السّلام فلا إشكال في إمكان تداركه ؛ لأنّه ما دخل في </w:t>
      </w:r>
    </w:p>
    <w:p>
      <w:pPr>
        <w:pStyle w:val="BookText"/>
        <w:rPr/>
      </w:pPr>
      <w:r>
        <w:rPr>
          <w:rFonts w:ascii="Amiri" w:hAnsi="Amiri" w:eastAsia="Amiri" w:cs="Amiri"/>
          <w:color w:val="111111"/>
          <w:sz w:val="28"/>
          <w:sz w:val="28"/>
          <w:szCs w:val="28"/>
          <w:rtl w:val="true"/>
          <w:lang w:bidi="ar-SA"/>
        </w:rPr>
        <w:t>ركن إذ ليس ركن بعدهما حتّى يستلزم أحد المحذورين الذين تقدّم ذكرهما ، من زيادة الركن أو نقيصته وكلاهما موجب للبطلان ، فيأتي بهما ويعيد ما أتى ممّا بعدهما حسب الجعل الشرعي من الترتيب بين الأجزاء ، ويسجد سجدتي السهو لكلّ جزء من الأجزاء التي أتى بها سهوا في غير محلّها ، بناء على وجوب الإتيان بهما لكل زيادة ونقيصة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تذكره لنسيانهما بعد السّلام وقبل إتيان المنافي والمبطل ، فالأمر يدور مدار أنّ السّلام مخرج تعبّدا ولو لم يقع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محلّه بعد إتيان الصلاة بتمام أجزائها وشرائطها ، وفي المفروض لم يأت بالركعة الأخيرة بتمامها ؛ إذ المفروض أنّه سهل عن إتيان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بل إنّه مخرج لأنّه الجزء الأخير ، فليس تعبّد من حيث مخرجيّته في البين ، بل كلّ مركّب كان بين أجزائه ترتيب في عالم الإيجاد فإذا أتى بجميع أجزائه على الترتيب المقرّر ، فبإتيان جزئه الأخير قهرا يخرج عن ذلك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بالأوّل فإذا تذكر بعد السّلام تكون صلاته باطلة ، وتجب الإعادة لترك الركن وعدم إمكان التدارك ؛ لأنّ كلّ ما يأتي به بعد السّلام لا يحسب منها ولو كان السّلام في غير محلّه ؛ لأنّه مخرج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مخرج لأنّه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التدارك ؛ لأنّه لم يخرج عن الصلاة بعد لعدم وقوع السّلام في محلّه الذي هو مناط الخروج ، فلا تكون الصلاة باطلة ، بل يأتي بالسجدتين وبما بعدهما ممّا أتى بها ويسجد سجدتي السهو لكلّ زيادة سهويّة صدرت منه قبل أن يتذكّر ، أو لخصوص التشهّد والتسليم ، على التفصيل المتقدّم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بحسب مقام الثبوت ، وأمّا في مقام الإثبات فظاهر قوله علیه السلام في صحيح الحلبي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قلت السّلام علينا وعلى عباد اللّه الصالحين فقد </w:t>
      </w:r>
    </w:p>
    <w:p>
      <w:pPr>
        <w:pStyle w:val="BookText"/>
        <w:rPr/>
      </w:pPr>
      <w:r>
        <w:rPr>
          <w:rFonts w:ascii="IRNazanin" w:hAnsi="IRNazanin" w:eastAsia="IRNazanin"/>
          <w:color w:val="111111"/>
          <w:sz w:val="28"/>
          <w:sz w:val="28"/>
          <w:szCs w:val="28"/>
          <w:rtl w:val="true"/>
          <w:lang w:bidi="fa-IR"/>
        </w:rPr>
        <w:t xml:space="preserve">انصرفت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وقوله علیه السلام أيضا في خبر أبي كهمس هو هيثم بن عبد اللّه أو عبيد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قلت السّلام علينا وعلى عباد اللّه الصالحين فهو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أنّه خرجت بهذه التسليمة عن الصلاة ولكن هذا الظهور متوقّف على إطلاق هذه الجملة ، 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سواء وقعت هذه التسليمة في محلّه أو لم تقع ، ومن أين يثبت هذا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فالإنصاف أنّ الفتوى في هذا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 تذكره لنسيان السجدتين بعد السّلام الواجب وقبل صدور المبطل ببطلان الصلاة ولزوم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 ، بل لا بأس بأن يقال بلزوم التدارك بإتيان السجدتين ثمَّ يأتي بجميع ما أتى بها حتّى التسليمة ؛ لوقوع ما أتى بها أوّلا في غير محلّها فهو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سجدتا السهو لكلّ زيادة سهويّة من تلك الزيادات على التفصيل المتقدّم ، ولا أقلّ من الاحتياط بالجمع بين التدارك على التفصيل المذكور والإعادة ، لا الحكم بالبطلان والإعادة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نسي السجدتين من الركعة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نسي تمام الركعة الأخيرة من القيام وذكرها وركوعها وسجدتيها فأيضا له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ويلتفت إلى نسيانه قبل التسليم وبعد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بعد التسليم ولكن قبل إتيان المنافي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بعد إتيان المنافي المبطل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فيها واضح ، فإنّه يقوم ويأتي بها ويسجد سجدتي السهو للتشهّد الذي صدر عنه سهوا في غير محلّه الذي يكون ذلك الإتيان بحكم </w:t>
      </w:r>
    </w:p>
    <w:p>
      <w:pPr>
        <w:pStyle w:val="BookText"/>
        <w:rPr/>
      </w:pPr>
      <w:r>
        <w:rPr>
          <w:rFonts w:ascii="Amiri" w:hAnsi="Amiri" w:eastAsia="Amiri" w:cs="Amiri"/>
          <w:color w:val="111111"/>
          <w:sz w:val="28"/>
          <w:sz w:val="28"/>
          <w:szCs w:val="28"/>
          <w:rtl w:val="true"/>
          <w:lang w:bidi="ar-SA"/>
        </w:rPr>
        <w:t>العدم ، ويجب عليه أن يعيد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تذكر بعد التسليم الواجب وقبل فعل المنافي المبطل ، فيأتي فيها جميع ما ذكرنا في الفرع السابق ، أي فيما إذا نسي السجدتين من الركعة الأخيرة من القولين من لزوم التدارك ومن لزوم الإعادة وبطلان ما أتى به ، وبيّنّا احتمال وجوب الاحتياط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القواعد الأوّليّة ، ولكن وردت روايات تدلّ على عدم بطلان الصلاة بل يقوم ويأتي بالركعة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 العيص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نسي ركعة من صلاته حتّى فرغ منها ، ثمَّ ذكر أنّه لم يركع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فيركع ويسجد سجدتين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أنّه لم 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يأت بالركعة ، والتعبير عن عدمها بعدم الركوع من جهة أنّ الركوع هو الجزء المقوّم للركعة في نظر العرف ، ولأجل ذلك سمّيت بالركعة ؛ وأيضا لو كان المراد به عدم الركوع فقط وإتيان البقيّة فيكون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ويسجد سجدتين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للسجدتين ، ولا شكّ في أنّ زيادتهما ولو سهوا مبطل ، فهذه أيضا قرينة أخرى على أنّ المراد بقول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الإتيان بالركعة لا الركوع فقط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وكخبر محمّد بن مسلم في نقصان الركعتين ، عن الباقر علیه السلام في رجل صلّى ركعتين من المكتوبة ، فسلّم وهو يرى أنّه قد أتمّ الصلاة وتكلّم ، ثمَّ ذكر أنّه لم يصلّ غير ركعتين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ما بقي من صلاته ولا شي‌ء عليه </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بإطلاقها </w:t>
      </w:r>
    </w:p>
    <w:p>
      <w:pPr>
        <w:pStyle w:val="BookText"/>
        <w:rPr/>
      </w:pPr>
      <w:r>
        <w:rPr>
          <w:rFonts w:ascii="Amiri" w:hAnsi="Amiri" w:eastAsia="Amiri" w:cs="Amiri"/>
          <w:color w:val="111111"/>
          <w:sz w:val="28"/>
          <w:sz w:val="28"/>
          <w:szCs w:val="28"/>
          <w:rtl w:val="true"/>
          <w:lang w:bidi="ar-SA"/>
        </w:rPr>
        <w:t>تشمل نقصان ركعة أو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وكصحيح زرارة عن الباقر علیه السلام أيضا في الرجل يسهو في الركعتين ويتكلّم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ما بقي من صلاته ، تكلّم أو لم يتكلّم </w:t>
      </w:r>
      <w:r>
        <w:rPr>
          <w:rFonts w:eastAsia="IRNazanin" w:cs="IRNazanin"/>
          <w:color w:val="111111"/>
          <w:sz w:val="28"/>
          <w:szCs w:val="28"/>
          <w:rtl w:val="true"/>
          <w:lang w:bidi="fa-IR"/>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السّلام في غير محلّه كلام لا يضرّ بالصلاة لو وقع سهوا ، لا أنّه مخرج حتّى لا يمكن التدارك ويكون ما بقي من صلاة من ركعة أو ركعتين خارجا عن الصلاة لو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نقصان الركعة فما زاد أنّه إن قلنا بأنّ السّلام الواقع سهوا في غير محلّه ليس بمخرج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تذكر النقصان بعد السّلام ولكن قبل إتيان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المنافي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هو تدارك ما فات من الركعة أو الركعتين ، ولا شي‌ء عليه إلاّ سجدات السهو لما زاد سهوا من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قلنا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 فأيضا يجب تدارك الركعة فما زاد ، لكن للروايات لا للقواعد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تذكر النقصان بعد فعل المبطل وما هو المنافي عمدا وسهوا ، كما أنّه لو أحدث وتذكر النقصان ، فلا شكّ في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إلى هنا كان في نقيصة الأركان سهوا ، أو نقصان الركعة فما زاد المشتمل على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في نسيان النيّة بناء على إمكان نسيانها ، أو نسيان تكبيرة الإحرام ، أو القيام حالهما ، أو نسيان الركوع ، أو القيام المتّصل به ، أو نسيان السجدتين ، أو نسيان الركعة أو ما زاد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المنسي 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الصلاة وشرائطها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تبطل </w:t>
      </w:r>
    </w:p>
    <w:p>
      <w:pPr>
        <w:pStyle w:val="BookText"/>
        <w:rPr/>
      </w:pPr>
      <w:r>
        <w:rPr>
          <w:rFonts w:ascii="Amiri" w:hAnsi="Amiri" w:eastAsia="Amiri" w:cs="Amiri"/>
          <w:color w:val="111111"/>
          <w:sz w:val="28"/>
          <w:sz w:val="28"/>
          <w:szCs w:val="28"/>
          <w:rtl w:val="true"/>
          <w:lang w:bidi="ar-SA"/>
        </w:rPr>
        <w:t xml:space="preserve">الصلاة على كلّ حال من هذه الجهة ، أي من جهة سهو غير الأركان ، وذلك مفاد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أخبار خاصّة أيضا تدلّ على عدم وجوب الإعادة في بعضها ، لكن هذه الصحيحة بمنزلة كبرى كلّيّة في كلا عقديها ، أي عقد المستثنى منه وعقد المستثنى ، لحكم نسيان الأركان الخمسة ، ولحكم ما عدا الأركان الخمسة إذا وقع السهو فيها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جزءا أو شرطا ما عدا الأركان فإمّا أن يكون محلّ تداركه باقيا ، فيجب أن يتدارك ويأتي به وبجميع ما أتى بها سهوا في غير محلّها ممّا هي متأخّرة عن ذلك المنسي ، وقد بيّنّا أنّ بقاء محلّ التدارك في الأجزاء بعدم دخوله في الركن الذي بعد ذلك الجزء المنسي ؛ بعد دخوله فيه يلزم من التدارك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ترك الركن لو لم يأت به بعد تدارك ذلك الجزء المنسي ؛ لأنّ الإتيان به قبلا يكون في حكم العدم لعدم كونه في محلّه ، وإمّا زيادة الركن إن أتى به بعد تدارك المنسي ، وهي مضرّة ولو كانت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لو لم يكن محلّ تداركه باقيا فالصلاة صحيحة من ناحية سهو ما عدا الأركان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المنسي إذا كان ممّا عدا الأركان وفات محلّ تداركه يكون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شي‌ء مطلقا ، لا سجدة السهو ولا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منها عليه سجدة السهو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عليه القضاء أيضا مضافا إلى سجدة السهو</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الأوّل الذي قلنا أنّه ليس عليه شي‌ء مطلقا لا السجدة ولا القضاء مبني على عدم وجوب سجدة السهو إلاّ للخمسة أو الستّة التي تقدّم ذكرها ، وإلاّ لو قلنا بوجوبهما لكلّ زيادة ونقيصة سهويّتان فليس إلاّ قسمين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سجدة </w:t>
      </w:r>
    </w:p>
    <w:p>
      <w:pPr>
        <w:pStyle w:val="BookText"/>
        <w:rPr/>
      </w:pPr>
      <w:r>
        <w:rPr>
          <w:rFonts w:ascii="Amiri" w:hAnsi="Amiri" w:eastAsia="Amiri" w:cs="Amiri"/>
          <w:color w:val="111111"/>
          <w:sz w:val="28"/>
          <w:sz w:val="28"/>
          <w:szCs w:val="28"/>
          <w:rtl w:val="true"/>
          <w:lang w:bidi="ar-SA"/>
        </w:rPr>
        <w:t xml:space="preserve">السهو فقط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أيضا مضافا إلى وجوب سجدة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فنتعرّض لأجزاء غير الركنيّة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تذكر بعد فوات محلّ التدارك ، إمّا لفراغه عن الصلاة ، وإمّا لدخوله في الركن المتأخّر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 صحيحة على كلّ حال من طرف هذا النسيان ، ولا تكون باطلة إلاّ أن يكون فيها خلل آخر ، ولا شي‌ء عليه بناء على اختصاص وجوب سجدتي السهو بسهو الستّة المذكورة ، لا أنّهما تكونان واجبتين لكلّ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ووردت أخبار خاصّة مضافا إلى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كصحيح زرارة ،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ترك القراءة متعمدا أعاد الصلاة ، ومن نسي فلا شي‌ء عليه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وخبر محمّد بن مسلم ،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نسي القراءة فقد تمّت صلاته ولا شي‌ء عليه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وغيرهما مما هو بهذا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قولهما علیهماالسلام في هاتين الروايتين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بإطلاقه في نفي وجوب سجدتي السهو أيضا ، مضافا إلى نفي وجوب الإعادة للصلاة ونفي وجوب قضاء القراءة بعد الصلاة ، فتكون هذه الروايات معارضة مع الرواية التي مفادها وجوب سجدتي السهو لكلّ زيادة ونقيصة بناء على عدم حملها على الاستحباب ، والنسبة بينهما عموم من وجه فيتساقطان ، والمرجع هي البراءة ، أو يجمع بينهما بحمل تلك الطائفة على استحباب سجدتي السهو لكلّ زيادة ونقيصة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الجمع العرفي في أمثال المقام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تكلّفوا لإثبات أنّ النسبة بينهما عموم وخصوص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الروايات أخصّ من تلك الطائفة فتخصّصها بغير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يأباه الذوق السليم ، ولذلك تركنا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تذكر لنسيان القراءة قبل أن يركع يأتي بها ، وإن كان تذكره بعد الدخول والوصول إلى حدّ الركوع فيتمّ صلاته ولا شي‌ء عليه ، لا إعادة الصلاة ولا قضاء القراءة بعدها ولا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نفي القضاء وسجدتي السهو فبهذه الروايات ، وأمّا نفي إعادة الصلاة فأيضا بها وبحديث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المنسي نفس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المنسي هو الجهر فيها في صلوات الجهريّة ، أو الإخفات فيها في الصلوات الإخفاتيّة ، فبناء على كون كلّ واحد منهما في موضعه شرطا لنفس القراءة لا للصلاة حال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فحالهما في صدق تجاوز المحلّ وعدم إمكان تداركه ، أو عدم تجاوز المحلّ وإمكان تداركه حال نفس القراءة ؛ وذلك من جهة انعدام المشروط بانعدام شرطه فنسيان كلّ واحد منهما في محلّه يرجع إلى نسيان نفس القراءة وقد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كونهما شرطا للصلاة في حال القراءة فالتجاوز عن محلّهما بالتجاوز عن نفس القراءة وان لم يدخل في الركوع المتأخّر عنها ؛ وذلك من جهة أنّه بعد إتيانه القراءة وإن كانت إخفاتا في الجهريّة ، أو كانت جهرا في الإخفاتيّة فقد أتى بها صحيحة ؛ لأنّ الجهر والإخفات لم يكن كلّ واحد منهما في موضعه شرطا لها حتّى تنتفي بانتفائهما ، وبعد الإتيان بها صحيحة لا يبقى محل لتدارك الجهر والإخفات ؛ لأنّه مستلزم للزيادة العمديّة في القراءة لو أعاد القراءة ، وبدون إعادتها لا يمكن تداركهما ؛ هذا بحسب القواعد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يدلّ على هذا صحيح زرارة ، عن أبي جعفر علیه السلام في رجل جهر فيما لا ينبغي الإجهار فيه ، وأخفي فيما لا ينبغي الإخفاء فيه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ذلك فعل متعمّدا فقد </w:t>
      </w:r>
    </w:p>
    <w:p>
      <w:pPr>
        <w:pStyle w:val="BookText"/>
        <w:rPr/>
      </w:pPr>
      <w:r>
        <w:rPr>
          <w:rFonts w:ascii="Amiri" w:hAnsi="Amiri" w:eastAsia="Amiri" w:cs="Amiri"/>
          <w:color w:val="111111"/>
          <w:sz w:val="28"/>
          <w:sz w:val="28"/>
          <w:szCs w:val="28"/>
          <w:rtl w:val="true"/>
          <w:lang w:bidi="ar-SA"/>
        </w:rPr>
        <w:t xml:space="preserve">نقض صلاته وعليه الإعادة ، فإن فعل ذلك ناسيا أو ساهيا أو لا يدري فلا شي‌ء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والضابط الكلّي في نسيان الواجبات في حال الإتيان بأجزاء الصلاة أنّها إن كانت شرطا لتحقّق ذلك الجزء ، فحيث أنّ بنسيانها ينعدم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بانعدام الشرط ينعدم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 نسيان ذلك الواجب في حال إتيان ذلك الجزء حال نسيان نفس ذلك الجزء ، فإن كان قبل تجاوز محلّ ذلك الجزء يتدارك بالإعادة ، وإلاّ فتكون صلاته باطلة لو كان المنسي ركنا ؛ لما ذكرنا من لزوم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المنسي ركنا فلا تبطل الصلاة ، بل تجب سجدة السهو لكلّ نقيصة على التفصيل المتقدّم ، وفي خصوص نسيان التشهّد والسجدة الواحدة مضافا إلى سجدتي السهو يجب قضائهما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التشهّد فلصحيح محمّد عن أحدهما علیهماالسلام في الرجل يفرغ من صلاته وقد نسي التشهّد حتّى ينصرف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قريبا رجع إلى مكانه فتشهّد ، وإلاّ طلب مكانا نظيفا فتشهد فيه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عليّ بن أبي حمزة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في الركعتين الأوّلتين ولم تتشهّد فذكرت قبل أن تركع فاقعد وتشهّد ، وإن لم تذكر حتّى تركع فامض في صلاتك كما أنت ، فإذا انصرفت سجدت سجدتين لا ركوع فيهما ، ثمَّ تشهّد التشهّد الذي فاتك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قضاء السجدة الواحدة فيدلّ عليها صحيح ابن جابر ، عن أبي عبد اللّه علیه السلام في رجل نسي أن يسجد السجدة الثانية حتّى قام فذكر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يسجد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فليسجد ما لم يركع ، فإذا ركع فذكر بعد ركوعه أنّه لم يسجد فليمض على صلاته حتّى يسلم ثمَّ يسجدها ، فإنّها قضاء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تفاصيل في المسألة ومعارضات لهذا الخبر وما يشابهه من الحكم بقضاء السجدة إن تجاوز عن محلّ تداركها إمّا بالدخول في الركن الذي واقع بعدها ، وإمّا أن يكون تذكره بعد إتيان السّلام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محلّ هذه التفاصيل والنقض والإبرام فيها هو باب الخلل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تلك الواجبات في حال الاشتغال بالأجزاء شرطا لأصل الصلاة لا لتلك الأجزاء ، فالتجاوز عن محلّها وعدم إمكان تداركها بالتجاوز عن نفس ذلك الجزء ، لأنّ ذلك الجزء يقع صحيحا بعد ما لم يكن مشروطا بوجود ذلك الواجب ، فلا يبقى محلّ لتدارك ذلك الواجب ؛ لأنّه مع إعادة ذلك الجزء تلزم الزيادة العمديّة ، ومع عدم إعادته يبقى المظروف بلا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ذلك الواجب من الأركان كالقيام حال تكبيرة الإحرام تبطل الصلاة لو نسيه ، ولا يشمله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تخصيص عقد المستثنى منه فيه بأدلّة ركنيّة القيام في حال تكبيرة الإحرام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لم يكن من الأركان كذكر الواجب في الركوع مثلا ، وكنسيان القيام حال القراءة ، أو الطمأنينة حال الأجزاء والأذكار كالطمأنينة حال التشهّد والسجود وغير ذلك ، فإذا نسيها وفات محلّ تداركها على الفرض ، أي بناء على كون هذه الأشياء شرطا للصلاة لا لنفس الجزء فحيث أنّه أتى بالجزء صحيحا فات محلّ تدارك ذلك </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فعدم بطلان الصلاة بنسيان الواجبات حال الأجزاء متوقّف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لا يكون ذلك الواجب ركنا ، كالقيام المتّصل بالركوع ، وكالقيام حال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للصلاة ويكون ظرف إتيانه حال الاشتغال بذلك الجزء لا شرطا لنفس الجزء ، فحينئذ لا يجوز اعادة ذلك الجزء وتكون صلاته صحيحة ، وإلاّ لو كان ذلك الواجب ركنا ولم يكن شرطا لتحقّق ذلك الجزء كالقيام حال التكبيرة فالصلاة باطلة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شرطا لنفس الجزء ولم يعد ذلك الجزء تكون 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يفت محلّ تدارك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يدخل بعد في الركن المتأخّر عنه ، أو لم يسلم سلام الواجب يجب عليه إتيان ذلك الجزء مع ذلك الواجب ، وتكون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تقدر بعد التأمّل فيما ذكرنا استخراج جميع فروع الخلل ، فلا حاجة إلى تطويل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المنسي هو السّلام الواجب فإن تذكر قبل الإتيان بما هو مناف مطلقا ، سواء صدر عمدا أو سهوا فيأتي به ويتمّ صلاته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تذكر بعد إتيان ذلك المنافي المذكور فالتدارك لا يمكن ؛ لأنّ المفروض بطلان الصلاة بوجود المنافي المذكور ، لأنّه لا يخلو الحال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وقع هذا المنافي في الصلاة فيبطل الصلاة ، فإتيان السّلام المنسي وتداركه بعد بطلان الصلاة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وقع في خارج الصلاة ، مع أنّه خلاف المفروض أيضا لا معنى لتدارك السّلام ؛ لأنّه في خارج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عدم إمكان تداركه وعدم دخوله في عقد المستثنى لا تشمله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قلنا مرارا إنّ مفاد الصحيحة عدم </w:t>
      </w:r>
    </w:p>
    <w:p>
      <w:pPr>
        <w:pStyle w:val="BookText"/>
        <w:rPr/>
      </w:pPr>
      <w:r>
        <w:rPr>
          <w:rFonts w:ascii="Amiri" w:hAnsi="Amiri" w:eastAsia="Amiri" w:cs="Amiri"/>
          <w:color w:val="111111"/>
          <w:sz w:val="28"/>
          <w:sz w:val="28"/>
          <w:szCs w:val="28"/>
          <w:rtl w:val="true"/>
          <w:lang w:bidi="ar-SA"/>
        </w:rPr>
        <w:t>وجوب إعادة الصلاة بالنسبة إلى الأجزاء والشرائط التي سها المصلّي عنها إذا لم يكن من الخمسة المستثناة ، وكانت بحيث لو لم تكن هذه الصحيحة كان يجب الإعادة وكان بطلان الصلاة مستندا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فليس الأمر كذلك ؛ لأنّ البطلان ليس مستندا إلى ترك التسليم بل إلى وجود ذلك المنافي ، وإلاّ كان التدارك ممكنا وكان يجب عليه التسليم ، وهو خلاف المفروض أي وجود المنافي المطلق أي سواء كان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التسليم بمحض وقوعه لا يوجب سقوطه عن الجزئيّة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ولذا لو تذكر قبل وجود المنافي المطلق أي سواء كان عمدا أو سهوا يجب عليه أدائه ، فلا يكون موردا لشمول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وجود ذلك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بعد وجود المنافي أيضا لا يشمله ؛ لما ذكرنا من أنّ معنى الحديث هو أنّ الجزء أو الشرط الذي نسي عنه الذي كان كلّ واحد منهما كان موجبا للإعادة لنسيانه بحيث تكون الإعادة معلولة لنسيانه فلا تجب الإعادة ، فتكون جزئيّة ذلك الجزء وشرطيّة ذلك الشرط ساقطة لكن موضوع الحكم بسقوطهما نسيان المتّصف بكذا ، أي النسيان الذي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للإعادة وبطلان الصلاة ، فبلا تعاد يرتفع البطلان ووجوب الإعادة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من الواضح الجليّ أنّه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في البين لم يكن البطلان مستندا إلى التسليم ، بل كان مستندا إلى الحدث ؛ لوقوعه في أثناء الصلاة قطعا ، فاستناد البطلان إلى نسيان التسليم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المورد حتّى لا يكون التسليم جزءا ، فلا يكون البطلان ووجوب الإعادة مستندا إلى الحدث لعدم وقوعه في الأثناء لنفي الجزئيّة ، وإلاّ فبدون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شموله للمورد يكون السّلام جزءا ويكون الحدث واقعا في الأثناء ، فيكون البطلان </w:t>
      </w:r>
    </w:p>
    <w:p>
      <w:pPr>
        <w:pStyle w:val="BookText"/>
        <w:rPr/>
      </w:pPr>
      <w:r>
        <w:rPr>
          <w:rFonts w:ascii="Amiri" w:hAnsi="Amiri" w:eastAsia="Amiri" w:cs="Amiri"/>
          <w:color w:val="111111"/>
          <w:sz w:val="28"/>
          <w:sz w:val="28"/>
          <w:szCs w:val="28"/>
          <w:rtl w:val="true"/>
          <w:lang w:bidi="ar-SA"/>
        </w:rPr>
        <w:t>مستندا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مجموع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لنسيان التسليم ، والحكم بعدم وجوب الإعادة في مورده متوقف على أن يكون بطلان الصلاة ووجوب الإعادة مستندا إليه ، لا إلى الحدث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واستناد البطلان ووجوب الإعادة إليه لا إلى الحدث متوقف على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للمورد ، وهذا دور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عبّر بأنّ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للمورد موقوف على شموله للمورد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نسيان الجزء أو الشرط بمحض وجوده وتحقّقه لا يوجب سقوط الجزئيّة والشرطيّة عن المنسي بواسطة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لو صار متذكّرا قبل التجاوز عن محلّه لم يكن التدارك واجبا ، مع أنّه ليس كذلك قطعا ولا يمكن الالتزام به ، فشمول الحديث في المفروض متوقف على مجي‌ء المبطل حتّى لا يمكن التدارك ، وإلاّ يجب أن يسلم ويتدارك ، ومع مجي‌ء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التدارك لا يمكن وقد تجاوز عن محلّ التدارك ولكن لا يبقى محلّ لمجي‌ء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مفاد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العمل وسقوط الإعادة وعدم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لا يمكن ذلك ؛ لأنّ شمول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بطلان العمل ، فيرجع إلى أنّ صحّة العمل متوقف على بطلان العمل ، وهذا ممّا ينبغي أن يضحك عليه لا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هاهنا أخبار تدلّ على صحّة الصلاة إذا نسي السّلام وأحدث فلعلّ من يفتي بصحّة الصلاة نظره إلى هذه الأخبار ، لا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عدم صحّة التمسّك بها في هذه الصورة ، أي في نسيان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هي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صحيحة زرارة ، عن أبي جعفر علیه السلام ، سأله عن الرجل يصلّي ثمَّ </w:t>
      </w:r>
    </w:p>
    <w:p>
      <w:pPr>
        <w:pStyle w:val="BookText"/>
        <w:rPr/>
      </w:pPr>
      <w:r>
        <w:rPr>
          <w:rFonts w:ascii="IRNazanin" w:hAnsi="IRNazanin" w:eastAsia="IRNazanin"/>
          <w:color w:val="111111"/>
          <w:sz w:val="28"/>
          <w:sz w:val="28"/>
          <w:szCs w:val="28"/>
          <w:rtl w:val="true"/>
          <w:lang w:bidi="fa-IR"/>
        </w:rPr>
        <w:t xml:space="preserve">يجلس فيحدث قبل أن يسلم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بن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بالظهر أو العصر فأحدث حين جلس في الرابعة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وأشهد أنّ محمّدا رسول اللّه فلا يعد ، وإن كان لم يتشهّد قبل أن يحدث فليعد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التفت في صلاة مكتوبة من غير فراغ فأعد الصلاة إذا كان الالتفات فاحشا ، وإن كنت قد تشهّدت فلا تعد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غالب بن عثمان عنه علیه السلام عن الرجل يصلّي المكتوبة فيقضي صلاته ويتشهّد ثمَّ ينام قبل أن يسلم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وإن كان رعافا فأغسله ثمَّ ارجع فسلّم </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إلى غير ذلك من الأخبار الواردة بهذا المضمون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ظاهر هذا الأخبار عدم جزئيّة السّلام إمّا مطلقا وإمّا في حال عدم الاختيار والاضطرار إلى وجود المنافي والمبطل ، فلا ربط لها بمسألة نسيان السّلام بعد الفراغ عن جزئيّته ، فيكون معرضا عنها عند المشهور فتسقط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مبطليّة الحدث لو صدر اضطرارا كما ذهب إليه بعض وهذا القول شاذ لا ينبغي الالتفات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بعض صدور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ممّا تدلّ على عدم بطلان الصلاة بوقوع الحدث قبل التسليم في صورة نسيان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وخروجها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قدس سره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أوّل مبحث القواطع في أوّل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القطع ببطلان الصلاة بذلك ، وأنّ هذه النصوص وما شابهها مع تعارضها في نفسها واحتمالها احتمالات متعدّدة قد خرجت مخرج التقيّة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كان في نقصان الصلاة من حيث ترك جزء ، أو شرط ، أو إتيان مانع ممّا عدا الأركان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الزيادة فيها فان كان من الخمسة المستثناة فتجب الإعادة ؛ لما ذكرنا من شمول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الواقع من ناحية الزيادة مثل النقيصة ، وأمّا إن كان من غير الأركان فعقد المستثنى منه من هذا الحديث يدلّ على عدم البطلان ويكون مخصّصا للعمومات التي تدلّ على بطلان الصلاة بالزيادة مطلقا ، عمدا كان أو سهوا ، وتخرج الزيادة السهويّة في غير الأركان عن تحتها ، فيقيّد به إطلاق 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استيقن أنّه زاد في صلاته المكتوبة لم يعتد بها </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في صلاته فعليه الإعادة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والحمد لله أولا وآخرا ، والصلاة والسّلام على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محمّد وأهل بيته الطيّبين الطاهرين المعصومين</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902_182311"/>
      <w:bookmarkStart w:id="147" w:name="pg15902_182311"/>
      <w:bookmarkEnd w:id="147"/>
    </w:p>
    <w:p>
      <w:pPr>
        <w:pStyle w:val="Heading2"/>
        <w:numPr>
          <w:ilvl w:val="1"/>
          <w:numId w:val="1"/>
        </w:numPr>
        <w:rPr/>
      </w:pPr>
      <w:bookmarkStart w:id="148" w:name="pg15902_182311"/>
      <w:bookmarkStart w:id="149" w:name="__RefHeading___Toc15519162_2142443653"/>
      <w:bookmarkStart w:id="150" w:name="_Toc47"/>
      <w:bookmarkEnd w:id="148"/>
      <w:bookmarkEnd w:id="149"/>
      <w:r>
        <w:rPr/>
        <w:t>6</w:t>
      </w:r>
      <w:r>
        <w:rPr>
          <w:rtl w:val="true"/>
        </w:rPr>
        <w:t xml:space="preserve"> - </w:t>
      </w:r>
      <w:r>
        <w:rPr>
          <w:rtl w:val="true"/>
        </w:rPr>
        <w:t>قاعدة اليد</w:t>
      </w:r>
      <w:bookmarkEnd w:id="1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5519164_2142443653"/>
      <w:bookmarkStart w:id="152" w:name="_Toc48"/>
      <w:bookmarkEnd w:id="151"/>
      <w:r>
        <w:rPr>
          <w:rtl w:val="true"/>
        </w:rPr>
        <w:t>اشارة</w:t>
      </w:r>
      <w:bookmarkEnd w:id="1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اليد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ومن جملة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ليست من المسائل الأصوليّة ، بل هي قاعدة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ما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دليل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من الأمارات أو من الأصول التنزيلية؟ وأمّا احتمال كونها من الأصول غير التنزيليّة فساقط جدّا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سعة دلالتها وهل أنّها مخصوصة بإثبات الملكيّة لذي اليد بالنسبة إلى فيما تحت يده ، أو عامّ تشمل أشياء أخر كالتولية فيما هو وقف وتحت يده ، والزوجيّة للمرأة التي تحت يده ، والولديّة للطفل الذي تحت يده ، وهكذا إلى غير ذلك من التوسعة في اعتبارها؟ </w:t>
      </w:r>
      <w:bookmarkStart w:id="153" w:name="pg15902_182314"/>
    </w:p>
    <w:p>
      <w:pPr>
        <w:pStyle w:val="BookText"/>
        <w:rPr/>
      </w:pPr>
      <w:bookmarkEnd w:id="153"/>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تعارضها مع سائر الأدلّة من الأصول والأمارات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5519166_2142443653"/>
      <w:bookmarkStart w:id="155" w:name="_Toc49"/>
      <w:bookmarkEnd w:id="154"/>
      <w:r>
        <w:rPr>
          <w:rtl w:val="true"/>
        </w:rPr>
        <w:t>أمّا الجهة الأولى</w:t>
      </w:r>
      <w:bookmarkEnd w:id="155"/>
    </w:p>
    <w:p>
      <w:pPr>
        <w:pStyle w:val="BookText"/>
        <w:rPr/>
      </w:pPr>
      <w:r>
        <w:rPr>
          <w:rFonts w:ascii="Amiri" w:hAnsi="Amiri" w:eastAsia="Amiri" w:cs="Amiri"/>
          <w:color w:val="111111"/>
          <w:sz w:val="28"/>
          <w:sz w:val="28"/>
          <w:szCs w:val="28"/>
          <w:rtl w:val="true"/>
          <w:lang w:bidi="ar-SA"/>
        </w:rPr>
        <w:t xml:space="preserve">فقد تكرّر منّا في موارد كثيرة أنّ المناط في كون المسألة أصوليّة هو وقوع نتيجة البحث عنها كبرى في قياس الاستنباط ، ولا شكّ أنّ نتيجة البحث عن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حجيّتها وإثبات الملكيّة مثلا لذي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كبرى في قياس الاستنتاج الحكم الشرعي الكلي الفرعي ، بل لا يستنتج منها إلاّ الملكيّات الشخصيّة أو ما شابهها من سائر الأمور الجزئيّة التي تثبت بها لذوي الأيدي ؛ فهذه قاعدة فقهيّة يستنبطها الفقيه عن أدلّتها التفصيليّة ويفتي بحجيّة اليد ، مثلا بالنسبة إلى ملكيّة ذي اليد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أمر تطبيقها بيد المقلّدين أنفسهم ، بمعنى أنّه في مقام تطبيق هذه الكبرى على مصاديقها المقلّد والمجتهد سواء ، فإذا طبق المقلّد في مورد وأثبت الملكيّة بها لذي اليد عند الشكّ في ملكيّته ، فيجوز له أن يشتري منه ، ويشهد له بالملكيّة ، وهكذا بالنسبة إلى سائر آثار ثبوت الملكيّة له ، أي لذي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القاعدة كسائر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الموضوعات الخارجيّة ، أو الأحكام الجزئيّة كالبيّنة ، وأصالة الصحّة ، وقاعدة الفراغ ، وقاعدة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يستنبطها الفقيه ويفتي بمضمونها ، فيعمل المقلّد على طبقها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عدم كون هذه القاعدة من المسائل الأصوليّة ، أو كونها من القواعد الفقهيّة بين كون المناط في تميّز المسألة الأصوليّة عن الفقهيّة ما ذكرنا ، وبين ما ذكروه من أنّ المسألة الأصوليّة هي التي لا حظّ للمقلّد في مقام تطبيقها بل يكون أمر تطبيقها بيد المجتهد ، أو ما ذكروه ميزانا للفرق بينهما من أنّ المسألة الأصوليّة ما لم تكن متعلّقا بكيفيّة العمل بلا واسطة بل تكون تعلّقها بكيفيّة العمل مع الواسطة ، بخلاف المسألة الفقهيّة فإنّها متعلّقة بكيفيّة العمل بلا واسطة ؛ لما ذكرنا من </w:t>
      </w:r>
      <w:bookmarkStart w:id="156" w:name="pg15902_182315"/>
    </w:p>
    <w:p>
      <w:pPr>
        <w:pStyle w:val="BookText"/>
        <w:rPr/>
      </w:pPr>
      <w:bookmarkEnd w:id="156"/>
      <w:r>
        <w:rPr>
          <w:rFonts w:ascii="Amiri" w:hAnsi="Amiri" w:eastAsia="Amiri" w:cs="Amiri"/>
          <w:color w:val="111111"/>
          <w:sz w:val="28"/>
          <w:sz w:val="28"/>
          <w:szCs w:val="28"/>
          <w:rtl w:val="true"/>
          <w:lang w:bidi="ar-SA"/>
        </w:rPr>
        <w:t>أنّ أمر تطبيق هذه القاعدة كما أنّه بيد المجتهد كذلك يكون بيد المقلّد أيضا ، وهما بعد إفتاء المجتهد بمضمونها في مقام التطبيق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الواضح الجليّ أنّه بعد إفتاء المجتهد بمضمونها يكون ذلك المضمون متعلّقا بكيفيّة العمل بلا واسطة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519168_2142443653"/>
      <w:bookmarkStart w:id="158" w:name="_Toc50"/>
      <w:bookmarkEnd w:id="157"/>
      <w:r>
        <w:rPr>
          <w:rtl w:val="true"/>
        </w:rPr>
        <w:t>وأمّا الجهة الثانية</w:t>
      </w:r>
      <w:bookmarkEnd w:id="158"/>
    </w:p>
    <w:p>
      <w:pPr>
        <w:pStyle w:val="BookText"/>
        <w:rPr/>
      </w:pPr>
      <w:r>
        <w:rPr>
          <w:rFonts w:ascii="Amiri" w:hAnsi="Amiri" w:eastAsia="Amiri" w:cs="Amiri"/>
          <w:color w:val="111111"/>
          <w:sz w:val="28"/>
          <w:sz w:val="28"/>
          <w:szCs w:val="28"/>
          <w:rtl w:val="true"/>
          <w:lang w:bidi="ar-SA"/>
        </w:rPr>
        <w:t>فقد ذكر اللغويّون لها معاني متعدّدة ، ولا يهمّنا أنّها حقيقة في الجميع ، أو مجاز في الجميع ، أو حقيقة في البعض ومجاز في البعض الآخر ، وإنّما المهمّ أنّه ما المراد والمتفاهم العرفي منها في محل البحث؟</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منها في محلّ البحث هو الاستيلاء والسيطرة الخارجيّة ، بحيث يكون زمام ما تحت يده بيده يتصرّف فيه كيف ما يشاء من التصرّفات العقلائيّة المتعارفة ، ولا يخفى أنّه بصرف التمكّن من تحصيل مثل هذه السيطرة والاستيلاء الخارجي لا يقال أنّه ذو اليد ، بل كونه كذلك يحتاج إلى فعليّة الاستيلاء والسيطرة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اليد بهذا المعنى قد تكون مسبّبا عن الملكية كما في موارد النواقل الشرعية ، اختيارية كانت كما في أبواب المعاوضات ، أو قهريّة كما في باب الإرث ؛ وقد تكون سببا لحصول الملكيّة ، كما في باب حيازة المباحات إذا كان الاستيلاء بقصد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يفهم عرفا من اليد في المقام هي السيطرة الخارجيّة ، وهي أمر خارجي لا تحصل إلاّ بأسبابها الخارجيّة ، من وجود المقتضى لها كإرادة الاستيلاء والسيطرة ، ومن وجود شرائطها ، ومن فقد 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الاعتباريّة لا أثر لها في هذا الأمر الخارجي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الملكيّة له أو كونه مأذونا من قبل المالك تؤثّر في عدم كونها يدا عادية ، ثمَّ </w:t>
      </w:r>
    </w:p>
    <w:p>
      <w:pPr>
        <w:pStyle w:val="BookText"/>
        <w:rPr/>
      </w:pPr>
      <w:r>
        <w:rPr>
          <w:rFonts w:ascii="Amiri" w:hAnsi="Amiri" w:eastAsia="Amiri" w:cs="Amiri"/>
          <w:color w:val="111111"/>
          <w:sz w:val="28"/>
          <w:sz w:val="28"/>
          <w:szCs w:val="28"/>
          <w:rtl w:val="true"/>
          <w:lang w:bidi="ar-SA"/>
        </w:rPr>
        <w:t>إنّ المرجع في حصول هذا الاستيلاء أيضا هو العرف ؛ لأنّ الاستيلاء والسيطرة أمر عرفي فلا بدّ في تعيين مفادهما من الرجوع إلى العرف ، وهو يختلف في نظرهم بحسب ما استولى عليه ، مثلا الاستيلاء على الدار والدكان والخان وأمثالها فهو بأن يكون ساكنا في الدار ومشغولا بكسبه في الدكان والخان ، وإمّا بأن تكون أبوابها مغلقة والمفتاح في يده ، وفي الأراضي بالزرع والغرس وأمثال ذلك ، وفي الدوّابّ بربطها في اصطبله أو ركوبها أو كون زمامها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يتزاحم هذه الجهات بعضها مع بعض ، مثلا لو كان أحد الشخصين راكبا على الدابة وبيد الآخر زمامها ، وكلّ واحد منهما ادّعى ملكيّة تمامها ، ففي مثل هذا الفرض إذا حكم العرف بتقديم احدى الجهتين وأنّها المناط في تحقّق الاستيلاء فهو ، وإلاّ فإن حكم بوجود الاستيلاء وتحققه بالنسبة إلى كلّ واحد منهما فيدخل في مسألة تحقّق يدين على مال واحد كشريكين في دار أو دكان أو غيرهما ، وسيأتي الكلام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لم يحكم بشي‌ء منهما فتسقط كلتا الجهتين عن الاعتبار ، ولا يحكم بتحقّق اليد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من الممكن أن يكون الاستيلاء على شي‌ء لشخصين أو أكثر كما في الشريكين أو الشركاء ، فبناء على اعتبار اليد وحجيّته يثبت الملكيّة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ما اشتهر بين الفقهاء من أنّ تحقّق اليدين على مال واحد يرجع إلى ثبوت يد واحدة تامّة مستقلّة على نصف ذلك المال ، والثلاث إلى الثلث ، والأربع إلى الربع وهكذا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شكّ في أنّ يد الودعي والمستأجر والمستعير والوكيل يد المودع والموجر والمعير والموكل مع اعترافهم بهذه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أمين من طرف المالك إذا اعترف بأنّه أمين من قبله فيكون يده يد ذلك الشخص</w:t>
      </w:r>
      <w:r>
        <w:rPr>
          <w:rFonts w:eastAsia="Amiri" w:cs="Amiri" w:ascii="Amiri" w:hAnsi="Amiri"/>
          <w:color w:val="111111"/>
          <w:sz w:val="28"/>
          <w:szCs w:val="28"/>
          <w:rtl w:val="true"/>
          <w:lang w:bidi="ar-SA"/>
        </w:rPr>
        <w:t xml:space="preserve">. </w:t>
      </w:r>
      <w:bookmarkStart w:id="159" w:name="pg15902_182317"/>
    </w:p>
    <w:p>
      <w:pPr>
        <w:pStyle w:val="Heading3"/>
        <w:numPr>
          <w:ilvl w:val="2"/>
          <w:numId w:val="1"/>
        </w:numPr>
        <w:rPr/>
      </w:pPr>
      <w:bookmarkStart w:id="160" w:name="__RefHeading___Toc15519170_2142443653"/>
      <w:bookmarkStart w:id="161" w:name="_Toc51"/>
      <w:bookmarkEnd w:id="159"/>
      <w:bookmarkEnd w:id="160"/>
      <w:r>
        <w:rPr>
          <w:rtl w:val="true"/>
        </w:rPr>
        <w:t xml:space="preserve">الجهة الثالثة </w:t>
      </w:r>
      <w:r>
        <w:rPr>
          <w:rtl w:val="true"/>
        </w:rPr>
        <w:t xml:space="preserve">: </w:t>
      </w:r>
      <w:r>
        <w:rPr>
          <w:rtl w:val="true"/>
        </w:rPr>
        <w:t>في الدليل على اعتبارها ، وهو من وجوه</w:t>
      </w:r>
      <w:bookmarkEnd w:id="161"/>
    </w:p>
    <w:p>
      <w:pPr>
        <w:pStyle w:val="Heading4"/>
        <w:numPr>
          <w:ilvl w:val="3"/>
          <w:numId w:val="1"/>
        </w:numPr>
        <w:rPr/>
      </w:pPr>
      <w:bookmarkStart w:id="162" w:name="__RefHeading___Toc15519172_2142443653"/>
      <w:bookmarkStart w:id="163" w:name="_Toc52"/>
      <w:bookmarkEnd w:id="162"/>
      <w:r>
        <w:rPr>
          <w:rtl w:val="true"/>
        </w:rPr>
        <w:t xml:space="preserve">الأوّل </w:t>
      </w:r>
      <w:r>
        <w:rPr>
          <w:rtl w:val="true"/>
        </w:rPr>
        <w:t xml:space="preserve">: </w:t>
      </w:r>
      <w:r>
        <w:rPr>
          <w:rtl w:val="true"/>
        </w:rPr>
        <w:t>الروايات</w:t>
      </w:r>
      <w:r>
        <w:rPr>
          <w:rtl w:val="true"/>
        </w:rPr>
        <w:t>.</w:t>
      </w:r>
      <w:bookmarkEnd w:id="163"/>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حفص بن غياث المرويّة في الكتب الثلاثة ، عن أبي عبد اللّه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إذا رأيت شيئا في يد رجل أيجوز لي أن أشهد أنّه له؟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في يده ولا أشهد أنّه له فلعلّه لغيره؟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أفيحلّ الشراء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فلعلّه لغيره ، فمن أين جاز لك أن تشتريه ويصير ملكا لك ، ثمَّ تقول بعد الملك هو لي وتحلف عليه ولا يجوز أن تنسبه إلى من صار ملكه من قبله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يجز هذا لم يقم للمسلمين سوق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الصادق علیه السلام في حديث فدك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مولانا أمير المؤمنين علیه السلام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أتحكم فينا بخلاف حكم اللّه تعالى في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يد المسلمين شي‌ء يملكونه ادعيت أنا فيه من تسأل البيّنة؟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البينة على ما تدّعيه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في يدي شي‌ء فادّعى فيه المسلمون تسألني البيّنة على ما في يدي وقد ملكته في حياة رسول اللّه صلی اللّه علیه و آله وبعده ولم تسأل البيّنة على ما ادّعوا عليّ كما سألتني البيّنة على ما ادّعيت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واليمين على من أنكر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مسعدة بن صدقة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w:t>
      </w:r>
    </w:p>
    <w:p>
      <w:pPr>
        <w:pStyle w:val="BookText"/>
        <w:rPr/>
      </w:pPr>
      <w:r>
        <w:rPr>
          <w:rFonts w:ascii="Amiri" w:hAnsi="Amiri" w:eastAsia="Amiri" w:cs="Amiri"/>
          <w:color w:val="111111"/>
          <w:sz w:val="28"/>
          <w:sz w:val="28"/>
          <w:szCs w:val="28"/>
          <w:rtl w:val="true"/>
          <w:lang w:bidi="ar-SA"/>
        </w:rPr>
        <w:t xml:space="preserve">شي‌ء هو لك حلال حتّى تعلم أنّه حرام بعينه فتدعه من قبل نفسك ، وذلك مثل الثوب عليك قد اشتريته وهو سرقة ، والمملوك عندك لعلّه حرّ قد باع نفسه أو خدع فبيع قهرا ، وامرأة تحتك وهي أختك أو رضيعتك ، والأشياء كلّها على هذا حتّى يستبين لك غير هذا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حمزة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السوق فأريد أن أشتري جارية تقول إنّي حرّة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اشترها ، إلاّ أن تكون لها بيّنة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 عن مملوك ادّعى أنّه حرّ ولم يأت بيّنة على ذلك ، أشتريه؟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يونس بن يعقوب ، في المرأة تموت قبل الرجل أو رجل قبل المرأة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من متاع النساء فهو للمرأة ، وما كان من متاع الرجال والنساء فهو بينهما ، ومن استولى على شي‌ء منه فهو له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الوسائل عن العباس بن هلال ، عن أبي الحسن الرضا علیه السلام ذكر أنّه لو أقضي إليه الحكم لأقرّ الناس على ما في أيديهم ، ولم ينظر في شي‌ء إلاّ بما حدث في سلطانه ، وذكر أن النبي صلی اللّه علیه و آله لم ينظر في حدث أحدثوه وهم مشركون ، وأنّ من أسلم أقر على ما في يده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في دلالة هذه الروايات على اعتبار اليد دلالة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الإشكال في 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محطّ نظر السائل في سؤاله إلى جواز الشهادة بالملكيّة لذي اليد بصرف كون شي‌ء تحت يده أم لا ، وهذا غير إثبات الملكيّة لما تحت اليد باليد حتّى تكون اليد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 لأنّ حكمه علیه السلام بجواز الشهادة مستندا إلى اليد يدلّ بالالتزام على إثبات الملكيّة بها أيضا ، خصوصا بعد ما استدلّ علیه السلام على صحّة هذا الحكم وجواز الشهادة بجواز الشراء ممّا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احتمال أن يكون جواز الشهادة بملكيّة ما في يده له حكما تعبّديّا من دون ثبوتها عند الشاهد في غاية البعد ، وينكره الطبع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عليها بأنّ ظاهر هذه الرواية جواز الشهادة مستندا إلى اليد من دون حصول العلم للشاهد ، وهذا أمر مستنكر ؛ لأنّ العلم مأخوذ في موضوع جواز أو وجوب أداء الشهادة ، فلا يجوز مستندا إلى الأصول أو الأمارات ، فظاهر هذه الرواية ممّا لم يعمل به فساقط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أصلا ؛ لما ذكرنا أوّلا في محلّه من قيام الأمارات والأصول التنزيليّة مقام القطع المأخوذ في الموضوع على 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لصاحب الكفاية قدس سره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أخذ فيه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القطع المأخوذ في موضوع أداء الشهادة جوازا أو وجوبا هو من حيث كونه طريقا وكاشفا عن متعلّقه ، لا بما أنّه صفة كذائية ، بل ذكرنا في مبحث القطع أنّه لم يوجد في الشرعيّات موردا يكون القطع فيه مأخوذا في الموضوع على نحو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الموارد أخذ الاطمئنان موضوعا أو جزئه ، ولكن ذلك غير أخذ القطع في الموضوع على نحو الصفتيّة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بجواز الشهادة مستندا إلى اليد ، وترتيب آثار الملكيّة على ما </w:t>
      </w:r>
    </w:p>
    <w:p>
      <w:pPr>
        <w:pStyle w:val="BookText"/>
        <w:rPr/>
      </w:pPr>
      <w:r>
        <w:rPr>
          <w:rFonts w:ascii="Amiri" w:hAnsi="Amiri" w:eastAsia="Amiri" w:cs="Amiri"/>
          <w:color w:val="111111"/>
          <w:sz w:val="28"/>
          <w:sz w:val="28"/>
          <w:szCs w:val="28"/>
          <w:rtl w:val="true"/>
          <w:lang w:bidi="ar-SA"/>
        </w:rPr>
        <w:t>تحت اليد ، يختلّ النظام ولا يستقرّ حجر على حجر ، فكيف يمكن أن يقال إنّ الأصحاب لم يعملوا بمضمون هذه الرواية؟ فهذا الإشكال ساقط على كلّ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الإشكال على الرواية الثانية بأنّها لا تدلّ على أكثر من أنّ البينة ليست على ذي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يكون على المدّعي ، وهذا لا ربط له بكون اليد حجّة على الملكيّة ، وقضيّة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المتواتر بين المسلمين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قضى صلی اللّه علیه و آله على هذا النحو في موارد عديدة وهذا من المسلّمات ، ولا شكّ أنّ المتفاهم العرفي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اليد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مقابل ذي اليد ، وهو من يطرح الدعوى إلى المنكر ويوجّهها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الرواية يحتجّ بهذا الأمر المسلّم بين المسلمين ؛ فلا ربط لها بإثبات الملكية باليد الذي هو محلّ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يد المسلمين شي‌ء يملكونه ادّعيت أنا فيه </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يدلّ على أنّ اليد أمارة الملكيّة ، وإنّ الملكيّة في هذا الكلام ملكيّة إثباتيّة ، وإلاّ لو كان المفروض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كونه تحت يدهم ، والثاني كونهم يملكونه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بعد هذا الفرض مجال للدعوى ومطالبة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العرف من كون طرف ذي اليد مدّعيا وأنّه يطالب منه البيّنة إلاّ كون ذي اليد مالكا ، فيحتاج طرفه إلى الدليل على إثبات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هذا المطلب أصلا ، بل مضمونه حليّة مشتبه الحرمة ، حتّى يثبت خلاف ذلك بالبيّنة أو العلم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حمزة بن حمران ، وصحيحة العيص فدلالتهما على هذا المطلب أوضح </w:t>
      </w:r>
    </w:p>
    <w:p>
      <w:pPr>
        <w:pStyle w:val="BookText"/>
        <w:rPr/>
      </w:pPr>
      <w:r>
        <w:rPr>
          <w:rFonts w:ascii="Amiri" w:hAnsi="Amiri" w:eastAsia="Amiri" w:cs="Amiri"/>
          <w:color w:val="111111"/>
          <w:sz w:val="28"/>
          <w:sz w:val="28"/>
          <w:szCs w:val="28"/>
          <w:rtl w:val="true"/>
          <w:lang w:bidi="ar-SA"/>
        </w:rPr>
        <w:t>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في موثّقة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إشكال في دلالته على اعتبار اليد إلاّ تخيّل أنّ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متاع البيت ، فلا يدلّ إلاّ على أماريّتها في هذا المورد الخاصّ أعني الزوج والزوجة ،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أنت خبير بأنّه لا خصوصيّة لهذا المورد ، مضافا إلى أنّ كلامنا الآن في اعتبارها في الجملة ، وسنتكلم في التفاصيل فيما سيأتي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رواية عباس بن هلال ، عن أبي الحسن الرضا علیه السلام فمن المحتمل جدّا أن يكون مراده علیه السلام إمضاء جميع ما تقع من المعاملات في زمان انعزالهم عن الحكم ، فإذا وصل إليهم الحكم يقرون الناس على ما في أيديهم ، كما فعل رسول اللّه صلی اللّه علیه و آله مع المشركين بالنسبة إلى ما كان في أيديهم في زمان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لا ينبغي الارتياب في دلالة جملة من هذه الروايات على اعتبار اليد ، بل على كونها أمارة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روايات أخر ذكروها ، لبعضها دلالة على اعتبار اليد ، تركناها للاستغناء عنها وكفاية ما ذكرنا منها لإثبات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وجوه اعتبار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والاتّفاق على أنّ من كان في يده شي‌ء من الأموال يكون 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في تحقّق هذا المعنى بالنسبة إلى الأعيان المتموّلة ولا خلاف فيه أصلا ، وإن كان خلاف ففي التفاصيل الآتية ، ولكن هذا المقدار لا يكفي في صدق الإجماع المصطلح الذي هو أحد الأدلّة الشرعيّة ؛ لأنّ الإجماع المصطلح الاتّفاق الذي يكون مسبّبا عن رأي المعصوم علیه السلام ، أو دليل معتبر عند الكلّ في مقام الثبوت وإن كان سببا وكاشفا عن أحدهما في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مثل هذا المعنى لا يجتمع مع وجود مدرك بل مدارك في المسألة كما في مسئلتنا ؛ لأنّه حينئذ من الممكن بل من المحتمل جدّا اتّكاء المجمعين واعتماد المتّفقين على ذلك المدرك أو تلك المدارك ، فلا يبقى مجال </w:t>
      </w:r>
      <w:bookmarkStart w:id="164" w:name="pg15902_182322"/>
    </w:p>
    <w:p>
      <w:pPr>
        <w:pStyle w:val="BookText"/>
        <w:rPr/>
      </w:pPr>
      <w:bookmarkEnd w:id="164"/>
      <w:r>
        <w:rPr>
          <w:rFonts w:ascii="IRNazanin" w:hAnsi="IRNazanin" w:eastAsia="IRNazanin"/>
          <w:color w:val="111111"/>
          <w:sz w:val="28"/>
          <w:sz w:val="28"/>
          <w:szCs w:val="28"/>
          <w:rtl w:val="true"/>
          <w:lang w:bidi="fa-IR"/>
        </w:rPr>
        <w:t>لاستكشاف رأيهم علیهم السلام من مثل هذا الاتّفاق ، ولا ريب في وجود مدارك عديدة من الأخبار الكثيرة وبناء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من وجوه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من جميع الملل والأمم ، سواء أكانوا من أهل الأديان أم لا ، حتّى الملحدين والمنكرين للصانع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اعتبارها وكونها أمارة لملكيّة المال لمن في يده ، فإنّهم لا يتوقّفون في ترتيب آثار الملكيّة على ما في أيدي الناس ، ولا يفتشون عن أنّ هذا الذي بيده هل له أو لغيره أو مسروق أو مغصوب مثلا ، والشارع المقدّس لم يردع عن هذه السيرة والبناء بل أمضاها ، كما هو مفاد جملة من الروايات المتقدّمة ، مثل قوله علیه السلام في ما رواه حفص بن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يجز هذا لم يقم للمسلمين سوق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وقوله علیه السلام في موثّقة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فالإنصاف أنّ اعتبار اليد في الجملة من المسلّمات ، ولا يحتاج إلى البحث والتكلّم أكثر من هذا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5519174_2142443653"/>
      <w:bookmarkStart w:id="166" w:name="_Toc53"/>
      <w:bookmarkEnd w:id="165"/>
      <w:r>
        <w:rPr>
          <w:rtl w:val="true"/>
        </w:rPr>
        <w:t xml:space="preserve">الجهة الرابعة </w:t>
      </w:r>
      <w:r>
        <w:rPr>
          <w:rtl w:val="true"/>
        </w:rPr>
        <w:t xml:space="preserve">: </w:t>
      </w:r>
      <w:r>
        <w:rPr>
          <w:rtl w:val="true"/>
        </w:rPr>
        <w:t>في أنّها أصل أو أمارة؟</w:t>
      </w:r>
      <w:bookmarkEnd w:id="166"/>
    </w:p>
    <w:p>
      <w:pPr>
        <w:pStyle w:val="BookText"/>
        <w:rPr/>
      </w:pPr>
      <w:r>
        <w:rPr>
          <w:rFonts w:ascii="Amiri" w:hAnsi="Amiri" w:eastAsia="Amiri" w:cs="Amiri"/>
          <w:color w:val="111111"/>
          <w:sz w:val="28"/>
          <w:sz w:val="28"/>
          <w:szCs w:val="28"/>
          <w:rtl w:val="true"/>
          <w:lang w:bidi="ar-SA"/>
        </w:rPr>
        <w:t>والحقّ في هذا المقام هو أنّه لو كان المدرك لها هو الإجماع أو هذه الأخبار فلا يمكن إثبات أماريّتها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فليس إلاّ على ترتيب آثار الملكيّة لما تحت يد شخص ، من دون تعرّضه إلى أنّ اليد طريق إلى الملكيّة أم 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فمفادها إمّا جواز الشراء والشهادة مستندا إلى اليد ، كما في رواية </w:t>
      </w:r>
    </w:p>
    <w:p>
      <w:pPr>
        <w:pStyle w:val="BookText"/>
        <w:rPr/>
      </w:pPr>
      <w:r>
        <w:rPr>
          <w:rFonts w:ascii="Amiri" w:hAnsi="Amiri" w:eastAsia="Amiri" w:cs="Amiri"/>
          <w:color w:val="111111"/>
          <w:sz w:val="28"/>
          <w:sz w:val="28"/>
          <w:szCs w:val="28"/>
          <w:rtl w:val="true"/>
          <w:lang w:bidi="ar-SA"/>
        </w:rPr>
        <w:t>حفص بن غياث ، وهذا المعنى أعمّ من الأماريّة والأصليّة ، ويجتمع مع كلّ واحد منهما ، فلا يمكن إثبات خصوص أحدهما بها ، حتّى أنّ جواز الحلف والشهادة الذي أخذ العلم في موضوعهما على نحو الطريقيّة مستندا إليها لا ينافي أصليّتها ؛ لأنّه قد حقّقنا في محلّه أنّ الأصول التنزيليّة أيضا مثل الأمارات تقوم مقام العلم الذي أخذ في الموضوع على نحو الطريقيّة ، فمن هذه الجهة أيضا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الجهة تنافي كونها من الأصول غير التنزيليّة ، ونحن قلنا إنّ احتمال كونها من الأصول غير التنزيليّة ساقط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حمزة ابن حمران وصحيحة العيص ، فليس مفادهما إلاّ جواز الشراء من ذي اليد وعدم الاعتناء بقول الجارية والعبد ما لم يأتيا ببيّنة ، وقد عرفت أنّ جواز الشراء أعمّ من الأماريّة والأصليّة ، ويجتمع مع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مسعدة ، فقد عرفت أنّها لا تدلّ على أصل اعتبارها ، فضلا عن أماريّتها أو أصليّتها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في موثّقة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إلاّ على ترتيب آثار الملكيّة على ما استولى عليه ، وقد بيّنّا أنّ مثل هذا المعنى أعمّ من خصوص أحد هذين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ممّا ذكرنا قصور هذه الأخبار عن الدلالة على إثبات أحد هذين الأمرين ، ومعلوم أنّه عند الشكّ في الأماريّة والأصليّة نتيجة العمليّة توافق الأصليّة ، لأنّ إثبات اللوازم شي‌ء زائد على إثبات أصل المؤدّى الذي هو المسلّم من هذه الأخبار ، كما أنّ الشكّ في أنّ الأصل تنزيلي أو غير تنزيلي نتيجته غير التنزيليّة بعين البيان المتقدّم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المدرك 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 حيث قلنا إنّ الأخبار إمضاء للبناء والسيرة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أماريّتها ؛ لأنّه لا شكّ أن بناء العقلاء ليس من جهة </w:t>
      </w:r>
    </w:p>
    <w:p>
      <w:pPr>
        <w:pStyle w:val="BookText"/>
        <w:rPr/>
      </w:pPr>
      <w:r>
        <w:rPr>
          <w:rFonts w:ascii="Amiri" w:hAnsi="Amiri" w:eastAsia="Amiri" w:cs="Amiri"/>
          <w:color w:val="111111"/>
          <w:sz w:val="28"/>
          <w:sz w:val="28"/>
          <w:szCs w:val="28"/>
          <w:rtl w:val="true"/>
          <w:lang w:bidi="ar-SA"/>
        </w:rPr>
        <w:t>التعبّد بترتيب آثار الملكيّة عند الشكّ فيها ، بل من جهة كشفها عن الملكيّة الحاصل من غلبة كون ما تحت اليد ملكا لذي اليد عند عدم اعترافه بأنّه لغيره ، فيرون اليد طريقا وكاشفا عن ملكيّة ذي اليد ما لم يعترف بأنّه ليس له كسائر الظنون النوعيّة والطرق والأمارات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تارة معلوم وجوده أو عدمه سواء أكان ذلك الشي‌ء أمرا تكوينيّا أو اعتباريّا ، فالعقل يحكم بوجوب ترتيب آثاره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حجّية العلم ؛ فليست حجّية العلم من المجعولات الاعتباريّة ، بل هي عبارة إمّا عن نفس هذا الحكم العقلي ، فيكون من لوازم العلم ، ويكون من قبيل الذاتي في كتاب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عبارة عن ملزوم هذا الحكم العقلي ، أي نفس الانكشاف والظهور ، فيكون من قبيل الذاتي الايساغوجي ؛ لأنّ العلم عبارة عن نفس الانكشاف والظهور ، وعلى كلا التقديرين ليست من المجعولات الاعتبارية ، بل هي غنيّة عن الجعل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مظنون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الشي‌ء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شكّ في أنّ العقل لا يحكم بصرف الظنّ بوجود الشي‌ء أو عدمه بوجوب ترتيب آثار وجوده في الأوّل ، وآثار عدمه في الثاني إلاّ أن يجعل طريقا في عالم الاعتبار بأن يعتبره العقلاء أو الشارع المقدّس طريقا وكاشفا ، سواء أكان اعتبار الشارع إحداثيّا أو إمضائيّا لما يكون طريقا عند العقلاء ، كما هو الحال في أغلب الطرق والأمارات الشرعيّة بل جميعها ؛ لأنّه لم نجد في الأمارات الشرعيّة ما لم تكن هي عند العقلاء أمارة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يتصرّف الشارع في موضوع ما يراه العقلاء أمارة ، بازدياد قيد ، مثل عدالة الشاهدين في ثبوت ما أخبرا به مثلا ، أو حذف قيد ممّا هو موضوع الحجيّة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الحجيّة في هذا القسم من المجعولات الاعتباريّة من طرف العقلاء ، أو الشارع ، أو من طرف كليهما بأن يكون مثلا من طرف العقلاء إحداثا ومن طرف الشارع إمضاء</w:t>
      </w:r>
      <w:r>
        <w:rPr>
          <w:rFonts w:eastAsia="Amiri" w:cs="Amiri" w:ascii="Amiri" w:hAnsi="Amiri"/>
          <w:color w:val="111111"/>
          <w:sz w:val="28"/>
          <w:szCs w:val="28"/>
          <w:rtl w:val="true"/>
          <w:lang w:bidi="ar-SA"/>
        </w:rPr>
        <w:t xml:space="preserve">. </w:t>
      </w:r>
      <w:bookmarkStart w:id="167" w:name="pg15902_182325"/>
    </w:p>
    <w:p>
      <w:pPr>
        <w:pStyle w:val="BookText"/>
        <w:rPr/>
      </w:pPr>
      <w:bookmarkEnd w:id="167"/>
      <w:r>
        <w:rPr>
          <w:rFonts w:ascii="Amiri" w:hAnsi="Amiri" w:eastAsia="Amiri" w:cs="Amiri"/>
          <w:color w:val="111111"/>
          <w:sz w:val="28"/>
          <w:sz w:val="28"/>
          <w:szCs w:val="28"/>
          <w:rtl w:val="true"/>
          <w:lang w:bidi="ar-SA"/>
        </w:rPr>
        <w:t>فلا بأس بأن تقول أنّ الظنّ ممكن الحجّية ، كما أنّ لك أن تقول إنّ العلم واجب الحجيّة ، كما أنّ الشكّ في شي‌ء لا يمكن أن يجعل طريقا وكاشفا ولو كان في عالم الاعتبار العقلائي أو عالم الاعتبار الشرعي ؛ لأنّ الحجيّة المجعولة في عالم الاعتبار لا بدّ وأن تكون في محل قابل ، والشكّ والتحيّر ليسا قابلين لأن يجعلا طريقا وكاشفا ، فإذا حكم الشارع في مورده بشي‌ء يكون صرف وظيفة عملية من دون أن يكون طريقا إلى وجود المشكوك أو طريقا إلى عدمه ، فلا بأس بأن نقول الشكّ ممتنع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في مورد الظن بشي‌ء يمكن أن يجعل وظيفة عمليّة ، ولا يلاحظ جهة كشفه الناقص وتتميمه في عالم الاعتبار كي تكون أمارة ، بل المجعول صرف الوظيفة العمليّة بإلقاء جهة الكشف الناقص الموجود فيه وعدم رعايته أصلا ، فيكون أصلا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تلك الوظيفة العمليّة المجعولة في هذه الصورة إن كانت بلسان أنّه هو الواقع فيكون أصلا تنزيليا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بهذا اللسان فهو أصل غير تنزيلي وإن شئت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غير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حصول الظنّ النوعي من اليد غير المعترفة ، بأنّ ما استولت عليه ليس لها بملكيّة ما تحتها لها ، وبناء العقلاء على طريقيّة هذا الظنّ وحجيّته لا على صرف العمل على طبق المظنون مع إلقاء جهة كشفه حتّى يكون أصلا عمليا ، والشارع أمضى بناء العقلاء كما هو مفاد هذه الأخبار ، فتكون اليد أمارة وحاكمة على الاستصحاب كما تقدّم وجهها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5519176_2142443653"/>
      <w:bookmarkStart w:id="169" w:name="_Toc54"/>
      <w:bookmarkEnd w:id="168"/>
      <w:r>
        <w:rPr>
          <w:rtl w:val="true"/>
        </w:rPr>
        <w:t xml:space="preserve">الجهة الخامسة </w:t>
      </w:r>
      <w:r>
        <w:rPr>
          <w:rtl w:val="true"/>
        </w:rPr>
        <w:t xml:space="preserve">: </w:t>
      </w:r>
      <w:r>
        <w:rPr>
          <w:rtl w:val="true"/>
        </w:rPr>
        <w:t>في سعة دلالتها ومقدار حجيتها وموارد جريانها</w:t>
      </w:r>
      <w:bookmarkEnd w:id="169"/>
    </w:p>
    <w:p>
      <w:pPr>
        <w:pStyle w:val="Heading4"/>
        <w:numPr>
          <w:ilvl w:val="3"/>
          <w:numId w:val="1"/>
        </w:numPr>
        <w:rPr/>
      </w:pPr>
      <w:bookmarkStart w:id="170" w:name="__RefHeading___Toc15519178_2142443653"/>
      <w:bookmarkStart w:id="171" w:name="_Toc55"/>
      <w:bookmarkEnd w:id="170"/>
      <w:r>
        <w:rPr>
          <w:rtl w:val="true"/>
        </w:rPr>
        <w:t>اشارة</w:t>
      </w:r>
      <w:bookmarkEnd w:id="17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الخلاف في كثير من الموارد بعد الاتّفاق على حجيّتها في الجملة</w:t>
      </w:r>
      <w:r>
        <w:rPr>
          <w:rFonts w:eastAsia="Amiri" w:cs="Amiri" w:ascii="Amiri" w:hAnsi="Amiri"/>
          <w:color w:val="111111"/>
          <w:sz w:val="28"/>
          <w:szCs w:val="28"/>
          <w:rtl w:val="true"/>
          <w:lang w:bidi="ar-SA"/>
        </w:rPr>
        <w:t xml:space="preserve">. </w:t>
      </w:r>
      <w:bookmarkStart w:id="172" w:name="pg15902_182326"/>
    </w:p>
    <w:p>
      <w:pPr>
        <w:pStyle w:val="BookText"/>
        <w:rPr/>
      </w:pPr>
      <w:bookmarkEnd w:id="172"/>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حجيّتها بالنسبة إلى ملكيّة الأعيان المتمولة هو فيما إذا كانت تلك العين في حدّ نفسها قابلة للنقل والانتقال من غير احتياج إلى طروّ أمر يكون موجبا لجواز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من قبيل الأعيان الموقوفة ، بل ولا تكون من الأراضي المفتوحة عنوة العامرة حال الفتح ، فإنّها أيضا لا يجوز نقلها إلاّ فيما إذا رأى المصلحة في نقلها وليّ المسلمين ، وفيما إذا كانت اليد من أوّل حدوثها مجهولة العنوان ، بمعنى أنّها من أوّل حدوثها لا يعلم أنّها يد مالكه ، أو يد عادية ، أو يد أمانة شرعيّة كاللقطة ، أو أمانة مالكيّة كالإجارة والعارية والوديعة وأمثال ذلك من أمانات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معترفا ذو اليد بأنّه ليس له ، ففي مثل هذه الصورة حجيّة من المسلّمات ، ولا خلاف بينهم في ذلك بالنسبة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نفسه إذا شكّ أنّ ما في يده هل ملك له أو لغيره ، فحجيّة اليد في هذه الصورة أيضا وإثباتها ملكيّة ما في يده لنفسه لا يخلو من كلام ، وإن كان الصحيح عندنا أنّها تثبت لاتّحاد ما هو المناط في الإثبات بين نفسه وغيره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5519180_2142443653"/>
      <w:bookmarkStart w:id="174" w:name="_Toc56"/>
      <w:bookmarkEnd w:id="173"/>
      <w:r>
        <w:rPr>
          <w:rtl w:val="true"/>
        </w:rPr>
        <w:t xml:space="preserve">فموارد البحث والخلاف أمور </w:t>
      </w:r>
      <w:r>
        <w:rPr>
          <w:rtl w:val="true"/>
        </w:rPr>
        <w:t>:</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حال حدوثها معلوم العنوان ، بأن كانت يد عادية ، أو أمانة مالكيّة أو شرعيّة ، فقد أفاد شيخنا الأستاد قدس سره حكومة استصحاب حال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عادية أو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اليد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أثبتنا أماريّته ، والأمارات طرّا لها حكومة على الاستصحاب ، فكيف تقول إنّ الاستصحاب حاكم على قاعدة اليد؟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قلت صحيح لو كان التعارض بين المؤدّيين ، فلا شكّ في أنّ اليد حيث أنّها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هو المختار من تتميم الكشف في جعل حجية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الشكّ عن مؤدّاه ، فيذهب بموضوع الاستصحاب حيث أنّه أخذ فيه </w:t>
      </w:r>
    </w:p>
    <w:p>
      <w:pPr>
        <w:pStyle w:val="BookText"/>
        <w:rPr/>
      </w:pPr>
      <w:r>
        <w:rPr>
          <w:rFonts w:ascii="Amiri" w:hAnsi="Amiri" w:eastAsia="Amiri" w:cs="Amiri"/>
          <w:color w:val="111111"/>
          <w:sz w:val="28"/>
          <w:sz w:val="28"/>
          <w:szCs w:val="28"/>
          <w:rtl w:val="true"/>
          <w:lang w:bidi="ar-SA"/>
        </w:rPr>
        <w:t>الشكّ ، ولكن كلّ ذلك ، فيما إذا جرت اليد ، وكان موضوعها ، أي كونها مجهولة العنوان ومشكوك الحال ، أي لا يعلم أنّها يد مالكة أو يد عادية أو يد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أيضا حال ادّعائه الملكيّة وإن كان لا يعلم حال اليد ويحتمل أن يكون يده يد مالكة بواسطة انتقاله بناقل شرعي إليه ، ولكن الاستصحاب يرفع هذا الجهل تعبّدا ، فلا يبقى موضوع لقاعدة اليد حتّى تجري وتكون حاكمة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أستادنا المحقق </w:t>
      </w:r>
      <w:r>
        <w:rPr>
          <w:rStyle w:val="FootnoteAnchor"/>
          <w:rtl w:val="true"/>
        </w:rPr>
        <w:footnoteReference w:id="157"/>
      </w:r>
      <w:r>
        <w:rPr>
          <w:rFonts w:ascii="Amiri" w:hAnsi="Amiri" w:eastAsia="Amiri" w:cs="Amiri"/>
          <w:color w:val="111111"/>
          <w:sz w:val="28"/>
          <w:sz w:val="28"/>
          <w:szCs w:val="28"/>
          <w:rtl w:val="true"/>
          <w:lang w:bidi="ar-SA"/>
        </w:rPr>
        <w:t xml:space="preserve">قدس سره بأنّ هذا الكلام له وجه لو قلنا بأنّ الجهل بالحالة السابقة مأخوذ في موضوع دليل اعتبار اليد وحجيته ، لا أن يكون الجهل بالحالة السابقة موردا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كان الجهل موضوعا للقاعدة يلزم أن تكون القاعدة أصلا عمليّا ؛ وذلك لما تقدّم في أوّل البحث عن الأصول العمليّة أنّ الفرق بين الأصل والأمارة هو أنّ الشكّ والجهل مأخوذ في موضوع الأصل دون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حجيّة الأمارة واعتبارها في مورد الجهل واستتار الواقع ، وإلاّ فمع العلم على وفاقه أو خلافه لا يبقى مورد لجعل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يقول بعدم حجيّة اليد في مثل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كانت في أوّل حدوثها معلوم العنوان بأن كانت يد عادية أو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من جهة استصحاب حال اليد ، بل لأجل عدم شمول بناء العقلاء لمثل هذه الصورة ، ولا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النتيجة عدم اعتباره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بناء العقلاء على أماريّة اليد لا يثبت الملكيّة شرعا إلاّ بإمضاء الشارع لذلك البناء ، 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بكونها يد عادية أو يد أمانة مالكية أو شرعية بالشكّ في بقاء تلك الحالة السابقة وابن على بقاء تلك الحالة السابقة من </w:t>
      </w:r>
    </w:p>
    <w:p>
      <w:pPr>
        <w:pStyle w:val="BookText"/>
        <w:rPr/>
      </w:pPr>
      <w:r>
        <w:rPr>
          <w:rFonts w:ascii="Amiri" w:hAnsi="Amiri" w:eastAsia="Amiri" w:cs="Amiri"/>
          <w:color w:val="111111"/>
          <w:sz w:val="28"/>
          <w:sz w:val="28"/>
          <w:szCs w:val="28"/>
          <w:rtl w:val="true"/>
          <w:lang w:bidi="ar-SA"/>
        </w:rPr>
        <w:t>كونها عادية أو أمانة ، فهذا ردع لتلك السيرة وذلك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لو كانت الحالة السابقة لما في يده عدم جواز نقله وانتقاله في حدّ نفسه إلاّ بطروّ أحد الأمور التي يجوز معها النقل والانتقال كالوقف وفعلا انتقاله إليه بسبب يحتمل طروّ أحد تلك الأمور ، فأيضا لا تكون اليد في هذه الصورة أمارة على كون ما في يده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أيضا لما ذكرنا من استصحاب حال اليد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طروّ ما يجوز معه النقل والانتقال ، ففي هذه الصورة أيضا مثل الصورة السابقة لأماريّة اليد وكشفها عن ملكيّة ما تحت اليد لا يبقى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الأمارة اليد على مال قابل للنقل والانتقال ، فباستصحاب عدم طروّ ما معه قابل للنقل والانتقال يرتفع موضوع ما هي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احتملنا أنّ ما تحت اليد كان قبل حدوث اليد قابلا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احتمال طروّ أحد المجوّزات للبيع مثلا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لاستصحاب حال اليد ؛ لأنّها من أوّل حدوثها من هذه الجهة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ما تحت اليد عن أراضي المفتوحة عنوة وحصل الشكّ في ملكيّتها لذي اليد بواسطة احتمال انتقالها إلى ذي اليد بناقل شرعي ، فالظاهر كون اليد أمارة الملك ، ولا يقاس بالوقف ؛ لأنّ الأراضي المفتوحة عنوة قابلة للنقل والانتقال ، وليست مثل الوقف محبوسة لا يجوز نقلها إلاّ بعد طروّ أحد مجوّزات نقلها ، غاية الأمر أنّ أمر نقلها بيد وليّ المسلمين حسبما يرى مصلحة المسلمين من النقل أو الإبقاء على ملك المسلمين وأخذ الخراج ممّن بيده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ظاهر بعض الأخبار أنّ الأراضي المفتوحة عنوة موقوفة محبوسة في أيديهم لا يجوز بيعها وشرائها ، ويأخذ الخراج وليّ المسلمين ممّن بيده تلك الأراضي ، وبناء على هذا تكون حالها حال الوقف ليست قابلة للنقل والانتقال إلاّ ضرورة </w:t>
      </w:r>
    </w:p>
    <w:p>
      <w:pPr>
        <w:pStyle w:val="BookText"/>
        <w:rPr/>
      </w:pPr>
      <w:r>
        <w:rPr>
          <w:rFonts w:ascii="Amiri" w:hAnsi="Amiri" w:eastAsia="Amiri" w:cs="Amiri"/>
          <w:color w:val="111111"/>
          <w:sz w:val="28"/>
          <w:sz w:val="28"/>
          <w:szCs w:val="28"/>
          <w:rtl w:val="true"/>
          <w:lang w:bidi="ar-SA"/>
        </w:rPr>
        <w:t>وحاجة مهمّة في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مقابل ذي اليد من يدّعي الملكيّة لما في يده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بيّنة طبق ما يدّعي ، فيؤخذ المال من ذي اليد ويعطي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بيّنة ولكن ذو اليد يعترف بأنّه له ، فكذلك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بأنّه كان له ولكن انتقل إليه بناقل شرعي ، وعلى هذا تنقلب الدعوى ويصير ذو اليد مدّعيا بعد ما كان منكرا ، والمدعي صار منكرا أيضا بواسطة هذا الاعتراف ؛ لأنّ قول ذلك المدّعي بعد هذا الاعتراف يصير مطابقا لأصالة عدم الانتقال ، فتنقلب منكرا ولا 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المال يؤخذ منه ويعطي لمن كان مدّعيا ، فصار منكرا بواسطة إقرار ذي اليد ، أو يبقى عنده بواسطة أماريّة اليد؟</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أماريّة اليد للملكيّة سقطت بواسطة اعترافه بأنّ المال كان له ، وذلك لأنّ اعترافه بأنّ المال كان له لا ينافي كون اليد أمارة على الملك الفعلي ، من جهة أنّه في أغلب الموارد معلوم أنّ ما في اليد كان لشخص آخر ، فحال اعترافه حال العلم بأنّه كان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في مورد العلم بأنّه كان لغير ذي اليد لا يسقط عن الاعتبار والأماريّة ، فكذلك فليكن في مورد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يثبت أنّ ما في يده كان ملكا لمن يدّعى الآن بحكم الحاكم ، أو بالبينة أو بالعلم الوجداني ، أو بإقرار ذي اليد ؛ لأنّ ثبوت الملكيّة السابقة بأحد هذه الأمور لا ينافي مع الملكيّة حال الدعوى لذي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بناء العقلاء على أماريّة اليد لملكيّة ما في اليد لذي اليد وقد أمضاها الشارع ، فيحكم بالملكيّة الفعليّة لذي اليد ، إلاّ أن يأتي ببيّنة طبق دعواه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شيخنا الأستاذ قدس سره عمّا ذكر بأنّ انقلاب الدعوى من آثار نفس الإقرار ، وليس من آثار الواقع كي لا يكون فرق بين العلم والبيّنة والإقرار ، فإذا أقرّ فهو </w:t>
      </w:r>
    </w:p>
    <w:p>
      <w:pPr>
        <w:pStyle w:val="BookText"/>
        <w:rPr/>
      </w:pPr>
      <w:r>
        <w:rPr>
          <w:rFonts w:ascii="IRNazanin" w:hAnsi="IRNazanin" w:eastAsia="IRNazanin"/>
          <w:color w:val="111111"/>
          <w:sz w:val="28"/>
          <w:sz w:val="28"/>
          <w:szCs w:val="28"/>
          <w:rtl w:val="true"/>
          <w:lang w:bidi="fa-IR"/>
        </w:rPr>
        <w:t xml:space="preserve">مأخوذ بإقراره ولو مع العلم بمخالفته للواقع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كلام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الإقرار مع العلم التفصيلي بمخالفته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أخذه بإقراره ترتيب آثار الملكيّة السابقة لا عدم أماريّة اليد للملكيّة الفعليّة ، نعم لو انضمّ إلى اعترافه بالملكيّة السابقة للمدّعي دعوى الانتقال منه إليه بناقل شرعي ، فمن حيث هذه الدعوى يكون ذو اليد مدّعيا للانتقال ، وقول ذلك المدّعي المقابل لذي اليد يصير مطابقا لأصالة عدم الانتقال ، فتنقلب الدعوى ويصير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هناك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الملكيّة طرف ذي اليد ، فبالنسبة إلى هذه الدعوى يكون ذو اليد منكرا ، وطرفه يكون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ذي اليد الانتقال إليه من طرفه ، وبالنسبة إلى هذه الدعوى يكون ذو اليد مدّعيا وطرفه يكون منكرا ؛ لمطابقة قوله مع أصالة عدم الانتقال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ممّا ذكره شيخنا الأستاد قدس سره ما ذكره أستاذنا المحقّق </w:t>
      </w:r>
      <w:r>
        <w:rPr>
          <w:rStyle w:val="FootnoteAnchor"/>
          <w:rtl w:val="true"/>
        </w:rPr>
        <w:footnoteReference w:id="159"/>
      </w:r>
      <w:r>
        <w:rPr>
          <w:rFonts w:ascii="Amiri" w:hAnsi="Amiri" w:eastAsia="Amiri" w:cs="Amiri"/>
          <w:color w:val="111111"/>
          <w:sz w:val="28"/>
          <w:sz w:val="28"/>
          <w:szCs w:val="28"/>
          <w:rtl w:val="true"/>
          <w:lang w:bidi="ar-SA"/>
        </w:rPr>
        <w:t xml:space="preserve">قدس سره في وجه انقلاب الدعوى هو حجيّة استصحاب عدم الانتقال مع وجود اليد الفعلي على المال ، فمقتضى اليد هو كون هذا المال ملكا لذي اليد وانتقاله من الطرف إليه ، ومقتضى استصحاب عدم الانتقال عدم كونه ملكا لذي اليد وبقاؤه على ملك الطرف ، فأماريّة اليد هاهنا مع حجيّة استصحاب عدم الانتقال من المدّعي الذي هو الطرف لذي اليد ممّا لا يجتمعان ، فبناء على حجيّة هذا الاستصحاب لا يبقى مجال لأماريّة هذه اليد ؛ لما ذكرنا من أنّ مؤدّى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التعبّد بعدم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ملكيّة ذي اليد ، فمع حجيّة هذا الاستصحاب لا يمكن أن تكون اليد في هذا المقام 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 هذا البيان تعارض هذا الاستصحاب مع هذه اليد ، فبناء على أن اليد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نفسه جزم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اليد حاكما على الاستصحاب ؛ لما تقدّم من حكومة الأمارات على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شيخنا الأستاذ قدس سره على نفسه بعد ما قال بالانقلاب في الصورة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الصورة التي يعترف ذو اليد بأنّ ما في يده كان سابقا للمدّعي وادّعى الانتقال إليه بناقل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بمخالفة هذا القول ، أي انقلاب الدعوى لما احتجّ به أمير المؤمنين علیه السلام على أبي بكر بأنّ الصديقة الطاهرة علیهاالسلام ذات يد على فدك ، فلم تسأل البيّنة عنها؟ والحال أنّها صلوات اللّه عليها اعترفت بأنّ فدك كان لرسول اللّه صلی اللّه علیه و آله نحلها إيّاها فادّعت الانتقال إليها منه صلی اللّه علیه و آله بعد اعترافها أنّها له صلی اللّه علیه و آله ، فبمقتضى تلك القاعدة انقلبت الصدّيقة الطاهرة مدّعية فتكون البيّنة عليها ، مع أنّ أمير المؤمنين علیه السلام ينفى في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خبر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البيّنة عليها علیهاالسلام ، فتدلّ هذه الرواية دلالة صريحة على عدم انقلاب الدعوى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أجاب قدس سره عن هذا الاعتراض بما لا يخلو عن قصور وإشكال ؛ لأنّ جوابه مبتن على مبان في الملكيّة وأنواع انتقالاته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أن يقال على تقدير تسليم دعوى الانقلاب مع ما فيها من النظر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كما قلنا آنفا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الانتقال ، وبالنسبة إلى هذه الدعوى هي سلام اللّه عليها مدّعية وعليها البيّنة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الملكية وبالنسبة إلى هذه الدعوى حيث أنّها سلام اللّه عليها كانت ذات يد كانت البيّنة على طرفها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بزعمه كان وليّ المسلمين ، فكان أمير المؤمنين علیه السلام احتجّ على أبي بكر بالنسبة إلى هذه الدعوى الأخيرة إن كانت </w:t>
      </w:r>
    </w:p>
    <w:p>
      <w:pPr>
        <w:pStyle w:val="BookText"/>
        <w:rPr/>
      </w:pPr>
      <w:r>
        <w:rPr>
          <w:rFonts w:ascii="Amiri" w:hAnsi="Amiri" w:eastAsia="Amiri" w:cs="Amiri"/>
          <w:color w:val="111111"/>
          <w:sz w:val="28"/>
          <w:sz w:val="28"/>
          <w:szCs w:val="28"/>
          <w:rtl w:val="true"/>
          <w:lang w:bidi="ar-SA"/>
        </w:rPr>
        <w:t>الدعوى الأولى مسكوتا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هذه المسألة صور كثيرة ما استوفينا حقّها ؛ لأنّ محلّها كتاب القضاء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الأمور التي صار محلاّ للكلام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حجيّتها مخصوصة بالأعيان المتموّلة أم تجري في المنافع أيضا؟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هذا المقام هو التفصيل بين ما كان المدّعي هو المالك باعتراف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المدّعي ، هذه الدار التي الآن في يدي ملكك ولكن في إجارتي إلى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المدعي أجنبيّا أي ليس بمالك ، وذلك مثل أن يدّعي شخص آخر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إجارتي لا في إجارتك ، بأن تكون اليد حجّة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مقابل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الأوّل ، أي مقابل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أمر معدوم بالنسبة إلى ما سيأتي في زمان النزاع ، بل غالبا يكون أمرا غير قار لا يوجد جزء منه إلاّ بعد انعدام الجزء الآخر ، فلا يمكن وقوعها استقلالا تحت اليد التي عرفت أنّها سيطرة واستيلاء خارجي ، سواء أكان هناك معتبر في العالم أو لا يكون ؛ إذ اليد بالمعنى المذكور من الأمور التكوينيّة الخارجيّة ، وليست من الأمور الاعتباريّة ؛ ولذلك يتحقّق اليد من الغاصب مع أنّه لا اعتبار لا من طرف الشارع ولا من طرف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باعتبار نفسه شطط من الكلام ؛ لأنّه لو اعتبر نفسه مالكا أو مستوليا ومسيطرا ألف مرّة بدون أن يكون له سيطرة وتسلّط في الخارج لا يقال أنّه ذو اليد ، فمعنى كون المنفعة تحت اليد ليس أنّها استقلالا وبنفسها تحت اليد بل معناه أنّها تحت اليد بتبع العين ؛ لأنّ المنفعة من شئون العين ، ونسبتها إلى العين كنسبة العرض إلى موضوعه ، فالاستيلاء والسيطرة على العين استيلاء على منافعها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على العين يد على منافعها ، لا بمعنى أنّه هناك استيلاء ان </w:t>
      </w:r>
    </w:p>
    <w:p>
      <w:pPr>
        <w:pStyle w:val="BookText"/>
        <w:rPr/>
      </w:pPr>
      <w:r>
        <w:rPr>
          <w:rFonts w:ascii="Amiri" w:hAnsi="Amiri" w:eastAsia="Amiri" w:cs="Amiri"/>
          <w:color w:val="111111"/>
          <w:sz w:val="28"/>
          <w:sz w:val="28"/>
          <w:szCs w:val="28"/>
          <w:rtl w:val="true"/>
          <w:lang w:bidi="ar-SA"/>
        </w:rPr>
        <w:t xml:space="preserve">وسيطرتان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العين ، والأخرى على المنفعة ، بل ليس في الخارج إلاّ الاستيلاء على العين ، وهذا الاستيلاء الواحد كما يصحّ أن ينسب إلى العين يصح أن ينسب إلى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غالبا أمر غير قارّ لا توجد إلاّ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عند العرف قد تطلق المنفعة على بعض الأعيان الخارجيّة ، كاللبن في الضرع ، والثمرة على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وأمثالها خارجة عن محلّ الكلام ، ولا شكّ في إمكان وقوعها مستقلا تحت اليد ، فكلامنا في ما هو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المنافع التي لا وجود لها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حال النزاع كما قلنا معدومة ولا توجد إلاّ تدريجا ، فليس حال النزاع شي‌ء موجود حتّى نقول بأنّه تحت اليد مستقلا ، نعم إنّها تحت اليد بتبع العين ، بمعنى أنّ اليد على العين يد أيضا عليها ؛ وبهذا صحّحنا الضمان في المقبوض بالعقد الفاسد بالنسبة إلى المنافع غير المستوفاة من باب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على العين يد على المنافع غير القارّة حقيقة وواقعا ، وليس من قبيل الوصف بحال متعلّق الموصوف ، أي ليس العين واسطة في العروض بل واسطة في الثبوت ، فإذا استولى على العين لا يصحّ سلب السلطنة واستيلائه على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ظهر ما قلنا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المدّعي هو المالك فحيث أنّ ذا اليد معترف بأنّ يده أماني ومن قبل المالك ، ففي الحقيقة يده يد المالك ، كما بيّنّا سابقا أنّ يد كلّ أمين مالكي يد المالك ، فلا يبقى مجال للمخاصمة مع المالك بمثل هذه اليد ؛ لأنّه أسقطها عن الاعتبار بالنسبة إلى المالك باعترافه أنّ يده 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الأجنبي فلا ، من جهة أنّ اليد موجودة على الفرض ، ولم يصدر عن ذي اليد اعتراف يضرّ بأماريّتها بالنسبة إلى الأجنبي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مطالبة الدليل على اعتبار مثل هذه اليد التبعي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المدرك لهذه القاعدة هو الأخبار فالإنصاف أنّ إثبات حجيّتها حتّى فيما إذا كان المدّعي غير المالك مشكل ؛ لأنّ أغلب الأخبار موردها الأعيان ، والخروج عنها إلى المنفعة يحتاج </w:t>
      </w:r>
    </w:p>
    <w:p>
      <w:pPr>
        <w:pStyle w:val="BookText"/>
        <w:rPr/>
      </w:pPr>
      <w:r>
        <w:rPr>
          <w:rFonts w:ascii="Amiri" w:hAnsi="Amiri" w:eastAsia="Amiri" w:cs="Amiri"/>
          <w:color w:val="111111"/>
          <w:sz w:val="28"/>
          <w:sz w:val="28"/>
          <w:szCs w:val="28"/>
          <w:rtl w:val="true"/>
          <w:lang w:bidi="ar-SA"/>
        </w:rPr>
        <w:t>إلى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في موثقة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عموم بالنسبة إلى المنفعة والعين باعتبار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متاع البيت يقيّد هذا الإطلاق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عباس بن هلال عن أبي الحسن الرضا علیه السلام وإن كان فيه عموم باعتبار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لأقرّ الناس على ما في أيديهم </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لكنّك عرفت عدم دلالتها على أصل المطلب ، بل هي بصدد بيان مطلب آخر لا ربط له بما نحن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المدرك هو الإجماع ، فمعلوم أنّه لا حجيّة له في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المدرك هو بناء العقلاء كما هو الصحيح عندنا وقلنا إن هذه الأخبار إمضاء لما عندهم ، فالأظهر بل الأقوى والمتعيّن هو التفصيل المتقدّم ؛ لأنّه من الواضح أنّ العقلاء يفرقون بين أن يكون المدعي هو المالك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تجري في الحقوق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المتعلّقة بالأعيان على اختلاف أنحائها ، سواء أكانت الأعيان متموّلة كحقّ الرهانة وحقّ التولية وغيرهما ، أو غير متموّلة كحقّ الاختصاص المتعلّقة بالعذرة والخمر والميتة ، لا يمكن وقوعها تحت اليد ابتداء ، بل تقع تحتها بتبع العين ، وحالها من هذه الجهة حال المنافع بل انزل ؛ لأنّ الحقّ أمر اعتباري ، إذ ليس هو إلاّ سلطنة اعتباريّة مجعولة في عالم الاعتبار من طرف العقلاء أو الشارع على شي‌ء أو شخص</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آثاره أنّه يسقط بإسقاطه بخلاف المنفعة ، فإنّها من الأمور الواقعيّة المحمولة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الذي بيّنّاه في باب المنافع آت هنا بطريق أولى ، فاليد هاهنا على </w:t>
      </w:r>
    </w:p>
    <w:p>
      <w:pPr>
        <w:pStyle w:val="BookText"/>
        <w:rPr/>
      </w:pPr>
      <w:r>
        <w:rPr>
          <w:rFonts w:ascii="Amiri" w:hAnsi="Amiri" w:eastAsia="Amiri" w:cs="Amiri"/>
          <w:color w:val="111111"/>
          <w:sz w:val="28"/>
          <w:sz w:val="28"/>
          <w:szCs w:val="28"/>
          <w:rtl w:val="true"/>
          <w:lang w:bidi="ar-SA"/>
        </w:rPr>
        <w:t>تقدير حجيّتها مخصوصة بالنسبة إلى الأجنبي ، لا بالنسبة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اعتبارها بالنسبة إلى الأجنبي فكما بيّنّا في باب المنافع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هذه القاعدة هو الأخبار أو الإجماع فلا دليل في المقام أصلا ، أما لو كان المدرك بناء العقلاء فالظاهر استقرار بنائهم بثبوت هذه الحقوق إذا كان المدعي غير مالك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تجري قاعدة اليد في النسب والأعراض أم لا؟ كما لو تنازع شخص مع آخر في زوجة تحت يد أحدهما ، أي تكون في بيته ويعامل معها معاملة الزوج مع زوجته ، أو في صبي تحت 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في المسألة مضطربة ، 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أنّ مدرك هذه القاعدة 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بنائهم على أماريّة اليد في هذه المواضع ؛ لأنّ الظنّ الحاصل من الغلبة هاهنا أقوى بمراتب من الظنّ الحاصل في باب الأملاك ؛ لأنّ الغصب في باب الأملاك كثير ، بخلافه هاهنا فإنّ غصب أحدهم زوجة الآخر أو ولده في غاية القلّة بل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مدرك القاعدة هو الأخبار أو الإجماع فشمولهما لمثل المقام في غاية الإشكال ؛ لعدم شمول الإجماع لمورد الخلاف واختصاص الأخبار حسب ظهورها العرفي بأعيان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هذه القاعدة تجري في حقّ نفس ذي اليد إذا شك في أنّ ما بيده ملك له أو لغيره فيما إذا لم يكن مدّع في قباله ، أم 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يقال بجريانها في حقه وان لم يكن في قباله مدّع يزاحمه ؛ مستندا إلى رواية مسعدة بن صدقة ، فإنّه علیه السلام قال فيها بحلّيّة ما تحت يده ، ولو احتمل ذو اليد كونه سرقة أو غير ذلك من الاحتمالات المنافية لملكيّة ذي اليد ، سواء أكان هناك مدّع أو لم يكن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ولكنّك عرفت أنّ مساق تلك الرواية في بيان قاعدة الحلّ ولا ربط لها بباب اليد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يستند لإثبات هذا المطلب بعموم قوله علیه السلام في موثّقة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 علیه السلام لم يقيد هذا الحكم بأنّه فيما إذا كان في قباله مدع ، فالحكم بكونه له مطلق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هذه الرواية أنّه علیه السلام في مقام مخاصمة الزوج مع الزوجة حكم بأنّ كلّ واحد منهما إذا كان مستوليا على شي‌ء من متاع البيت فهو له ، فلا إطلاق لها يشمل صورة عدم التنازع وعدم وجود مدّع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أيضا لهذا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حجيّة اليد لملكيّة ما في يده لنفسه عند الشكّ ، ولو لم يكن مدّع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جميل بن صالح ، عن الصادق علیه السلام ، رجل وجد في بيته دينارا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 منزله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كثير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وجد في صندوقه دينارا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فيدخل أحد يده في صندوقه غيره ، أو يضع فيه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له </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حكم علیه السلام بكون الدينار الذي وجده في صندوقه له مع كونه شاكّا أنّه له ، ولم يفرق علیه السلام بين أن يكون هناك مدّع يدّعيه أم لا ، فالرواية بإطلاقها يشمل المقام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من المحتمل جدّا أن يكون حكمه علیه السلام بكونه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عنه بأنّه هل يدخل أحد فيه غيره أو يضع فيه شي‌ء وجوابه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حصول القطع العادي ، أي ركون النفس والاطمئنان بأنّه له في مثل هذه الصورة ، فكأنّه علیه السلام نبّهه على أنّ احتمال كونه لغيره في الفرض وهم محض ، فلا ربط له بباب اليد ، بل نفس هذا الاطمئنان معتبر سواء أكان هناك يد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والشاهد على ذلك أنّه علیه السلام حكم في صدر هذه الرواية بأنّ الدرهم الذي وجده في الدار لقطة ، وليس له بعد السؤال عنه أيضا بمثل هذا السؤال وأنّه هل يدخل ذلك المنزل غيره وجوابه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اليد في كلا الموردين ، ولا فارق بينهما إلاّ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يجيب في ما وجده في صندوقه أيضا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أجاب في منزله لكان حكمه علیه السلام أيضا بأنّه لقطة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أن يكون الفرق من جهة أنّه في الصورة الأولى كثرة الداخلين في ذلك المنزل كما هو المفروض ، واحتمال أن يكون الدينار الذي وجده من أحدهم مانعة من حجية اليد فيها ، بخلاف الصورة الثانية فإنّ الفرض فيها عدم وضع غيره شيئا فيه ، فليس شي‌ء مانعا عن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في الصورة الأولى سقطت عن الحجيّة بواسطة الأمارة على الخلاف ، وهي كثرة الداخلين في ذلك المنزل غيره ، فيكون احتمال أن يكون لهم أقوى من احتمال أن يكون له ؛ لأنّه أحدهم وفي عرض أحدهم ، فهذا احتمال مرجوح بل خلاف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تساوي هذين الاحتمالين أيضا تسقط عن الدلالة على اعتبارها في المقام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بمعارضة هذه الصحيحة بموثّقة إسحاق بن عمّار ، عن رجل نزل في بعض بيوت مكّة ، فوجد فيها نحوا من سبعين درهما مدفونة ، فلم يزل معه ولم يذكرها حتّى قدم الكوفة كيف يصنع؟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 عنها أهل المنزل لعلّهم يعرفونها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يعرفوها؟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بها </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حكم الإمام علیه السلام بالتصدّق بها في صورة عدم معرفتهم إيّاها ، الشاملة بإطلاقها ، ما إذا كانوا شاكّين أنّها لهم أم لا ، فليس بشي‌ء ؛ من جهة أنّه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أهل المنزل لها ملازم عادة مع العلم بالعدم ، لا صرف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لأبيهم أو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اطّلاعهم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اليد على الدراهم المدفونة خصوصا في تلك المنازل المعدّة للايجار كما في الفرض لا يخلو عن إشكال ، فيكون من قبيل مجهول المالك الذي تعريفه بالنسبة إلى صاحب الدار ممكن ، وبالنسبة إلى غيرهم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علیه السلام أوّلا بتعريفهم إيّاها فإذا لم يعرفوها يتصدّق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القول باعتبار اليد في حق صاحب اليد لو لم يكن مدّع يدّعيه ويزاحمه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علمه بعدم كونه له لأنّه رزق ساقه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بلا برهان وبعيد عن مذاق الفقه والفقاهة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انضمام كونه مدّعيا أنّه له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شاكّا مع عدم وجود مزاحم يزاحمه ومدّع في البين إلى اليد في الحكم بأنّه له ، وإلاّ لو كان ذو اليد شاكّا وساكتا فما بيده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لا ينبغي التكلّم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المدرك لهذه القاعدة هي الأخبار ، أمّا لو كان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 لا فرق عندهم في اعتبارها بين أن يكون مدّع في البين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يد المسلم أمارة على التذكية والحلّية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أماريّة سوق المسلم ويده على التذكية والحلّية إجماعا ونصّا ، وإنّما الكلام وقع في محلّ آخر ، وهو أنّه هل كما أنّ يد المسلم أمارة التذكية ، يد الكافر تكون أمارة الميتية أم لا؟</w:t>
      </w:r>
    </w:p>
    <w:p>
      <w:pPr>
        <w:pStyle w:val="BookText"/>
        <w:rPr/>
      </w:pPr>
      <w:r>
        <w:rPr>
          <w:rFonts w:ascii="Amiri" w:hAnsi="Amiri" w:eastAsia="Amiri" w:cs="Amiri"/>
          <w:color w:val="111111"/>
          <w:sz w:val="28"/>
          <w:sz w:val="28"/>
          <w:szCs w:val="28"/>
          <w:rtl w:val="true"/>
          <w:lang w:bidi="ar-SA"/>
        </w:rPr>
        <w:t>فذهب جمع إلى أنّها أمارة ، وبعض آخر إلى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في يد الكافر حيث أنّه ليس عليه أمارة التذكية فاستصحاب عدمها يجري ، ويجعله في حكم الميتة أو يدخله في موضوعها ، على القولين في معنى الميتة ، وهذا غير كونها أمارة الميتيّة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للقول الأوّل برواية إسحاق بن عمّار ، عن العبد الصالح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في </w:t>
      </w:r>
    </w:p>
    <w:p>
      <w:pPr>
        <w:pStyle w:val="BookText"/>
        <w:rPr/>
      </w:pPr>
      <w:r>
        <w:rPr>
          <w:rFonts w:ascii="IRNazanin" w:hAnsi="IRNazanin" w:eastAsia="IRNazanin"/>
          <w:color w:val="111111"/>
          <w:sz w:val="28"/>
          <w:sz w:val="28"/>
          <w:szCs w:val="28"/>
          <w:rtl w:val="true"/>
          <w:lang w:bidi="fa-IR"/>
        </w:rPr>
        <w:t xml:space="preserve">الصلاة في الفراء اليماني وفيما صنع في أرض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فيها غير أهل الإسلام؟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الغالب عليها المسلمون فلا بأس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بمفهوم الشرط على ثبوت البأس إذا لم تكن الغلبة للمسلمين في تلك الأرض أو ذلك البلد ، ولو كان ذو اليد مشكوك الكفر فضلا عن أن يكون معلوم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بأنّ الرواية في مقام بيان المراد من سوق الإسلام وأرضهم ، وأنّ المدار في كون السوق سوق الإسلام هو أن يكون إمّا جميعهم مسلمين أو غالبهم ، فإذا لم يكن كذلك فليس أمارة على التذكية والحلية ، فقهرا يكون فيه البأس بحكم أصالة الحرمة في اللحوم ما لم تكن امارة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لجريان استصحاب عدم التذكية بدون أن يكون حاكم عليه في البين ، فلا ربط لها بأماريّة يد الكافر على الميتيّة أصلا ، ولا بأماريّة سوقهم وأرضهم ، كما أنّ الظاهر من صاحب الجواهر قدس سره استفادة ذلك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علیه السلام حكم بالبأس عند عدم غلبة المسلمين ، وعند عدم تحقّق سوقهم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من جهة أنّ حكمه علیه السلام بالبأس في الصورة المذكورة أعمّ من كون سوقهم أمارة على العدم ومن عدم كونه أمارة ، فكيف يستكشف منه الملزوم الخاص؟</w:t>
      </w:r>
    </w:p>
    <w:p>
      <w:pPr>
        <w:pStyle w:val="BookText"/>
        <w:rPr/>
      </w:pPr>
      <w:r>
        <w:rPr>
          <w:rFonts w:ascii="Amiri" w:hAnsi="Amiri" w:eastAsia="Amiri" w:cs="Amiri"/>
          <w:color w:val="111111"/>
          <w:sz w:val="28"/>
          <w:sz w:val="28"/>
          <w:szCs w:val="28"/>
          <w:rtl w:val="true"/>
          <w:lang w:bidi="ar-SA"/>
        </w:rPr>
        <w:t>مضافا إلى أنّ إطلاق عدم الغلبة يشمل صورة تساويهما من حيث العدد ، فيكون في هذه الصورة أيضا بأس بحكم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حينئذ لعدّها من سوق الكفّار وأرضهم مع تساوي الطائفتين من حيث العدد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أيضا لذلك القول برواية إسماعيل بن موسى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جلود الفراء يشتريها الرجل في سوق من أسواق الجبل ، أيسأل عن ذكاته إذا كان البائع مسلما غير عارف؟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أنتم أن تسألوا عنه إذا </w:t>
      </w:r>
    </w:p>
    <w:p>
      <w:pPr>
        <w:pStyle w:val="BookText"/>
        <w:rPr/>
      </w:pPr>
      <w:r>
        <w:rPr>
          <w:rFonts w:ascii="Amiri" w:hAnsi="Amiri" w:eastAsia="Amiri" w:cs="Amiri"/>
          <w:color w:val="111111"/>
          <w:sz w:val="28"/>
          <w:sz w:val="28"/>
          <w:szCs w:val="28"/>
          <w:rtl w:val="true"/>
          <w:lang w:bidi="ar-SA"/>
        </w:rPr>
        <w:t xml:space="preserve">رأيتم المشركين يبيعون ذلك ، وإذا رأيتم يصلّون فيه فلا تسألوا عنه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بهذه الرواية هو أنّه علیه السلام أمر بالسؤال إذا كان البائع مسلما غير عارف بأنّ ما باعه ميتة أم لا ، وكان هناك في البلد والسوق مشركون يبيعون ذلك ، ومن المحتمل أن يكون هذا المسلم اشترى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السؤال هو أنّه لو تبيّن أنّ البائع الأوّل مشرك ، وهذا البائع الثاني المسلم اشترى من ذلك المشرك يجب الاجتناب عنه ، وإلاّ يلزم أن يكون الأمر بالسؤال لغوا ومعلوم أنّ معنى هذا أنّ يد الكافر أمارة عدم التذكية ؛ وتعارض يد المسلم التي هي أمارة التذكية وتكون مقدّمة عليها ، فيدلّ على اختصاص أماريّة يد المسلم على التذكية بما لا يعلم تقدّم يد الكافر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أنت خبير بأنّه لو كان الأمر كذلك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السؤال هو أنّه هل أمارة التذكية هاهنا موجودة أم لا؟ لأنّه على فرض سبق يد الكافر لا أماريّة لهذه اليد التي اشترى منها ، لا أنّ الحكمة وجدان الامارة على الميتيّة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داع كان على الفحص مع أنّ اليد يد مسلم ، ولم يعلم الانتقال إليها من يد الكافر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السؤال على رؤيته بيع المشركين لذلك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هذه الرواية أنّ يد المسلم وسوقهم أمارة إذا لم يكن هناك جماعة من الكفّار يتناولون بيعها وشرائها ، وإلاّ يجب السؤال إذا كان البائع المسلم غير عارف ، أمّا إذا رأيته يصلي فيه فلا يجب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الجواهر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w:t>
      </w:r>
    </w:p>
    <w:p>
      <w:pPr>
        <w:pStyle w:val="BookText"/>
        <w:rPr/>
      </w:pPr>
      <w:r>
        <w:rPr>
          <w:rFonts w:ascii="Amiri" w:hAnsi="Amiri" w:eastAsia="Amiri" w:cs="Amiri"/>
          <w:color w:val="111111"/>
          <w:sz w:val="28"/>
          <w:sz w:val="28"/>
          <w:szCs w:val="28"/>
          <w:rtl w:val="true"/>
          <w:lang w:bidi="ar-SA"/>
        </w:rPr>
        <w:t xml:space="preserve">من خبر إسحاق بن عمّار مع خبر إسماعيل يستفاد كون يد الكافر وأرضه أمارة على عدم التذكية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الاحتمالات في معنى الرواية ، لكنّه انصافا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في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الراوي سأل عن لزوم السؤال إذا كان البائع المسلم غير عارف ، وغير العارف يحتمل له معنيان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غير عارف بالولاية ، ثانيهما أنّه غير عارف بالأحكام ، والإمام علیه السلام يجيبه بأنّه يجب السؤال إذا كان البائع مشركا ، فكأنّه علیه السلام جعل حجيّة يد المسلم مفروغا عنه ، سواء أكان عارفا أو غير عارف ، وأنّه هناك لا يحتاج إلى السؤال عن البائع ، وأثبت السؤال في مورد آخر وهو كون البائع مشركا وكافرا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المعنى للرواية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السوق مع أنّه سوق المسلم كما أنّه المفروض في صدر الرواية ، حيث يقول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يشتريها الرجل في سوق من أسواق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أمارة على التذكية وحاكم على استصحاب عدم التذكية ، فلا يجب السؤال ومع ذلك أمر علیه السلام بلزوم السؤال إذا كان البائع مشركا ، وليس هذا إلاّ من جهة أماريّة يد الكافر على عدم التذكية ، وتقديمها على سوق المسلم عند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أنت خبير بأنّه لو كان الأمر كذلك فلا معنى لوجوب السؤال بعد قيام الحجّة على العدم ، فنفس الأمر بالسؤال يبطل هذا الاحتمال ، مضافا إلى أنّه لا وجه لتوهّم أماريّة سوق المسلم مع أنّ اليد يد كافر ، بل أماريّتها في مورد كون اليد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يمكن أن يستدلّ بهذه الرواية عليه بناء على هذا الاحتمال أمران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اليد ولو كان من غير العارف بالولاية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إخبار ذي اليد في ثبوت التذكية وآثارها ولو كان ذو اليد كافرا ؛ وذلك لأنّه لو لا حجيّته يلزم أن يكون السؤال لغوا ، بل يمكن أن يدّعي الملازمة العرفيّة بين وجوب السؤال وحجيّة قوله خصوصا وأنّ الوجوب وجوب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تبيّن أنّه لو كان هناك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للمسلم ، والأخرى للكافر على مشكوك التذكية ، فبناء على أنّ يد الكافر أمارة على عدم التذكية تتعارض اليدان ، وبعد التساقط يرجع إلى استصحاب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المختار فيحكم على طبق يد المسلم ولا تعارض أصلا ، فتكون يد المسلم حاكمة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يقبل قول ذي اليد في الطهارة والنجاسة أم لا؟ المشهور هو القبول خصوصا بين المتأخّرين ، بل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الاتّفاق عليه ، ولذلك استدل عليه بعضهم بالإجماع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حال الإجماع في أمثال هذه المقامات ممّا يكون مستند المجمعين معلوما ، وهو تارة سيرة المتشرّعة كما في لسان بعض ، وأخرى أخبار ذكروها في هذا الباب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عمدة المستند في هذا الباب هي الأخبار ، كصحيح معاوية بن عمّار ، عن الرجل من أهل المعرفة بالحقّ يأتيني بالبختج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على الثلث وأنا أعرفه أنّه يشربه على النصف ، فاشربه بقوله وهو يشربه على النصف؟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غير أهل المعرفة ممّن لا نعرفه أنّه يشربه على الثلث ولا يستحلّه على النصف يخبر أنّ عنده بختجا على الثلث قد ذهب ثلثاه وبقي ثلثه يشرب منه؟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ظاهر هذه الرواية هو حجيّة إخبار ذي اليد </w:t>
      </w:r>
    </w:p>
    <w:p>
      <w:pPr>
        <w:pStyle w:val="BookText"/>
        <w:rPr/>
      </w:pPr>
      <w:r>
        <w:rPr>
          <w:rFonts w:ascii="IRNazanin" w:hAnsi="IRNazanin" w:eastAsia="IRNazanin"/>
          <w:color w:val="111111"/>
          <w:sz w:val="28"/>
          <w:sz w:val="28"/>
          <w:szCs w:val="28"/>
          <w:rtl w:val="true"/>
          <w:lang w:bidi="fa-IR"/>
        </w:rPr>
        <w:t xml:space="preserve">ولو كان من غير أهل المعرفة إذا لم يكن في البين ما يوهن صحّة إخباره ، ولا يعارضها ما في صدر الرواية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شربه على النصف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مفروض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إخباره عن الحجيّة والاعتبار ، ولا يدلّ على أنّ إخباره من حيث أنّه إخبار ذي اليد ليس بحجّة حتّى يكون منافيا للذيل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صحيح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يخضب الإناء وقال صاحبه قد ذهب ثلثاه وبقي ثلثه فاشربه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يحتاج إلى ضمّ أمارة أخرى إلى الأخبار حتّى تكون حجّة وهي كونه بحيث يخضب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التقييد أيضا يرجع إلى ما ذكرنا في صحيح معاوية بن عمّار من عدم كون موهن لإخباره ، ولا شكّ في أنّ عدم خضبه للإناء موهن لإخباره بذهاب الثلاثين ؛ لوجود ملازمة عاديّة بين ذهاب الثلاثين وبين خضبه للإناء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يدلّ موثّق عمّار فيمن يأتي بالشراب ويقول هو مطبوخ على الثلث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مسلما ورعا مؤمنا فلا بأس أن يشرب </w:t>
      </w:r>
      <w:r>
        <w:rPr>
          <w:rFonts w:eastAsia="IRNazanin" w:cs="IRNazanin"/>
          <w:color w:val="111111"/>
          <w:sz w:val="28"/>
          <w:szCs w:val="28"/>
          <w:rtl w:val="true"/>
          <w:lang w:bidi="fa-IR"/>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صحيح ابن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إلاّ أن يكون مسلما عارفا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الاعتبار بما إذا كان ذو اليد من أهل الإيمان ، بل الأوّل منهما زائدا على ذلك بما إذا كان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الصحيحة صريحة ونص في اعتبار قول من ليس من أهل المعرفة فلا مناص إلاّ من حمل هاتين الروايتين على كراهة تصديقه والعمل على طبق إخباره فيما إذا لم يكن ذو اليد مؤمنا ورعا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دلالة هذه الأخبار على حجيّة إخبار ذي اليد في الطهارة والنجاسة </w:t>
      </w:r>
    </w:p>
    <w:p>
      <w:pPr>
        <w:pStyle w:val="BookText"/>
        <w:rPr/>
      </w:pPr>
      <w:r>
        <w:rPr>
          <w:rFonts w:ascii="Amiri" w:hAnsi="Amiri" w:eastAsia="Amiri" w:cs="Amiri"/>
          <w:color w:val="111111"/>
          <w:sz w:val="28"/>
          <w:sz w:val="28"/>
          <w:szCs w:val="28"/>
          <w:rtl w:val="true"/>
          <w:lang w:bidi="ar-SA"/>
        </w:rPr>
        <w:t>مبني على نجاسة العصير بعد الغليان وقبل ذهاب الثلاثين ، وإلاّ فلا يدلّ إلاّ على حجيّة إخباره بالنسبة إلى الحليّة ، لا بالنسبة إلى الطهارة التي هي محلّ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الذي ذكرنا من الأخبار في حجيّة قول ذي اليد بالنسبة إلى طهارة ما في يده ، مضافا إلى ما ذكرناه في خبر إسماعيل بن موسى عن أبيه ، سألت أبا الحسن علیه السلام عن جلود الفراء يشتريها الرجل من سوق من أسواق الجبل ، أيسأل عن ذكاته إذا كان البائع مسلما غير عارف؟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أنتم أن تسألوا عنه إذا رأيتم المشركين يبيعون ذلك </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ربما يدلّ حجيّة إخبار ذي اليد ولو كان كافرا ، فضلا عن أن يكون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اعتبار إخبار ذي اليد بالسيرة العمليّة من المسلمين المتديّنين الملتزمين بالشريعة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العوام الذين لا يبالون بمخالفة الشريعة والدين ويتّبعون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المتديّنين إذا أخبر ذو اليد بطهارة طعام يأكلونه ولو كان مستصحب النجاسة ، وكذلك يجتنبون عن أكله بعد إخباره بالنجاسة ولو كان مستصحب الطهارة ، أو مجرى قاعدة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مثل هذه السيرة والبناء العملي من المتديّنين بما هم متديّنون كاشفة عن الحكم الشرعي ورضاء صاحب الشريعة إذا علم استمرارها إلى زمان المعصوم علیه السلام ، ومن المستبعد جدّا استقرار سيرتهم بدون أخذ ذلك منهم علیهم السلام ، وعلى فرض وقوع ذلك يجب عليه الردع إظهارا للحقّ وإزاحة للباطل ، وحيث لا ردع في المقام فتدلّ على اعتباره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ذي اليد وإقراره لأحد المتنازعين بحيث يجعله المنكر كنفس ذي اليد ويجعل الطرف الآخر مدّعيا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الحكم مسلّم بين الفقهاء ، وإنّما الكلام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القاعدة المعروفة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 الغاصب أو غيره ممّن يكون المال بيده لشخص آخر فحيث أنّ هذا الإقرار عليه ، أنفذه الشارع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مفاد هذه القاعدة ليس إلاّ نفوذ الإقرار على نفس المقرّ لا على غيره ، فإذا أقرّ ذو اليد لشخص بما في يده فهذا الإقرار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نفي كون المال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عليه ونافذ ، ويؤخذ المال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إثبات للمقرّ له ، وهذه ليست عليه ، بل على ذلك الطرف الآخر فلا يمكن إنفاذها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الظرف لو كان متعلّقا بالإقرار يكون معنى القاعدة أنّ الإقرار الذي صدر من المقرّ وكان عليه فهو جائز ونافذ مطلقا ، سواء أكان بالنسبة إلى الغير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أقرّ ذو اليد بأنّ ما في يده ملك لفلان الذي هو أحد المتنازعين ، فهذا الإقرار نافذ على ذلك الطرف الآخر ولو كان عليه ، لا له ؛ لأنّه إقرار على المقرّ فيكون نافذا وجائزا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هذا الكلام أنّ الظرف متعلّق بجائز لا بالإقرار ، ووجه تقديمه عليه إفادة الحصر ، لأنّ تقديم ما هو حقّه التأخير يفيد الحصر ، بمعنى أنّ نفوذ إقرار العقلاء وجوازه يكون على أنفسهم لا على غيرهم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يكون متعلّقا بالإقرار لا شكّ في أنّه يضيق الموضوع ويخصّصه ، فيكون حكم الشارع بالنفوذ في إحدى الحصّتين من الإقرار لا على الطبيعة المطلقة ، فتكون النتيجة أنّ الإقرار الذي على المقرّ بما أنّه عليه نافذ وجائز ، فحينئذ إذا كان في الإقرار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على المقرّ وجهة أخرى ليس عليه ، فالذي يكون نافذا هي الجهة الأولى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العاقل لا يقرّ على ضرر نفسه بلا جهة وكذبا ، فإذا أقرّ </w:t>
      </w:r>
    </w:p>
    <w:p>
      <w:pPr>
        <w:pStyle w:val="BookText"/>
        <w:rPr/>
      </w:pPr>
      <w:r>
        <w:rPr>
          <w:rFonts w:ascii="Amiri" w:hAnsi="Amiri" w:eastAsia="Amiri" w:cs="Amiri"/>
          <w:color w:val="111111"/>
          <w:sz w:val="28"/>
          <w:sz w:val="28"/>
          <w:szCs w:val="28"/>
          <w:rtl w:val="true"/>
          <w:lang w:bidi="ar-SA"/>
        </w:rPr>
        <w:t>كذلك لا بدّ وأن يكون بداعي بيان الواقع وإظهار الحقّ هذا بالنسبة إلى الجهة التي عليه واضح ، وأمّا بالنسبة إلى الجهة التي ليست عليه ربما يكون الإقرار لدواعي عقلائيّة غير بيان الواقع والإخبار عنه ، فليس في الإقرار أماريّة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الإقرار لا يطلق عرفا إلاّ على ما يكون على المقرّ ، وأمّا الإخبار الذي ليس على المقرّ سواء أكان له أو لم يكن له ولا عليه لا يسمّى إقرارا ، فبناء على هذا لا يبقى مجال لإرجاع الظرف إلى الإقرار ؛ لأنّه مأخوذ في ماهيّته فيكون التقييد به من قبيل تقييد الشي‌ء بما هو ذاتي له ، كتقييد الإنسان مثلا بكونه ناطقا فلا مناص إلاّ عن تعلّقه بجائز لا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ذا اليد مالك لأن يملك هذا المال الذي في يده للمقرّ له ، ببيع أو صلح أو هبة أو نحو ذلك ، فيملك الإقرار بأنّه له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مغالطة واضحة لأنّه فرق واضح بين أن يقرّ بتمليكه إيّاه ، وبين أن يعترف أنّه له ، والذي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هو تمليكه إيّاه ويكون مستوليا عليه ، لا على أنّ هذا المال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اليد أمارة على أنّ هذا الذي في يده له بالدلالة المطابقيّة ، وأيضا أمارة على نفي كونه لغيره بالدلالة الالتزاميّة ، وأماريّتها تسقط بالنسبة إلى المدلول المطابقي إذا أقرّ لشخص آخر ، وكذا تسقط أماريّتها على نفي الملكية للمقرّ له بسبب إقراره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ما عدا هذين فأماريّتها باقية على حالها ، فإذا أقرّ ذو اليد لأحد المتنازعين المدّعيين لما في يده يسقط اعتبار اليد بالنسبة إلى نفسه والمقرّ له بواسطة إقراره ؛ لأنّ بناء العقلاء على أماريّة اليد فيما إذا لم يكن إقرار من ذي اليد على خلاف أماريّة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غيرهما تبقى أماريّته على النفي ، فالنتيجة قيام الحجّة على نفي الملكيّة عن ذي اليد وعن غيره ما عدا المقرّ له ، ومعلوم أنّ المال لا يبقى </w:t>
      </w:r>
    </w:p>
    <w:p>
      <w:pPr>
        <w:pStyle w:val="BookText"/>
        <w:rPr/>
      </w:pPr>
      <w:r>
        <w:rPr>
          <w:rFonts w:ascii="Amiri" w:hAnsi="Amiri" w:eastAsia="Amiri" w:cs="Amiri"/>
          <w:color w:val="111111"/>
          <w:sz w:val="28"/>
          <w:sz w:val="28"/>
          <w:szCs w:val="28"/>
          <w:rtl w:val="true"/>
          <w:lang w:bidi="ar-SA"/>
        </w:rPr>
        <w:t>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إمّا للمقرّ له أو لغيره يقينا ، فإذا ثبت بواسطة إقرار ذي اليد أنّه ليس لغير المقرّ له فلا بدّ وأن يكون له ، فيكون هو المنكر وطرفه المدّعي وهو المدّعى في المقام ، وكون المقرّ له هو المنكر وطرفه المدعي يكون هكذا بناء على ما هو التحقيق من أنّ المدّعي من يكون قوله مخالفا للحجّة الفعليّة ، والمنكر من يكون قوله موافقا للحجّة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أستاذنا المحقق العراقي قدس سره وهو وإن كان في غاية اللطافة والدقة والمتانة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اليد على نفي الملكيّة عمّن عدا ذي اليد كان من باب دلالة الالتزام ؛ لأنّ مدلولها ابتداء وبالمطابقة ملكيّة ما في اليد لذيها ، ولازم كونه ملكا لذي اليد نفيه عن غيره أيّ شخص كان ، فإذا بطل أماريّتها بالنسبة إلى الملزوم والمعنى المطابقي لا يبقى مجال لدلالتها على المعنى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 بالخبرين المتعارضين في غير محلّه لأنّه هناك في الحقيقة أخبار متعدّدة ، فكما أخبر بالمعنى المطابقي كذلك أخبر بالمعنى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 جميعا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طوليّة في البين فبين الموضوعات لدليل حجيّة الأخبار ، فبعد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طول إخبار الملزوم وبعد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مشمولا لدليل الحجيّة في عرض مشموليّة الإخبار بالملزوم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ما نحن فيه فلا يجري هذا الكلام أصلا ؛ لأنّه ليس هنا أمارات متعدّدة طوليّة حتّى تكون مشمولة لدليل الحجيّة في عرض واحد ، ويكون سقوط حجيّة بعضها غير مضرّ بحجيّة البعض الآخر ، بل ليس هاهنا إلاّ أمارة واحدة ، وهي اليد التي تكون أمارة على ملكية ما فيها لذيها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حيث أنّ مثبتات الأمارات حجّية فكما أنّ اليد تدلّ على ملكيّة ما فيها لذيها ، كذلك تدلّ بالالتزام على نفيها عن غير ذي اليد ، فإذا بطلت هذه الدلالة المطابقيّة بإقراره لغيره لا يبقى مجال للدلالة التابعة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باب تعارض الخبرين ، وحجيّتهما في نفي الثالث بعد سقوط كليهما عن الحجيّة في مدلولهما المطابقي بواسطة المعارضة؟</w:t>
      </w:r>
    </w:p>
    <w:p>
      <w:pPr>
        <w:pStyle w:val="BookText"/>
        <w:rPr/>
      </w:pPr>
      <w:r>
        <w:rPr>
          <w:rFonts w:ascii="Amiri" w:hAnsi="Amiri" w:eastAsia="Amiri" w:cs="Amiri"/>
          <w:color w:val="111111"/>
          <w:sz w:val="28"/>
          <w:sz w:val="28"/>
          <w:szCs w:val="28"/>
          <w:rtl w:val="true"/>
          <w:lang w:bidi="ar-SA"/>
        </w:rPr>
        <w:t>وحاصل الفرق بين المقامين أنّ العامّ المشمول لحكم من الأحكام الانحلاليّة لو كان بعض أفراده علّة لوجود فرد آخر من ذلك العامّ ؛ فشمول الحكم لذلك الفرد المعلول في عرض شموله لعلّته ، ولذلك لو خصّص العامّ بالنسبة إلى العلّة لا ينتفي الحكم عن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انتفى ذات العلّة ينتفي ذات المعلول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وفرضنا أنّ وجود زيد العالم علّة لوجود عمرو العالم ، وأخرج زيد العالم عن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بالتخصيص ، فخروجه غير مضرّ بشمول عموم الحكم لعمرو العالم الذي هو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الخبرين المتعارضين من هذا القبيل ؛ لأنّ الخبرين علّة لوجود خبر آخر الذي هو لازم لهما ، وهو الاخبار بنفي الثالث ؛ فسقوطهما عن الحجيّة بواسطة المعارضة لا يوجب سقوط الخبر المعلول لهما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تبعيد للمسافة ، مضافا إلى أنّها دعا وبلا بيّنة ولا برهان ؛ لأنّ أماريّة اليد من باب بناء العقلاء ، فإن كان بناء العقلاء في مورد إقرار ذي اليد لأحد المتنازعين على إثبات الملكيّة له ، فلا يحتاج إلى هذه الدعاوي من سقوط اليد عن الحجيّة في مدلولها المطابقي بواسطة ذلك الإقرار ، وبقاء حجيّتها بالنسبة إلى مدلولها الالتزامي ، أي نفي الملكيّة عن غير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مثل هذا البناء من طرفهم فلا يفيد هذه الدعاوي ، بل تكون دعاوي بلا دليل على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هذا الفتوى المسلّمة بين الأصحاب هو بناء العقلاء على أنّه لو أقرّ ذو اليد على أنّ هذا المال لزيد مثلا يكون له ، سواء أكان منازع ومن يدّعيه في مقابله أم لم يكن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اعترف ذو اليد لشخص بتمام ما في يده ، ثمَّ اعترف لشخص آخر أيضا كذلك ، والمفروض أنّ ما في يده عين شخصي وقع الإقرار عليها من ذي </w:t>
      </w:r>
    </w:p>
    <w:p>
      <w:pPr>
        <w:pStyle w:val="BookText"/>
        <w:rPr/>
      </w:pPr>
      <w:r>
        <w:rPr>
          <w:rFonts w:ascii="Amiri" w:hAnsi="Amiri" w:eastAsia="Amiri" w:cs="Amiri"/>
          <w:color w:val="111111"/>
          <w:sz w:val="28"/>
          <w:sz w:val="28"/>
          <w:szCs w:val="28"/>
          <w:rtl w:val="true"/>
          <w:lang w:bidi="ar-SA"/>
        </w:rPr>
        <w:t xml:space="preserve">اليد مرّتين لشخصين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الإقرار الثاني بعد الإقرار الأوّل وفي كلام منفصل عن الإقرار الأوّل بمعنى أنّ الإقرار الأوّل تمَّ وخلص ، ثمَّ بعد زمان وفي كلام آخر بل وفي مجلس آخر أقر لشخص آخر بعين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يعقب الإقرار الأوّل بالإقرار الثاني في كلام واحد وبصورة الإضراب ، كما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العين الشخصي لزيد بل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الأولى فالظاهر عدم نفوذ الإقرار الثاني ؛ لأنه وقع على مال الغير ، ولا تجري فيه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الإقرار الأوّل صار ملكا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 له فالإقرار الثاني إقرار من الأجنبي بالنسبة إلى مال ، فلا أثر لهذا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 لأنّ الأجنبي إذا أقرّ بما هو تحت يد شخص لشخص آخر لا يشمله قاعدة الإقرار ؛ لأنّه ليس عليه بل على غيره الذي هو ذو اليد ، بخلاف ما نحن فيه ؛ لأنّ إقراره الثاني أيضا يكون على ضرره ، من جهة دلالته بالالتزام على أنّه أتلف على المقرّ له الثاني هذا المال بإقراره الأوّل ، فتشمله قاعدة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لا يمكن أخذه بإقراره بالنسبة إلى نفس العين ، لأنّه من هذه الجهة ليس عليه بل على المقرّ له الأوّل ، فليس بنافذ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مثله إن كان مثليّا ، وقيمته 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إقراره عليه ويؤخذ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أنّه يغرم للثاني بمثله أو بقيمته لأجل وقوع يده على مال الغير ثمَّ إتلافه عليه بإقراره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في الصورة الثانية أيضا يعطي العين للمقرّ له الأوّل ، ويغرم للثاني بالمثل القيمة بطريق أولى كما هو المشهور ، بل ادّعى جماعة أنّه لا خلاف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بالإضراب عدل عن إقراره الأوّل ولا يسمع منه ؛ لأنّه إنكار بعد </w:t>
      </w:r>
    </w:p>
    <w:p>
      <w:pPr>
        <w:pStyle w:val="BookText"/>
        <w:rPr/>
      </w:pPr>
      <w:r>
        <w:rPr>
          <w:rFonts w:ascii="Amiri" w:hAnsi="Amiri" w:eastAsia="Amiri" w:cs="Amiri"/>
          <w:color w:val="111111"/>
          <w:sz w:val="28"/>
          <w:sz w:val="28"/>
          <w:szCs w:val="28"/>
          <w:rtl w:val="true"/>
          <w:lang w:bidi="ar-SA"/>
        </w:rPr>
        <w:t>الإقرار ، فلا بدّ من ترتيب آثار الإقرار الأوّل بحكم قاعدة الإقرار ، ويعطي العين للمقرّ له الأوّل ، والغرامة بالمثل أو القيمة للثاني ؛ لما ذكرنا في الصورة الأولى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الأولويّة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هناك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إخراج المال عن تحت يده بإقراره للمقرّ له الأوّل في كلام منفصل عن هذا الإقرار الثاني ، يكون الإقرار الثاني من قبيل إقرار الأجنبي ولغوا ، أمّا ها هنا فلا يمكن أن يقال مثل هذه المقالة ؛ لأنّ المفروض أنّ المال بعد في يده ، والكلام متّصل وله أن يلحق بكلامه ما شاء من إضراب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الدروس </w:t>
      </w:r>
      <w:r>
        <w:rPr>
          <w:rStyle w:val="FootnoteAnchor"/>
          <w:rtl w:val="true"/>
        </w:rPr>
        <w:footnoteReference w:id="175"/>
      </w:r>
      <w:r>
        <w:rPr>
          <w:rFonts w:ascii="Amiri" w:hAnsi="Amiri" w:eastAsia="Amiri" w:cs="Amiri"/>
          <w:color w:val="111111"/>
          <w:sz w:val="28"/>
          <w:sz w:val="28"/>
          <w:szCs w:val="28"/>
          <w:rtl w:val="true"/>
          <w:lang w:bidi="ar-SA"/>
        </w:rPr>
        <w:t xml:space="preserve">من العلم بانحصار الحقّ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 له الأوّل والثاني ، وحيث أنّ ذا اليد أقرّ لكلّ واحد منهما فأسقط يده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مسألة التداعي والتحالف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أورد عليه صاحب الجواهر قدس سره بأنّ احتمال السهو وغيره لا ينافي التعبّد بظاهر قوله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فيكون كلا الإقرارين نافذين ، غاية الأمر يعطي العين لأحدهما أي الأوّل لما ذكرنا ، والمثل أو القيمة للثاني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أنت خبير بأنّه لو لم يكن إجماع في البين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هذين الإقرارين حال سائر الأمارتين المتعارضتين ، فيتساقطان للعلم بكذب أحدهما ، اللّهمّ إلاّ أن يقال في خصوص الإقرار بالسببيّة والموضوعية ، وهو 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كما قال في الدروس هو العلم بانحصار الحقّ فيهما بعد تساقط الإقرارين ، للعلم بكذب أحدهما وسقوط اليد عن الاعتبار ، فيكون من باب التداعي والنتيجة التحالف والتنصيف ، إلاّ أن نقول بالموضوعيّة في باب الإقرار ما لم يكن العلم التفصيلي </w:t>
      </w:r>
    </w:p>
    <w:p>
      <w:pPr>
        <w:pStyle w:val="BookText"/>
        <w:rPr/>
      </w:pPr>
      <w:r>
        <w:rPr>
          <w:rFonts w:ascii="Amiri" w:hAnsi="Amiri" w:eastAsia="Amiri" w:cs="Amiri"/>
          <w:color w:val="111111"/>
          <w:sz w:val="28"/>
          <w:sz w:val="28"/>
          <w:szCs w:val="28"/>
          <w:rtl w:val="true"/>
          <w:lang w:bidi="ar-SA"/>
        </w:rPr>
        <w:t>على خلاف شخص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الإجمالي بكذب أحد الإقرارين لا ينافي مع الأخذ 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يخلو 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فروع هذه المسألة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لزيد بل لعمرو بل لخالد ، يعطي العين لزيد والقيمة أو المثل لعمرو واخرى كذلك 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بل لعمرو وخالد ، يعطي العين لزيد والقيمة أو المثل لهما أي لعمرو وخالد بحيث يشتركان في تلك القيمة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وعمرو بل لخالد ، يعطي العين لزيد وعمرو ويشتركان فيها ، والقيمة أو المثل لخالد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وعمرو وبل لخالد ، قال صاحب الجواهر قدس سره يعطي لخالد الثلث ويحتمل النصف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 والعطف يقتضي التشريك مع أحدهما ، والأوّل ، أظهر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أفاده كلام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أقرّ أوّلا بأنّي غصبته من زيد ، ثمَّ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عمرو في كلام متّصل ، كان بصورة الإضراب أم لا ، فالمشهور لم يفرّقوا بين هذه الصورة وبين الصورة السابقة ، أي فيما لم تكن بصورة الغصبيّة ، بل كان الإقرار أنّه له ، وحكموا في كلّ واحدة من الصورتين بإعطاء العين للمقرّ له الأوّل وقيمتها أو مثلها للثاني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استشكل العلاّمة قدس سره في القواعد على هذا الحكم بأنّه فرق بينهما بأنّ الغصب لازم أعمّ بالنسبة إلى الملكيّة ؛ لأنّه يمكن أن يكون من المالك ويمكن أن يكون ممّن عنده أمانة من قبل المالك ، كالمستأجر والمستعير والودعي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والإقرار باللازم الأعمّ لا يثبت الملزوم الخاصّ ، فليس إقرارا بالملكيّة حتّى يترتّب عليه آثارها ، من إعطاء العين للأوّل والغرامة للثاني ، نعم في الإقرار الأوّل حيث أنّه لا معارض ولا </w:t>
      </w:r>
    </w:p>
    <w:p>
      <w:pPr>
        <w:pStyle w:val="BookText"/>
        <w:rPr/>
      </w:pPr>
      <w:r>
        <w:rPr>
          <w:rFonts w:ascii="Amiri" w:hAnsi="Amiri" w:eastAsia="Amiri" w:cs="Amiri"/>
          <w:color w:val="111111"/>
          <w:sz w:val="28"/>
          <w:sz w:val="28"/>
          <w:szCs w:val="28"/>
          <w:rtl w:val="true"/>
          <w:lang w:bidi="ar-SA"/>
        </w:rPr>
        <w:t xml:space="preserve">منافي له فيلزم بإقراره ويعطي العين للمقرّ له وأمّا الإقرار الثاني حيث أنّه بعد إتلاف العين بالإقرار الأوّل لو كان إقرارا بالملكيّة فحينئذ حيث أنّ مرجعه إلى الإقرار بإتلاف مال الغير فيضمن ، أمّا لو لم يكن إقرارا بالملكيّة فلما ذا يضمن؟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عليه صاحب الجواهر قدس سره بأنّ مثل هذا الإقرار لو يثبت الملكيّة فلا بدّ من إعطاء الغرامة للثاني ، وإلاّ لا وجه لإعطاء العين للأوّل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أنت خبير بأنّ الفرق بينهما في غاية الوضوح ؛ لأنّه في الإقرار الأوّل كما بيّنّا لا يخلو الأمر إمّا يكون من المالك أو من المأذون من قبل المالك ، وعلى كلّ واحد من التقديرين يجب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الإقرار الثاني فلا أثر له إلى إعطاء الغرامة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البدل الواقعي في التلف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والحيلولة والغرامة والضمان لا معنى لهما لغير المالك ، والمفروض أنّه في الإقرار الثاني ما أقرّ بمالكيّة المقرّ له ، بل اللازم الأعمّ الذي هو الغصب ، فلا يثبت به الملزوم الخاصّ الذي هي الملكيّة ، فما ذكره العلاّمة قدس سره في القواعد في غاية الجودة والمتانة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الشهادة والحلف مستندا إلى اليد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نتكلّم في هذا الأمر باعتبار القواعد الأوّليّة ، وأخرى باعتبار الأخبار الواردة في هذا الباب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فحيث تقدّم منا في مبحث حجيّة القطع قيام الأمارات والأصول التنزيليّة مقام القطع الذي أخذ في الموضوع على نحو الطريقيّة ، وفي موضوع جواز الحلف ووجوب أداء الشهادة القطع مأخوذ على نحو الطريقيّة ، والكاشفيّة لا الصفتيّة ، بل قلنا إنّنا لم نجد في الشرعيّات موردا يكون القطع مأخوذا في موضوعه على نحو الصفتية ، وقد بيّنا أنّ اليد أمارة فيجوز الحلف والشهادة بالملكيّة مستندا إلى اليد التي هي من الأمارات ، هذا بحسب القواعد الأوّليّة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بحسب الأخبار الواردة في هذا المقام ، فمن جملة ما يدلّ على الجواز رواية حفص بن غياث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إذا رأيت شيئا في يد رجل أيجوز لي أن اشهد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في يده ولا أشهد أنّه له فلعلّه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أفيحلّ الشراء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لغيره ، فمن أين جائز لك أن تشتريه ويصير ملكا لك ثمَّ تقول بعد الملك هو لي وتحلف عليه؟ ولا يجوز أن تنسبه إلى من صار ملكه من قبله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يجز هذا لما قام للمسلمين سوق </w:t>
      </w:r>
      <w:r>
        <w:rPr>
          <w:rFonts w:eastAsia="IRNazanin" w:cs="IRNazanin"/>
          <w:color w:val="111111"/>
          <w:sz w:val="28"/>
          <w:szCs w:val="28"/>
          <w:rtl w:val="true"/>
          <w:lang w:bidi="fa-IR"/>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هذه الرواية صريحة في جواز الشهادة مستندا إلى اليد ، بل وتدلّ على جواز الحلف أيضا مستندا إليها ، بل يستنكر عدم جواز الشهادة مستندا الى اليد ، وأنّه يلزم منه عدم قيام سوق للمسلمين واختلال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الرواية من ناحية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المشايخ ذكر أنّ كتاب حفص بن غياث القاضي الكوفي معتمد ولو هو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منجبر بالشهرة العظيمة ، حتّى ادّعى بعضهم الإجماع في المسألة ، وإن كان الاستدلال في مثل هذه المسألة التي لها مدارك من الروايات وغيرها بالإجماع 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هذا الإشكال على الإجماعات المنقولة في موارد متعدّدة ، وسائر في أغلب الإجماعات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بعض السادة قدس سره وجه آخر لجواز الشهادة مستندا إلى اليد ،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أمر ينتزعها العقلاء من الاستيلاء الخارجي لشخص على مال والشارع امضى هذه الطريقة ، ولا شكّ في أنّ الأمر الانتزاعي معلوميّة بمعلوميّة منشأ انتزاعه ، </w:t>
      </w:r>
    </w:p>
    <w:p>
      <w:pPr>
        <w:pStyle w:val="BookText"/>
        <w:rPr/>
      </w:pPr>
      <w:r>
        <w:rPr>
          <w:rFonts w:ascii="Amiri" w:hAnsi="Amiri" w:eastAsia="Amiri" w:cs="Amiri"/>
          <w:color w:val="111111"/>
          <w:sz w:val="28"/>
          <w:sz w:val="28"/>
          <w:szCs w:val="28"/>
          <w:rtl w:val="true"/>
          <w:lang w:bidi="ar-SA"/>
        </w:rPr>
        <w:t>فإذا كان منشأ انتزاعه من الأمور المحسوسة كما فيما نحن فيه ، فإنّ الاستيلاء الخارجي الذي هو سبب لانتزاع الملكيّة التي هي إضافة خاصّة بين المالك والمملوك أمر محسوس ، فإذا أدرك السبب حسّا يجوز أن يشهد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في سائر الموارد إذا أدرك بالحسّ آثار العدالة أو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الحالات والملكات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يشهد بهما بواسطة العلم بهذا الأثر المحسوس ، فليكن الأمر في الملكيّة ومنشأ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الاستيلاء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تنتزع عن إحاطة ذي اليد بالشي‌ء خارجا ، لأنّها عبارة عن إضافة اعتباريّة بين المالك والمملوك ، حاصلة عن استيلاء الشخص وإحاطته خارجا على شي‌ء قابل لأن يتملّك ، فإذا كان منشأ انتزاعه محسوسا ومشاهدا فقهرا يترتّب المنتزع على منشأ انتزاعه ، فيجوز الشهادة بمقتضى إحساسه ومشاهدته سبب ذلك الأمر الانتزاعي ، أي تلك الإضافة الاعتباريّة ، ضرورة معلوميّة الأمر الانتزاعي بمعلوميّة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يجوز الشهادة بالملك المطلق ، بمشاهدة أسبابه الشرعيّة كالبيع ونحوه ، مع أنّه من الممكن أن لا يكون ملكا للبائع ، فلا يكون ملكا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السبب في الجميع محسوس ومعلوم بالمشاهدة ، وترتّب المسبّب على السبب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ذي اليد موجب لاختصاص المحاط به فيما إذا لم تكن تلك الإحاطة واقعة على مال الغير ، وإلاّ إذا وقعت على مال الغير فلا يكون سببا لانتزاع الملكيّة ، وذلك الاختصاص الخاصّ ، بل تكون الإحاطة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غاصبا أو كونه أمينا من قبل اللّه أو من قبل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مدفوع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ما أفاده قدس سره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اليد ليست سببا للملكية ، لا عند العرف ، ولا عند الشرع</w:t>
      </w:r>
      <w:r>
        <w:rPr>
          <w:rFonts w:eastAsia="Amiri" w:cs="Amiri" w:ascii="Amiri" w:hAnsi="Amiri"/>
          <w:color w:val="111111"/>
          <w:sz w:val="28"/>
          <w:szCs w:val="28"/>
          <w:rtl w:val="true"/>
          <w:lang w:bidi="ar-SA"/>
        </w:rPr>
        <w:t xml:space="preserve">. </w:t>
      </w:r>
      <w:bookmarkStart w:id="175" w:name="pg15902_182355"/>
    </w:p>
    <w:p>
      <w:pPr>
        <w:pStyle w:val="BookText"/>
        <w:rPr/>
      </w:pPr>
      <w:bookmarkEnd w:id="175"/>
      <w:r>
        <w:rPr>
          <w:rFonts w:ascii="Amiri" w:hAnsi="Amiri" w:eastAsia="Amiri" w:cs="Amiri"/>
          <w:color w:val="111111"/>
          <w:sz w:val="28"/>
          <w:sz w:val="28"/>
          <w:szCs w:val="28"/>
          <w:rtl w:val="true"/>
          <w:lang w:bidi="ar-SA"/>
        </w:rPr>
        <w:t>نعم هو سبب إثباتي إذا قلنا بحجيّتها وأماريّتها ، وهذا المعنى موجود في كلّ أمارة عند العقلاء أو الشرع ، ولا اختصاص له باليد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مجعولة في عالم الاعتبار بجعل إمضائي أو إحداثي من قبل الشارع حسب اختلاف الموارد ، فالسبب الموجد لها هو الشارع ، أو العرف والعقلاء وهذا المعنى سار في كلّ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يطلق السبب والشرط عند الفقهاء مسامحة على بعض قيود الموضوع ، أو على تمام ما هو الموضوع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سبب أو شرط لوجوب الحجّ ، والعقد الكذائي سبب للملكيّة أو الزوجية ، والإفطار أو الظهار سبب لوجوب الكفّارة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مع أنّه أيضا ليس صحيحا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الأمور إمّا من قيود موضوع ذلك الحكم الذي يسمّى بالمسبّب ، أو تمام موضوعه ، وليست من باب الأسباب والمسبّبات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أيضا بمقامنا ؛ لأنّ اليد ليست من قيود موضوع الملكيّة ولا تمام موضوعها ، بل هي سبب إثباتي لها بواسطة الغلبة عند العرف والعقلاء ، والشارع أمضى طريقيّته ، وأين هذا المعنى من كونها موجبة لانتزاع الملكيّة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جواز الشهادة والحلف مستندا إلى اليد ، لقيامها مقام العلم الذي أخذ في الموضوع على نحو الطريقيّة ولا فرق بين اليد وسائر الأمارات من هذه الجهة ، لا لما ذكره من أنّ اليد منشأ انتزاع الملكيّة فاحساسها كأنّه إحساس الملكيّة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5519182_2142443653"/>
      <w:bookmarkStart w:id="177" w:name="_Toc57"/>
      <w:bookmarkEnd w:id="176"/>
      <w:r>
        <w:rPr>
          <w:rtl w:val="true"/>
        </w:rPr>
        <w:t xml:space="preserve">الجهة السادسة </w:t>
      </w:r>
      <w:r>
        <w:rPr>
          <w:rtl w:val="true"/>
        </w:rPr>
        <w:t xml:space="preserve">: </w:t>
      </w:r>
      <w:r>
        <w:rPr>
          <w:rtl w:val="true"/>
        </w:rPr>
        <w:t>في تعارضها مع الأمارات والأصول</w:t>
      </w:r>
      <w:bookmarkEnd w:id="17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تقدّم أنّها أمارة ، وأيضا تقدّم أنّ كلّ أمارة مقدّم على كلّ أصل من </w:t>
      </w:r>
    </w:p>
    <w:p>
      <w:pPr>
        <w:pStyle w:val="BookText"/>
        <w:rPr/>
      </w:pPr>
      <w:r>
        <w:rPr>
          <w:rFonts w:ascii="Amiri" w:hAnsi="Amiri" w:eastAsia="Amiri" w:cs="Amiri"/>
          <w:color w:val="111111"/>
          <w:sz w:val="28"/>
          <w:sz w:val="28"/>
          <w:szCs w:val="28"/>
          <w:rtl w:val="true"/>
          <w:lang w:bidi="ar-SA"/>
        </w:rPr>
        <w:t>الأصول بالحكومة ، وإن كانت الأمارة من أضعف الأمارات ، والأصل من أقوى الأصول وكان تنزيليّا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ما هو السرّ في ذلك وأنّه حيث أخذ الشكّ في موضوع كلّ أصل ولو كان محرزا وتنزيليّا مثل الاستصحاب ، وحجيّة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تتميم الكشف ، فلا محالة يرفع موضوع الأصل تعبّدا ، وهذا معنى الحكومة كما شرحناها في محلّها مفصلا ، </w:t>
      </w:r>
      <w:r>
        <w:rPr>
          <w:rStyle w:val="FootnoteAnchor"/>
          <w:rtl w:val="true"/>
        </w:rPr>
        <w:footnoteReference w:id="182"/>
      </w:r>
      <w:r>
        <w:rPr>
          <w:rFonts w:ascii="Amiri" w:hAnsi="Amiri" w:eastAsia="Amiri" w:cs="Amiri"/>
          <w:color w:val="111111"/>
          <w:sz w:val="28"/>
          <w:sz w:val="28"/>
          <w:szCs w:val="28"/>
          <w:rtl w:val="true"/>
          <w:lang w:bidi="ar-SA"/>
        </w:rPr>
        <w:t>فتقديم اليد على الأصول من جهة كونها أمارة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سائر الأمارات غير البيّنة والإقرار فلا بدّ وأن يلاحظ أوّلا أنّ أماريّتها عند العقلاء هل هي في ظرف عدم كون تلك الأمارات على خلافها أم لا؟</w:t>
      </w:r>
    </w:p>
    <w:p>
      <w:pPr>
        <w:pStyle w:val="BookText"/>
        <w:rPr/>
      </w:pPr>
      <w:r>
        <w:rPr>
          <w:rFonts w:ascii="Amiri" w:hAnsi="Amiri" w:eastAsia="Amiri" w:cs="Amiri"/>
          <w:color w:val="111111"/>
          <w:sz w:val="28"/>
          <w:sz w:val="28"/>
          <w:szCs w:val="28"/>
          <w:rtl w:val="true"/>
          <w:lang w:bidi="ar-SA"/>
        </w:rPr>
        <w:t>فان كانت مقيّدة بعدمها على خلافها فتسقط عن الأماريّة عند وجود تلك الأمارة الأخرى ، مثلا لو كان الشياع على وقفيّة دار أو دكّان أو محلّ آخر ، ولكن ذو اليد يدّعي الملكيّة ، فبناء على أماريّة الشياع فإن كانت أماريّة اليد على الملكيّة عند العقلاء مقيّدة بعدم الشياع على خلافه ، فقهرا تسقط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 فقهرا يتعارضان ويؤخذ بأقواهما كشفا ، وإلاّ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إقراره على خلاف مقتضى يده ، كما إذا أقرّ بأنّ هذا المال في يدي ليس لي ، أو أقرّ بأنّه لفلان ، فلا شكّ في أنّ إقراره على نفسه نافذ وتسقط يده عن الاعتبار بالنسبة إلى ملكيّة نفسه ، وقد تقدّم شطر من الكلام في هذا الباب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البيّنة فمن المقطوع تقدّم البيّنة على اليد ، بل حجيّة البيّنة في قبال ذي اليد خصوصا في باب الدعاوي من المسلّمات عند جميع المسلمين ؛ لقول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 وعمله صلی اللّه علیه و آله ، وعمل أصحابه ، وعمل </w:t>
      </w:r>
      <w:bookmarkStart w:id="178" w:name="pg15902_182357"/>
    </w:p>
    <w:p>
      <w:pPr>
        <w:pStyle w:val="BookText"/>
        <w:rPr/>
      </w:pPr>
      <w:bookmarkEnd w:id="178"/>
      <w:r>
        <w:rPr>
          <w:rFonts w:ascii="Amiri" w:hAnsi="Amiri" w:eastAsia="Amiri" w:cs="Amiri"/>
          <w:color w:val="111111"/>
          <w:sz w:val="28"/>
          <w:sz w:val="28"/>
          <w:szCs w:val="28"/>
          <w:rtl w:val="true"/>
          <w:lang w:bidi="ar-SA"/>
        </w:rPr>
        <w:t>جميع المسلمين على هذا من أقدم العصور</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519184_2142443653"/>
      <w:bookmarkStart w:id="180" w:name="_Toc58"/>
      <w:bookmarkEnd w:id="179"/>
      <w:r>
        <w:rPr>
          <w:rtl w:val="true"/>
        </w:rPr>
        <w:t>الجهة السابعة</w:t>
      </w:r>
      <w:bookmarkEnd w:id="180"/>
    </w:p>
    <w:p>
      <w:pPr>
        <w:pStyle w:val="BookText"/>
        <w:rPr/>
      </w:pPr>
      <w:r>
        <w:rPr>
          <w:rFonts w:ascii="Amiri" w:hAnsi="Amiri" w:eastAsia="Amiri" w:cs="Amiri"/>
          <w:color w:val="111111"/>
          <w:sz w:val="28"/>
          <w:sz w:val="28"/>
          <w:szCs w:val="28"/>
          <w:rtl w:val="true"/>
          <w:lang w:bidi="ar-SA"/>
        </w:rPr>
        <w:t>في أنّه إذا تعدّدت الأيدي على مال واحد فهل أنّها أيضا أمارة على الملكيّة أم لا ، بل أماريّتها مخصوصة بما إذا كانت واحدة ، وإلاّ إذا تعدّدت فكلّ واحدة منها تنفي اعتبار الآخر ؛ لأنّ كلّ واحدة منها تكشف عن ملكيّة تمام ما فيها لذيها ، فيتعارضان ويتساقطان؟</w:t>
      </w:r>
    </w:p>
    <w:p>
      <w:pPr>
        <w:pStyle w:val="BookText"/>
        <w:rPr/>
      </w:pPr>
      <w:r>
        <w:rPr>
          <w:rFonts w:ascii="Amiri" w:hAnsi="Amiri" w:eastAsia="Amiri" w:cs="Amiri"/>
          <w:color w:val="111111"/>
          <w:sz w:val="28"/>
          <w:sz w:val="28"/>
          <w:szCs w:val="28"/>
          <w:rtl w:val="true"/>
          <w:lang w:bidi="ar-SA"/>
        </w:rPr>
        <w:t>والمشهور بين الفقهاء أنّه إذا تعددت الأيدي على مال واحد فتكون أمارة على ملكيّة كسر من ذلك المال الذي تحت أيديهم بنسبة تلك الأيدي على ذلك المال ، مثلا لو كان ذو اليد اثنين فكلّ يد أمارة على النصف ، ولو كانوا ثلاثة تكون كلّ واحدة من تلك الأيدي أمارة على الثلث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على هذا بأنّ مقتضى حجيّة اليد وأماريّتها إثبات ملكيّة تمام ما في يده ، فالنتيجة كما ذكرنا هي التعارض والتساقط والرجوع إلى الأصول العمليّة إن لم تكن أمارة أخرى في البين ، فلا وجه لإثباتها كسرا ممّا في يده على 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حجّة في الفرض المذكور ، أي في صورة تعدّد الأيدي فأيضا لا معنى لإثباتها الكسر المذكور ، فعلى كلّ حال الذي تقتضيه القواعد الأوّليّة خلاف فتوى المشهور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تخلص بعض عن هذا الإشكال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الأيدي على مال واحد فلا يمكن أن يكون كلّ واحدة منها يدا تامّة مستقلّة على جميع ذلك المال ؛ لأنّ اليد كما ذكرنا عبارة عن الاستيلاء الخارجي ، والاستيلاء الخارجي التامّ لا يمكن مع التعدّد ؛ لأنّ الاستيلاء التامّ المستقلّ هي السلطنة على جميع التصرّفات ومنع الغير أيضا عن جميع التصرّفات ، ومعلوم أنّ مثل هذا المعنى لا يمكن تحقّقه بالنسبة إلى المتعدّد ، لأنّه </w:t>
      </w:r>
    </w:p>
    <w:p>
      <w:pPr>
        <w:pStyle w:val="BookText"/>
        <w:rPr/>
      </w:pPr>
      <w:r>
        <w:rPr>
          <w:rFonts w:ascii="Amiri" w:hAnsi="Amiri" w:eastAsia="Amiri" w:cs="Amiri"/>
          <w:color w:val="111111"/>
          <w:sz w:val="28"/>
          <w:sz w:val="28"/>
          <w:szCs w:val="28"/>
          <w:rtl w:val="true"/>
          <w:lang w:bidi="ar-SA"/>
        </w:rPr>
        <w:t>لازم ثبوته لكلّ واحد منهما رفعه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صورة تعدّد الأيدي لا بدّ وأن نقول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يد من تلك الأيدي يد تامّة مستقلّة ولكن على الكسر المشاع بنسبة تعدّد الأيدي ، فإن كانا اثنين فالكسر المشاع لكلّ واحد منهما النصف ، وإن كانوا ثلاثة فالثلث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لكلّ واحد من الأيدي وإن كانت على المجموع ولكن ليست يدا تامة مستقلّة ، بل يد ناقصة على المجموع ، ولكن عند العقلاء يحسب كاليد التامّة المستقلّة على الكسر المشاع ، ولكن الذي يظهر من بناء العقلاء في مثل هذه الموارد أنّهم يرونهم شركاء شركة قهريّة أو اختياريّة ، ويحكمون لكلّ واحد منهم بالكسر المشاع ، فكأنّه يرون أنّ كل واحد من تلك الأيدي يد تامّة مستقلّة على الكسر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أنّ اليد عبارة عن الاستيلاء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يكون على مجموع هذا المال الخارجي ، أو على جزء معيّن من أجزائه ، وأمّا الجزء المشاع الذي عبّرنا عنه بالكسر المشاع فلا معنى لوقوعه تحتها إلاّ في ضمن وقوع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أساس له ؛ لما ذكرنا من أنّ العقلاء يرون أنّ الشركاء ذوي الأيدي على مال معين كدار ، أو دكّان ، أو خان ، أو حمام ، أو غير ذلك كلّ واحد منهم زائد وسلطان على الكسر المشاع على ذلك المال ، فتكون يده أمارة على ملكيّة ذاك الكسر المشاع ، ولذلك إذا كانا اثنين وتصرّف أحدهما في النصف المشاع بالبيع أو الهبة أو غير ذلك لا يرونه متعدّيا ، ويقولون بأنّه تصرّف في ماله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باع أو وهب أكثر من النصف يرونه متعدّيا ، إلاّ أن يثبت أنّ ملكه أكثر بإقرار من الشريك أو ببيّنة أو بنحو ذلك من الأدلّة ، وكذلك يرونه متعدّيا لو باع أو وهب نصفه المعيّن ، وكلّ ذلك آية أنّ اليد والاستيلاء على الكسر المشاع ، لا على </w:t>
      </w:r>
      <w:bookmarkStart w:id="181" w:name="pg15902_182359"/>
    </w:p>
    <w:p>
      <w:pPr>
        <w:pStyle w:val="BookText"/>
        <w:rPr/>
      </w:pPr>
      <w:bookmarkEnd w:id="181"/>
      <w:r>
        <w:rPr>
          <w:rFonts w:ascii="Amiri" w:hAnsi="Amiri" w:eastAsia="Amiri" w:cs="Amiri"/>
          <w:color w:val="111111"/>
          <w:sz w:val="28"/>
          <w:sz w:val="28"/>
          <w:szCs w:val="28"/>
          <w:rtl w:val="true"/>
          <w:lang w:bidi="ar-SA"/>
        </w:rPr>
        <w:t>الجزء المعيّن ، ولا على المجموع ؛ فإذن كانت الأيدي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الكسر المشاع والكلّي في المعيّن ، والآثار المترتّبة على كلّ واحد منهما ، وأنّه هل يتوقّف على إنكار الجزء الذي لا يتجزى أم لا؟ فليس هاهنا ، محلّ بحثه ، وله مقام آخر</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5519186_2142443653"/>
      <w:bookmarkStart w:id="183" w:name="_Toc59"/>
      <w:bookmarkEnd w:id="182"/>
      <w:r>
        <w:rPr>
          <w:rtl w:val="true"/>
        </w:rPr>
        <w:t xml:space="preserve">الجهة الثامنة </w:t>
      </w:r>
      <w:r>
        <w:rPr>
          <w:rtl w:val="true"/>
        </w:rPr>
        <w:t xml:space="preserve">: </w:t>
      </w:r>
      <w:r>
        <w:rPr>
          <w:rtl w:val="true"/>
        </w:rPr>
        <w:t>في أنّ اليد أحد موجبات الضمان إذا كانت على مال الغير بدون أن يكون مأذونا من قبله ، أو من قبل اللّه ، أو يكون وليّا على صاحب المال</w:t>
      </w:r>
      <w:bookmarkEnd w:id="183"/>
    </w:p>
    <w:p>
      <w:pPr>
        <w:pStyle w:val="BookText"/>
        <w:rPr/>
      </w:pPr>
      <w:r>
        <w:rPr>
          <w:rFonts w:ascii="IRNazanin" w:hAnsi="IRNazanin" w:eastAsia="IRNazanin"/>
          <w:color w:val="111111"/>
          <w:sz w:val="28"/>
          <w:sz w:val="28"/>
          <w:szCs w:val="28"/>
          <w:rtl w:val="true"/>
          <w:lang w:bidi="fa-IR"/>
        </w:rPr>
        <w:t xml:space="preserve">والأصل في ذلك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 </w:t>
      </w:r>
      <w:r>
        <w:rPr>
          <w:rFonts w:eastAsia="IRNazanin" w:cs="IRNazanin"/>
          <w:color w:val="111111"/>
          <w:sz w:val="28"/>
          <w:szCs w:val="28"/>
          <w:rtl w:val="true"/>
          <w:lang w:bidi="fa-IR"/>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وشهرته بين الفريقين نقلا وعملا يغني عن التكلّم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دلالتها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 الظاهر من هذا الكلام الشريف أنّ الظرف ظرف مستقرّ أعني عامله من أفعال العموم ، لا أنّه ظرف لغو حتّى يكون متعلّقا بأفعال الخصوص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وذلك 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أنّه لو كان متعلّقا بأحد هذين الفعلين فلا بدّ من التقدير بمثل الرد والأداء ؛ لأنّه لا معنى لوجوب نفس ما أخذت ولزومها ، لأنّ الحكم التكليفي لا بدّ وأن يتعلّق بأحد أفعال المكلّفين ولا معنى لتعلّقه بالذوات ، ومعلوم أنّ التقدير خلاف الأصل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الظرف ظرف لغو وكان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أن يكون </w:t>
      </w:r>
    </w:p>
    <w:p>
      <w:pPr>
        <w:pStyle w:val="BookText"/>
        <w:rPr/>
      </w:pPr>
      <w:r>
        <w:rPr>
          <w:rFonts w:ascii="Amiri" w:hAnsi="Amiri" w:eastAsia="Amiri" w:cs="Amiri"/>
          <w:color w:val="111111"/>
          <w:sz w:val="28"/>
          <w:sz w:val="28"/>
          <w:szCs w:val="28"/>
          <w:rtl w:val="true"/>
          <w:lang w:bidi="ar-SA"/>
        </w:rPr>
        <w:t>الحكم مغيى في لسان دليله بإتيان متعلّقه وأمثاله ، وهذا ركيك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هل ترضى من نفسك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إكرامي حتّى تكرمني؟ فكيف ترضى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الحديث الشريف أنّه يجب على اليد ردّ ما أخذته وأدائه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أنّ ظاهر الحديث أنّ نفس ما أخذت على عهدة اليد ، أي المال المأخوذ الذي صار تحت اليد والاستيلاء على عهدة اليد والذي أخذه ، وهذا هو عين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الضمان أقوال ، ولكن التحقيق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ما له الماليّة في عهدة الضامن وذمّته ، وحيث أنّ وجود الشي‌ء في العهدة يكون وجودا اعتباريا ؛ لأنّ معنى كونه في العهدة اعتبار العقلاء ذلك فيها ، فكما أنّ الموجود الخارجي لا يمكن أن ينتقل إلى الذهن وإلاّ يلزم الانقلاب المحال ، كذلك لا يمكن أن ينتقل إلى عالم الاعتبار لعين ذلك المحذور ، 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معنى الحديث أنّ المال الذي وقع تحت اليد العادية على احتمال ، أو يد غير المأذونة على احتمال آخر ، مع أنّه موجود خارجي يعتبر في عهدة الآخذ ومستقرّ وثابت في ذمّته بوجوده الاعتباري ، إلى أن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أنّ أداءه ما دام العين موجودة يكون بأداء نفسها ، وبعد التلف إن كان لها مثل فأداؤها بأداء مثلها ، وإن لم يكن لها مثل أو كان ولكنّه متعذّر الأداء ، أو كان لقلّته وغلاء قيمته عند العرف والعقلاء بمنزلة المعدوم ، فأداءه بأداء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المناط والضابط في المثليّة والقيميّة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أنّ ما يقع تحت اليد من الأموال بوجوده الخارجي يعتبر على العهدة بوجوده الاعتباري ؛ لأنّ هذا المعنى هو الظاهر من الحديث الشريف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تحت اليد يعتبر فوق اليد بما له من الشؤون والأوصاف والعوارض والألوان ، </w:t>
      </w:r>
    </w:p>
    <w:p>
      <w:pPr>
        <w:pStyle w:val="BookText"/>
        <w:rPr/>
      </w:pPr>
      <w:r>
        <w:rPr>
          <w:rFonts w:ascii="Amiri" w:hAnsi="Amiri" w:eastAsia="Amiri" w:cs="Amiri"/>
          <w:color w:val="111111"/>
          <w:sz w:val="28"/>
          <w:sz w:val="28"/>
          <w:szCs w:val="28"/>
          <w:rtl w:val="true"/>
          <w:lang w:bidi="ar-SA"/>
        </w:rPr>
        <w:t>كانت تلك الشؤون والأوصاف من الأمور التكوينيّة الخارجيّة أو من الأمور الاعتباريّة ، فكلّ صفة أو لو كان فيما تحت اليد يثبت ويستقرّ على العهدة وما فوق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تكون خصوصيّات العين المغصوبة مثلا من الأمور التكوينيّة الواقعيّة المحمولة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الأمور الاعتباريّة التي لا وجود لها في غير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الأوصاف الخارجيّة للعين تقع تحت اليد يتبع اليد على العين ، ويضمن الغاصب تلك الأوصاف كضمانه لنفس العين ، كذلك الأوصاف الاعتباريّة التي للعين أيضا تقع تحت اليد ، ويضمن ذو اليد تلك الأوصاف كضمانه لنفس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تعاقب الأيدي الذي يقع تحت اليد الأولى ليس إلاّ نفس العين بصفاتها الخارجية التكوينيّة ، ولذلك لا يضمن الآخذ الغاصب مثلا إلاّ نفس العين بتلك الصفات الخارجيّة للمالك ، ولا يضمن لشخص آخر ، ولذلك لا يرجع إليه إلاّ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اليد الثانية فالذي يقع تحت يده ليس هو العين بصفاتها التكوينيّة الخارجيّة فقط ، بل بزيادة صفة اعتبارية ، وهي أنّها مضمونة على اليد الأولى ؛ ولذلك يضمن ذو اليد الثانية 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المالك ، والثاني ذو اليد الأولى ، بمعنى أنّ المالك لو رجع إلى ذي اليد الأولى فله أن يرجع إلى اليد الثانية ، وهكذا يكون الأمر في اليد الثالثة والرابعة ولو إلى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الشخص بالنسبة إلى مال واحد ضامنا لشخصين؟ وأن يكون لذلك الواحد بدلان؟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التجأ بعض المحقّقين إلى إنكار تعدّد الضمان في مورد تعاقب الأيدي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يكون على من بيده التلف ، وأمّا في سائر الأيدي فليس إلاّ حكم </w:t>
      </w:r>
    </w:p>
    <w:p>
      <w:pPr>
        <w:pStyle w:val="BookText"/>
        <w:rPr/>
      </w:pPr>
      <w:r>
        <w:rPr>
          <w:rFonts w:ascii="Amiri" w:hAnsi="Amiri" w:eastAsia="Amiri" w:cs="Amiri"/>
          <w:color w:val="111111"/>
          <w:sz w:val="28"/>
          <w:sz w:val="28"/>
          <w:szCs w:val="28"/>
          <w:rtl w:val="true"/>
          <w:lang w:bidi="ar-SA"/>
        </w:rPr>
        <w:t>تكليفي فقط ، ولا ضمان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آخر التزم بأنّ للأيدي المتعدّدة لجميعها ضمان واحد ، وأنّ البدل الواحد له إضافة إلى الكلّ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 الطبيعي وجوده بالنسبة إلى وجود الأفراد ، نسبة أب واحد إلى أبناء متعدّدة ، وإن كان هذا القول مردود هناك وهاهنا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ضمانه لشخصين أو أكثر ليس ضمانا عرضيّا حتّى ترد هذه الإشكالات ، بل هو طولي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العين تقع تحت اليد بجميع خصوصيّاتها وأوصافها الواقعيّة التكوينيّة والاعتباريّة ، فاليد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تحتها إلاّ العين بصفاتها وخصوصيّاتها التكوينيّة ، وأمّا اليد الثانية فالواقع تحتها هي العين بتلك الصفات الخارجيّة والخصوصيّات التكوينيّة ، بإضافة أنّها مضمونة على اليد الأولى ، فهي ضامنة للمالك بالنسبة إلى العين وصفاتها الخارجيّة ، ولليد الأولى بالنسبة إلى ضمانها وخسارتها للمالك ، بمعنى أنّ المالك لو رجع إلى اليد الأولى وأخذ منها البدل ، فاليد الثانية عليها تلك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هذا الضمان ليس في عرض ذلك الضمان الأوّل ؛ لأنّ ضمان ضمان الشي‌ء ليس في عرض ضمان الشي‌ء ، بل هو متأخّر عنه فلا يبقى مجال لذلك الإشكال ، أي إشكال الضمان لشخصين بالنسبة إلى مال واحد ؛ لأنّه ليس ضمانان لمال واحد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لهذا الشخص ، ومرّة أخرى لشخص آخر ، بل أحدهما ضمان نفس المال ، والآخر ضمان ذلك الضمان الأوّل ؛ فاليد الأولى ضامنة لنفس العين المأخوذة فقط ، واليد الثانية ضامنة للعين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للمالك أن يرجع إليه وضامنة لضمان اليد الأولى ، ومن هذه الجهة لليد الأولى أن يرجع إليه إذا رجع المالك إليها وخسرت للمالك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لنفس العين إلا ضمان واحد على البدل ، بمعنى أنّ المالك له أن يرجع إلى </w:t>
      </w:r>
      <w:bookmarkStart w:id="184" w:name="pg15902_182363"/>
    </w:p>
    <w:p>
      <w:pPr>
        <w:pStyle w:val="BookText"/>
        <w:rPr/>
      </w:pPr>
      <w:bookmarkEnd w:id="184"/>
      <w:r>
        <w:rPr>
          <w:rFonts w:ascii="Amiri" w:hAnsi="Amiri" w:eastAsia="Amiri" w:cs="Amiri"/>
          <w:color w:val="111111"/>
          <w:sz w:val="28"/>
          <w:sz w:val="28"/>
          <w:szCs w:val="28"/>
          <w:rtl w:val="true"/>
          <w:lang w:bidi="ar-SA"/>
        </w:rPr>
        <w:t>أيّ واحد من الآخذين لما له على البدل ، وإلاّ فليس له أن يرجع إلى الاثنين معا ويأخذ بدلين ، كي يكون الإشكال المذكور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ضمانه لغير المالك من الأيدي المتقدّمة عليه فليس ضمان نفس المال حتّى يلزم ضمانه للمال الواحد مرّة أو مرّات ، أي مرة للمالك ، وأخرى لكل يد متقدّمة عليه ، بل كلّ من عدا المالك من تلك الأيدي المتقدّمة فالضمان له يكون ضمان الضمان ، أي الخسارة اليد السابقة عليه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قبيل ضمان الشخصين لمال واحد مرّتين ؛ لأنّه بالنسبة إلى المالك ونفس العين وان كان بحسب تعدّد الأيدي متعدّدا ، ولكن ليس في عرض واحد بل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الأيدي السابقة فليس الضمان ضمان العين ، وهذا الحكم جار ولو إلى ألف يد ، ولا يلزم محذور ؛ لطوليّة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 هنا فروع كثيرة ، ومطالب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الفقهاء والمحقّقون في كتاب الغصب وفي مسألة المقبوض بالعقد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ذكرها والنقض والإبرام فيها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5519188_2142443653"/>
      <w:bookmarkStart w:id="186" w:name="_Toc60"/>
      <w:bookmarkEnd w:id="185"/>
      <w:r>
        <w:rPr>
          <w:rtl w:val="true"/>
        </w:rPr>
        <w:t xml:space="preserve">الجهة التاسعة </w:t>
      </w:r>
      <w:r>
        <w:rPr>
          <w:rtl w:val="true"/>
        </w:rPr>
        <w:t xml:space="preserve">: </w:t>
      </w:r>
      <w:r>
        <w:rPr>
          <w:rtl w:val="true"/>
        </w:rPr>
        <w:t>في كون اليد سببا لحصول الملكيّة في عالم الثبوت لا أنّها سبب إثباتي فقط</w:t>
      </w:r>
      <w:bookmarkEnd w:id="186"/>
    </w:p>
    <w:p>
      <w:pPr>
        <w:pStyle w:val="BookText"/>
        <w:rPr/>
      </w:pPr>
      <w:r>
        <w:rPr>
          <w:rFonts w:ascii="Amiri" w:hAnsi="Amiri" w:eastAsia="Amiri" w:cs="Amiri"/>
          <w:color w:val="111111"/>
          <w:sz w:val="28"/>
          <w:sz w:val="28"/>
          <w:szCs w:val="28"/>
          <w:rtl w:val="true"/>
          <w:lang w:bidi="ar-SA"/>
        </w:rPr>
        <w:t>وذلك كما في حيازة المباحات كالاحتطاب والاحتشاش وأمثال ذلك ، ولا شكّ في أنّ اليد على المباحات الأصليّة والاستيلاء عليها بقصد التملّك تكون سببا لحصول الملكيّة ، وإنّما الكلام في كفاية صرف الاستيلاء ولو لم يكن بقصد التملّك ، بل كان لغرض 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بكفاية هذا الاستيلاء الخارجي ولو لم يكن قاصدا للتملّك ، مستندا إلى </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سبق إلى ما لم يسبق إليه أحد من المسلمين فهو أحقّ به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المنجبر ضعف سنده بالاشتهار عند الكلّ واستناد الجميع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الاستيلاء على الشي‌ء بدون قصد التملّك وإن كان يصدق عليه السبق إلى الشي‌ء ، ولكن السبق إلى المباحات الأصليّة لا يوجب حسب مضمون الحديث إلاّ الأحقيّة من الآخرين ، والأحقّية غير الملكيّة ؛ لأنّها تجري فيما لا يقبل التملّك ، كالأوقاف العامّة مثل المساجد والمشاهد المشرفة والرّبط وخانات الوقف ، فالذي سبق إلى مكان من هذه الأماكن ، وأخذ لنفسه وعياله محلاّ منها فليس لأحد مزاحمته ، بل يكون هو أحقّ من جميع الناس بذلك المكان ، مع أنّ تلك الأماكن غير قابلة لأنّ تصير ملكا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الشريف لا يدلّ إلاّ على حصول حقّ السبق بالنسبة إلى الأمكنة التي هي وقف عامّ كالموارد التي ذكرناها ، أو بالنسبة إلى المباحات الأصليّة إذا استولى عليها لا يقصد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استولى عليها بقصد تملّكها فيصير ملكا قطعا ، لبناء العقلاء والسيرة القطعيّة عند المتديّنين على حصول الملكيّة في المباحات الأصليّة إذا كان الاستيلاء بقصد التملّك ، وذلك كالاحتطاب والاعتشاب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الأحقّية وإن كان غير ملازم للملكيّة ؛ لما ذكرنا من أنّها قد توجد فيما ليس بقابل لأن يصير ملكا لأحد كالأوقاف العامّة ، ولكن الأحقّية المطلقة مساوقة مع الملكيّة ولا تنفكّ عنها ؛ لأنّ الأحقيّة المطلقة عبارة كون صاحبها أحقّ من جميع من عداه بالنسبة إلى جميع التصرّفات ، ومنع غيره عن جميع التقلّبات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المعنى في نظر العرف والشرع عين الملكيّة ؛ وذلك من جهة أنّ الملكيّة اعتبار عقلائي بلحاظ هذه الآثار ، فإذا حكم الشرع أو العقلاء بترتّب هذه الآثار على شي‌ء ، وفي مورد معناه أنّه أو أنّهم اعتبروا ملكيّة ذلك الشي‌ء ، فإذا دلّ الحديث الشريف على </w:t>
      </w:r>
    </w:p>
    <w:p>
      <w:pPr>
        <w:pStyle w:val="BookText"/>
        <w:rPr/>
      </w:pPr>
      <w:r>
        <w:rPr>
          <w:rFonts w:ascii="Amiri" w:hAnsi="Amiri" w:eastAsia="Amiri" w:cs="Amiri"/>
          <w:color w:val="111111"/>
          <w:sz w:val="28"/>
          <w:sz w:val="28"/>
          <w:szCs w:val="28"/>
          <w:rtl w:val="true"/>
          <w:lang w:bidi="ar-SA"/>
        </w:rPr>
        <w:t xml:space="preserve">أنّ من سبق إلى شي‌ء من المباحات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يسبق إليه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أحقّ به بالنسبة إلى جميع التصرّفات ، حتّى التصرّفات المتوقّفة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حصول الملكيّة بالسبق والاستيلاء ، ولو كان خاليا عن قصد التملّك ، ولكن الشأن في استفادة هذا المعنى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الأحقيّة يقتضي أحقّية المطلقة ؛ لأنّ ما عداها من مراتب الأحقّية ، وبالنسبة إلى بعض التصرّفات دون بعض يحتاج إلى البيان ، ففيما ليس بقابل لأن يكون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بالأدلّة الخارجيّة عدم جواز بعض التصرّفات ، مثل بيعها وهبتها وسائر الانتقالات المتعلّقة بأعيانها ، بأيّ عنوان وأيّ عقد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يقبل التملّك فنأخذ بإطلاق الأحقّية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الاستيلاء على المباحات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بقصد التملّك بل كان لغرض عقلائي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الأحقّية المطلقة المساوقة للملكية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ربما يستدلّ على حصول الملكيّة بصرف الاستيلاء واليد من غير قصد التملّك بقوله علیه السلام ، في موثّقة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أنّه ملك له ، وقد رتّب هذا الحكم على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مدخليّة أيّ شي‌ء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أنّ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عنوان اليد ، ولكن الاستدلال بهذه الفقرة متوقّف على أن تكون هذه الجملة كبرى كليّة ، لا أن يكون المراد منها أنّ استيلاء أيّ واحد من الرجل والمرأة على أيّ متاع من أمتعة البيت موجب لكونه له ، وإلاّ إن كان كذلك فهذا حكم خاصّ ، لخصوص الرجل والمرأة في </w:t>
      </w:r>
    </w:p>
    <w:p>
      <w:pPr>
        <w:pStyle w:val="BookText"/>
        <w:rPr/>
      </w:pPr>
      <w:r>
        <w:rPr>
          <w:rFonts w:ascii="Amiri" w:hAnsi="Amiri" w:eastAsia="Amiri" w:cs="Amiri"/>
          <w:color w:val="111111"/>
          <w:sz w:val="28"/>
          <w:sz w:val="28"/>
          <w:szCs w:val="28"/>
          <w:rtl w:val="true"/>
          <w:lang w:bidi="ar-SA"/>
        </w:rPr>
        <w:t>خصوص متاع البيت ولا يشمل سائر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الإنصاف أنّ كون خصوصيّة متاع البيت ، وكذلك خصوصيّة الزوج والزوجة دخيلا في هذا الحكم بعيد وإن كان الظاهر من تقييد الشي‌ء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الجملة على فرض إلقاء الخصوصيّة وكونها كبرى كلّيّة ، هو أنّ الاستيلاء على شي‌ء أمارة الملكيّة في عالم الإثبات للمستولي بعد الفراغ أنّ له مالك في مقام الثبوت ، وكلامنا في أنّ صرف الاستيلاء بدون قصد التملّك هل يكون سببا لحصول الملكيّة في عالم الثبوت أم لا؟ فالمقامان كلّ واحد منهما أجنبي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هذا المطلب بأدلّة إحياء الموات ، وأنّ الأرض الميتة تصير ملكا بالإحياء ، سواء قصد التملّك أم لا ، والإحياء عبارة عن وضع اليد عليها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الإحياء وإن كان سببا لحصول الملكيّة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أحيا أرضا ميتة فهي له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ولكنّه ليس عبارة عن الاستيلاء فقط ، وصرف وضع اليد على أرض ميتة ، بل يحتاج إلى عمل من طرف المحيي من اجراء نهر ، أو كريه حتّى يجري عليها الماء ، أو غرس أشجار ، أو زرع ، أو بناء بأن يجعله خانا أو دارا أو حمّاما أو مقهى أو غير ذلك ممّا ذكره الفقهاء في كتاب إحياء الأراضي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الإحياء غير صرف اليد</w:t>
      </w:r>
      <w:r>
        <w:rPr>
          <w:rFonts w:eastAsia="Amiri" w:cs="Amiri" w:ascii="Amiri" w:hAnsi="Amiri"/>
          <w:color w:val="111111"/>
          <w:sz w:val="28"/>
          <w:szCs w:val="28"/>
          <w:rtl w:val="true"/>
          <w:lang w:bidi="ar-SA"/>
        </w:rPr>
        <w:t xml:space="preserve">. </w:t>
      </w:r>
      <w:bookmarkStart w:id="187" w:name="pg15902_182367"/>
    </w:p>
    <w:p>
      <w:pPr>
        <w:pStyle w:val="Heading2"/>
        <w:numPr>
          <w:ilvl w:val="1"/>
          <w:numId w:val="1"/>
        </w:numPr>
        <w:rPr/>
      </w:pPr>
      <w:bookmarkStart w:id="188" w:name="__RefHeading___Toc15519190_2142443653"/>
      <w:bookmarkStart w:id="189" w:name="_Toc61"/>
      <w:bookmarkEnd w:id="187"/>
      <w:bookmarkEnd w:id="188"/>
      <w:r>
        <w:rPr/>
        <w:t>7</w:t>
      </w:r>
      <w:r>
        <w:rPr>
          <w:rtl w:val="true"/>
        </w:rPr>
        <w:t xml:space="preserve"> - </w:t>
      </w:r>
      <w:r>
        <w:rPr>
          <w:rtl w:val="true"/>
        </w:rPr>
        <w:t>قاعدة نفي السبيل للكافرين على المسلمين</w:t>
      </w:r>
      <w:bookmarkEnd w:id="1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5519192_2142443653"/>
      <w:bookmarkStart w:id="191" w:name="_Toc62"/>
      <w:bookmarkEnd w:id="190"/>
      <w:r>
        <w:rPr>
          <w:rtl w:val="true"/>
        </w:rPr>
        <w:t>اشارة</w:t>
      </w:r>
      <w:bookmarkEnd w:id="1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902_182369"/>
      <w:bookmarkStart w:id="193" w:name="pg15902_182369"/>
      <w:bookmarkEnd w:id="193"/>
    </w:p>
    <w:p>
      <w:pPr>
        <w:pStyle w:val="BookText"/>
        <w:rPr/>
      </w:pPr>
      <w:bookmarkStart w:id="194" w:name="pg15902_182369"/>
      <w:bookmarkEnd w:id="19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نفي السبيل للكافرين على المسلمين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ومن القواعد الفقهيّة ، التي عمل بها الأصحاب ، وطبقوها على موارد كثيرة في مختلف أبواب الفقه من العبادات والمعاملات والأحكام ، القاعدة المعروفة المشهورة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السبيل للكافرين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القاعدة تمسّك شيخنا الأعظم قدس سره في عدم صحّة بيع العبد المسلم على الكافر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5519194_2142443653"/>
      <w:bookmarkStart w:id="196" w:name="_Toc63"/>
      <w:bookmarkEnd w:id="195"/>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مستندها</w:t>
      </w:r>
      <w:bookmarkEnd w:id="196"/>
    </w:p>
    <w:p>
      <w:pPr>
        <w:pStyle w:val="BookText"/>
        <w:rPr/>
      </w:pPr>
      <w:r>
        <w:rPr>
          <w:rFonts w:ascii="IRNazanin" w:hAnsi="IRNazanin" w:eastAsia="IRNazanin"/>
          <w:color w:val="111111"/>
          <w:sz w:val="28"/>
          <w:sz w:val="28"/>
          <w:szCs w:val="28"/>
          <w:rtl w:val="true"/>
          <w:lang w:bidi="fa-IR"/>
        </w:rPr>
        <w:t>وهو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معنى الآية الشريفة أن اللّه تبارك وتعالى لم يجعل ولن يجعل في عالم </w:t>
      </w:r>
    </w:p>
    <w:p>
      <w:pPr>
        <w:pStyle w:val="BookText"/>
        <w:rPr/>
      </w:pPr>
      <w:r>
        <w:rPr>
          <w:rFonts w:ascii="Amiri" w:hAnsi="Amiri" w:eastAsia="Amiri" w:cs="Amiri"/>
          <w:color w:val="111111"/>
          <w:sz w:val="28"/>
          <w:sz w:val="28"/>
          <w:szCs w:val="28"/>
          <w:rtl w:val="true"/>
          <w:lang w:bidi="ar-SA"/>
        </w:rPr>
        <w:t>التشريع حكما يكون موجبا لكونه سبيلا وسلطانا للكافرين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وتشريع جواز بيع عبد المسلم من الكافر ونفوذه وصحّته ، موجب لسلطنة الكافر على المسلم ، منفيّ بهذه الآية ، وكذلك إجازته وإعارته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إن شاء اللّه تعالى تطبيق هذه القاعدة على مواردها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ظاهر الآية الشريفة لو كان في مقام التشريع هو الذي ذكرنا ، ويكون المراد من الجعل المنفي فيها هو الجعل التشريعي لا التكويني ، فتكون قاعدة حاكمة على الأدلّة المتكلّفة لبيان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الأدلّة الأوّليّة مفادها ولاية كلّ أب أو جدّ من طرف الأب على أولاده الصغار ، أبناء كانوا أو بناتا ، ومفاد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الولاية إذا كان الأب أو الجدّ من طرف الأب كافرا ، والابن أو البنت كانا مسلمين ، وهكذا في سائر موارد تطبيق الآية ، فتكون هذه قاعدة حاكمة بالحكومة الواقعيّة على الأدلّة الأوّليّة ، مساقها في ذلك مساق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تعالى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من السبيل هي الحجّة في يوم القيامة ، أي لا حجّة للكافرين على المؤمنين يوم القيامة ، بل تكون الحجّة للمؤمنين عليهم في ذلك اليوم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المعنى ما رواه الطبري في تفسيره ، عن ابن ركيع ، بإسناده عن أمير المؤمنين علي بن أبي طالب علیه السلام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يقاتلوننا فيظهرون ويقتلون؟ قال له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ادنه 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w:t>
      </w:r>
    </w:p>
    <w:p>
      <w:pPr>
        <w:pStyle w:val="BookText"/>
        <w:rPr/>
      </w:pPr>
      <w:r>
        <w:rPr>
          <w:rFonts w:ascii="Amiri" w:hAnsi="Amiri" w:eastAsia="Amiri" w:cs="Amiri"/>
          <w:color w:val="111111"/>
          <w:sz w:val="28"/>
          <w:sz w:val="28"/>
          <w:szCs w:val="28"/>
          <w:rtl w:val="true"/>
          <w:lang w:bidi="ar-SA"/>
        </w:rPr>
        <w:t xml:space="preserve">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آخرين عن عليّ أمير المؤمنين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بإسناده عن عطاء الخراساني ، عن ابن عباس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القيامة ، وأمّا السبيل في هذا الموضع فالحجّة ، وروي أيضا عن السدي إنّه الحجّة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أنت خبير أنّ تفسير الإمام علیه السلام ببعض مصاديق ما هو المتفاهم العرفي من اللفظ لا ينافي عموم المراد ، ولا يقتضي الخروج عمّا هو ظاهر اللفظ ، بل يكون الظهور باقيا على حجيّته فيؤخذ بظاهر اللفظ الذي هو عبارة عن نفي غلبة الكافر على المؤمن ، سواء أكان بالحجّة يوم القيامة ، أو في الدنيا بالنسبة إلى عالم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تفسيره علیه السلام بالحجّة في يوم القيامة حيث أنّه في مقام أنّه ليس المراد من نفي السبيل نفي القهر والغلبة الخارجية التكوينيّة ، فتكون تلك الغلبة خارجة عن عموم نفي السبيل ، وخروج مثل هذه الغلبة عن العموم أمر واضح محسوس في الخارج ، فقد قال اللّه تبارك وتعالى في قضيّة انكسار المسلمين في غزوة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بصدد بيان أنّ هذا العموم ليس عقليّا كي لا يكون قابلا للتخصيص ، وأنّ الغلبة الخارجيّة خارجة عن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بيّن بعض مصاديق المراد الذي هو قريب إلى فهمهم ، وهو الغلبة بالبرهان والحجّة في يوم القيامة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كان المراد من السبيل المنفي هي الغلبة ، وأمّا بناء على ما استظهرنا من أنّ المراد منه الحكم الشرعي والغلبة في عالم التشريع فلا إشكال حتّى يحتاج إلى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ينافي تفسيره علیه السلام بالحجّة في يوم القيامة ما استظهرناه ؛ لأنّه تفسير لا ظاهر الكلام ، وللقرآن سبعة أبطن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كلّ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الغلبة في عالم تشريع الأحكام ، والغلبة بالحجّة والبرهان في يوم القيامة ، والغلبة التكوينيّة الخارجيّة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مفهوم الغلبة والسبيل حقيقة وبالحمل الشائع ، وإن كان الظاهر كما استظهرناه أنّ المراد بالجعل المنفي هو الجعل التشريعي لا التكويني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يعلو ولا يعلى عليه ، والكفّار بمنزلة الموتى لا يحجبون ولا يورثون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مشهور معروف ، ذكره في الفقيه عن النبي صلی اللّه علیه و آله في المجلّد الرابع في باب ميراث أهل الملل </w:t>
      </w:r>
      <w:r>
        <w:rPr>
          <w:rStyle w:val="FootnoteAnchor"/>
          <w:rtl w:val="true"/>
        </w:rPr>
        <w:footnoteReference w:id="195"/>
      </w:r>
      <w:r>
        <w:rPr>
          <w:rFonts w:ascii="IRNazanin" w:hAnsi="IRNazanin" w:eastAsia="IRNazanin"/>
          <w:color w:val="111111"/>
          <w:sz w:val="28"/>
          <w:sz w:val="28"/>
          <w:szCs w:val="28"/>
          <w:rtl w:val="true"/>
          <w:lang w:bidi="fa-IR"/>
        </w:rPr>
        <w:t>، فعمدة الكلام دلالته ، وإلاّ فمن حيث السند موثوق الصدور عن النبي صلی اللّه علیه و آله لاشتهاره بين الفقهاء وعملهم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هذا الحديث الشريف بقرينة ظاهر الحال أنّه في مقام التشريع ، وأنّ الإسلام يكون موجبا لعلوّ المسلم على غيره في مقام تشريع أحكامه وبالنسبة إلى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الحكم الإسلامي وتشريعه سببا وموجبا لعلوّ الكافر على المسلم ، ففي هذا الحديث الشريف جملتان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موجبة ، والأخرى سالبة ، ومفاد الجملة الأولى الموجبة هو أنّ الأحكام المجعولة في الإسلام فيما يرجع إلى الأمور التي بين المسلمين والكفّار روعي فيها علوّ جانب المسلمين على الكفّار ، ومفاد الجملة السالبة عدم علوّ الكافر على المسلمين من ناحية تلك الأحكام المجعولة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جواب أنّ علوّ الإسلام لا دخل له بعلوّ المسلمين ؛ إذ معنى علوّ </w:t>
      </w:r>
    </w:p>
    <w:p>
      <w:pPr>
        <w:pStyle w:val="BookText"/>
        <w:rPr/>
      </w:pPr>
      <w:r>
        <w:rPr>
          <w:rFonts w:ascii="Amiri" w:hAnsi="Amiri" w:eastAsia="Amiri" w:cs="Amiri"/>
          <w:color w:val="111111"/>
          <w:sz w:val="28"/>
          <w:sz w:val="28"/>
          <w:szCs w:val="28"/>
          <w:rtl w:val="true"/>
          <w:lang w:bidi="ar-SA"/>
        </w:rPr>
        <w:t xml:space="preserve">الإسلام ازدياد شوكته وانتشاره في أنحاء الأرض ، إذ بناء على ما استظهرناه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الجملة الأولى الموجبة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يعلو هو أنّ أحكام الإسلام توجب علوّ المسلم على الكافر في الأمور الواقعة بينهما من المعاملات ، وغيرها كالولايات والمعاهدات والأنكحة ، ولا توجب علوّ الكافر على المسلم ، فليس في الإسلام حكم يكون موجبا لعلوّ الكافر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ووقع لهذا الكلام ، ويكون علوّ الإسلام عبارة أخرى عن علوّ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الفراغ عن أنّه صلی اللّه علیه و آله في مقام التشريع لا الإخبار عن أمر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الإسلام له علوّ وشرف لأنّه موجب للنجاة وسعادة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الظاهر من هذا الكلام في هذا المقام أنّ الإسلام وهذا الدين والشرع يعلو بالمتديّنين بهذا الدين على غيرهم ، ولا يكون موجبا لعلوّ الكفّار على المتديّنين بهذا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المحصّل القطعي على أنّه ليس هناك حكم مجعول في الإسلام يكون موجبا لتسلّط الكافر على المسلم ، بل جميع الأحكام المجعولة فيه روعي فيها علوّ المسلمين على غيرهم ، كمسألة عدم جواز تزويج المؤمنة للكافر ، وعدم جواز بيع العبد المسلم على الكافر ، وعدم صحّة جعل الكافر واليا ووليّا على المسلم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الاتّفاق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 الأحكام الشرعية موجبة لعلوّ الكافر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الجملة مسلّما ، ولكن كونه من الإجماع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الأصولي الذي أثبتنا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بل معلوم العدم ؛ لأنّ الظاهر أنّ المتّفقين يعتمدون على هذه الأدلّة المذكورة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حقّقنا في الأصول أنّ مثل هذا الإجماع لا يوجب الحدس القطعي برأي الإمام علیه السلام ، وليس مثل هذا الاتّفاق مسبّبا عن رأيه ورضاه علیه السلام حتّى يستكشف من </w:t>
      </w:r>
    </w:p>
    <w:p>
      <w:pPr>
        <w:pStyle w:val="BookText"/>
        <w:rPr/>
      </w:pPr>
      <w:r>
        <w:rPr>
          <w:rFonts w:ascii="Amiri" w:hAnsi="Amiri" w:eastAsia="Amiri" w:cs="Amiri"/>
          <w:color w:val="111111"/>
          <w:sz w:val="28"/>
          <w:sz w:val="28"/>
          <w:szCs w:val="28"/>
          <w:rtl w:val="true"/>
          <w:lang w:bidi="ar-SA"/>
        </w:rPr>
        <w:t>وجوده وجود سببه ، بل هو مسبّب من الاستظهار من هذه الأدلّة ، فلا بدّ وأن يراجع الفقيه إلى نفس هذه الأدلّة وأنّها هل تدلّ على هذه القاعدة أم لا؟</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الحكم والموضوع ، بمعنى أنّ شرف الإسلام وعزّته مقتض بل علّة تامّة لأنّ لا يجعل في أحكامه وشرائعه ما يوجب ذلّ المسلم وهوانه ، وقد قال اللّه تبارك وتعالى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فكيف يمكن أن يجعل اللّه حكما ويشرعه يكون سببا لعلوّ الكفّار على المسلمين ، ويلزم المسلم على الامتثال بذلك الحكم؟ فيكون الكفّار هم الأعزّة ، ويكون المسلمون هم الأذلّة الصاغرون ، مع أنّه تبارك وتعالى حصر العزّة لنفسه ، ولرسوله ، وللمؤمنين في الآية الشريفة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الفقيه يقطع بعد التأمّل فيما ذكرناه بعدم إمكان جعل مثل ذلك الحكم الذي يكون سببا لهوان المسلم وذلّة بالنسبة إلى الكافر الذي لا احترام له ، وهو كالأنعام بل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الكلام من باب استخراج الحكم الشرعي بالظنّ والتخمين كي يكون مشمولا للأدلّة الناهية عن العمل بالظنّ والقول بغير علم والافتراء على اللّه ، بل هو من قبيل تنقيح المناط القطعي بل يكون استظهارا من الأدلّة اللفظيّة القطعيّة كما تقدّم شرحه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أنّ هذا الوجه أحسن الوجوه للاستدلال على هذه القاعدة ؛ لأنّه ممّا يركن النفس إليه ويطمئنّ الفقيه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هناك مصلحة أهمّ للإسلام أو المسلمين يكون سببا لجعل حكم يكون موجبا لعلوّ الكافر على المسلم في بعض الأحيان ، كما أنّه ربما يجعل حكما يكون موجبا لا فناء جماعة من المسلمين ، كما في مورد تترس الكفّار بالمسلمين ، والمسألة مذكورة في كتاب الجهاد مشروحا مفصّلا ، وسنذكر إن شاء اللّه تعالى بعض موارد الاستثناء عن هذه القاعدة لمصلحة وملاك أهمّ</w:t>
      </w:r>
      <w:r>
        <w:rPr>
          <w:rFonts w:eastAsia="Amiri" w:cs="Amiri" w:ascii="Amiri" w:hAnsi="Amiri"/>
          <w:color w:val="111111"/>
          <w:sz w:val="28"/>
          <w:szCs w:val="28"/>
          <w:rtl w:val="true"/>
          <w:lang w:bidi="ar-SA"/>
        </w:rPr>
        <w:t xml:space="preserve">. </w:t>
      </w:r>
      <w:bookmarkStart w:id="197" w:name="pg15902_182375"/>
    </w:p>
    <w:p>
      <w:pPr>
        <w:pStyle w:val="Heading3"/>
        <w:numPr>
          <w:ilvl w:val="2"/>
          <w:numId w:val="1"/>
        </w:numPr>
        <w:rPr/>
      </w:pPr>
      <w:bookmarkStart w:id="198" w:name="__RefHeading___Toc15519196_2142443653"/>
      <w:bookmarkStart w:id="199" w:name="_Toc64"/>
      <w:bookmarkEnd w:id="197"/>
      <w:bookmarkEnd w:id="198"/>
      <w:r>
        <w:rPr>
          <w:rtl w:val="true"/>
        </w:rPr>
        <w:t xml:space="preserve">الجهة الثانية </w:t>
      </w:r>
      <w:r>
        <w:rPr>
          <w:rtl w:val="true"/>
        </w:rPr>
        <w:t xml:space="preserve">: </w:t>
      </w:r>
      <w:r>
        <w:rPr>
          <w:rtl w:val="true"/>
        </w:rPr>
        <w:t>في بيان مضمون هذه القاعدة ومفادها ، وما هو المراد منها</w:t>
      </w:r>
      <w:bookmarkEnd w:id="19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شرحه في الجهة الأولى في مقام الاستدلال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لم يجعل اللّه تبارك وتعالى في التشريع الإسلامي حكما يكون من ناحية ذلك الحكم سبيلا وعلوّا للكافر على المسلم ، ففيما حكينا ونقلنا عن الفقيه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والكفّار بمنزلة الموتى لا يحجبون ولا يورثون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صريحة على عدم الاعتناء بشأنهم ، وتنزيلهم منزلة الأموات في عدم استحقاقهم الإرث من المورث المسلم ، فعلى فرض ثبوت هذه القاعدة بتلك الأدلّة المذكورة تكون حاكمة على العمومات الأوّليّة وإطلاقاتها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أو سائر آيات الإرث مثلا عام يشمل الوارث الكافر والمسلم ، وهذه القاعدة حاكمة على تلك العمومات ؛ لما ذكرنا من قوله صلی اللّه علیه و آله وجعلهم بمنزلة الموتى ، فتكون نتيجة هذه الحكومة تخصيص الإرث بالوارث المسلم وحرمان الكافر ، وعلى هذا فقس في موارد سائر العمومات والإطلاقات</w:t>
      </w:r>
      <w:r>
        <w:rPr>
          <w:rFonts w:eastAsia="IRNazanin" w:cs="IRNazanin"/>
          <w:color w:val="111111"/>
          <w:sz w:val="28"/>
          <w:szCs w:val="28"/>
          <w:rtl w:val="true"/>
          <w:lang w:bidi="fa-IR"/>
        </w:rPr>
        <w:t>.</w:t>
      </w:r>
    </w:p>
    <w:p>
      <w:pPr>
        <w:pStyle w:val="Heading3"/>
        <w:numPr>
          <w:ilvl w:val="2"/>
          <w:numId w:val="1"/>
        </w:numPr>
        <w:rPr/>
      </w:pPr>
      <w:bookmarkStart w:id="200" w:name="__RefHeading___Toc15519198_2142443653"/>
      <w:bookmarkStart w:id="201" w:name="_Toc65"/>
      <w:bookmarkEnd w:id="200"/>
      <w:r>
        <w:rPr>
          <w:rtl w:val="true"/>
        </w:rPr>
        <w:t xml:space="preserve">الجهة الثالثة </w:t>
      </w:r>
      <w:r>
        <w:rPr>
          <w:rtl w:val="true"/>
        </w:rPr>
        <w:t xml:space="preserve">: </w:t>
      </w:r>
      <w:r>
        <w:rPr>
          <w:rtl w:val="true"/>
        </w:rPr>
        <w:t>في ذكر جملة من موارد تطبيق هذه القاعدة</w:t>
      </w:r>
      <w:bookmarkEnd w:id="20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بأيّ نحو من أنحاء التملّك الاختياري ، سواء أكان بالشراء ، أو كان بالصلح ، أو بالهبة ، أو بأيّ ناقل شرعي ؛ </w:t>
      </w:r>
    </w:p>
    <w:p>
      <w:pPr>
        <w:pStyle w:val="BookText"/>
        <w:rPr/>
      </w:pPr>
      <w:r>
        <w:rPr>
          <w:rFonts w:ascii="Amiri" w:hAnsi="Amiri" w:eastAsia="Amiri" w:cs="Amiri"/>
          <w:color w:val="111111"/>
          <w:sz w:val="28"/>
          <w:sz w:val="28"/>
          <w:szCs w:val="28"/>
          <w:rtl w:val="true"/>
          <w:lang w:bidi="ar-SA"/>
        </w:rPr>
        <w:t xml:space="preserve">وذلك من جهة أنّه على تقدير ثبوت هذه القاعدة فما ذكر أى عدم جواز انتقال العبد المسلم إلى الكافر ، يكون من أوضح مصاديق هذه القاعدة ؛ لأنّه أيّ سبيل وعلوّ يكون أعظم من كون المسلم عبدا مملوكا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وَهُوَ كَلٌّ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لو تملّكه بالملك القهري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كالإرث فيما إذا كان المورث أيضا كافرا ، أو أسلم في ملك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يجبر على البيع ولا يقرّ يده عليه ، بل يباع عليه ، ولا يعتنى بمولاة ، كما هو صريح ما قاله أمير المؤمنين علیه السلام في عبد كافر أسلم وهو في ملك مولاه الكافر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المرسل عن حمّاد بن عيسى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أتي بعبد ذمّي قد أسلم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فبيعوه من المسلمين وادفعوا ثمنه إلى صاحبه ولا تقرّوه عنده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شيخنا الأعظم قدس 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هذه القاعدة بعموم أدلّة صحّة البيع ، ووجوب الوفاء بالعقود ، وحلّ أكل المال بالتجارة عن تراض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فيدفع بما ذكرنا في الجهة الثانية من حكومة هذه القاعدة على العمومات الأوّليّة وإطلاقاتها ؛ لأنّه صلی اللّه علیه و آله جعلهم بمنزلة الموتى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والكفّار بمنزلة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فالكفّار خارجون عن تحت تلك العمومات والإطلاقات خروجا تعبّديّا ، وهذا معنى حكومة القاعدة عليها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وسائر المناقشات التي أوردها في هذا المقام واضح الدفع ، ولذلك تركنا ذكرها والإيراد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قربه من تفسير السبيل بما لا يشمل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 السلطنة ، فيحكم بتحقّق الملك وعدم تحقّق السلطنة ، بل يكون محجورا عليه مجبورا على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خلل ؛ لما تقدّم منّا من أنّ نفس المملوكيّة للكافر سبيل له عليه ، وإن كان محجورا عن التصرف فيه ومجبورا على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فبيعوه من المسلمين ولا تقروه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المنفي استقرار الملك لا أصل الملك ، وإلاّ لا معنى لدفع الثمن إليه ، أي إلى مولاه الكافر بعد بيعه ، بل لا معنى لبيعه ، لأنّه لا بيع إلاّ في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مالك لماليّته لا لنفس العبد ، نظير ما قيل في إرث الزوجة بالنسبة إلى الأبنية الموجودة في دار زوجها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المعنى لا يبقى إشكال في شراء الكافر العبد المسلم الذي ينعتق عليه ، أو الأمة المسلمة التي تنعتق عليه ؛ لأنّ الملكيّة المتعقّبة بالانعتاق فورا ليست ملكيّة مستقرّة حتّى تكون منفيّة ، ولا يحتاج إلى التكلّف والقول بأنّ المراد من السبيل المنفي هي السلطنة لا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مرادهم إن كان أنّ الملكيّة التي حجر على المالك من التصرّف في المملوك ليست سبيلا للكافر على العبد المسلم ، وتكون خارجة عن تحت هذا المفهوم ، وليست مصداقا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هو الذي بيّنّا فساده وقلنا إنّ نفس الملكيّة أعظم سبيل مضافا إلى أنّه على فرض تسليم أنّها ليست من مصاديق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من السبيل هي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إنكار كونها علوّا منفيّا بقوله صلی اللّه علیه و آله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مرادهم أنّ مثل هذه الملكيّة خارجة عن تحت السبيل المنفي في الآية حكما ، لا موضوعا كي يكون تخصيصا لا أن يكون تخصّصا ، كما أنّه كذلك في الفرض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التخصيص المنافي لأصالة العموم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القدر المتيقّن من الخروج عن عموم الآية تخصيصا أو تخصّصا وكذلك عن عموم الحديث الشريف ، هو خصوص الملكيّة غير المستقرّة ، لا مطلق الملكيّة التي حجر على مالكها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يتوهّم أنّ أمره علیه السلام ببيع العبد الذمّي الذي أسلم عند مولاه الكافر من المسلمين يدلّ على عدم سقوط الملكيّة المستقرّة ، وإلاّ كان ينعتق على مولاه الكافر ، فلم يكن مجال لبيعه وإعطاء ثمنه له ، لأنّك قد عرفت أنّ هذا المقدار من الملكيّة الموقّتة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بقاء إلى زمان تحقّق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عن تحت العموم تخصيصا ، والمخصّص هو هذه الرواية ، أي رواية حمّاد بن عيسى ، فلا يبقى إشكال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بعد ما عرفت ما ذكرنا يظهر لك أنّه لا فرق في شمول الآية والحديث الشريف بين أنواع الانتقالات بالأسباب الاختياريّة إلى الكافر ، فكما لا يجوز بيعه منه كذلك لا يجوز سائر الانتقالات الاختياريّة بأيّ سبب كان ، من النواقل الشرعيّة الاختياريّة من صلح أو هبة أو وصيّة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ظهر لك ممّا ذكرنا أنّه لا مجال لاستصحاب الصحّة فيما إذا كان كفر المشترى مسبوقا بالإسلام ، أو إسلام العبد كان مسبوقا بالكفر ؛ لأنّه مضافا إلى أنّ هذا الاستصحاب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عدم صحة استصحاب التعليقي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للاستصحاب ولو لم يكن من الاستصحاب التعليقي ؛ لعدم مجال لجريان الاستصحاب الذي هو أصل عملي وإن كان تنزيليا ، لوجود الأمارة على خلافه ، وهي الآية والرواية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عدم دلالة الآية والرواية على فساد البيع ، أو الشكّ فيها ، فأيضا لا مجال لاستصحاب الصحّة ؛ لحكومة أدلّة عمومات صحّة العقود وإطلاقاتها على هذا </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أنّه هل يجوز إجارة العبد المسلم ، أو أمة المسلمة على الكافر ، أو لا تصحّ؟</w:t>
      </w:r>
    </w:p>
    <w:p>
      <w:pPr>
        <w:pStyle w:val="BookText"/>
        <w:rPr/>
      </w:pP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بعدم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بالجواز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بالتفصيل بين أن يكون وقوع الإجارة على الذمّة فلا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جامع المقاصد </w:t>
      </w:r>
      <w:r>
        <w:rPr>
          <w:rStyle w:val="FootnoteAnchor"/>
          <w:rtl w:val="true"/>
        </w:rPr>
        <w:footnoteReference w:id="201"/>
      </w:r>
      <w:r>
        <w:rPr>
          <w:rFonts w:ascii="Amiri" w:hAnsi="Amiri" w:eastAsia="Amiri" w:cs="Amiri"/>
          <w:color w:val="111111"/>
          <w:sz w:val="28"/>
          <w:sz w:val="28"/>
          <w:szCs w:val="28"/>
          <w:rtl w:val="true"/>
          <w:lang w:bidi="ar-SA"/>
        </w:rPr>
        <w:t xml:space="preserve">والمسالك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وقوعها على العمل الخارجي فلا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تفصيل بين الحرّ والعبد ، فتصح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هذا التفصيل عن الدروس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هذه التفاصيل والأقوال هو صدق العلوّ والسبيل في بعض الصور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هذه الوجوه والأقوال في هذه المسألة كلّها ليس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ربما تكون إجارة العبد المسلم للخدمة عند الكافر موجبا لسلطنة الكافر عليه ، ولا شكّ في أنّ سلطنة الكافر عليه سبيل وعلوّ عليه بالمعنى الذي ذكرنا للسبيل والعلو ، فلا يمكن القول بصحّتها مطلقا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وجه له ، كما أنّ الكافر لو </w:t>
      </w:r>
    </w:p>
    <w:p>
      <w:pPr>
        <w:pStyle w:val="BookText"/>
        <w:rPr/>
      </w:pPr>
      <w:r>
        <w:rPr>
          <w:rFonts w:ascii="Amiri" w:hAnsi="Amiri" w:eastAsia="Amiri" w:cs="Amiri"/>
          <w:color w:val="111111"/>
          <w:sz w:val="28"/>
          <w:sz w:val="28"/>
          <w:szCs w:val="28"/>
          <w:rtl w:val="true"/>
          <w:lang w:bidi="ar-SA"/>
        </w:rPr>
        <w:t>استأجره للتعلّم عنده فليس هناك علوّ أو سبيل للمستأجر الكافر على المسلم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استحقاقه التعليم عليه بواسطة عقد الإجارة ليس علوّا عليه قطعا ، وإلاّ ينسدّ باب جملة من المعاملات بين الكافر وبين المسلم إن لم نقل بانسداد أبواب جميعها ، بل ربما يكون بعض الإجارات الواقعة بينهما عزّا وعلوّا للمسلم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الثالث ، أي التفصيل بين الوقوع على الذمّة فتصحّ ، والوقوع على العمل الخارجي فلا تصحّ ؛ من جهة أنّ اشتغال ذمّة المسلم للكافر علوّ وسبيل له على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كلّ اشتغال ذمّة علو وسبيل من الذي اشتغلت الذمّة له على من اشتغلت ذمّته ، بل ربما يكون بالعكس ، كما ذكرنا في مسألة الإجارة على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مضافا إلى القطع بوقوع معاملات بين المسلمين وبين الكفّار مع اشتغال ذمّة المسلمين لهم من زمان صاحب الشريعة صلی اللّه علیه و آله إلى زماننا هذا ، بل ربما كان يقع مثل هذه المعاملة بين نفسه صلی اللّه علیه و آله وبينهم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التفصيل بين الحرّ والعبد وإن كان له وجه ، من جهة أنّ العبد مملوك ويقع تحت اليد ، فبعد أن استأجره الكافر من مولاه وتسلمه للعمل عنده خصوصا إذا كان للخدمة بل يكون خادما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صدق السبيل والعلوّ لأنّ معنى اليد هي السيطرة والسلطنة الخارجيّة على الشي‌ء ولو كان غاصبا ، فضلا عمّا إذا كانت يده عليه بحقّ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هذا المعنى لا يختصّ بإجارة العبد ، بل ربما تحصل السيطرة والسلطنة العرفيّة وإن لم يكن عبدا ، كما لو آجر الولي الطفل غير البائع على الكافر ، خصوصا إذا كان للخدمة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يحصل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السيطرة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حرّا بالغا ، كما لو كانت الحرّة امرأة استأجرها الكافر لأن تكون خادمة في </w:t>
      </w:r>
    </w:p>
    <w:p>
      <w:pPr>
        <w:pStyle w:val="BookText"/>
        <w:rPr/>
      </w:pP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ليس المناط في عدم الجواز سيطرة الكافر على المسلم ، بل المناط كلّ المناط في عدم صحّة الإجارة هو حصول العلوّ والسبيل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في بعض الموارد يحصل العلوّ والسبيل للكافر على المسلم ، سواء أكان الأجير حرّا أو عبدا ، كما لو كان المسلم خادما أو خادمة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لا شكّ في عدم حصول هذين الأمرين مطلقا ، أي سواء أكان الأجير حرّا أو عبدا ، كما أنّه لو استأجر الكافر مسلما لتعليم نفسه أو أولاده ، أو طبيبا مسلما لمعالجة نفسه أو مرضاة ، بل ربما يكون في بعض الموارد عزّا وعلوّا للمسلم الأجير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ينظر إلى موارد الإجارات وأنّه هل يحصل من كون المسلم أجيرا للكافر ذلاّ وهوانا له بحيث يكون الكافر علوّا عليه من ناحية هذه الإجارة أم لا؟</w:t>
      </w:r>
    </w:p>
    <w:p>
      <w:pPr>
        <w:pStyle w:val="BookText"/>
        <w:rPr/>
      </w:pPr>
      <w:r>
        <w:rPr>
          <w:rFonts w:ascii="Amiri" w:hAnsi="Amiri" w:eastAsia="Amiri" w:cs="Amiri"/>
          <w:color w:val="111111"/>
          <w:sz w:val="28"/>
          <w:sz w:val="28"/>
          <w:szCs w:val="28"/>
          <w:rtl w:val="true"/>
          <w:lang w:bidi="ar-SA"/>
        </w:rPr>
        <w:t>ففي الأوّل لا تصحّ الإجارة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الحرّ والعبد ، ولا بين أن يكون وقوع الإجارة على ما في الذمّة أو على العمل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الإعارة ، فحيث أنّه لا بدّ وأن يكون المعار مملوكا ، فالتفصيل الذي كان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التفصيل الذي كان في الإجارة بين أن يكون واقعا على الذمّة أو واقعا على العمل الخارجي ، لعدم اشتغال ذمّة المعير بشي‌ء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فالحقّ في إعارة العبد المسلم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كانت مستلزمة لذلّ المسلم وهوانا بالنسبة إلى الكافر ، أو كانت موجبة لعلوّ الكافر فلا تصحّ ، كما أنّه لو أعاره عبده المسلم أو أمته المسلمة ليكون خادما أو خادمة في بيته ، أو شغل آخر من الأشغال الذي يكون موجبا لعلوّ الكافر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لم يكن كذلك ، بل ربما كانت موجبة لعزّ المسلم وعلوّه على الكافر ، كما أنّه لو أعار عبده المسلم لتعليمه ، أو معالجته ، أو معالجة مرضاة فلا إشكال فيه ، وتكون من هذه الجهة حال الإعارة حال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الإشكال الذي ذكرناه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الأجير إذا كان عبدا فيقع تحت يد الكافر وسيطرته فيكون علوّا للكافر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هاهنا أيضا ، ولكن الجواب هو الذي ذكرنا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أنّ العارية تسليط المستعير على العين المملوكة للانتفاع بها ، فتكون نتيجتها علوّ المستعير على تلك العين ، وسبيل للكافر عليها إذا كانت عين المستعارة عبدا مسلما أو أمة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الارتهان عنده ، فقد منع عنه في القواعد </w:t>
      </w:r>
      <w:r>
        <w:rPr>
          <w:rStyle w:val="FootnoteAnchor"/>
          <w:rtl w:val="true"/>
        </w:rPr>
        <w:footnoteReference w:id="204"/>
      </w:r>
      <w:r>
        <w:rPr>
          <w:rFonts w:ascii="Amiri" w:hAnsi="Amiri" w:eastAsia="Amiri" w:cs="Amiri"/>
          <w:color w:val="111111"/>
          <w:sz w:val="28"/>
          <w:sz w:val="28"/>
          <w:szCs w:val="28"/>
          <w:rtl w:val="true"/>
          <w:lang w:bidi="ar-SA"/>
        </w:rPr>
        <w:t xml:space="preserve">والإيضاح </w:t>
      </w:r>
      <w:r>
        <w:rPr>
          <w:rStyle w:val="FootnoteAnchor"/>
          <w:rtl w:val="true"/>
        </w:rPr>
        <w:footnoteReference w:id="205"/>
      </w:r>
      <w:r>
        <w:rPr>
          <w:rFonts w:ascii="Amiri" w:hAnsi="Amiri" w:eastAsia="Amiri" w:cs="Amiri"/>
          <w:color w:val="111111"/>
          <w:sz w:val="28"/>
          <w:sz w:val="28"/>
          <w:szCs w:val="28"/>
          <w:rtl w:val="true"/>
          <w:lang w:bidi="ar-SA"/>
        </w:rPr>
        <w:t xml:space="preserve">مطلقا ، وجوّز بعض مطلقا ، وفصّل الشيخ الأعظم قدس سره بين أن يكون العبد المسلم المرهون عند مسلم حسب رضاء الطرفين ، وبين أن يكون تحت يد الكافر فجوّز في الأوّل ، ومنع في الثاني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هو الجواز مطلقا ؛ لما ذكرنا في إجارة وإعارته بأنّ صرف كونه تحت يد الكافر ليس علوّا وسبيلا للكافر عليه ، بل صرف وثيقة لاستيفاء دينه منه عند عدم أداء الراهن ، والمباشر للبيع ليس هو الكافر كي يكون هذا سبيلا عليه ، بل هو المالك أو الحاكم عند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الاستيداع عنده ، فالظاهر عدم الإشكال فيه ؛ لأنّ صرف تسليطه على حفظه ليس علوّا وسبيلا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تسلّطه عليه بكونه في مكان خاصّ وعدم خروجه عنه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التسلّط بجعل المالك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علوّا وسبيلا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وقف العبد المسلم على الكافر ، فقد يقال بأنّ حال الوقف حال الإجارة فيما ذكرنا من الأقوال ، من المنع مطلقا ، والجواز كذلك ، والتفصيل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واخترنا من المنع فيما يوجب الذلّ والهوان وعلوّ الكافر وسبيله على المسلم ، والجواز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بناء على القول يكون العين الموقوفة ملكا للموقوف عليهم فلا تصحّ مطلقا ؛ لأنّ نفس كون المسلم ملكا للكافر علوّ للكافر عليه ، وأي علوّ أعظم من كونه مالكا والمسلم مملوكا له ، وقد تقدّم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كون عين الموقوفة ملكا للموقوف عليهم فلا بأس بما اخترناه من التفصيل ، كما أنّه لو وقف عبده المسلم على تعليم أقاربه الكفّار أو معالجة مرضاهم فلا منع وأمّا لو وقف على خدمتهم بأن يكون خادما أو خادمة في بيتهم مثلا فلا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فرق فيما ذكرنا من موارد الجواز والمنع بين فرق المسلمين ممّن يقرّون ويعترفون بنبوّة نبيّنا محمّد صلی اللّه علیه و آله وأنّ كلّما جاء به من الأحكام الشرعيّة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والإيمان هو شهادة أن لا إله إلاّ اللّه ، وأنّ محمدا رسول اللّه ، والاعتراف بوجوب الصلاة ، والزكاة ، والصوم ، والحجّ ، وبهذا تحقن الدماء ، وعليها جرت المواريث وجاز النكاح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هذا ما رواه حمران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الإيمان ما استقرّ في القلب ، وأفضى به إلى اللّه عزّ وجلّ ، وصدّقه العمل بالطاعة لله والتسليم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ما ظهر من قول أو فعل ، وهو الذي عليه جماعة الناس من الفرق كلّها ، وبه حقنت الدماء ، وعليه جرت المواريث وجاز النكاح ، واجتمعوا على الصلاة والزكاة والصوم والحج ، فخرجوا بذلك من الكفر وأضيفوا إلى الإيمان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للمؤمن فضل على المسلم في شي‌ء من الفضائل </w:t>
      </w:r>
    </w:p>
    <w:p>
      <w:pPr>
        <w:pStyle w:val="BookText"/>
        <w:rPr/>
      </w:pPr>
      <w:r>
        <w:rPr>
          <w:rFonts w:ascii="Amiri" w:hAnsi="Amiri" w:eastAsia="Amiri" w:cs="Amiri"/>
          <w:color w:val="111111"/>
          <w:sz w:val="28"/>
          <w:sz w:val="28"/>
          <w:szCs w:val="28"/>
          <w:rtl w:val="true"/>
          <w:lang w:bidi="ar-SA"/>
        </w:rPr>
        <w:t xml:space="preserve">والأحكام وغير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هما يجريان في ذلك مجرى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ما ذكره في هذا الحديث من الفرق بين المؤمن والمسلم لا يدلّ على عدم اتّحادهما ، بل المراد من الإيمان الذي وصفه علیه السلام بما ذكره من الاستقرار في القلب ، والعمل بالطاعة لله عزّ وجلّ ، والتسليم لأمره هو أعلى مراتب الإيمان والإسلام ، ولا شكّ في أنّه كان للإسلام والإيمان في زمان نزول هذه الآية معنى واحد ، وفي كثير من الموارد من القرآن العظيم استعملا بمعنى واحد ؛ فالمؤمن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يَجْعَلَ اللّهُ لِلْكافِرِينَ عَلَى الْمُؤْمِنِينَ سَبِيلاً </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يشمل جميع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هذا الحكم لأطفال الكفّار والمسلمين ، بمعنى أنّ بيع عبد المسلم من أطفال الكفّار أو بيع طفل المسلم الذي هو عبد من الكفّار هل يجوز أم لا؟</w:t>
      </w:r>
    </w:p>
    <w:p>
      <w:pPr>
        <w:pStyle w:val="BookText"/>
        <w:rPr/>
      </w:pPr>
      <w:r>
        <w:rPr>
          <w:rFonts w:ascii="Amiri" w:hAnsi="Amiri" w:eastAsia="Amiri" w:cs="Amiri"/>
          <w:color w:val="111111"/>
          <w:sz w:val="28"/>
          <w:sz w:val="28"/>
          <w:szCs w:val="28"/>
          <w:rtl w:val="true"/>
          <w:lang w:bidi="ar-SA"/>
        </w:rPr>
        <w:t xml:space="preserve">الظاهر هو الشمول من الطرفين ، أي لا يجوز بيع أطفال المسلمين الذين هم عبيد من الكفّار ، ولو كان المشتري الكافر طفلا ؛ لوحدة الملاك والمناط ولو قلنا بعدم شمول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لأطفال الطرفين ، مع أنّه لا وجه للقول بعدم الشمول ؛ لأنّه أيّ فرق في نظر العرف بين من كان عمره أقلّ بساعة عن حدّ البلوغ وبين من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يدّعي أنّ الشارع استعمل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بالغا وأظهر الاعتقاد بما ذكرنا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البالغ غير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هذه الادّعاء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استثنوا من عدم جواز بيع العبد المسلم على الكافر موارد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الشراء سببا للانعتاق ، أي كان العبد أو الأمة ممّن ينعتق على المشتري الكافر ، لكونه من أقاربه الذين شرع هذا الحكم في حقّهم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أنت خبير أنّ خروج هذا المورد عن تحت عموم الآية والحديث الشريف بالتخصّص لا بالتخصيص ، ويكون خروجا موضوعيّا ؛ لما ذكرنا من أنّ المراد من السبيل نفي الملكيّة المستقرّة ، فالملكيّة غير المستقرّة التي هي موضوع للانعتاق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ملكوا أعتقوا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ملكن أعتقن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نسبة الحكم والموضوع كنسبة العلّة والمعلول التقدّم والتأخر بينهما رتبي ، وإلاّ فحسب الزمان لا بدّ وأن يكونا متّحدين ، فمثل هذه الملكيّة لا يعدّ سبيلا وتكون خارجة عن مفهوم السبيل بل العلوّ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الشي‌ء لا يمكن أن يكون علّة انعدام نفسه ، فكيف صارت الملكيّة سببا للانعتاق؟</w:t>
      </w:r>
    </w:p>
    <w:p>
      <w:pPr>
        <w:pStyle w:val="BookText"/>
        <w:rPr/>
      </w:pPr>
      <w:r>
        <w:rPr>
          <w:rFonts w:ascii="Amiri" w:hAnsi="Amiri" w:eastAsia="Amiri" w:cs="Amiri"/>
          <w:color w:val="111111"/>
          <w:sz w:val="28"/>
          <w:sz w:val="28"/>
          <w:szCs w:val="28"/>
          <w:rtl w:val="true"/>
          <w:lang w:bidi="ar-SA"/>
        </w:rPr>
        <w:t>وذلك من جهة ما قلنا إنّ الملكيّة موضوع للانعتاق ، بمعنى أنّ الشارع حكم على ما صار ملكا له بالانعتاق ، ولعلّه هذا هو المراد من قولهم بالملكيّة آنا مّا ، وإن كان لا يخلو عن مسامحة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ذكرنا لا يبقى مجال لعدّ هذا المورد من موارد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بحرية مسلم ثمَّ اشتراه ، وأنّه يؤخذ بإقراره ويصير حرّا ظاهرا ، وإن كان بحسب الواقع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يردها هنا إشكال ، وهو العلم بفساد البيع إمّا لكونه حرّا ، وإمّا لكفر المشتري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كونه واقعا عبدا فالبيع صحيح وليس كفر المشتري مانعا عن صحّة مثل هذا البيع ، لعدم صدق السبيل مع الأخذ بإقراره وصيرورته حرّا ولو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قال الكافر لمالك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 لأنّه لا يمكن العتق عن الكافر إلاّ بالدخول في ملكه ، إذ 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صحّة عتق عبده المسلم عن قبل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العتق عن قبل شخص على كون ذلك الشخص مالكا ، لا بدّ وأن يقال باستثناء هذا المورد أيضا عن عموم عدم جواز بيع العبد المسلم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أيضا يرجع إلى ملكيّة غير المستقرّة ؛ لأنّه بإنشاء العتق يجعله ملكا للكافر ويعتق عن قبله ، فالعتق عن قبل الكافر بالدلالة المطابقة ، وجعله مالكا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خروج الملكيّة غير المستقرّة عن تحت هذه القاعدة يكون بالتخصيص لا بالتخصّص ، فلا مورد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اشترط البائع العبد المسلم على الكافر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الدروس </w:t>
      </w:r>
      <w:r>
        <w:rPr>
          <w:rStyle w:val="FootnoteAnchor"/>
          <w:rtl w:val="true"/>
        </w:rPr>
        <w:footnoteReference w:id="210"/>
      </w:r>
      <w:r>
        <w:rPr>
          <w:rFonts w:ascii="Amiri" w:hAnsi="Amiri" w:eastAsia="Amiri" w:cs="Amiri"/>
          <w:color w:val="111111"/>
          <w:sz w:val="28"/>
          <w:sz w:val="28"/>
          <w:szCs w:val="28"/>
          <w:rtl w:val="true"/>
          <w:lang w:bidi="ar-SA"/>
        </w:rPr>
        <w:t xml:space="preserve">والروضة </w:t>
      </w:r>
      <w:r>
        <w:rPr>
          <w:rStyle w:val="FootnoteAnchor"/>
          <w:rtl w:val="true"/>
        </w:rPr>
        <w:footnoteReference w:id="211"/>
      </w:r>
      <w:r>
        <w:rPr>
          <w:rFonts w:ascii="Amiri" w:hAnsi="Amiri" w:eastAsia="Amiri" w:cs="Amiri"/>
          <w:color w:val="111111"/>
          <w:sz w:val="28"/>
          <w:sz w:val="28"/>
          <w:szCs w:val="28"/>
          <w:rtl w:val="true"/>
          <w:lang w:bidi="ar-SA"/>
        </w:rPr>
        <w:t>بالاستثناء عن عموم 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صرف الشرط لا يوجب الخروج عن تحت عموم السبيل ، وإلاّ فبدون الشرط أيضا يجب أن يبيعه من مسلم بل يباع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أنّه إن كان الشرط بنحو شرط النتيجة فخارج عن العموم ؛ لأنّه بمحض البيع على الكافر تقع النتيجة ويصير حرّا ، فليس إلاّ من الملكيّة غير المستقرّة ، وقد عرفت خروجه عن تحت العموم بالتخصّص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الأمور المترتّبة على هذه القاعدة ومن موارد تطبيقها عدم ثبوت الولاية للكافر على المسلم وأن يكون له تحكّم عليه ، فلا يجوز جعله قيّما على صغار المسلمين وسفهائهم ، بل ومجانينهم ، وكما لو كان الميّت المسلم له أولاد كفّار ، فليس لهم الولاية في تجهيزه ودفنه وكفنه ، فلا تتوقّف هذه الأمور على إذنهم ، بل يكون الأمر </w:t>
      </w:r>
    </w:p>
    <w:p>
      <w:pPr>
        <w:pStyle w:val="BookText"/>
        <w:rPr/>
      </w:pPr>
      <w:r>
        <w:rPr>
          <w:rFonts w:ascii="Amiri" w:hAnsi="Amiri" w:eastAsia="Amiri" w:cs="Amiri"/>
          <w:color w:val="111111"/>
          <w:sz w:val="28"/>
          <w:sz w:val="28"/>
          <w:szCs w:val="28"/>
          <w:rtl w:val="true"/>
          <w:lang w:bidi="ar-SA"/>
        </w:rPr>
        <w:t>راجعا إلى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نفي السبيل للكافرين على المؤمنين في الآية الشريفة ، ولا شكّ في أنّ الولاية والتأمّر والتحكّم على المسلمين سبيل وعلوّ من الكفّار عليهم فمنفيّ بالآية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صحّة نذر الولد المسلم على إذن أبيه الكافر ، بناء على توقف صحّة نذر الولد على اذن الوالد المسلم ، وعدم تمكّن الوالد الكافر من حلّ نذر ولده المسلم ، وإن قلنا بأنّ للوالد المسلم حلّ نذر ولده ؛ وذلك من جهة أنّ تمكّنه من حلّ نذره أو توقّف صحّة نذره على إذن والده الكافر سبيل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جعله متولّيا على الوقف الذي راجع الى المسلمين ، كالمدارس الدينيّة التي وقف على طلاّب العلوم الدينيّة ، فكون الكافر متوليّا عليها يرجع إلى أنّ دخول الطلاّب فيها وبقائهم فيها يكون بإذن ذلك الكافر المتولّي ، وفي أيّ وقت له حقّ أن يخرج الطالب عن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كون الكافر متوليّا على المستشفى الذي يكون وقفا على مرضى المسلمين ، ومعلوم أنّ جعل الكافر متولّيا على ذلك المستشفى أو تلك المدارس يرجع إلى أن يكون له السبيل على المسلمين ، فلا يجوز بحيث يكون الخروج والدخول فيها بإذن ذلك المتولّي سبيل للكافر على المسلم وعلوّ له عليه ، المنفيّان بالآية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والكلام في المدارس التي توقّف على أولاد المسلمين لتربيتهم وتعليمهم ، بل الكلّيات كذلك ، فلا يجوز جعل الكافر عميدا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عدم الجواز في هذه الموارد عدم الصحّة ، لا الحرمة التكليفية فقط ؛ لأنّ جعل الصحّة من طرف الشارع في هذه الموارد يلزم منه السبيل والعلوّ للكافر على المسلم ، وقد بيّنّا في معنى الآية أنّ ظاهرها عدم تشريع الشارع حكما يلزم من ذلك التشريع والجعل سبيل للكافر على المسلم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حق الشفعة والأخذ بها للكافر فيما إذا كان المشتري مسلما </w:t>
      </w:r>
    </w:p>
    <w:p>
      <w:pPr>
        <w:pStyle w:val="BookText"/>
        <w:rPr/>
      </w:pPr>
      <w:r>
        <w:rPr>
          <w:rFonts w:ascii="Amiri" w:hAnsi="Amiri" w:eastAsia="Amiri" w:cs="Amiri"/>
          <w:color w:val="111111"/>
          <w:sz w:val="28"/>
          <w:sz w:val="28"/>
          <w:szCs w:val="28"/>
          <w:rtl w:val="true"/>
          <w:lang w:bidi="ar-SA"/>
        </w:rPr>
        <w:t>ولو كان البائع كافرا ؛ وذلك من جهة أنّ جعل هذا الحقّ له يلزم منه أن يكون للكافر حق انتزاع ملكه ، أي المشتري المسلم من يده قهرا عليه ورغما على أنفه ، فهذا الجعل يلزم منه السبيل والعلوّ للكافر على المسلم ، فمنفي بالآية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لزوم هذا الأمر بين أن يكون البائع مسلما أو كافرا ؛ لأنّ الشفيع يتلقّى الملك من المشتري ، ولا علاقة له بالبائع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نكاح الكافر تبطل بإسلامها إن لم يسلم الزوج الكافر في العدّة ، إذ بقاء الزوجيّة مع كفر الزوج يرجع إلى علوّ الكافر على الزوجة المسلمة وأن يكون له سبيل عليها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بعض المفسّرين في شأن نزول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سعد بن الربيع بن عمرو ، وكان من النقباء وفي امرأته حيبة بنت زيد بن أبي وقّاص ، وهما من الأنصار ، وذلك أنّها نشزت عليه فلطمها فانطلق أبوها معها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أفرشته كريمتي فلطمها ،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لتقتص من زوجها وانصرفت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ارجعوا ، هذا جبرئيل أتاني وأنزل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أردنا أمرا وأراد اللّه أمرا ، والذي أراد اللّه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أنت خبير بأنّ هذا النقل لا يخلو عن إشكال ، فإنّ النبي صلی اللّه علیه و آله لا يفتي بغير ما أراد اللّه ، وعلى كلّ حال تدلّ الآية على علوّ الرّجال على النساء ، وعليهن أن ينهين بنهيهنّ ، ولا يخالفن أزواجهنّ فيما إذا أرادوا منهنّ البضع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الطبري في تفسيره روايات عن أشخاص متعدّدة في تفسير هذه الآية الشريفة ، كلّها يظهر منها أنّ الرجل له حقّ تأديب زوجته ، حتّى أنّه حكي عن الزهري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وامرأته قصاص فيما دون النفس ، فمثل هذه السلطنة التي موضوعها الزوجيّة لا يمكن أن يكون مجعولا للكافر ، فيدور الأمر بين أن </w:t>
      </w:r>
    </w:p>
    <w:p>
      <w:pPr>
        <w:pStyle w:val="BookText"/>
        <w:rPr/>
      </w:pPr>
      <w:r>
        <w:rPr>
          <w:rFonts w:ascii="Amiri" w:hAnsi="Amiri" w:eastAsia="Amiri" w:cs="Amiri"/>
          <w:color w:val="111111"/>
          <w:sz w:val="28"/>
          <w:sz w:val="28"/>
          <w:szCs w:val="28"/>
          <w:rtl w:val="true"/>
          <w:lang w:bidi="ar-SA"/>
        </w:rPr>
        <w:t>يخصّص إحدى هاتين الآيتين ، ولا مخصّص في البين وكلتيهما آبيتان عن التخصيص ، فلا بدّ وأن يقال بارتفاع منشأ هذه السلطة حدوثا وبقاء ، أي حدوث الزوجيّة بينهما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التقاطة الطفل المحكوم بإسلامه ، لعدم مجي‌ء ذلك الطفل تحت يده ، فتكون يده عليه شبه اليد العادية ؛ لأنّ الإسلام 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حقّ القصاص للكافر على المسلم ، مثلا لو قتل مسلم مسلما عمدا وكان للمسلم المقتول ولدا كافرا ، سواء أكان وحده أو معه أولاد مسلمين ، فإذا كان غيره وارث مسلم فيختصّ ذلك الوارث المسلم بحقّ القصاص ، وإن لم يكن وارث آخر وكان وحده يسقط حقّ القصاص بالمرة ، أو يرجع أمره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الموارد التي تنطبق هذه القاعدة عليها ، والفقيه المتتبع يجد موارد كثيرة تركنا ذكرها ، والعمدة تنقيح هذه الكبرى من حيث مفادها وتحصيل الدليل لإثباتها ، وإلاّ فبعد تمامية هذين الأمرين لا يستصعب على الفقيه المتتبّع تعيين مواردها وتطبيقها عليها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5902_182391"/>
      <w:bookmarkStart w:id="203" w:name="pg15902_182391"/>
      <w:bookmarkEnd w:id="203"/>
    </w:p>
    <w:p>
      <w:pPr>
        <w:pStyle w:val="Heading2"/>
        <w:numPr>
          <w:ilvl w:val="1"/>
          <w:numId w:val="1"/>
        </w:numPr>
        <w:rPr/>
      </w:pPr>
      <w:bookmarkStart w:id="204" w:name="pg15902_182391"/>
      <w:bookmarkStart w:id="205" w:name="__RefHeading___Toc15519200_2142443653"/>
      <w:bookmarkStart w:id="206" w:name="_Toc66"/>
      <w:bookmarkEnd w:id="204"/>
      <w:bookmarkEnd w:id="205"/>
      <w:r>
        <w:rPr/>
        <w:t>8</w:t>
      </w:r>
      <w:r>
        <w:rPr>
          <w:rtl w:val="true"/>
        </w:rPr>
        <w:t xml:space="preserve"> - </w:t>
      </w:r>
      <w:r>
        <w:rPr>
          <w:rtl w:val="true"/>
        </w:rPr>
        <w:t>قاعدة لا ضرر ولا ضرار</w:t>
      </w:r>
      <w:bookmarkEnd w:id="2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5519202_2142443653"/>
      <w:bookmarkStart w:id="208" w:name="_Toc67"/>
      <w:bookmarkEnd w:id="207"/>
      <w:r>
        <w:rPr>
          <w:rtl w:val="true"/>
        </w:rPr>
        <w:t>اشارة</w:t>
      </w:r>
      <w:bookmarkEnd w:id="2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902_182393"/>
      <w:bookmarkStart w:id="210" w:name="pg15902_182393"/>
      <w:bookmarkEnd w:id="210"/>
    </w:p>
    <w:p>
      <w:pPr>
        <w:pStyle w:val="BookText"/>
        <w:rPr/>
      </w:pPr>
      <w:bookmarkStart w:id="211" w:name="pg15902_182393"/>
      <w:bookmarkEnd w:id="211"/>
      <w:r>
        <w:rPr>
          <w:rFonts w:ascii="Amiri" w:hAnsi="Amiri" w:eastAsia="Amiri" w:cs="Amiri"/>
          <w:color w:val="111111"/>
          <w:sz w:val="28"/>
          <w:sz w:val="28"/>
          <w:szCs w:val="28"/>
          <w:rtl w:val="true"/>
          <w:lang w:bidi="ar-SA"/>
        </w:rPr>
        <w:t xml:space="preserve">قاعدة لا ضرر ولا ضرار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في شرح القاعدة الفقهيّة المشهورة المعروفة ؛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في مقامات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5519204_2142443653"/>
      <w:bookmarkStart w:id="213" w:name="_Toc68"/>
      <w:bookmarkEnd w:id="212"/>
      <w:r>
        <w:rPr>
          <w:rtl w:val="true"/>
        </w:rPr>
        <w:t xml:space="preserve">المقام الأول </w:t>
      </w:r>
      <w:r>
        <w:rPr>
          <w:rtl w:val="true"/>
        </w:rPr>
        <w:t xml:space="preserve">: </w:t>
      </w:r>
      <w:r>
        <w:rPr>
          <w:rtl w:val="true"/>
        </w:rPr>
        <w:t>في مدركها</w:t>
      </w:r>
      <w:bookmarkEnd w:id="213"/>
    </w:p>
    <w:p>
      <w:pPr>
        <w:pStyle w:val="BookText"/>
        <w:rPr/>
      </w:pPr>
      <w:r>
        <w:rPr>
          <w:rFonts w:ascii="IRNazanin" w:hAnsi="IRNazanin" w:eastAsia="IRNazanin"/>
          <w:color w:val="111111"/>
          <w:sz w:val="28"/>
          <w:sz w:val="28"/>
          <w:szCs w:val="28"/>
          <w:rtl w:val="true"/>
          <w:lang w:bidi="fa-IR"/>
        </w:rPr>
        <w:t xml:space="preserve">وهو عبارة من روايات كثيرة في كتب الفريقين يروي هذه الجملة عن رسول اللّه صلی اللّه علیه و آله وهي بمنزلة كبرى كلّيّة يطبقها صلی اللّه علیه و آله في موارد عديدة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في قضيّة سمرة بن جندب المشهورة عن ابن بكير ، عن زرارة ، عن أبي جعفر علیه السلام ، بعد نقل القضيّة أنّه صلی اللّه علیه و آله قال للأنصاري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فاقلعها </w:t>
      </w:r>
    </w:p>
    <w:p>
      <w:pPr>
        <w:pStyle w:val="BookText"/>
        <w:rPr/>
      </w:pPr>
      <w:r>
        <w:rPr>
          <w:rFonts w:ascii="Amiri" w:hAnsi="Amiri" w:eastAsia="Amiri" w:cs="Amiri"/>
          <w:color w:val="111111"/>
          <w:sz w:val="28"/>
          <w:sz w:val="28"/>
          <w:szCs w:val="28"/>
          <w:rtl w:val="true"/>
          <w:lang w:bidi="ar-SA"/>
        </w:rPr>
        <w:t xml:space="preserve">وارم بها إليه ، فإنّه لا ضرر ولا ضرار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وفي بعض طرق هذا الحديث كطريق عبد اللّه بن مسكان ، عن زرارة ، عن أبي جعفر حكاية قوله صلی اللّه علیه و آله هكذا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رجل مضارّ ، ولا ضرر ولا ضرار على مؤمن </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ففي هذا الطريق زيد على تلك الجملة المعروفة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مرسلا في باب ميراث أهل الملل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عقبة بن خالد ، عن أبي عبد اللّه علیه السلام في أنّه قضى رسول اللّه صلی اللّه علیه و آله بين أهل المدينة في مشارب النخل أنّه لا يمنع نقع الشي‌ء ، وقضى صلی اللّه علیه و آله بين أهل البادية أنّه لا يمنع فضل ماء ليمنع فضل كلاء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هذه الكبرى في باب الشفعة ، كما رواه الكليني بإسناده عن أبي عبد اللّه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صلی اللّه علیه و آله بالشفعة بين الشركاء في الأرضين والمساكين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دعائم الإسلام في مسألة جدار الجار ، عن أبي عبد اللّه علیه السلام أنه لو هدم جدار داره ولم يقسط هو ، أو أراد أن يهدمه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يترك وذلك أن رسول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والإنصاف أنّ الفقيه بعد ملاحظة هذه الروايات الكثيرة من طرقنا ، بضميمة ما رواه مخالفونا في كتبهم عنه صلی اللّه علیه و آله ، ربما يقطع بصدور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bookmarkStart w:id="214" w:name="pg15902_182395"/>
    </w:p>
    <w:p>
      <w:pPr>
        <w:pStyle w:val="BookText"/>
        <w:rPr/>
      </w:pPr>
      <w:bookmarkEnd w:id="214"/>
      <w:r>
        <w:rPr>
          <w:rFonts w:ascii="IRNazanin" w:hAnsi="IRNazanin" w:eastAsia="IRNazanin"/>
          <w:color w:val="111111"/>
          <w:sz w:val="28"/>
          <w:sz w:val="28"/>
          <w:szCs w:val="28"/>
          <w:rtl w:val="true"/>
          <w:lang w:bidi="fa-IR"/>
        </w:rPr>
        <w:t xml:space="preserve">ولا ضرار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ادّعى بعضهم </w:t>
      </w:r>
      <w:r>
        <w:rPr>
          <w:rStyle w:val="FootnoteAnchor"/>
          <w:rtl w:val="true"/>
        </w:rPr>
        <w:footnoteReference w:id="221"/>
      </w:r>
      <w:r>
        <w:rPr>
          <w:rFonts w:ascii="Amiri" w:hAnsi="Amiri" w:eastAsia="Amiri" w:cs="Amiri"/>
          <w:color w:val="111111"/>
          <w:sz w:val="28"/>
          <w:sz w:val="28"/>
          <w:szCs w:val="28"/>
          <w:rtl w:val="true"/>
          <w:lang w:bidi="ar-SA"/>
        </w:rPr>
        <w:t>التواتر في هذا الحديث ، فلا حاجة إلى التكلّم في سنده مع عمل الأصحاب به وإرساله إرسال المسلمات ، مضافا إلى صحّة سند بعض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ثبوت الكلمتين ، أي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لأنّ في قضيّة سمرة بن جندب التي قضيّة واحدة ، روي في بعض الطرق الصحيحة بدون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بعدم اعتبار عدم ذكرها في بعض الطرق بعد بناء الأصحاب على تقديم أصالة عدم الزيادة على أصالة عدم النقيصة لبناء العقلاء على ذلك ، وعدم ذكر الراوي في ذلك الطريق لعدم احتياجه إلى نقله ، أو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فيها بعدم الإشكال أيضا ، لاحتمال صدورها وعدم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إرسالها من الفقيه فلا يضرّ مع تلقّي الأصحاب لها بالقبول</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5519206_2142443653"/>
      <w:bookmarkStart w:id="216" w:name="_Toc69"/>
      <w:bookmarkEnd w:id="215"/>
      <w:r>
        <w:rPr>
          <w:rtl w:val="true"/>
        </w:rPr>
        <w:t xml:space="preserve">المقام الثاني </w:t>
      </w:r>
      <w:r>
        <w:rPr>
          <w:rtl w:val="true"/>
        </w:rPr>
        <w:t xml:space="preserve">: </w:t>
      </w:r>
      <w:r>
        <w:rPr>
          <w:rtl w:val="true"/>
        </w:rPr>
        <w:t>في فقه الحديث</w:t>
      </w:r>
      <w:bookmarkEnd w:id="216"/>
    </w:p>
    <w:p>
      <w:pPr>
        <w:pStyle w:val="Heading4"/>
        <w:numPr>
          <w:ilvl w:val="3"/>
          <w:numId w:val="1"/>
        </w:numPr>
        <w:rPr/>
      </w:pPr>
      <w:bookmarkStart w:id="217" w:name="__RefHeading___Toc15519208_2142443653"/>
      <w:bookmarkStart w:id="218" w:name="_Toc70"/>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أي ما هو مفاد الحديث ومضمونه ، وهو العمدة في المقام ؛ لأنّ المقصود من ذكر هذه القاعدة الفقهيّة وشرحها وإيضاحها هو أن يكون الفقيه ذا بصيرة في مقام تطبيق هذه القاعدة على الفروع المتفرّعة عليه ، ولا يتوقّف ولا يشتبه في شي‌ء منها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ألفاظ هذه الجملة ، أعني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ما عداهما ، أعني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ثبوتهما في الحديث لا يحتاج إلى البحث والتكلّم فيهما لوضوح المراد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وجودي ضد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بينه وبين النفع تقابل العدم والملكة ، فيكون معناه عدم النفع في موضوع 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التقابل بينهما تقابل التضادّ لا العدم والملكة ؛ لأنّه في الموضوع القابل يرجع إلى النقيضين لا يمكن ارتفاعهما ، وفيهما يمكن الارتفاع حتّى في الموضوع القابل ، فالمبيع الذي بيع برأس المال مثلا مع أنّ تلك المعاملة قابلة للنفع والضرر يصدق أنّ هذه المعاملة لا نفع فيها ولا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الظاهر من لفظ الضرر عرفا هو النقص في ماله ، أو عرضه ، أو نفسه ، أو في شي‌ء من شؤونه بعد وجوده أو بعد وجود المقتضى القريب له بحيث يراه العرف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بأنّه مصدر باب المفاعلة ، وحينئذ بناء على أن تكون المفاعلة من الطرفين ، يكون معناه الضرر على الغير في مقابل ضرره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أن يكون بمعنى تكرار صدور المبدأ من الفاعل سواء أكان الفاعل شخصا واحدا أو شخصين وإن كان يستعمل غالبا فيما كان الفاعل شخصين ، ولعلّ لأجل هذه الغلبة يتبادر بدوا إلى الذهن المشاركة من الطرفين ، وإن كان محطّ النظر فاعليّة أحدهما ومفعوليّة الآخر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الفرق بين باب المفاعلة والتفاعل بعد اشتراكهما في المشاركة ، حيث أنّ النظر في باب التفاعل إلى فاعليّة الاثنين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زيد وعمرو برفع الاثنين ، بخلاف باب المفاعلة حيث أنّه برفع أحدهما ونصب الآخر كما ذكرنا يكون معناه تكرار صدور الضرر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مناسب في المقام ؛ لأنّ قوله صلی اللّه علیه و آله 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بمعنى صدور الضرر من الطرفين ، لأنّ الأنصاري ما أضرّ بسمرة ، وكون إطلاق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بلحاظ موارد الآخر بعيد عن مساق الحديث ، بل الظاهر أنّه صلی اللّه علیه و آله في </w:t>
      </w:r>
    </w:p>
    <w:p>
      <w:pPr>
        <w:pStyle w:val="BookText"/>
        <w:rPr/>
      </w:pPr>
      <w:r>
        <w:rPr>
          <w:rFonts w:ascii="Amiri" w:hAnsi="Amiri" w:eastAsia="Amiri" w:cs="Amiri"/>
          <w:color w:val="111111"/>
          <w:sz w:val="28"/>
          <w:sz w:val="28"/>
          <w:szCs w:val="28"/>
          <w:rtl w:val="true"/>
          <w:lang w:bidi="ar-SA"/>
        </w:rPr>
        <w:t>مقام بيان أنّ سمرة كثير الضرر ومصرّ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اسما بمعنى الضرر ، لا مصدر باب المفاعلة ففي غاية البعد ؛ لأنّه تكرار أوّلا بدون أيّ نكتة وفائدة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هو خلاف ظاهر هذه الكلمة ؛ لأنّه ظاهر في كونه مصدر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واخترناه في معنى الضرار ورود باب المفاعلة في كثير من الموارد بهذا المعنى ، أي كثرة صدور المبدء من شخص وتكراره ،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وأمثال ذلك ممّا في القرآن الشريف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مفهوم واضح عند العرف ، بحيث كلّ تفسير وشرح له ليس أوضح من نفسه ، ومثل هذه المفاهيم ليست قابلة للتعريف الحقيقي ، فكلّ ما يذكر في شرحه يكون تعريفا لفظيّا هو أخفى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 وهو مصدر باب المفاعلة من نفس المادة ، فلا حاجة إلى إيراد ما ذكره اللغويّون في المقام والنقض والإبرام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أنّها لنفي الجنس إذا كان ما بعدها نكرة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ظاهرة في نفي الحقيقة حقيقة ، إلاّ أن يثبت أنّ النفي 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شرح كلمات المفردة التي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شرح هذه الجملة ومفادها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المعروفة المشهورة التي ذكرها الفقهاء أربعة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النهي عن إيجاد ضرر الغير ، أو مطلقا حتّى على النفس ، </w:t>
      </w:r>
    </w:p>
    <w:p>
      <w:pPr>
        <w:pStyle w:val="BookText"/>
        <w:rPr/>
      </w:pPr>
      <w:r>
        <w:rPr>
          <w:rFonts w:ascii="Amiri" w:hAnsi="Amiri" w:eastAsia="Amiri" w:cs="Amiri"/>
          <w:color w:val="111111"/>
          <w:sz w:val="28"/>
          <w:sz w:val="28"/>
          <w:szCs w:val="28"/>
          <w:rtl w:val="true"/>
          <w:lang w:bidi="ar-SA"/>
        </w:rPr>
        <w:t xml:space="preserve">فيكون مساقها مساق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حيث أنّ الآية الشريفة تدلّ على حرمة هذه الأمور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ونظائرها كثيرة في الأخبار ، حيث يكون ظاهر الكلام نفي ولكن أريد منه النهي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سبق إلاّ في خف أو حافر أو نصل </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وغير ذلك من الموارد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أصرّ شيخ الشريعة الأصفهاني قدس سره على هذا القول ، وتعيّن هذا الاحتمال من بين الاحتمالات الأربع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نفي الحكم بلسان نفي الموضوع ، ونظائرها كثيرة في الأخبار ،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المتصيّدة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Style w:val="FootnoteAnchor"/>
          <w:rtl w:val="true"/>
        </w:rPr>
        <w:footnoteReference w:id="227"/>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في السهو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للإمام مع حفظ المأموم </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وغيرها من الموارد الكثيرة ، فيكون المراد من هذه الجملة بناء على هذا القول أنّ الموضوعات التي لها أحكام بعناوينها الأوّليّة إذا صارت ضرريّة وتعنونت بعنوان الضرر يرتفع ذلك الحكم عن ذلك الموضوع ، فتكون هذه القاعدة بناء على هذا حاكما على الأدلّة الأوّليّة بالحكومة الواقعيّة تضييقا في جانب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ذهب صاحب الكفاية قدس سره واختاره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مفادها نفي الحكم الضرري ، بمعنى أنّ كلّ حكم صدر من الشارع فان استلزم ضرر أو حصل من قبل جعله ضرر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w:t>
      </w:r>
    </w:p>
    <w:p>
      <w:pPr>
        <w:pStyle w:val="BookText"/>
        <w:rPr/>
      </w:pPr>
      <w:r>
        <w:rPr>
          <w:rFonts w:ascii="Amiri" w:hAnsi="Amiri" w:eastAsia="Amiri" w:cs="Amiri"/>
          <w:color w:val="111111"/>
          <w:sz w:val="28"/>
          <w:sz w:val="28"/>
          <w:szCs w:val="28"/>
          <w:rtl w:val="true"/>
          <w:lang w:bidi="ar-SA"/>
        </w:rPr>
        <w:t xml:space="preserve">الضرر على نفس المكلّف أو على غيره ، كوجوب الوضوء الذي حصل من قبل وجوبه ضرر مالي أو بدني على المكلّف ، وكلزوم المعاملة في المعاملة الغبنيّة حيث نشأ من قبله ضرر على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بناء على هذا القول استعمل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الحقيقي ، لأنّ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جنس مدخولة حقيقة لا ادّعاء ، ولا شكّ في أنّ رفع الحكم الضرري من الشارع رفع حقيقي ؛ لأنّه لا وجود للحكم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عالم التشريع ، والمفروض أنّه رفعه بهذه الجملة بناء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القول والقول الثاني ، أي ما ذهب اليه صاحب الكفاية قدس سره لا يكاد يخفى ، لأنّ المرفوع ابتداء في القول السابق هو متعلق الحكم ، وفي هذا القول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هذا الفرق آثار ، وقد ذكرنا في دليل الانسداد أنّ لزوم الاحتياط بالجمع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في أطراف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الاحتياط بالمعنى المذكور حرجيّا أو ضرريّا فإن قلنا بالقول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ذهب إليه صاحب الكفاية في قاعدتي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رفع وجوب الاحتياط بكلّ واحدة من القاعدتين ؛ لأنّ متعلّق الأحكام الواقعيّة ليس فيها حرج ولا ضرر حتّى يرتفع برفعها الأحكام ، والاحتياط ، أي الجمع بين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حرجيّا أو ضرريّا ولكن وجوبه عقلي ، ليس من المجعولات الشرعيّة حتّى يرتفع برفع موضوعه في عالم التشريع ، وهو قدس سره اعترف في الكفاية بذلك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بالقول الثالث ، أي كون المرفوع نفس الحكم الذي نشأ من قبله الضرر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نشأ من قبل الأحكام المجعولة فترتفع ، فلا يبقى موضوع لحكم العقل بوجوب الاحتياط ، فيكون الاحتياط لو كان واجبا شرعيّا لا عقليّا بالمقدار الذي يرفع الخروج من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تظهر الثمرة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لا يكون موضوع الحكم ضرريّا ، ولكن نفس الحكم يكون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الضرر مسبّبا عن نفس الحكم كما ربما تكون المعاملة الغبنيّة كذلك ، فإنّ الضرر يأتي من قبل لزوم المعاملة ، لا من نفس المعاملة ، وللزوم حكم شرعي ؛ ففي جميع هذه الموارد بناء على القول الثاني لا حكومة لقاعدة لا ضرر على الأدلّة الأوليّة ، بخلاف القول الثالث فإنّها بناء عليه تكون حاكمة عليها ، فظهر الفرق بين القولين بحسب الماهيّة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نفي الضرر غير المتدارك ، بمعنى أنّ الشارع ينهى عن الضرر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 بأن يكون الضرر المتدارك في حكم العدم ولا يراه الشارع ضرر ، كما هو كذلك عند العرف والعقلاء ، فنفي الضرر المطلق بناء على هذا الفرض يرجع إلى نفي الضرر غير المتدارك ، والظاهر حينئذ من نفي الضرر غير المتدارك في عالم التشريع لزوم التدارك ؛ لأنّ المفروض أنّ الضرر المتدارك منزّل منزلة العدم ، فإذا كان النفي بمعنى النهي فيكون الضرر غير المتدارك منهيّا إيجاده ، وهكذا كناية عن وجوب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هدية بلا عوض ، فيكون كناية عن أنّه إذا أهدى إليك شخص هدية فلا تجعله بلا عوض ولا تدارك ، بل يجب عليك تداركها بإهداء شي‌ء إلى المهدي في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هذه الوجوه والأقوال فنقول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من هذه الاحتمالات والأقوال هو الذي ذهب إليه الشيخ الأعظم الأنصاري </w:t>
      </w:r>
      <w:r>
        <w:rPr>
          <w:rStyle w:val="FootnoteAnchor"/>
          <w:rtl w:val="true"/>
        </w:rPr>
        <w:footnoteReference w:id="231"/>
      </w:r>
      <w:r>
        <w:rPr>
          <w:rFonts w:ascii="Amiri" w:hAnsi="Amiri" w:eastAsia="Amiri" w:cs="Amiri"/>
          <w:color w:val="111111"/>
          <w:sz w:val="28"/>
          <w:sz w:val="28"/>
          <w:szCs w:val="28"/>
          <w:rtl w:val="true"/>
          <w:lang w:bidi="ar-SA"/>
        </w:rPr>
        <w:t xml:space="preserve">وشيخنا الأستاذ </w:t>
      </w:r>
      <w:r>
        <w:rPr>
          <w:rStyle w:val="FootnoteAnchor"/>
        </w:rPr>
        <w:footnoteReference w:id="232"/>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جهة أنّه لا شكّ في أنّه صلی اللّه علیه و آله في مقام </w:t>
      </w:r>
    </w:p>
    <w:p>
      <w:pPr>
        <w:pStyle w:val="BookText"/>
        <w:rPr/>
      </w:pPr>
      <w:r>
        <w:rPr>
          <w:rFonts w:ascii="Amiri" w:hAnsi="Amiri" w:eastAsia="Amiri" w:cs="Amiri"/>
          <w:color w:val="111111"/>
          <w:sz w:val="28"/>
          <w:sz w:val="28"/>
          <w:szCs w:val="28"/>
          <w:rtl w:val="true"/>
          <w:lang w:bidi="ar-SA"/>
        </w:rPr>
        <w:t xml:space="preserve">التشريع ، وفي مقام أنّ الحكم المشروع في المقام حكم امتناني على الأمّة ؛ فالحديث ظاهر سياقا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رفع تشريعي ؛ إذ لا معنى لأن يكون إنشاء الرفع لرفع التكويني ، لأنّه أولا المناسب لمقام الشارعيّة هو أن يكون رفعه وضعه رفعا ووضعا تشريعيّا لا تكوينيّا ، لخروج ذلك عن وظيفته وليس من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التكويني لا يمكن أن يحصل بإنشاء الرفع ، بل لا بدّ له من أسبابه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إخبارا عن الرفع التكويني ، ففي غاية السقوط ؛ لأنّه كذب أوّلا ؛ وثانيا لا ربط له بمقام الشارعيّة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كونه في مقام الامتنان يدلّ عليه مضافا إلى تسالم الأصحاب على ذلك في فتاويهم ، سوق الكلام لذلك ، حيث يخاطب سمرة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رجل 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مصرّ على الضرر ، كما استظهرنا من هذه اللفظة ، ثمَّ يقول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ظهر ظهور الحديث الشريف في هذين الأمرين ، من دون الاحتياج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الرفع التشريعي ظاهره أنّ المرفوع من الأحكام الشرعيّة ؛ لأنّ رفعها يكون رفعا حقيقيا لا ادّعائيا ، لأنّه لا وجود للأحكام الشرعيّة إلاّ في عالم التشريع ، فإذا رفعه في عالم التشريع يرتفع من عالم الوجود حقيقة وبقول مطلق ، وقد بيّنّا في شرح مفردات وألفاظ الحديث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نفي جنس مدخولها حقيقة إذا كان المدخول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المرفوع أمرا تكوينيا فلا بدّ أن يكون الرفع ادّعائيّا لا حقيقيّا ، فتكون النتيجة رفع الحكم حقيقة برفع الموضوع ادّعاء ، كقوله المتصيّدة من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المعنى خلاف ظاهر هذه الجملة ، لا يصار إليه إلاّ بعد عدم إمكان رفع المدخول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يمكن ذلك ، أي الرفع الحقيقي 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الناشئ من قبل الأحكام الشرعيّة ويكون مسبّبا عنها يمكن رفعه حقيقة من عالم الوجود برفع أسبابه التشريعيّة ، أي رفع ذلك الحكم الذي ينشأ من قبله الضرر ، فالمرفوع حقيقة هذا القسم من الضرر لا بتقييد في لفظ الضرر ، أو بتجوّز ، أو إضمار ، أو تقدير أو غير ذلك ؛ بل الرفع التشريعي في مقام الامتنان على الأمّة يقتضي ذلك وقاصر عن شموله لأزيد من هذا ، إذ رفع سائر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الإضرار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لها بالشارع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أنّ الشارع قد يدعي رفع موضوع خارجي بلحاظ رفع حكمه ، ولكن هذا فيما لا يمكن رفعه حقيقة في عالم التشريع ، فمقتضى ظاهر هذه الجملة هو رفع الضرر الذي منشأه الحكم الشرعي برفع نفس الحكم ، فيكون الحديث حاكما على إطلاقات وعمومات الأدلّة الأوّليّة بالحكومة الواقعيّة تضييقا في جانب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هذه الجهة أيضا يفارق قول صاحب الكفاية قدس سره من نفي الحكم بلسان نفي الموضوع ؛ لأنّ ما قاله تكون نتيجة الحكومة في جانب الموضوع ، وهذا القول تكون نتيجة الحكومة في جانب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ظهر ممّا ذكرنا فساد سائر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النفي بمعنى النهي ، فلأجل أنّه خلاف الظاهر ؛ لما ذكرنا من ظهور الجملة في الرفع التشريعي ، فلا ربط له بالضرر الخارجي التكويني كي يتوهم أنّ النفي بمعنى النهي ، وإلاّ يلزم الكذب ، أو يقال إنّ نفيه ادّعائي من باب نفي الحكم بلسان نفي الموضوع ، فهذان القولان متوقّفان على أن يكون الرفع رفع الضرر التكويني ، حتّى يؤول بأحد الوجهين كي لا يلزم الكذب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ظهور الحديث وسوقه في مقام الامتنان ، وأيّ امتنان في إلزام المكلّف بلزوم ترك الإضرار ، بل هذا تحميل وتكليف ،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الجملة الخبريّة على الإنشاء خلاف ظاهر اللفظ ، فيحتاج إلى قرينة </w:t>
      </w:r>
    </w:p>
    <w:p>
      <w:pPr>
        <w:pStyle w:val="BookText"/>
        <w:rPr/>
      </w:pPr>
      <w:r>
        <w:rPr>
          <w:rFonts w:ascii="Amiri" w:hAnsi="Amiri" w:eastAsia="Amiri" w:cs="Amiri"/>
          <w:color w:val="111111"/>
          <w:sz w:val="28"/>
          <w:sz w:val="28"/>
          <w:szCs w:val="28"/>
          <w:rtl w:val="true"/>
          <w:lang w:bidi="ar-SA"/>
        </w:rPr>
        <w:t>صارفة مفقودة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يصرّ على ذلك المعنى وظاهر الحديث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نفي الحكم بلسان نفي الموضوع ، الذي ذهب إليه صاحب الكفاية قدس سره 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أيضا ممّا ذكرنا من توقفه على أن يكون المراد من الضرر هو الضرر الخارجي التكويني ، حتّى تخرج عن ظاهر الجملة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الكذب بأنّه ليس رفعا حقيقيا ، وإنّما هو رفع ادّعائي باعتبار رفع حكم الموضوع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الضرر الخارجي يرجع إلى ادّعاء الرفع باعتبار رفع حكمه ، وهذا خلاف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يصار إليه إلاّ بعد عدم إمكان الرفع الحقيقي ، وفي المقام ممكن كما عرفت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رفع الحكم برفع الموضوع في المقام إلى رفع حكم المجعول على نفس عنوان الضرر حتّى يصير من مصاديق رفع الحكم برفع الموضوع ، وحكم المجعول للضرر بمعناه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الحرمة التكليفيّة ؛ إذ بمعناه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الضرر الحاصل من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 لا تكليفا ولا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تكليفا فمعلوم ؛ لأنّه بهذا المعنى ليس من فعل المكلّف حتّى يكون مركزا ومحلّ تعلّق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وضعا فمن جهة أنّ نفس الضرر بالمعنى الاسم المصدري ليس من أسباب الضمان ، فلا بدّ وأن يكون حكمه المرفوع بناء على هذا القول حرمة الإضرار ، وهذا ينتج عكس ما أراده صلی اللّه علیه و آله من هذه الجملة تماما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يلزم لو كان المرفوع نفس عنوان الضرر ، وأمّا لو كان الفعل المعنون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الضرر ما هو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هذا الإشكال ، بل يكون حاكما على العمومات والإطلاقات التي تثبت الأحكام للافعال بعناوينها الأوّليّة بتقييد تلك الإطلاقات ، وتخصيص تلك العمومات بصورة </w:t>
      </w:r>
    </w:p>
    <w:p>
      <w:pPr>
        <w:pStyle w:val="BookText"/>
        <w:rPr/>
      </w:pPr>
      <w:r>
        <w:rPr>
          <w:rFonts w:ascii="Amiri" w:hAnsi="Amiri" w:eastAsia="Amiri" w:cs="Amiri"/>
          <w:color w:val="111111"/>
          <w:sz w:val="28"/>
          <w:sz w:val="28"/>
          <w:szCs w:val="28"/>
          <w:rtl w:val="true"/>
          <w:lang w:bidi="ar-SA"/>
        </w:rPr>
        <w:t>عدم تعنون تلك الأفعال بعنوان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ذلك التقييد والتخصيص اللبي بلسان الحكومة الواقعيّة تضييقا في جانب المحمول ، وهذا عين الغرض والمقصود من هذه الجملة ، فما أنتج هذا القول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الفعل الذي صار سببا للضرر من الضرر مجاز لا يصار إليه إلاّ بالقرينة ؛ لأنّه من استعمال المسبّب وإرادة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فيما إذا لا يمكن ارادة نفس المسبب ، فلا بدّ من أن يحمل على إرادة السبب ، أو محملا آخر صونا للكلام عن الكذبيّة أو محذور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في المقام يمكن إرادة نفي نفس الضرر حقيقة بالبيان المتقدّم ، فلا يقاس ما نحن فيه بحديث الرفع بالنسبة إلى رفع الخطأ والنسيان ، حيث حملوها على رفع الفعل الذي صدر عن خطأ ونسيان ؛ لأنّ الرفع هناك لا يمكن أن يستند إلى نفس الخطأ والنسيان وإرادة نفيهما ، لا تكوينا لأنّه كذب ، ولا تشريعا لأنّه يلزم منه أن يكون الفعل الذي صدر خطأ بحكم العمد ؛ لأنّ حكم الخطأ مرفوع على الفرض ، وهذا عكس ما هو المقصود من حديث الرفع ، من كونه في مقام الامتنان على الأمّة ويكون ضد الامتنان ، ومن إيقاعهم في غاية الكلفة والمشقّة ، فلا بدّ من حملهما على الفعل الذي صدر نسيانا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اخترت من كون مفاد الحديث نفي الحكم الذي ينشأ من قبله الضرر ، أيضا كذلك يلزم أن يكون استعمال الضرر مجازا ؛ لأنّه أريد منه أيضا سببه ، أي الحكم الذي يكون سببا للضرر ، فيكون أيضا من استعمال المسبّب وإرادة السبب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المقامين فرق واضح ، فإنّه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 المراد من الضرر الضرر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المراد نفي الضرر ؛ لأنّه كذب ، فلا بدّ أن يراد منه سببه ، وهذا هو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المقام فحيث إنّ المراد من الضرر الضرر الذي ينشأ من قبل الحكم ، يمكن رفعه حقيقة بالرفع التشريعي ، وبرفع منشأه ، أي الحكم الذي نشأ من قبله الضرر ، فيصح أن يكون المراد نفي الضرر الكذائي من دون تجوّز ولا تقدير ولا غير ذلك ، فبالدلالة الالتزاميّة يدلّ على نفي الحكم الذي يكون سببا للضرر ، لا أنّه أريد من لفظ الضرر وهذا المعنى كي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المتدارك منزّل منزلة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وتماميّة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فيما إذا تحقّق التدارك في الخارج ، لا بصرف حكم الشارع بوجوب التدارك ، خصوصا إذا كان حكمه تكليفا لا وضعا ، فإذا كان المراد من نفي الضرر نفي غير المتدارك منه ، بمعنى أنّه كلّ ضرر يجب تداركه ، فالضرر الذي لا يجب تداركه منفي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الدعوى مركبة 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الذي يجب تداركه نازل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أشكلنا عليه بأنّه بصرف الحكم الشرعي بوجوب تداركه لا يراه العرف والعقلاء منزلة العدم ، خصوصا إذا كان حكمه هذا حكما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نفي الضرر غير المتدارك كناية عن وجوب تدارك كلّ ضرر بجعل الجملة الخبرية بمعنى الإنشائية ، أي النهي عن الضرر غير المتدارك ، كي يكون هذا النهي كناية عن وجوب تدارك كلّ ضرر تكليفا بل وضعا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الدعوى الثانية أنّه إذا كان المراد من وجوب تداركه الحكم الوضعي بضمانه ، فهذا غير ثابت في الشريعة ، وليس الضرر من أسباب الضمان ، وقد عدها الفقهاء من الإتلاف واليد والعقود المعاوضية الفاسدة والتغرير وغير ذلك ، ولم يذكروا في جملتها الضرر ، وإذا كان المراد صرف الوجوب التكليفي ، فهذا أيضا غير معلوم في جملة من الموارد ، مضافا إلى أنّه لا يوجب كونه نازل منزلة العدم ، كما ذكرنا ؛ 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 ، فيرد عليه كلّ ما أوردنا عليه في القول الأوّل من كون النفي بمعنى النهي ، بناء على أن يكون مبنى هذا القول أيضا كون النفي بمعنى النهي ، كما شرحناه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الخروج عمّا هو ظاهر الجملة إلاّ من جهة ملزمة لذلك ، وقد عرفت ما هو الظاهر منها وعدم جهة ملزمة للخروج عن ذلك الظاهر ، فلا مناص إلاّ عن اختيار ما اختاره الشيخ الأعظم الأنصاري قدس سره من أنّ ظاهر الحديث هو الاحتمال الثالث الذي ذكرناه من نفي الحكم الذي ينشأ من قبله الضرر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الاحتمالات الأربع كلّها ممكنة في عالم الثبوت ، ولكن في مقام الإثبات بينها طوليّة وترتيب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فالمراتب كعدد الاحتمالات أربع مراتب ، لا تصل النوبة إلى الثاني إلاّ بعد تعذّر الأوّل ، وهكذا على حسب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الضرر الذي ينشأ من قبل الحكم الشرعي حقيقة وواقعا برفع سببه أي الحكم ، وهذا هو المعنى الظاهر من هذه الجملة ، والظاهر من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لنفي الجنس بالنفي البسيط مقابل الجعل البسيط ، والمراد من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المنفي والمجعول نفس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اتّفقوا على أنّ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ودائما محذوف لمعلوميّته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تعذّر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النفي الحقيقي لا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الثاني ، أي نفى الحكم بلسان نفي الموضوع ، وهذا النفي نفي تركيبي ، مقابل الجعل التركيبي ، أي نفي الحكم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عبارة عن نفي 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شكّ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bookmarkStart w:id="219" w:name="pg15902_182407"/>
    </w:p>
    <w:p>
      <w:pPr>
        <w:pStyle w:val="BookText"/>
        <w:rPr/>
      </w:pPr>
      <w:bookmarkEnd w:id="219"/>
      <w:r>
        <w:rPr>
          <w:rFonts w:ascii="Amiri" w:hAnsi="Amiri" w:eastAsia="Amiri" w:cs="Amiri"/>
          <w:color w:val="111111"/>
          <w:sz w:val="28"/>
          <w:sz w:val="28"/>
          <w:szCs w:val="28"/>
          <w:rtl w:val="true"/>
          <w:lang w:bidi="ar-SA"/>
        </w:rPr>
        <w:t>إنّه نفي بسيط أمّا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تعذّر هذا المعنى تصل النوبة إلى احتمال الثالث الذي هو عبارة عن كون النفي بمعنى النهي الذي هو خروج عن الظاهر ، أى المعنيين الحقيقيّين التحقيقي والادّعائي وان كان بينهما أيضا طوليّة ،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أنّه خروج عن ظاهر مقدّم على احتمال الرابع ، وهو أن يكون كناية عن لزوم تدارك الضرر باشتغال ذمّة الذي أوقع الضرر ، لا بصرف وجوبه تكليفا كما شرحنا ؛ لأنّه خلاف الظاهر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النفي بمعنى النهي ، وقلنا إنّه خروج عن الظاهر ، وإن أصرّ عليه النراقي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الشريعة الأصفهاني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الضرر المتدارك منزلة المعدوم ، وإرادة خصوص الضرر غير المتدارك منه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5519210_2142443653"/>
      <w:bookmarkStart w:id="221" w:name="_Toc71"/>
      <w:bookmarkEnd w:id="220"/>
      <w:r>
        <w:rPr>
          <w:rtl w:val="true"/>
        </w:rPr>
        <w:t>وينبغي التنبيه على أمور</w:t>
      </w:r>
      <w:bookmarkEnd w:id="22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الإشكالات على تطبيق هذه الجملة على مواردها التي طبق صلی اللّه علیه و آله عليها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سمرة بن جندب التي تقدّم ذكرها مفصّلا ، وأشكل عليه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تنطبق على أمره صلی اللّه علیه و آله بقلع العذق والرمي بها وجهه ؛ لأنّ </w:t>
      </w:r>
    </w:p>
    <w:p>
      <w:pPr>
        <w:pStyle w:val="BookText"/>
        <w:rPr/>
      </w:pPr>
      <w:r>
        <w:rPr>
          <w:rFonts w:ascii="Amiri" w:hAnsi="Amiri" w:eastAsia="Amiri" w:cs="Amiri"/>
          <w:color w:val="111111"/>
          <w:sz w:val="28"/>
          <w:sz w:val="28"/>
          <w:szCs w:val="28"/>
          <w:rtl w:val="true"/>
          <w:lang w:bidi="ar-SA"/>
        </w:rPr>
        <w:t>حقّ سمرة في ذلك البستان من حيث بقاء عذقه فيه ليس ضرريّا ، بل الضرر في جواز دخوله فيه بلا استيذان ، فيلزم تخصيص المورد وهو مستهجن ، فيلزم إجمال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على هذا الإشكال بأنّه صلی اللّه علیه و آله لم يطبق الجملة على هذه القضيّة من هذه الجهة ، وإنّما كان حكمه بقلع عذقه من جهة ولايته صلی اللّه علیه و آله على النفوس والأموال تأديبا وحسما لمادّة الفساد بعد أن تمرّد من قبول الحكم الشرعي ، أي وجوب الاستيذان ، أو عدم إباحة دخوله بغير الإذن الذي هو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فتطبيقه كبرى لا ضرر بلحاظ هذا المعنى لا بلحاظ أمره بقلع العذق ، فليس من باب تخصيص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يكون مستهجنا ويكون موجبا لسقوط حجيّة العام وإجماله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شيخنا الأستاذ قدس سره عن هذا الإشكال بأنّ ضرر الأنصاري ولو كان مستندا إلى جواز الدخول بغير إذنه وهو الجزء الأخير لعلّة الضرر ، ولكن جواز الدخول من غير استيذان بالأخرة ينتهي إلى حقّه لإبقاء عذقه في ذلك البستان ، فذلك الحقّ الذي هو حكم شرعي وضعي نشأ من قبله الضرر ، فيكون الضرر عنوانا ثانويّا لذلك الحقّ ، فيرتفع بارتفاع الضرر بالمطابقة أو بالالتزام ، فلا يرد إشكال حتّى بناء على تطبيقه على مسألة العذق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كون منشأ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الدخول بغير الاستيذان من آثار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تعنون الحقّ بعنوان الضرر وأن يكون الضرر عنوانا ثانويّا له ، فإذا كان الضرر عنوانا ثانويّا للدخول بغير الإذن يرتفع نفس جواز الدخول بغير الإذن من دون تأثير في ارتفاع الحق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بيّنّا سابقا أنّ سوق لا ضرر في مقام الامتنان فلا يجري فيما إذا كان موجبا لضرر الغير ؛ لأنّه كما أنّ بقاء حقّ السمرة في إبقاء عذقه في بستان الأنصاري لو سلّمنا أنّه منشأ للضرر كذلك منعه عن حقّه وقلع عذقه ضرر عليه ، </w:t>
      </w:r>
    </w:p>
    <w:p>
      <w:pPr>
        <w:pStyle w:val="BookText"/>
        <w:rPr/>
      </w:pPr>
      <w:r>
        <w:rPr>
          <w:rFonts w:ascii="Amiri" w:hAnsi="Amiri" w:eastAsia="Amiri" w:cs="Amiri"/>
          <w:color w:val="111111"/>
          <w:sz w:val="28"/>
          <w:sz w:val="28"/>
          <w:szCs w:val="28"/>
          <w:rtl w:val="true"/>
          <w:lang w:bidi="ar-SA"/>
        </w:rPr>
        <w:t>فيدخل في باب تعارض الضررين بل تزاحم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في الجواب أن يقال ؛ إنّ تقديم حقّ الأنصاري لحفظ عرضه من جهة أهميّته في نظر الشارع ، كما هو الشأن في باب التزاحم من تقديم الأهمّ على المهمّ ، وهو أحد المرجّحات الخمسة في باب التزاحم بل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تطبيقه صلی اللّه علیه و آله هذه الجملة على عدم جواز منع فضل الماء لمنع الكلاء لأهل البادية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وأشكل على ذلك أيضا بأنّ هذا التطبيق خلاف الامتنان بالنسبة إلى مالك الماء ، بل يكون ضررا عليه لسلب سلطنته ومنعه عن حقّه ، وهكذا الأمر في تطبيقه صلی اللّه علیه و آله على الشفعة بين الشركاء في الأرضين والمساكين ، فيشكل على هذا التطبيق بعين الإشكال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في مسألة جدار حائط الجار إذا سقط من عند نفسه فلا يجب عليه أن يبنيه ، وأمّا إذا هدمه هو أي الجار صاحب الجدار فلا يترك ويجب عليه أن يبنيه ، فذلك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المالك عن 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الجميع أمّا في مسألة عدم جواز منع الماء فلعلّه من جهة أنّ عدم جواز منعهم ليس من جهة حرمة المنع ، بل نهي تنزيهي ومثل هذا النهي ليس منافيا لحقّ المالك أو الحقّ الأولويّة التي للمانع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هذا التوجيه بعيد ؛ لعدم ملائمته مع كونه من قضائه صلی اللّه علیه و آله بين أهل المدينة في مشارب النخل أنّه لا يمنع نقع الشي‌ء ، وبين أهل البادية أنّه لا يمنع فضل الماء ليمنع فضل الكلاء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رفع ضرر أهل البادية ومشارب النخل لأهل المدينة لأهميّته ، فإنّ عدم تلف حيوانات أهل البادية وعدم تلف نخيل أهل المدينة كان أهمّ من حفظ حقّ الأولويّة الذي كان لصاحب الماء ومالكه أو من كان أولى به ، وهذا </w:t>
      </w:r>
    </w:p>
    <w:p>
      <w:pPr>
        <w:pStyle w:val="BookText"/>
        <w:rPr/>
      </w:pPr>
      <w:r>
        <w:rPr>
          <w:rFonts w:ascii="IRNazanin" w:hAnsi="IRNazanin" w:eastAsia="IRNazanin"/>
          <w:color w:val="111111"/>
          <w:sz w:val="28"/>
          <w:sz w:val="28"/>
          <w:szCs w:val="28"/>
          <w:rtl w:val="true"/>
          <w:lang w:bidi="fa-IR"/>
        </w:rPr>
        <w:t>واضح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مسألة الشفعة فليس جعل حقّ الشفعة ضررا لا على البائع ولا على المشتري ، أمّا على البائع فمعلوم ؛ لعدم الفرق له بين أن يكون المبيع بعد انتقاله عنه ملكا للشفيع بواسطة أخذه بحقّ الشفعة ، أو يكون ملكا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المشتري فلأنّه من أوّل الأمر أقدم على اشتراء مال يصير متعلّقا لحقّ الغير بمحض اشترائه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الجدار فعدم جواز هدمه ووجوب بنائه عليه لو هدمه وأنّه لا يترك ، فمن جهة أهميّة حقّ المهدوم عليه من حقّ الهادم ، خصوصا إذا كان مستلزما لهتك عرضه وتلف أمواله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التنبيه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أشكل شيخنا الأعظم الأنصاري قدس سره على تماميّة هذه القاعدة المستفادة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تخصيص الأكثر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كان المراد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استفدناه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الحكم الذي ينشأ من قبله الضرر وأنّه لم يجعل في الدين مثل هذا الحكم نرى أنّه في كثير من أبواب الفقه مثل هذا الحكم مجعول ، كأبواب الحج ، والزكاة ، والخمس ، وأبواب الجهاد ، والضمانات بواسطة اليد أو الإتلاف ،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الممكن أن يكون بين الأفراد الخارجة عن تحت هذا العموم جامع ، والتخصيص يكون بعنوان إخراج ذلك الجامع الواحد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فإخراج عنوان واحد عن تحت عموم العام من العناوين التي يتعنون العام بها ليس بمستهجن ، وإن كان أفراد العنوان الخارج أكثر من الأفراد الباقي تحت العام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صاحب الكفاية قدس سره بأنّ خروج عنوان واحد عن العام ليس بمستهجن ، ولو كان أفراده أكثر من الأفراد الباقي تحت العام إذا كان عموم العام </w:t>
      </w:r>
    </w:p>
    <w:p>
      <w:pPr>
        <w:pStyle w:val="BookText"/>
        <w:rPr/>
      </w:pPr>
      <w:r>
        <w:rPr>
          <w:rFonts w:ascii="Amiri" w:hAnsi="Amiri" w:eastAsia="Amiri" w:cs="Amiri"/>
          <w:color w:val="111111"/>
          <w:sz w:val="28"/>
          <w:sz w:val="28"/>
          <w:szCs w:val="28"/>
          <w:rtl w:val="true"/>
          <w:lang w:bidi="ar-SA"/>
        </w:rPr>
        <w:t>أنواعيا وكان محطّ العموم الأصناف التي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محطّ العموم والنظر إلى الأشخاص ومصاديقه ، فلا فرق في استهجان تخصيص أكثر الأفراد بين أن يكون بعنوان واحد وتحت جامع واحد</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فلو كان عنوانا واحدا ولكن محطّ العموم هو المصاديق والأفراد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المخصّص عنوانا واحدا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أفراد الخاصّ أكثر من الباقي بعد الإخراج ، يكون هذا التخصيص مستهجنا وإن كان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محطّ العموم أنواع العالم ، من الصرفي والنحوي والأصولي والمنطقي والفقهاء إلى غير ذلك من الأنواع ، وكان المخصّص عنوان النحويين مثلا ، وفرضنا أفراده كان أكثر من مجموع الأنواع الآخر ، فهذا التخصيص ليس بمستهجن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 أنّ إلقاء ما ليس بعام عند العرف بحسب مراده بصورة العموم خروج عن طريقة الإفادة والاستفادة عندهم ، فيكون ركيكا مستهجنا عندهم ، فلا بدّ وأن يلاحظ مصبّ العموم ، فإن كان الأنواع فخروج المتكلّم عن طريقة العرف وأهل المحاورة بإخراج أكثر الأنواع ، وإن كان مصبّه الأفراد فخروجه عن طريقتهم هو إخراج أكثر الأفراد ، سواء أكان بعنوان واحد جامع لتلك الأفراد المختلفة ، أم كان بعناوين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الوجدان ، ومراجعة أرباب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ما ذكرنا بين أن يكون العام من قبيل القضيّة الخارجيّة أو القضية الحقيقية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تصوير العموم الأنواعي في القضية الخارجيّة لا يخلو عن إشكال ، بخلاف القضيّة الحقيقيّة فإنّه قد يكون الحكم فيها على العام بلحاظ جميع وجوداته ومصاديقه وأفراده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أغلب المسائل التي لجميع العلوم والفنون ، والقضايا التي تجعل كبرى في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الحكم فيها بلحاظ جميع أنواعه وأصنافه ، </w:t>
      </w:r>
    </w:p>
    <w:p>
      <w:pPr>
        <w:pStyle w:val="BookText"/>
        <w:rPr/>
      </w:pPr>
      <w:r>
        <w:rPr>
          <w:rFonts w:ascii="Amiri" w:hAnsi="Amiri" w:eastAsia="Amiri" w:cs="Amiri"/>
          <w:color w:val="111111"/>
          <w:sz w:val="28"/>
          <w:sz w:val="28"/>
          <w:szCs w:val="28"/>
          <w:rtl w:val="true"/>
          <w:lang w:bidi="ar-SA"/>
        </w:rPr>
        <w:t>ولا نظر للحاكم إلى قلّة الأفراد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من القضيّة الحقيقيّة تخصيص أكثر الأفراد مستهجن ولو كان بعنوان واحد ، وفي القسم الثاني تخصيص أكثر الأنواع مستهجن ولو كان أفراد أكثر الأنواع الخارج بالتخصيص أقلّ بكثير من أفراد ذلك النوع الواحد الباقي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كلّ المناط في الاستهجان هو تخصيص الأكثر ممّا هو مصبّ العموم ، سواء أكان هو الأنواع أو كان هو الأفراد ، وسواء أكان الخارج هو بعنوان واحد أو بعناوين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فإشكال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ما ذكره الشيخ الأعظم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شيخنا الأستاذ قدس سره من الفرق بين القضيّة الحقيقيّة والخارجيّة ، وجعله تحقيقا في المقام </w:t>
      </w:r>
      <w:r>
        <w:rPr>
          <w:rStyle w:val="FootnoteAnchor"/>
          <w:rtl w:val="true"/>
        </w:rPr>
        <w:footnoteReference w:id="239"/>
      </w:r>
      <w:r>
        <w:rPr>
          <w:rFonts w:ascii="Amiri" w:hAnsi="Amiri" w:eastAsia="Amiri" w:cs="Amiri"/>
          <w:color w:val="111111"/>
          <w:sz w:val="28"/>
          <w:sz w:val="28"/>
          <w:szCs w:val="28"/>
          <w:rtl w:val="true"/>
          <w:lang w:bidi="ar-SA"/>
        </w:rPr>
        <w:t>لا يخلو عن الخلل كما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الكبرى ، وأمّا بحسب الصغرى فلا شكّ أنّ مصبّ العموم في القاعدة هي الأفراد ، إذا مفادها كما استظهرنا من أدلّتها هو نفي كلّ حكم ضرري ، أي ينشأ من قبله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مفادها نفي كلّ نوع من أنواع الأحكام الضرريّة حتّى لا يكون خروج نوع واحد موجبا للاستهجان ، ولو كان أفراده أكثر ممّا بقي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الخارج من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عنوان واحد ، وإنّما هو صرف فرض شيخنا الأعظم الأنصاري قدس سره ، لأنّ الأحكام الضرريّة مجعولة بعناوين موضوعاتها ، كعنوان الحجّ والجهاد والخمس والزكاة ، وعنوان من أتلف واليد والمقبوض بالعقد الفاسد ، إلى غير ذلك من العناوين التي يجدها الفقيه المتتبع ، بل موضوع الأحكام الضرريّة موضوعات مسائل هذه الأبواب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فالصواب في الجواب عن أصل إشكال 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هذه المذكورات عن تحت القاعدة بالتخصّص ، وليس تخصيص في البين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نفي الضرر ، وكذلك قاعدة نفى الحرج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استظهرناه من أنّ مفادهما نفي الأحكام الضرريّة والحرجيّة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حاكمة على أدلّة الأحكام الأوّليّة ، بمعنى أنّ الأدلّة الأوّليّة لها إطلاق أو عموم يشمل كلتا حالتي الحكم ، من كونه ضرريّا وغير ضرري ، فالقاعدة تخرج حالة كونه ضرريّا عن مفاد الإطلاق أو العموم ، فنتيجة هذه الحكومة لبّا تقييد ذلك الإطلاق ، أو تخصيص ذلك العموم بغير حالة كون ذلك الحكم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الحكم المجعول على موضوع ضرري دائما كوجوب الجهاد وإعطاء الخمس والزكاة مثلا ، أو كان نفس الحكم دائما ضرريّا كحكمه بضمان اليد في مورد التلف ، فخارج عن مصبّ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باب التخصيص حتّى يكون مستهجنا لكونه تخصيص الأكثر ، نعم لو اتّفق لهذه الأحكام الضرريّة ومن قبلها ترتّب ضرر آخر غير ما يقتضي طبع نفس هذه الأحكام أو موضوعاتها ، فحينئذ يكون مشمولا لهذه القاعدة ، ولا محذور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جهة شمول الحكومة لمثل هذا المورد ؛ لأنّه بالنسبة إلى مثل هذا الضرر الذي اتّفاقي وليس من مقتضيات طبع نفس الحكم أو موضوعه ، يكون من مداليل الإطلاق أو العموم للأدلّة الأوّلية ، فالقاعدة تقيد ذلك الإطلاق ، أو يخصّص ذلك العموم بغير مورد ترتّب هذا الضرر على ذلك الحكم ، فيكون تقييدا أو تخصيصا لدليل ذلك الحكم لبّا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ناظرة إلى تضييق المجعول الأوّلي وتخصيصه بإحدى حالتيه ، أي حالة عدم كونه ضرريّا فلا بدّ وأن يكون لذلك المجعول الأوّلي حالتان ، حتّى يكون داخلا في موضوع القاعدة ، وإلاّ لو لم يكن له إلاّ حالة واحدة يكون خارجا عن موضوع القاعدة ، وليس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في الموارد المذكورة للتخصيص إمّا يكون الموضوع موضوعا ضرريّا دائما ، أو نفس الحكم كذلك ، فيكون خروجها بالتخصّص لا بالتخصيص</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تقديم هذه القاعدة على الأدلّة الأوليّة القائمة على </w:t>
      </w:r>
    </w:p>
    <w:p>
      <w:pPr>
        <w:pStyle w:val="BookText"/>
        <w:rPr/>
      </w:pPr>
      <w:r>
        <w:rPr>
          <w:rFonts w:ascii="Amiri" w:hAnsi="Amiri" w:eastAsia="Amiri" w:cs="Amiri"/>
          <w:color w:val="111111"/>
          <w:sz w:val="28"/>
          <w:sz w:val="28"/>
          <w:szCs w:val="28"/>
          <w:rtl w:val="true"/>
          <w:lang w:bidi="ar-SA"/>
        </w:rPr>
        <w:t>ثبوت الأحكام الواقعيّة لموضوعاتها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النسبة بين دليل هذه القاعدة وبين تلك الأدلّة عموم من وجه ، مثلا دليل وجوب الغسل عام من حيث كونه ضرريّا أو غير ضرري ، ولا ضرر أعمّ منه ؛ لشموله لغير وجوب الغسل من الأحكام الضرريّة ، فيتعارضان في مورد الاجتماع وتصادم العنوانين ، فبأيّ وجه أخذوا بدليل لا ضرر وقدّموه على تلك الأدلّة ، مع أنّ مقتضى القاعدة تساقط الدليلين المتعارضين في مورد الاجتماع إذا كان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لذلك وجوها نذكر منها ما هو المختار في وجه الجمع ونترك الباقي ؛ إذ لا فائدة في ذكرها والإشكال عليها مع وضوح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دليل لا ضرر على تلك الأدلّة حكومته عليها بالحكومة الواقعيّة بالتضييق في جانب المحمول ، فدليل لا ضرر يضيق المحمول في تلك الأدلّة برفعه رفعا تشريعيّا في إحدى الحالتين ، أي حالة كونه ضرريّا سواء أكان المحمول حكما تكليفيّا أو وضعيّا ، بلا تصرّف وتضييق في النسبة التي بين الموضوع والمحمول حتّى يكون تخصيصا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ينتج نتيجة التخصيص ، فإذا قسنا دليل لا ضرر مع دليل وجوب الغسل أو الوضوء على المحدث بالحدث الأكبر أو الأصغر ، يكون مفاد لا ضرر أنّ هذا الوجوب المحمول على المحدث بالحدث الأكبر أو الأصغر ، ويقال بأنّ المحدث بحدث كذا يجب عليه ليس مجعولا إذا كان ضرريّا ، فلا يمكن التعارض بين مثل هذين الدليلين ؛ لأنّ التعارض بين الدليلين عبارة عن التناقض بينهما ، وفي التناقض لا بدّ وأن تكون القضيتين الموجبة والسالبة متّحدتين من حيث الموضوع والمحمول ، وإنّما الاختلاف من حيث السلب والإيجاب ، فلو كانت إحدى القضيتين المختلفتين بالسلب والإيجاب مفادها التصرّف في موضوع القضيّة الأخرى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 xml:space="preserve">التصرّف في محمولها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استظهرنا منه من أنّ مفاده رفع الحكم الضرري عن عالم الجعل والتشريع ، فلا يتحقّق تناقض وتعارض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السرّ في عدم ملاحظة النسبة بين الحاكم والمحكوم ، بل يقدّم الحاكم على كلّ حال ، لأنّ ملاحظة النسبة فرع التعارض ، ولا تعارض بين الحاكم والمحكوم ؛ إذ المعارضة فرع وحدة القضيّتين بحسب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لسان إحدى القضيتين التصرّف في موضوع القضية الأخرى أو محمولها فلا تعارض حتّى تلاحظ النسبة أو قوّة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العرفي الذي ذكره صاحب الكفاية قدس سره </w:t>
      </w:r>
      <w:r>
        <w:rPr>
          <w:rStyle w:val="FootnoteAnchor"/>
          <w:rtl w:val="true"/>
        </w:rPr>
        <w:footnoteReference w:id="240"/>
      </w:r>
      <w:r>
        <w:rPr>
          <w:rFonts w:ascii="Amiri" w:hAnsi="Amiri" w:eastAsia="Amiri" w:cs="Amiri"/>
          <w:color w:val="111111"/>
          <w:sz w:val="28"/>
          <w:sz w:val="28"/>
          <w:szCs w:val="28"/>
          <w:rtl w:val="true"/>
          <w:lang w:bidi="ar-SA"/>
        </w:rPr>
        <w:t>وإن كان صحيحا ومطابقا للواقع ، إلاّ أنّه ليس بلا سبب وجزافا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العرفي هو ما ذكرناه من الحكومة في هذا المورد ، وربما يكون وجهه في الموارد الآخر غير الحكومة ، من قوّة الظهور في أحدهما لكونه أظهر ، أو كون أحدهما خاصّا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أقسام الحكومة الثمانية ، من كونها ظاهريّة أو واقعيّة ، أو كونها في جانب الموضوع أو في جانب المحمول ، كلّ واحد منهما بالتوسعة أو بالتضييق فقد ذكرنا وشرحناها في باب حكومة الأمارات على الأصول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مفاد لا ضرر نفي الحكم الذي ينشأ من قبله الضرر واقعا ، سواء علم المكلّف بذلك أم لا ؛ وذلك من جهة أنّ الألفاظ موضوعة لمعانيها الواقعيّة لا بقيد أنّها معلومة ، فالمراد من الحديث الشريف نفي الضرر الواقعي سواء فيه العلم والجهل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هذا يتولّد الإشكال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بصحّة الوضوء أو الغسل مع الجهل بكون استعمال الماء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تقييدهم لخيار الغبن ، وكذلك خيار العيب بجهل المغبون بالغبن وجهل المشتري بعيب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الجواب عن هذه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مسألة الطهارة المائيّة فلأنّ حكم الشارع ببطلان الطهارة المائيّة في ظرف الجهل بضرر استعمال الماء خلاف الامتنان ؛ لأنّه يوجب إعادة الوضوء والغسل ، بل الأعمال المتوقّفة عليهما وقد سبق أنّ سوق الحديث في مقام الامتنان ، فلا يجرى فيما هو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بالبطلان في صورة العلم أيضا خلاف الامتنان ؛ لأنّ العاقل لا يقدم على ضرر نفسه ، خصوصا إذا علم أنّ هذا العمل لغو لا أثر له ، وهذا المعنى لا يتطرّق في حقّ الجاهل بالضرر ، هذا أوّلا ، وثانيا ما تقدّم من أنّ مفاد لا ضرر نفى الحكم الذي يكون الضرر عنوانا ثانويا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يكون علّة تامّة للضرر أو يكون هو الجزء الأخير من العلّة التامّة للضرر ، حتّى يصحّ أن يقال إنّ هذا الحكم ضرري ، بحيث لو لم يكن هذا الحكم لما كان المكلّف واقعا في الضرر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نحن فيه ليس الأمر كذلك ؛ لأنّه كان يقع في الضرر من جهة جهله ، ولو لم يكن هذا الحكم مجعولا في ذلك الحال أي في حال جهله بالضرر ، فليس الضرر ناشئا من الحكم المجعول في حال الجهل ، وإلاّ لما كان واقعا في الضرر في فرض عدم ذلك الحكم في حال الجهل ، مع أنّه يقع قطعا لاعتقاده عدم الضرر ، فهو يرى نفسه موضوعا وداخلا في الذي يجب عليه الوضوء أو الغسل وإن لم يكن الوجوب مجعولا في ذلك الحال ، فتضرّره مستند إلى فعله الناشئ عن اعتقاد عدم الضرر ، ولعمري هذا واضح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بطلان الوضوء والغسل بالماء الذي استعماله مضرّ لحرمة الإضرار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الإضرار بالنفس إلى أيّ حدّ جائز وإلي أيّ حدّ لا يجوز وما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خارج عن محلّ كلامنا ، وهي مسألة فقهيّة يبحث عنها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خيار الغبن فليس مستند إلى هذه القاعدة ، بل ثبوتها بواسطة تخلّف الشرط الضمني ، وهو تساوي المالين في خيار الغبن وسلامة العوضين في خيار العيب ، مضافا إلى وجود أدلّة خاصّة في خيار العيب دالّة على ثبوت الخيار حال الجهل بالعيب دون حال العلم به ، وتفصيل المسألة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مفاد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الذي ينشأ منه الضرر ، سواء كان ذلك الحكم حكما تكليفيّا أو كان وضعيّا ، بل الحكم الوضعي أولى بشمول لا ضرر له ؛ لأنّ الحكم التكليفي بمحض جعله وتشريعه لا يكون موجبا لوقوع الضرر في الخارج ، بل الضرر يقع في مرحلة الامتثال ، فيتوسّط بينه وبين وقوع الضرر إرادة المكلّف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الوضعي كاللزوم في المعاملة الضرريّة ، فهو بنفسه موجب لوقوع الضرر من دون توسّط إرادة المكلّف واختياره في البين ، فيكون دليل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إطلاقات الأدلّة الأوّلية في جانب المحمول ، بمعنى تضييق القاعدة لمحمول تلك الأدلّة وتقييدها بحال عدم كونها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كون مفادها رفع الحكم الضرري ، فلا بدّ وأن يكون حسب مفاد تلك الإطلاقات حكم ثابت مجعول لو لا هذه القاعدة ، فشأن هذه القاعدة رفع الحكم الضرري الذي لو لا هذه القاعدة كان ثابتا وموجودا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وضع الحكم الذي يكون في عدمه ضرر على شخص ، فهذا خارج عن المفاد ومدلول هذه القاعدة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هذا لا يمكن إثبات الضمان بهذه القاعدة فيما إذا كان عدم الضمان ضررا </w:t>
      </w:r>
    </w:p>
    <w:p>
      <w:pPr>
        <w:pStyle w:val="BookText"/>
        <w:rPr/>
      </w:pPr>
      <w:r>
        <w:rPr>
          <w:rFonts w:ascii="Amiri" w:hAnsi="Amiri" w:eastAsia="Amiri" w:cs="Amiri"/>
          <w:color w:val="111111"/>
          <w:sz w:val="28"/>
          <w:sz w:val="28"/>
          <w:szCs w:val="28"/>
          <w:rtl w:val="true"/>
          <w:lang w:bidi="ar-SA"/>
        </w:rPr>
        <w:t>على شخص ، بل لا بدّ في إثباته من التمسّك بأخذ أسباب الضمان ، كاليد والإتلاف وسائر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يجوز أن يقاس عدم الحكم إذا كان ضرريّا فيقال برفعه حتّى يكون نفي النفي إثباتا بوجود الحكم الضرري ؛ لما ذكرنا من أنّ مفادها الرفع لا الوضع ، لا من جهة أنّ العدم ليس قابلا للرفع حتّى يقال إنّ العدم في مرحلة البقاء قابل للوضع والرفع ، بل من جهة كونه ناظرا إلى الأحكام المجعولة حسب إطلاق أدلّتها أو عمومها لكلتا حالتي كونها ضرريّة أو غير ضرريّة ، وتقييدها بصورة عدم كونها ضررية ، فإذا لم يكن حكم مجعول من قبل الشارع فلا موضوع لهذا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عدم جعل الحكم في موضوع قابل للجعل بمنزلة جعل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توهّم في موارد كثيرة من التمسّك بهذه القاعدة لإثبات الحكم بواسطة كون عدمه ضرريّا ليس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بعضهم توهّم جواز طلاق المرأة للحاكم إذا كان الزوج لا يقدر على نفقته ، أو لا يعطي عصيانا أو لعذر ، وكان غائبا زمنا طويلا ولا يعرف مكانه وليس له مال ينفق عليها منه ، ففي هذه الموارد وأمثالها مما تتضرّر المرأة من عدم جواز الطلاق توهّموا رفع عدم جواز الطلاق إلاّ لمن أخذ بالساق ، مستندا إلى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عرفت عدم صحّة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هذه المسألة وأنّه هل يجوز طلاق مثل هذه المرأة ولو كان لأدلة أخر غير هذه القاعدة؟ فهو أجنبي عن مقامنا وإن ذكره شيخنا الأستاذ قدس سره استطرادا</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فروع كثيرة قالوا بالضمان فيها مستندا إلى هذه القاعدة ، كفكّ الباب على دابّة فشردت وتلفت ، أو على طير فطار ، وكحبس الحرّ فشردت دابّته ، أو طار طيره ، </w:t>
      </w:r>
    </w:p>
    <w:p>
      <w:pPr>
        <w:pStyle w:val="BookText"/>
        <w:rPr/>
      </w:pPr>
      <w:r>
        <w:rPr>
          <w:rFonts w:ascii="Amiri" w:hAnsi="Amiri" w:eastAsia="Amiri" w:cs="Amiri"/>
          <w:color w:val="111111"/>
          <w:sz w:val="28"/>
          <w:sz w:val="28"/>
          <w:szCs w:val="28"/>
          <w:rtl w:val="true"/>
          <w:lang w:bidi="ar-SA"/>
        </w:rPr>
        <w:t>أو أبق عبده وأمثال ذلك ممّا يكون الحكم بعدم الضمان موجبا لضرر المالك ، فكلّ هذه المذكورات وأمثالها إن كان للضمان وجه آخر غير هذه القاعدة فهو ، وإلاّ فالقول بالضمان فيها مستندا إلى هذه القاعدة لا وجه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من الضرر المنفي في هذه القاعدة هل هو الضرر الشخصي أو النوعي؟</w:t>
      </w:r>
    </w:p>
    <w:p>
      <w:pPr>
        <w:pStyle w:val="BookText"/>
        <w:rPr/>
      </w:pPr>
      <w:r>
        <w:rPr>
          <w:rFonts w:ascii="Amiri" w:hAnsi="Amiri" w:eastAsia="Amiri" w:cs="Amiri"/>
          <w:color w:val="111111"/>
          <w:sz w:val="28"/>
          <w:sz w:val="28"/>
          <w:szCs w:val="28"/>
          <w:rtl w:val="true"/>
          <w:lang w:bidi="ar-SA"/>
        </w:rPr>
        <w:t>والمراد من الضرر الشخصي هو أنّ المناط في رفع الحكم ترتّب الضرر الشخصي الخارجي عليه ، ففي كلّ مورد نشأ من قبل الحكم الشرعي ضررا خارجيّا على شخص فذلك الحكم مرتفع في حقّه دون من لا يتضرّر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يكون الحكم ضرريّا في حقّ شخص دون شخص آخر ، بل لشخص واحد في مورد دون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الضرر النوعي فالمراد منه كون الحكم ضرريّا نوعا ، وإن لم ينشأ منه ضرر في بعض الأحيان أو لبعض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استظهرنا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الشخصي لا النوعي ؛ لأنّ معنى الحكومة على ما بيّنّاه رفع الحكم في كلّ مورد نشأ منه الضرر ، وأمّا في المورد الذي لم ينشأ من قبله ضرر فلا معنى لرفعه بل الإطلاق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في مقام الامتنان يقتضي أن يكون الرفع بلحاظ حال كلّ شخص بحسب نفسه ، وإلاّ رفع الحكم عن شخص بلحاظ شخص آخر أي امتنان فيه؟</w:t>
      </w:r>
    </w:p>
    <w:p>
      <w:pPr>
        <w:pStyle w:val="BookText"/>
        <w:rPr/>
      </w:pPr>
      <w:r>
        <w:rPr>
          <w:rFonts w:ascii="Amiri" w:hAnsi="Amiri" w:eastAsia="Amiri" w:cs="Amiri"/>
          <w:color w:val="111111"/>
          <w:sz w:val="28"/>
          <w:sz w:val="28"/>
          <w:szCs w:val="28"/>
          <w:rtl w:val="true"/>
          <w:lang w:bidi="ar-SA"/>
        </w:rPr>
        <w:t>وكذلك الأمر في قاعدة لا حرج فالحكم مرفوع فيها بلحاظ الحرج الشخصي دون النوعي ، ومساق هاتين القاعدتين من هذه الجهة واحد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الضرر أو الحرج النوعيين حكمة لجعل حكم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يكون كذلك في باب جعل الطهارة الترابيّة بدلا عن المائيّة عند عدم التمكّن منها ، </w:t>
      </w:r>
    </w:p>
    <w:p>
      <w:pPr>
        <w:pStyle w:val="BookText"/>
        <w:rPr/>
      </w:pPr>
      <w:r>
        <w:rPr>
          <w:rFonts w:ascii="Amiri" w:hAnsi="Amiri" w:eastAsia="Amiri" w:cs="Amiri"/>
          <w:color w:val="111111"/>
          <w:sz w:val="28"/>
          <w:sz w:val="28"/>
          <w:szCs w:val="28"/>
          <w:rtl w:val="true"/>
          <w:lang w:bidi="ar-SA"/>
        </w:rPr>
        <w:t xml:space="preserve">أو التقصير والإفطار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بما نحن فيه ، وهو وإن كان ممكنا بل واقعا كما ذكرنا ، ولكن يحتاج إلى ورود دليل خاصّ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ذكرنا أنّه لا يجب تدارك الضرر الوارد على الغير ، بأن يتحمل خسارة ما وقع التلف عليه إلاّ بأحد أسباب الضمان ، من اليد ، أو الإتلاف ، أو غيرهما كما هو مذكور في أبواب الضمانات ، ولا بأن يتحمّل الضرر ليدفعه عن الغير ؛ كلّ ذلك من جهة أنّ الحديث وارد في مقام الامتنان ، نعم ليس له أن يدفع الضرر عن نفسه بتوجيهه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الضررين بمعنى أنّه دار الأمر بين حكمين ضرريين ، بحيث يلزم من نفي أحد الحكمين ثبوت الحكم الآخر ، وذلك كما إذا أدخل الدابّة رأسها في قدر يملكه شخص آخر غير صاحب الدابّة ، فالقدر لشخص والدابة ملك لشخص آخر ، فهاهنا يقع التعارض بين جواز كسر القدر لخلاص الدابّة وجواز ذبح الدابّة لبقاء سلامة القدر ، فكلا الحكمين ضرريّان ويلزم من نفي جواز كلّ واحد منهما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الضرر للمالك الآخر ، فمنع مالك القدر عن كسره ضرر على صاحب الدابّة ، كما أنّ منع صاحب الدابّة عن ذبحه ضرر على صاحب القدر ، فلا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الطرفين لمعارضتهما لو كان أحد الأمرين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لم يكن بتفريط من أحدهما ، وإلاّ يجب على المفرط تخليص مال الغير ولو بتلف ماله ولا ضمان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بأنّه يجب مراعاة أكثر الضررين وأعظمهما وينفي الحكم الذي ينشأ ذلك الضرر الكثير منه ، فحينئذ يجب ارتكاب ما هو أقلّ ضررا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الكسر ومن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دليل على هذا إلاّ ما يتوهّم من أنّ مقتضى الامتنان على الأمة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عرفت أنّ مقتضى الامتنان رفع الحكم الذي ينشأ من قبله الضرر فيما إذا لم يكن الرفع موجبا لوقوع الضرر على شخص آخر ، ففي هذا المورد وأمثاله لا مجال لجريان </w:t>
      </w:r>
    </w:p>
    <w:p>
      <w:pPr>
        <w:pStyle w:val="BookText"/>
        <w:rPr/>
      </w:pPr>
      <w:r>
        <w:rPr>
          <w:rFonts w:ascii="Amiri" w:hAnsi="Amiri" w:eastAsia="Amiri" w:cs="Amiri"/>
          <w:color w:val="111111"/>
          <w:sz w:val="28"/>
          <w:sz w:val="28"/>
          <w:szCs w:val="28"/>
          <w:rtl w:val="true"/>
          <w:lang w:bidi="ar-SA"/>
        </w:rPr>
        <w:t>لا ضرر ، لا من جهة المعارضة فقط لو كان هناك معارضة ، بل من جهة أنّ جريانها خلاف الامتنان فلا يجرى لا ضرر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بقاء سلطنة كلّ واحد منهما على ماله ، ومنع الآخر عن التصرّف فيه بكسر أو ذبح أو غير ذلك من التصرّفات التي للمالك حقّ المنع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لكلّ واحد من المالكين منع الآخر عن تخليص ماله ولو كان التخليص مستلزما لتلف ماله ، غاية الأمر يجبر التلف أو النقص كما إذا حفر الأرض لتلخيص غرسه فيما إذا كان بحقّ ، فيجبر نقص الحاصل من الحفر بلزوم طم الحفر من طرف الحافر القالع لغرسه ؛ وذلك من جهة عدم سلطنته على ماله ومنعه الغير عن مثل هذا التصرّف الذي مقدّمة لتخليص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المثال المذكور ، أي إدخال الدابّة رأسها في قدر الغير بغير تفريط من أحد المالكين ، ليس من تعارض لا ضرر في الطرفين ؛ إذ الضابط فيه كما بيّنّا أن يكون نفي أحد الحكمين الضرريين مستلزما لثبوت الحكم الضرري الآخر ، لا أن يكون مستلزما لثبوت الضرر على الآخر ، وما نحن فيه من الأمثلة من قبيل الثاني لا الأوّل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تعارض مفاد لا 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تعارض نفي الحكمين الضرريين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عدم إمكان رفعهما في عالم التشريع ، إمّا بأن يكون رفع أحدهما مستلزما لثبوت الآخر ، فمعنى رفعهما إثباتهما أيضا لما ذكرنا من الملازمة ، وهذا اجتماع النقيضين في كلّ واحد 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بالعلم بوجود أحد الحكمين وعدم رفعه لجهة من الجهات ، كما لو أنّ جواز حفر البئر في داره إذا كان ضررا على جاره لو رفع بلا ضرر بواسطة كون هذا الحكم ضرريّا على جاره ، وحرمة حفر البئر أيضا لو رفع بواسطة كونه ضرريّا على نفسه ، فيقع التعارض بين لا ضررين باعتبار مؤدّاهما ، أعني نفي جواز حفر البئر ونفي حرمة حفره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من جهة أنّ نفي أحد الحكمين مستلزم لثبوت الآخر ، فنفي جواز حفر البئر مستلزم لحرمة الحفر ، كما أنّ نفي حرمته مستلزم لجوازه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في مثال القدر والدابة التي أدخلت رأسها فيها لو علمنا بوجوب أحد الأمرين ، أي كسر القدر أو ذبح الدابّة ، فيقع التعارض بين نفي جواز الكسر بلا ضرر ونفي جواز الذبح به ؛ لعدم إمكان الجمع بينهما في عالم التشريع مع العلم بوجود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 ثبوت التعارض بينهما مع كونهما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دليل واحد ، كما أنّه لا تنافي بين تعارض الاستصحابين مع أنّهما مفاد دليل واحد ، 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انحلال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ممّا كانت القضيّة بنحو الطبيعة السارية ، أو العامّ الاستغراقي إلى قضايا متعدّدة بعدد مصاديق ذلك العامّ الذي جعل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إذا تحقّق التعارض بالمعنى المذكور فيتساقطان ؛ لعدم وجود مرجّح من مرجّحات باب التعارض لوحدة الدليل وعدم جواز الترجيح بلا مرجّح ، وأمّا مرجّحات باب التزاحم فأجنبي عن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لك أنّ كثيرا من المباحث التي ذكروه في المقام خارج عن محلّ البحث ، مثلا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ضررين لا بدّ من وقوع أحدهما ، فإمّا أن يكون الضرران على شخص واحد أو على شخصين ، وإذا كانا على شخص واحد فإمّا يكونان مباحين أو محرّمين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مباحين فله الخيار في ارتكاب أيّهما أراد ، وإن كانا مختلفين يتعيّن عليه ارتكاب ما ليس بحرام ، وإن كانا محرّمين ، عليه أن يختار للارتكاب ما هو أضعف ملاكا ويترك ما هو أقوى بحسب الملاك ، عملا بقواعد باب التزاحم ومرجّحاته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تدري أنّ كلّ ذلك خارج عن محلّ البحث ، أعني وقوع التعارض بين </w:t>
      </w:r>
    </w:p>
    <w:p>
      <w:pPr>
        <w:pStyle w:val="BookText"/>
        <w:rPr/>
      </w:pPr>
      <w:r>
        <w:rPr>
          <w:rFonts w:ascii="Amiri" w:hAnsi="Amiri" w:eastAsia="Amiri" w:cs="Amiri"/>
          <w:color w:val="111111"/>
          <w:sz w:val="28"/>
          <w:sz w:val="28"/>
          <w:szCs w:val="28"/>
          <w:rtl w:val="true"/>
          <w:lang w:bidi="ar-SA"/>
        </w:rPr>
        <w:t>مفادي لا ضرر ، أي نفي الحكمين الضرريين الذين يلزم من نفي كلّ واحد منهما ثبوت الآخر ، أو نعلم بثبوت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تعارض نفي حكم ضرري مع نفي حكم ضرري آخر ، فلا محالة يسقط لا ضرر في الاثنين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يعتنى بما قيل من تقديم أعظم الضررين وينفي بلا ضرر ذلك الحكم الذي يكون ضرره أكثر وأعظم ؛ لأنّ هذا ليس من مرجّحات باب التعارض ، فلا بدّ من الرجوع إلى القواعد الأخر إن كانت ، وإلاّ فإلى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البحث صغرويّا بمعنى أنّه هل هاهنا تعارض بين نفي هذين الحكمين الضرريين أم لا؟ وقد يكون البحث من جهة أنّ المورد من موارد التزاحم أو من موارد التعارض؟ فهذه أمور يسهل على الفقيه تشخيصها بعد معرفة ضوابطها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تعارض لا ضرر مع نفسه بالنسبة إلى نفي الحكمين الضرريين فيما إذا لا يمكن ولا يصحّ نفيهما جميعا لما تقدّم من الوجهين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فيما إذا تعارض لا ضرر مع لا حرج كما إذا كان تصرّف المالك في ملكه ضرريّا على الجار ، وكان ترك تصرّفه فيه حرجا على المالك وإن لم يكن ضررا عليه ، فيقع التعارض بين نفي جواز التصرّف بلا ضرر مع نفي حرمة التصرّف بلا حرج ، فالأمر كما ذكرنا في تعارض لا ضرر في مورد نفي أحد الحكمين مع نفسه في مورد نفي الحكم الآخر لوحدة المناط ، وهو عدم إمكان جمع النفيين في عالم الجعل والتشريع ، ووحدة لسان لا ضرر ولا حرج في الحكومة بالتضييق في جانب المحمولات التي هي الأحكام الواقعيّة للأشياء بعناوينها الأوّليّة التي هي مفاد إطلاقات الأدلّة أو عموماتها ، ونتيجتها تقييد تلك الإطلاقات ، وتخصيص تلك العمومات بغير ما كانت ضرريّة أو حرجيّة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ممّا ذكره الشيخ الأعظم الأنصاري حكومة قاعدة الحرج على قاعدة الضرر ، </w:t>
      </w:r>
      <w:r>
        <w:rPr>
          <w:rStyle w:val="FootnoteAnchor"/>
          <w:rtl w:val="true"/>
        </w:rPr>
        <w:footnoteReference w:id="243"/>
      </w:r>
      <w:r>
        <w:rPr>
          <w:rFonts w:ascii="Amiri" w:hAnsi="Amiri" w:eastAsia="Amiri" w:cs="Amiri"/>
          <w:color w:val="111111"/>
          <w:sz w:val="28"/>
          <w:sz w:val="28"/>
          <w:szCs w:val="28"/>
          <w:rtl w:val="true"/>
          <w:lang w:bidi="ar-SA"/>
        </w:rPr>
        <w:t>ولم نعرف لها وجها يمكن الاعتماد والاتّكاء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حال تعارض قاعدة الحرج مع نفسه في موردين ، حال تعارض قاعدة الضرر مع نفسه في موردين من موارده فيتساقطان ، والمرجع حينئذ هي القواعد الأخر لو كانت ، كقاعدة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مجرى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تعارض قاعدة لا ضرر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مفاد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استظهرناه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الضرري ونفيه مطلقا ، سواء كان حكما تكليفيّا أم وضعيّا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قاعدة لا ضرر أنّه ليس في المجعولات الشرعيّة وفيما هو من الدين مجعول ينشأ من قبله الضرر ويكون الضرر عنوانا ثانويّا له ، فالسلطنة الاعتبارية المجعولة من قبل الشارع للملاك على أموالهم إذا كان ضرريّا منفي بلا ضرر ، ويكون حال السلطنة حال سائر الأحكام الشرعيّة المجعولة على موضوعاتها ، فكما تكون القاعدة حاكمة على أدلّة سائر الأحكام فكذلك الحال في نسبتها مع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المناط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الشأن في إثبات الصغرى ، وأنّه في أيّ مورد يتحقّق هذه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 المالك في ماله مع الإضرار بالغير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 يكون إلاّ بقصد الإضرار بالغير من دون أن يكون له نفع في هذا التصرف ، أو يكون في تركه ضرر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بقصد الإضرار ، ولكن ليس في ذلك التصرّف نفع له ولا في </w:t>
      </w:r>
    </w:p>
    <w:p>
      <w:pPr>
        <w:pStyle w:val="BookText"/>
        <w:rPr/>
      </w:pPr>
      <w:r>
        <w:rPr>
          <w:rFonts w:ascii="Amiri" w:hAnsi="Amiri" w:eastAsia="Amiri" w:cs="Amiri"/>
          <w:color w:val="111111"/>
          <w:sz w:val="28"/>
          <w:sz w:val="28"/>
          <w:szCs w:val="28"/>
          <w:rtl w:val="true"/>
          <w:lang w:bidi="ar-SA"/>
        </w:rPr>
        <w:t>تركه ضرر عليه ، بل يكون عابثا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نفع فيه ، ولكن ليس في تركه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تركه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حكومة قاعدة لا ضرر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والثانية ، بناء على شمول قاعدة السلطنة لمورد الإضرار بالغير ، سواء كان من قصده الإضرار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 التصرّفات التي موجبة للإضرار بالغير إذا لم يكن للمالك نفع فيه ولا في تركه ضرر عليه خارجة عن عموم قاعدة السلطنة ، فلا يبقى مجال للحكومة ، بل خروج الصورتين عن تحت عموم قاعدة السلطنة يكون بالتخصّص لا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أنّه لا وجه لاحتمال عدم شمول قاعدة السلطنة للصورتين ؛ لأنّ ظاهر الحديث أنّ لكلّ مالك السلطنة على أنحاء التصرّفات في ماله ولو كان بقصد الإضرار ، وسواء كان مستلزما للضرر على الغير أم لا ، غاية الأمر يكون ضامنا للضرر الوارد على الغير لأنّه بفعله وبإتلافه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مرادنا التصرّفات التي لا يكون مستلزما للتصرّف في مال الغير أو في نفسه ، مثل </w:t>
      </w:r>
      <w:r>
        <w:rPr>
          <w:rStyle w:val="FootnoteAnchor"/>
          <w:rtl w:val="true"/>
        </w:rPr>
        <w:footnoteReference w:id="244"/>
      </w:r>
      <w:r>
        <w:rPr>
          <w:rFonts w:ascii="Amiri" w:hAnsi="Amiri" w:eastAsia="Amiri" w:cs="Amiri"/>
          <w:color w:val="111111"/>
          <w:sz w:val="28"/>
          <w:sz w:val="28"/>
          <w:szCs w:val="28"/>
          <w:rtl w:val="true"/>
          <w:lang w:bidi="ar-SA"/>
        </w:rPr>
        <w:t xml:space="preserve">أن يتصرّف في معوله </w:t>
      </w:r>
      <w:r>
        <w:rPr>
          <w:rStyle w:val="FootnoteAnchor"/>
          <w:rtl w:val="true"/>
        </w:rPr>
        <w:footnoteReference w:id="245"/>
      </w:r>
      <w:r>
        <w:rPr>
          <w:rFonts w:ascii="Amiri" w:hAnsi="Amiri" w:eastAsia="Amiri" w:cs="Amiri"/>
          <w:color w:val="111111"/>
          <w:sz w:val="28"/>
          <w:sz w:val="28"/>
          <w:szCs w:val="28"/>
          <w:rtl w:val="true"/>
          <w:lang w:bidi="ar-SA"/>
        </w:rPr>
        <w:t xml:space="preserve">بهدم دار الغير أو في مديته </w:t>
      </w:r>
      <w:r>
        <w:rPr>
          <w:rStyle w:val="FootnoteAnchor"/>
          <w:rtl w:val="true"/>
        </w:rPr>
        <w:footnoteReference w:id="246"/>
      </w:r>
      <w:r>
        <w:rPr>
          <w:rFonts w:ascii="Amiri" w:hAnsi="Amiri" w:eastAsia="Amiri" w:cs="Amiri"/>
          <w:color w:val="111111"/>
          <w:sz w:val="28"/>
          <w:sz w:val="28"/>
          <w:szCs w:val="28"/>
          <w:rtl w:val="true"/>
          <w:lang w:bidi="ar-SA"/>
        </w:rPr>
        <w:t>بشقّ بطن الغير ، فلا ضرر يكون حاكما على قاعدة السلطنة في تينك الصورتين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مقتضى ما ذكرنا في الصورتين المتقدّمتين حكومة قاعدة لا ضرر على قاعدة السلطنة ؛ لأنّ سلطنة الملاّك على أموالهم حكم شرعي وضعي على الأموال بعناوينها الأوّلية ، وقد تقدّم حكومة قاعدة لا ضرر على الأدلّة </w:t>
      </w:r>
    </w:p>
    <w:p>
      <w:pPr>
        <w:pStyle w:val="BookText"/>
        <w:rPr/>
      </w:pPr>
      <w:r>
        <w:rPr>
          <w:rFonts w:ascii="Amiri" w:hAnsi="Amiri" w:eastAsia="Amiri" w:cs="Amiri"/>
          <w:color w:val="111111"/>
          <w:sz w:val="28"/>
          <w:sz w:val="28"/>
          <w:szCs w:val="28"/>
          <w:rtl w:val="true"/>
          <w:lang w:bidi="ar-SA"/>
        </w:rPr>
        <w:t>الأوّلية المثبتة للأحكام على موضوعاتها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الأعظم الأنصاري أفاد في المقام أنّ عدم جواز تصرّف المالك في ماله وحرمته فيما إذا كان التصرّف ضرريّا بالنسبة إلى الغير ، ولم يكن تركه ضرريّا على نفسه ولكن كان فيه نفع للمالك ، فترك مثل هذا التصرّف وحرمته حرجي للمالك ؛ لأنّه لا شكّ في أنّ عدم قدرة المالك على التصرّفات النافعة حرج عليه ، فيقع التعارض بين قاعدة الضرر وقاعدة الحرج ، والثانية حاكمة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عدم الحكومة تكون قاعدة السلطنة هو المرجع بعد تساقط لا ضرر ولا حرج بالمعارضة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لم نعرف وجها يمكن الاعتماد عليه ، لحكومة قاعدة الحرج على قاعدة لا ضرر ، فالصحيح أنّ المرجع قاعدة السلطنة بعد تساقط لا حرج ولا ضرر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شيخنا الأستاذ من عدم اجتماع مورد هاتين القاعدتين لأنّ مفاد قاعدة لا ضرر نفي السلطنة إذا كانت ضرريّة ، ونفي السلطنة على تقدير كونه حرجيّا أمر عدمي ولا يرتفع بلا حرج حتّى تقول أنّ نفي النفي إثبات ، فيرجع إلى بقاء السلطنة فيقع التعارض ، وذلك من جهة أنّ مفاد لا حرج نفي الحكم الموجود الذي يكون حرجيّا ، لا إثبات حكم لرفع الحرج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الحرج في المقام حرمة ذلك التصرّف النافع للمالك الموجب للإضرار بالغير ، والحرمة حكم وجودي ، فارتفاعها بلا حرج مع ارتفاع جواز التصرّف بلا ضرر ممّا لا يجتمعان ، فيقع التعارض بين لا حرج ولا ضرر ، وبعد تساقطهما بالمعارضة يكون المرجع قاعدة السلطنة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القول بعدم إطلاق دليل السلطنة بالنسبة إلى التصرّف الذي يكون </w:t>
      </w:r>
    </w:p>
    <w:p>
      <w:pPr>
        <w:pStyle w:val="BookText"/>
        <w:rPr/>
      </w:pPr>
      <w:r>
        <w:rPr>
          <w:rFonts w:ascii="Amiri" w:hAnsi="Amiri" w:eastAsia="Amiri" w:cs="Amiri"/>
          <w:color w:val="111111"/>
          <w:sz w:val="28"/>
          <w:sz w:val="28"/>
          <w:szCs w:val="28"/>
          <w:rtl w:val="true"/>
          <w:lang w:bidi="ar-SA"/>
        </w:rPr>
        <w:t>موجبا للإضرار فالمرجع هي الأصول العمليّة ، وفي المقام هي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حال الصورة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إذا كان ترك التصرّف وعدم السلطنة عليه يكون موجبا لتضرّر المالك ، فقاعدة الضرر بالنسبة إلى ضرر الغير مع نفسه بالنسبة إلى ضرر المالك يتعارضان ، وبعد تساقطهما المرجع هي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جواز تصرّف المالك في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التكليفي لا ينافي مع ثبوت الضمان وضعا لقاعدة الإتلاف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5902_182429"/>
      <w:bookmarkStart w:id="223" w:name="pg15902_182429"/>
      <w:bookmarkEnd w:id="223"/>
    </w:p>
    <w:p>
      <w:pPr>
        <w:pStyle w:val="Heading2"/>
        <w:numPr>
          <w:ilvl w:val="1"/>
          <w:numId w:val="1"/>
        </w:numPr>
        <w:rPr/>
      </w:pPr>
      <w:bookmarkStart w:id="224" w:name="pg15902_182429"/>
      <w:bookmarkStart w:id="225" w:name="__RefHeading___Toc15519212_2142443653"/>
      <w:bookmarkStart w:id="226" w:name="_Toc72"/>
      <w:bookmarkEnd w:id="224"/>
      <w:bookmarkEnd w:id="225"/>
      <w:r>
        <w:rPr/>
        <w:t>9</w:t>
      </w:r>
      <w:r>
        <w:rPr>
          <w:rtl w:val="true"/>
        </w:rPr>
        <w:t xml:space="preserve"> - </w:t>
      </w:r>
      <w:r>
        <w:rPr>
          <w:rtl w:val="true"/>
        </w:rPr>
        <w:t>قاعدة نفى العسر والحرج</w:t>
      </w:r>
      <w:bookmarkEnd w:id="2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5519214_2142443653"/>
      <w:bookmarkStart w:id="228" w:name="_Toc73"/>
      <w:bookmarkEnd w:id="227"/>
      <w:r>
        <w:rPr>
          <w:rtl w:val="true"/>
        </w:rPr>
        <w:t>اشارة</w:t>
      </w:r>
      <w:bookmarkEnd w:id="22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5902_182431"/>
      <w:bookmarkStart w:id="230" w:name="pg15902_182431"/>
      <w:bookmarkEnd w:id="230"/>
    </w:p>
    <w:p>
      <w:pPr>
        <w:pStyle w:val="BookText"/>
        <w:rPr/>
      </w:pPr>
      <w:bookmarkStart w:id="231" w:name="pg15902_182431"/>
      <w:bookmarkEnd w:id="231"/>
      <w:r>
        <w:rPr>
          <w:rFonts w:ascii="Amiri" w:hAnsi="Amiri" w:eastAsia="Amiri" w:cs="Amiri"/>
          <w:color w:val="111111"/>
          <w:sz w:val="28"/>
          <w:sz w:val="28"/>
          <w:szCs w:val="28"/>
          <w:rtl w:val="true"/>
          <w:lang w:bidi="ar-SA"/>
        </w:rPr>
        <w:t xml:space="preserve">قاعدة نفى العسر والحرج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ومن جملة القواعد الفقهيّة القاعدة المشهورة المعروفة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والتكلّم فيها من جهات ثلاث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5519216_2142443653"/>
      <w:bookmarkStart w:id="233" w:name="_Toc74"/>
      <w:bookmarkEnd w:id="232"/>
      <w:r>
        <w:rPr>
          <w:rtl w:val="true"/>
        </w:rPr>
        <w:t xml:space="preserve">الجهة الأولى </w:t>
      </w:r>
      <w:r>
        <w:rPr>
          <w:rtl w:val="true"/>
        </w:rPr>
        <w:t xml:space="preserve">: </w:t>
      </w:r>
      <w:r>
        <w:rPr>
          <w:rtl w:val="true"/>
        </w:rPr>
        <w:t>في الدليل عليها</w:t>
      </w:r>
      <w:bookmarkEnd w:id="233"/>
    </w:p>
    <w:p>
      <w:pPr>
        <w:pStyle w:val="Heading4"/>
        <w:numPr>
          <w:ilvl w:val="3"/>
          <w:numId w:val="1"/>
        </w:numPr>
        <w:rPr/>
      </w:pPr>
      <w:bookmarkStart w:id="234" w:name="__RefHeading___Toc15519218_2142443653"/>
      <w:bookmarkStart w:id="235" w:name="_Toc75"/>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36" w:name="pg15902_182432"/>
    </w:p>
    <w:p>
      <w:pPr>
        <w:pStyle w:val="BookText"/>
        <w:rPr/>
      </w:pPr>
      <w:bookmarkEnd w:id="236"/>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الآيات تدلّ دلالة واضحة على أنّ اللّه تبارك وتعالى لم يجعل في دين الإسلام أحكاما حرجيّة ، بحيث يكون امتثال أحكامه وإطاعة أوامره ونواهيه شاقّا وحرجا على المسلمين والمؤمنين بهذا الدين ، سيّما بملاحظة استدلال الإمام علیه السلام ببعض هذه الآيات على رفع الأحكام الحرجيّة ،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وأمثاله يعرف من كتاب اللّه امسح على المرارة ما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فِي الدِّينِ مِنْ حَرَجٍ </w:t>
      </w:r>
      <w:r>
        <w:rPr>
          <w:rFonts w:eastAsia="IRNazanin" w:cs="IRNazanin"/>
          <w:color w:val="111111"/>
          <w:sz w:val="28"/>
          <w:szCs w:val="28"/>
          <w:rtl w:val="true"/>
          <w:lang w:bidi="fa-IR"/>
        </w:rPr>
        <w:t>) .</w:t>
      </w:r>
    </w:p>
    <w:p>
      <w:pPr>
        <w:pStyle w:val="Heading4"/>
        <w:numPr>
          <w:ilvl w:val="3"/>
          <w:numId w:val="1"/>
        </w:numPr>
        <w:rPr/>
      </w:pPr>
      <w:bookmarkStart w:id="237" w:name="__RefHeading___Toc15519220_2142443653"/>
      <w:bookmarkStart w:id="238" w:name="_Toc76"/>
      <w:bookmarkEnd w:id="237"/>
      <w:r>
        <w:rPr>
          <w:rtl w:val="true"/>
        </w:rPr>
        <w:t xml:space="preserve">وأمّا الروايات </w:t>
      </w:r>
      <w:r>
        <w:rPr>
          <w:rtl w:val="true"/>
        </w:rPr>
        <w:t>:</w:t>
      </w:r>
      <w:bookmarkEnd w:id="238"/>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 والتهذيب ،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ابن محبوب ، عن عليّ بن الحسن بن رباط ، عن عبد الأعلى مولى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فانقطع ظفري فجعلت على إصبعي مرارة ، فكيف أصنع بالوضوء؟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هذا وأشباهه من كتاب اللّه عزّ وجلّ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عليه</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الطبري عن ابن عباس في تفسير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جَعَلَ عَلَيْكُمْ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من ضيق ، هو واسع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في مجمع البيان هذا المعنى إلى جميع </w:t>
      </w:r>
    </w:p>
    <w:p>
      <w:pPr>
        <w:pStyle w:val="BookText"/>
        <w:rPr/>
      </w:pPr>
      <w:r>
        <w:rPr>
          <w:rFonts w:ascii="Amiri" w:hAnsi="Amiri" w:eastAsia="Amiri" w:cs="Amiri"/>
          <w:color w:val="111111"/>
          <w:sz w:val="28"/>
          <w:sz w:val="28"/>
          <w:szCs w:val="28"/>
          <w:rtl w:val="true"/>
          <w:lang w:bidi="ar-SA"/>
        </w:rPr>
        <w:t>المفسّرين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وعن التهذيب عن ابن سنان ، 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يجعل الركوة </w:t>
      </w:r>
      <w:r>
        <w:rPr>
          <w:rStyle w:val="FootnoteAnchor"/>
          <w:rtl w:val="true"/>
        </w:rPr>
        <w:footnoteReference w:id="257"/>
      </w:r>
      <w:r>
        <w:rPr>
          <w:rFonts w:ascii="IRNazanin" w:hAnsi="IRNazanin" w:eastAsia="IRNazanin"/>
          <w:color w:val="111111"/>
          <w:sz w:val="28"/>
          <w:sz w:val="28"/>
          <w:szCs w:val="28"/>
          <w:rtl w:val="true"/>
          <w:lang w:bidi="fa-IR"/>
        </w:rPr>
        <w:t xml:space="preserve">أو التور </w:t>
      </w:r>
      <w:r>
        <w:rPr>
          <w:rStyle w:val="FootnoteAnchor"/>
          <w:rtl w:val="true"/>
        </w:rPr>
        <w:footnoteReference w:id="258"/>
      </w:r>
      <w:r>
        <w:rPr>
          <w:rFonts w:ascii="Amiri" w:hAnsi="Amiri" w:eastAsia="Amiri" w:cs="Amiri"/>
          <w:color w:val="111111"/>
          <w:sz w:val="28"/>
          <w:sz w:val="28"/>
          <w:szCs w:val="28"/>
          <w:rtl w:val="true"/>
          <w:lang w:bidi="ar-SA"/>
        </w:rPr>
        <w:t xml:space="preserve">فيدخل إصبعه فيه؟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يده قذرة فأهرقه ، وإن كان لم يصبها قذر فليغتسل منه ، هذا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التهذيب ، والكافي ،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الجنب ينتهي إلى الماء القليل في الطريق ويريد أن يغتسل منه وليس معه إناء يغرف به ويداه قذرتان؟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يضع يده ويتوضّأ ثمَّ يغتسل ، هذا ممّا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 التهذيب ، والاستبصار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إنّا نسافر فربما بلينا بالغدير من المطر يكون إلى جانب القرية ، فتكون فيه العذرة ، ويبول فيه الصبي ، وتبول فيه الدواب وتروث؟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عرض في قلبك منه شي‌ء فقل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افرج الماء بيدك ثمَّ توضّأ فإنّ الدين ليس بمضيق ، فإنّ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التهذيب ، والكافي عن فضيل بن يسار ، عن أبي عبد اللّه علیه السلام قال في الرجل الجنب يغتسل فينتضح من الماء في الإناء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ما جَعَلَ اللّه </w:t>
      </w:r>
    </w:p>
    <w:p>
      <w:pPr>
        <w:pStyle w:val="BookText"/>
        <w:rPr/>
      </w:pPr>
      <w:r>
        <w:rPr>
          <w:rFonts w:ascii="Amiri" w:hAnsi="Amiri" w:eastAsia="Amiri" w:cs="Amiri"/>
          <w:color w:val="111111"/>
          <w:sz w:val="28"/>
          <w:sz w:val="28"/>
          <w:szCs w:val="28"/>
          <w:rtl w:val="true"/>
          <w:lang w:bidi="ar-SA"/>
        </w:rPr>
        <w:t xml:space="preserve">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حمزة بن طيار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أمر الناس به فهم يسعون ، وكلّ شي‌ء لا يسعون فهو موضوع عنهم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علیه السلام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الخوارج ضيّقوا على أنفسهم بجهالة ، وإن الدين أوسع من ذلك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على الشريعة السمحة السهلة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كثيرة تدلّ على عدم جعل الحكم الحرجي وما يوجب العسر والضيق على الأمّة ، تركنا ذكرها لكفاية ما ذكرنا لإثبات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على اعتبار هذه القاعدة فممّا لا اعتبار به ، لأنّ الإجماع الذي بنينا على اعتباره هو أن لا يكون في المسألة مدرك آخر يمكن ويحتمل أن يكون اتّكاء المجمعين عليه ، ففي هذه المسألة التي لها هذه المدارك من الكتاب العزيز لا وجه للتمسّك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أن يقال هو أنّ التكليف بما يوجب العسر والضيق على الأمة ويكون ذلك التكليف فوق طاقتهم قبيح ، والقبيح محال صدوره من اللّه جلّ جلاله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تكليف ما لا يطاق بمعنى عدم القدرة على امتثاله وإن كان </w:t>
      </w:r>
    </w:p>
    <w:p>
      <w:pPr>
        <w:pStyle w:val="BookText"/>
        <w:rPr/>
      </w:pPr>
      <w:r>
        <w:rPr>
          <w:rFonts w:ascii="Amiri" w:hAnsi="Amiri" w:eastAsia="Amiri" w:cs="Amiri"/>
          <w:color w:val="111111"/>
          <w:sz w:val="28"/>
          <w:sz w:val="28"/>
          <w:szCs w:val="28"/>
          <w:rtl w:val="true"/>
          <w:lang w:bidi="ar-SA"/>
        </w:rPr>
        <w:t xml:space="preserve">قبيحا عقلا بل يكون ممتنعا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 في محلّه من أنّ حقيقة الأمر والنهي هو البعث إلى أحد طرفي المقدور أو الزجر عنه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بما لا يطاق بهذا المعنى لا يمكن ، لا أنّه ممكن وقبيح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المعنى ليس مفاد قاعدة لا حرج ؛ لأن ظاهر أدلّة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تبارك وتعالى في مقام الامتنان على هذه الأمّة ، ولا امتنان في رفع ما لا يمكن جعله ووضعه ، أو يكون وضعه قبيحا ، مع أنّه حكيم لا يمكن أن يصدر منه فعل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عدم الحرج في الدين هو عدم جعل حكم يوجب الضيق على المكلّفين ، وبهذا المعنى فسر الحرج في جميع التفاسير من العامّة 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المعنى ليس دليل على امتناعه أو قبحه ولكنّ اللّه تبارك وتعالى لطفا وكرما لم يجعل الأحكام الحرجيّة بالنسبة إلى جميع العباد ، أو بالنسبة إلى خصوص هذه الأمّة المرحومة كرامة لنبينا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بالمعنى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اختصاص رفع الأحكام الحرجيّة بهذه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بالحنيفيّة السمحة السهلة </w:t>
      </w:r>
      <w:r>
        <w:rPr>
          <w:rFonts w:eastAsia="IRNazanin" w:cs="IRNazanin"/>
          <w:color w:val="111111"/>
          <w:sz w:val="28"/>
          <w:szCs w:val="28"/>
          <w:rtl w:val="true"/>
          <w:lang w:bidi="fa-IR"/>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عَلَيْنا إِصْراً كَما حَمَلْتَهُ عَلَى الَّذِينَ مِنْ قَبْلِنا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الثقيل الذي يحبس صاحبه مكانه لثقله ، والمراد التكاليف الشاقّة التي كلّف اللّه تعالى بها الأمم السابقة من التشديدات ، وقد عصم اللّه هذه الأمّة من أمثال ذلك ، وأنزل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عَنْهُمْ إِصْرَهُمْ وَالْأَغْلالَ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الكريمة مع الحديث الشريف تدلّ دلالة واضحة على أنّ رفع الأحكام </w:t>
      </w:r>
    </w:p>
    <w:p>
      <w:pPr>
        <w:pStyle w:val="BookText"/>
        <w:rPr/>
      </w:pPr>
      <w:r>
        <w:rPr>
          <w:rFonts w:ascii="IRNazanin" w:hAnsi="IRNazanin" w:eastAsia="IRNazanin"/>
          <w:color w:val="111111"/>
          <w:sz w:val="28"/>
          <w:sz w:val="28"/>
          <w:szCs w:val="28"/>
          <w:rtl w:val="true"/>
          <w:lang w:bidi="fa-IR"/>
        </w:rPr>
        <w:t xml:space="preserve">الحرجيّة مخصوص بهذه الأمّة كرامة لنبيّنا صلی اللّه علیه و آله ، فلا يمكن أن يكون المراد من الحرج عدم القدرة والطاقة والعجز عن الامتثال بمثابة يكون تكليفه في تلك الحالة قبيحا أو غير ممكن ، فلا شكّ في أنّ المراد من التكاليف والأحكام الحرجيّة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يكون الحكم المجعول من طرف الشارع موجبا للضيق والعسر على النوع أو على الشخص ؛ لأنّه قد يكون العسر النوعي موجبا لرفع الحكم ولو كان بالنسبة إلى بعض الأشخاص غير حرجي ، فيكون الحرج من قبيل الحكمة لا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يكون من هذا القبيل رفع وجوب الغسل ووجوب التيمّم في قوله تعالى في آية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وَلا يُرِيدُ بِكُمُ الْعُسْرَ </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فاللّه تبارك وتعالى رفع وجوب الغسل وشرع التيمم ولو كان تحصيل الماء مع المشقّة ممكنا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شكّ في دلالة هذه الآيات وهذه الروايات المستفيضة على عدم جعل الأحكام الحرجيّة في الدين الحنيف الإسلامي ، وقد ذكرنا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بالحنيفيّة السمحة السهلة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هاهنا إشكال معروف ، وهو أنّه لا شكّ في وجود أحكام شاقّة في هذا الدين الحنيف ، كالجهاد وعدم جواز الفرار عن الزحف ، والصوم في شهر رمضان خصوصا في أيّام الصيف ، وأمثال ذلك من الأحكام التي هي شاقّة على نوع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بأنّه ربما تكون مصلحة فعل ، أو ترك ، أو مصلحة إثبات حكم وضعي ، أو رفعه بمثابة من الأهميّة بحيث يكون عدم جعل ذلك الحكم التكليفي أو الوضعي خلاف اللطف والامتنان ، سواء أكانت تلك المصلحة شخصيّة أو نوعيّة ؛ لأنّ الشارع قد يلاحظ مصلحة النوع ولو لم تكن للشخص مصلحة أصلا أو لم تكن ملزمة ، ومع ذلك يكلّف الشخص بذلك الفعل مراعاتا وحفظا لمصلحتهم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الأحكام الحرجيّة أو عدم جعلها ، يكون من باب الامتنان </w:t>
      </w:r>
      <w:bookmarkStart w:id="239" w:name="pg15902_182437"/>
    </w:p>
    <w:p>
      <w:pPr>
        <w:pStyle w:val="BookText"/>
        <w:rPr/>
      </w:pPr>
      <w:bookmarkEnd w:id="239"/>
      <w:r>
        <w:rPr>
          <w:rFonts w:ascii="Amiri" w:hAnsi="Amiri" w:eastAsia="Amiri" w:cs="Amiri"/>
          <w:color w:val="111111"/>
          <w:sz w:val="28"/>
          <w:sz w:val="28"/>
          <w:szCs w:val="28"/>
          <w:rtl w:val="true"/>
          <w:lang w:bidi="ar-SA"/>
        </w:rPr>
        <w:t>واللطف ، فإذا كان الرفع وعدم الجعل خلاف الامتنان وخلاف المصلحة الشخصيّة أو النوعيّة ، فلا بدّ وأن يجعل ذلك الحكم ولو كان فيه ضيق وعسر ، وإلاّ تفوت تلك المصلحة الشخصيّة أو النوعيّة ، وهذا خلاف اللطف ؛ هذا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 فلا بدّ وأن ينظر إلى ذلك الحكم الحرجي ، فإن كان حرجيّا لجميع المكلّفين ودائما وفي جميع الأوقات ، أو نوعيا وإن لم يكن حرجيّا في حقّ شرذمة قليلة من الناس ، فمن ذلك يستكشف أهميّة الملاك بحيث لم يرض الشارع بفعله أو بتركه وطلب الفعل ، كما في الجهاد والحج ، أو الترك كما في الصوم وإن كانا حرجيّين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حرجيّا إلاّ لبعض الأشخاص ، أو في بعض الأوقات ، أو في بعض الحالات ففي مثل هذه الموارد يتمسّك لرفعها بقاعدة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المجعول بعنوان عامّ إذا كان بعض مصاديقها حرجيّا يرتفع عن تلك المصاديق بأدلّة نفي العسر والحرج ، مثلا الوضوء واجب للصلاة ، فإذا كان البرد شديدا قارصا وكان الوضوء في ذلك البرد حرجيّا يرتفع الوجوب بأدلّة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على للبشرة واجب ، فإذا كان حرجيّا بواسطة وضع المرارة عليها فيرتفع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المذكورات فقس ما سواها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519222_2142443653"/>
      <w:bookmarkStart w:id="241" w:name="_Toc77"/>
      <w:bookmarkEnd w:id="240"/>
      <w:r>
        <w:rPr>
          <w:rtl w:val="true"/>
        </w:rPr>
        <w:t xml:space="preserve">الجهة الثانية </w:t>
      </w:r>
      <w:r>
        <w:rPr>
          <w:rtl w:val="true"/>
        </w:rPr>
        <w:t xml:space="preserve">: </w:t>
      </w:r>
      <w:r>
        <w:rPr>
          <w:rtl w:val="true"/>
        </w:rPr>
        <w:t>في مفاد هذه القاعدة ومضمونها</w:t>
      </w:r>
      <w:bookmarkEnd w:id="24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مضمونها رفع الحكم الذي هو حرجي ، سواء أكان تكليفا أو وضعا ، فيكون مساقها مساق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الأعظم الأنصاري قدس سره </w:t>
      </w:r>
      <w:r>
        <w:rPr>
          <w:rStyle w:val="FootnoteAnchor"/>
          <w:rtl w:val="true"/>
        </w:rPr>
        <w:footnoteReference w:id="270"/>
      </w:r>
      <w:r>
        <w:rPr>
          <w:rFonts w:ascii="Amiri" w:hAnsi="Amiri" w:eastAsia="Amiri" w:cs="Amiri"/>
          <w:color w:val="111111"/>
          <w:sz w:val="28"/>
          <w:sz w:val="28"/>
          <w:szCs w:val="28"/>
          <w:rtl w:val="true"/>
          <w:lang w:bidi="ar-SA"/>
        </w:rPr>
        <w:t xml:space="preserve">أنّ المرفوع والمنفي هو نفس الحكم الضرري ، لا أنّ النّفي بمعنى </w:t>
      </w:r>
    </w:p>
    <w:p>
      <w:pPr>
        <w:pStyle w:val="BookText"/>
        <w:rPr/>
      </w:pPr>
      <w:r>
        <w:rPr>
          <w:rFonts w:ascii="Amiri" w:hAnsi="Amiri" w:eastAsia="Amiri" w:cs="Amiri"/>
          <w:color w:val="111111"/>
          <w:sz w:val="28"/>
          <w:sz w:val="28"/>
          <w:szCs w:val="28"/>
          <w:rtl w:val="true"/>
          <w:lang w:bidi="ar-SA"/>
        </w:rPr>
        <w:t xml:space="preserve">النهي ، كما أصرّ عليه شيخ الشريعة الأصفهاني قدس سره </w:t>
      </w:r>
      <w:r>
        <w:rPr>
          <w:rStyle w:val="FootnoteAnchor"/>
          <w:rtl w:val="true"/>
        </w:rPr>
        <w:footnoteReference w:id="271"/>
      </w:r>
      <w:r>
        <w:rPr>
          <w:rFonts w:ascii="Amiri" w:hAnsi="Amiri" w:eastAsia="Amiri" w:cs="Amiri"/>
          <w:color w:val="111111"/>
          <w:sz w:val="28"/>
          <w:sz w:val="28"/>
          <w:szCs w:val="28"/>
          <w:rtl w:val="true"/>
          <w:lang w:bidi="ar-SA"/>
        </w:rPr>
        <w:t xml:space="preserve">ولا أنّه من قبيل رفع الحكم برفع الموضوع ، كما ذهب إليه صاحب الكفاية قدس سره </w:t>
      </w:r>
      <w:r>
        <w:rPr>
          <w:rStyle w:val="FootnoteAnchor"/>
          <w:rtl w:val="true"/>
        </w:rPr>
        <w:footnoteReference w:id="272"/>
      </w:r>
      <w:r>
        <w:rPr>
          <w:rFonts w:ascii="Amiri" w:hAnsi="Amiri" w:eastAsia="Amiri" w:cs="Amiri"/>
          <w:color w:val="111111"/>
          <w:sz w:val="28"/>
          <w:sz w:val="28"/>
          <w:szCs w:val="28"/>
          <w:rtl w:val="true"/>
          <w:lang w:bidi="ar-SA"/>
        </w:rPr>
        <w:t>ولا أنّ المنفي هو الضرر غير المتدارك ، كما ذهب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هاهنا أوضح من تلك القاعدة ؛ لأنّه في هذه القاعدة صريح القرآن العظيم عدم جعل الأحكام الحرجيّة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بخلاف قاعدة لا ضرر ، فإنّ ظاهر الحديث الشريف هو نفي الضرر لا الحكم الضرري ، إلاّ بقرائن ذكرنا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أنّ الأدلّة نفي الحرج والضرر حكومة واقعيّة في جانب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الأوّلية المحمولة على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بالتضييق ، ولذلك تقدّم أدلّة نفي العسر والحرج كأدلّة الضرر على الأدلّة الأوّلية ولا تلاحظ النسبة بينهما ، كما هو شأن الحاكم والمحكوم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نفي العسر والضيق والحرج في هذا الدين الحنيف مقابل السعة والسهلة والسمحة أنّ اللّه تبارك وتعالى في هذا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عبارة عن مجموع الأحكام المتعلقة بأفعال المكلّفين أو الموضوعات الخارجيّة ، كبعض الأحكام الوضعيّة كالطهارة والنجاسة والولاية والحرّية والرقيّة والزوجيّة وأمثال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 حكما ينشأ من قبله الحرج والضيق والعسر ، بل هذا الدين والشريعة سمحة سهلة ، والناس أي المتدينين بهذا الدين في سعة من قبل أحكامه ؛ ولذلك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الخوارج ضيقوا على أنفسهم بجهالة ، وإنّ الدين أوسع من ذلك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وردت روايات كثيرة فوق حدّ الاستفاضة</w:t>
      </w:r>
      <w:r>
        <w:rPr>
          <w:rFonts w:eastAsia="Amiri" w:cs="Amiri" w:ascii="Amiri" w:hAnsi="Amiri"/>
          <w:color w:val="111111"/>
          <w:sz w:val="28"/>
          <w:szCs w:val="28"/>
          <w:rtl w:val="true"/>
          <w:lang w:bidi="ar-SA"/>
        </w:rPr>
        <w:t xml:space="preserve">. </w:t>
      </w:r>
      <w:bookmarkStart w:id="242" w:name="pg15902_182439"/>
    </w:p>
    <w:p>
      <w:pPr>
        <w:pStyle w:val="BookText"/>
        <w:rPr/>
      </w:pPr>
      <w:bookmarkEnd w:id="242"/>
      <w:r>
        <w:rPr>
          <w:rFonts w:ascii="Amiri" w:hAnsi="Amiri" w:eastAsia="Amiri" w:cs="Amiri"/>
          <w:color w:val="111111"/>
          <w:sz w:val="28"/>
          <w:sz w:val="28"/>
          <w:szCs w:val="28"/>
          <w:rtl w:val="true"/>
          <w:lang w:bidi="ar-SA"/>
        </w:rPr>
        <w:t xml:space="preserve">وليس المراد من نفي الحرج نفى الحكم بلسان نفى الموضوع ، كما قيل ذلك في لا ضرر ، وإن كان التحقيق خلافه حتّى هناك ، ولو كان لهذا التوهّم وجه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له هاهنا أصلا ؛ لأنّ ذلك مفاد الآية الشريفة ابتداء وأوّلا وبالذات نفى جعل الحرج في الدين ، ولا شكّ في أنّ المراد بالجعل الذي نفاه اللّه تبارك وتعالى هو الجعل التشريعي لا الجعل التكويني ، والمراد من الدين هي الأحكام المجعولة من قبل الشارع المسمّاة بالأحكام الفقهيّة من الطهارات إلى الديات ، فلا يبقى شكّ في أنّ المنفي هو نفس الحكم الذي ينشأ من قبله الضيق والحرج ، لا أنّه تعالى ينفى الحكم الحرجي بلسان نفى موضوع ، ذلك الحكم ، أي الموضوع الذي هو حرجي أي الوضوء في البرد الشديد مثلا ، أو المسح على البشرة فيما إذا وضع عليها المرارة إذا كان نزعها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بين الوجهين نذكرها في الجهة الثالثة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519224_2142443653"/>
      <w:bookmarkStart w:id="244" w:name="_Toc78"/>
      <w:bookmarkEnd w:id="243"/>
      <w:r>
        <w:rPr>
          <w:rtl w:val="true"/>
        </w:rPr>
        <w:t xml:space="preserve">الجهة الثالثة </w:t>
      </w:r>
      <w:r>
        <w:rPr>
          <w:rtl w:val="true"/>
        </w:rPr>
        <w:t xml:space="preserve">: </w:t>
      </w:r>
      <w:r>
        <w:rPr>
          <w:rtl w:val="true"/>
        </w:rPr>
        <w:t>في موارد تطبيق هذه القاعدة</w:t>
      </w:r>
      <w:bookmarkEnd w:id="244"/>
    </w:p>
    <w:p>
      <w:pPr>
        <w:pStyle w:val="Heading4"/>
        <w:numPr>
          <w:ilvl w:val="3"/>
          <w:numId w:val="1"/>
        </w:numPr>
        <w:rPr/>
      </w:pPr>
      <w:bookmarkStart w:id="245" w:name="__RefHeading___Toc15519226_2142443653"/>
      <w:bookmarkStart w:id="246" w:name="_Toc7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ومواردها كثيرة لا يمكن إحصاؤها ؛ لأنّ أغلب الأحكام الإلزاميّة سواء أكانت من الواجبات أو من المحرّمات قد يصير في بعض الأحيان حرجيّا ، فتكون تلك الأحكام الحرجيّة مشمولة لقاعدة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موردين منها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البرد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البشرة فيما إذا وضع عليها المرارة لوقوعه وانقطاع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جملة أخرى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اغتسل من الجنابة من إناء ، وينضح من ماء غسله بواسطة وقوعه على الحجر الصلب أو صلب آخر في الإناء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ما جعل عليكم في </w:t>
      </w:r>
    </w:p>
    <w:p>
      <w:pPr>
        <w:pStyle w:val="BookText"/>
        <w:rPr/>
      </w:pPr>
      <w:r>
        <w:rPr>
          <w:rFonts w:ascii="Amiri" w:hAnsi="Amiri" w:eastAsia="Amiri" w:cs="Amiri"/>
          <w:color w:val="111111"/>
          <w:sz w:val="28"/>
          <w:sz w:val="28"/>
          <w:szCs w:val="28"/>
          <w:rtl w:val="true"/>
          <w:lang w:bidi="ar-SA"/>
        </w:rPr>
        <w:t xml:space="preserve">الدين من حرج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القاعدة في هذا المقام مبتن على عدم جواز الاغتسال بالماء المستعمل في رفع الحدث الأكبر حتّى بالنسبة إلى تلك القطرات التي تنضح في الإناء من ماء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الاحتياط بالجمع بين المحتملات فعلا أو تركا حرجيا ، فيرتفع وجوبه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بنى صاحب الكفاية قدس سره في جواز ارتكاب بعض الأطراف أو جميعها في الشبهة غير المحصورة التحريميّة وفي جواز ترك بعض الأطراف أو جميعها في الشبهة غير المحصورة الوجوبيّة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المخالفة الاحتماليّة أو القطعيّة في الشبهة غير المحصورة ، وعدم وجوب الاحتياط فيها مستندا إلى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 المناط في كون الشبهة غير محصورة هو أن يكون الاحتياط في أطرافها موجبا للعسر والحرج ، فيما إذا كان عسر الاحتياط ناشئا من كثرة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يرجع ما ذكره في مقدّمات دليل الانسداد وإنكار وجوب الاحتياط بالجمع بين المحتملات بإتيان مظنون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مشكوكه وموهومة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مظنون الحرمة ومشكوكها وموهومها بأنّ هذا الاحتياط يوجب العسر والحرج بل اختلال النظام فبواسطة هذه القاعدة أنكروا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هاهنا على الاستدلال بهذه القاعدة لرفع وجوب الاحتياط والجمع بين المحتملات بحكم العقل ، من باب لزوم القطع بالامتثال إمّا وجدانا وأمّا تعبدا ، واليقين بفراغ الذمّة ومفاد قاعدة الحرج كما بيّنا هو رفع الحكم الشرعي إذا كان حرجيّا لا الأحكام العقليّة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أجبنا عن هذا الإشكال في محلّه أنّه بناء على ما اخترنا في مفاد القاعدة </w:t>
      </w:r>
      <w:bookmarkStart w:id="247" w:name="pg15902_182441"/>
    </w:p>
    <w:p>
      <w:pPr>
        <w:pStyle w:val="BookText"/>
        <w:rPr/>
      </w:pPr>
      <w:bookmarkEnd w:id="247"/>
      <w:r>
        <w:rPr>
          <w:rFonts w:ascii="Amiri" w:hAnsi="Amiri" w:eastAsia="Amiri" w:cs="Amiri"/>
          <w:color w:val="111111"/>
          <w:sz w:val="28"/>
          <w:sz w:val="28"/>
          <w:szCs w:val="28"/>
          <w:rtl w:val="true"/>
          <w:lang w:bidi="ar-SA"/>
        </w:rPr>
        <w:t>من أنّه عبارة عن رفع كلّ حكم شرعي يكون منشأ للحرج والعسر والضيق ، ولا شكّ في أنّ العسر والحرج الذي في الاحتياط آتية من قبل تلك الأحكام الواقعيّة المجهولة وإن كان الاحتياط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مفاد هذه القاعدة رفع الحكم الحرجي برفع موضوعه ، فلا مدفع لهذا الإشكال ؛ لأنّه ليس للاحتياط حكم شرعي حتّى يرتفع برفع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الثمرة بين القولين ، أي القول بأنّ مفاد لا ضرر ولا حرج رفع الحكم بلسان رفع موضوعه ، كما ذهب إليه صاحب الكفاية قدس سره أو رفع الحكم الذي ينشأ منه الضرر والحرج ، كما اخترناه فبناء على الوجه الأوّل لا حكومة لأدلّة نفى العسر والحرج على الاحتياط العقلي في أطراف العلم الإجمالي إذا كان موجبا للعسر والحرج ، وأمّا بناء على الوجه الثاني فحيث أنّ الحرج والعسر بالآخرة ينتهيان إلى الحكم الشرعي وإن كان من جهة الجمع بين محتملاته بحكم العقل ، فيكون مشمولا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قلنا إنّ الثمرة بين الوجهين نذكرها في الجهة الثالثة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5519228_2142443653"/>
      <w:bookmarkStart w:id="249" w:name="_Toc80"/>
      <w:bookmarkEnd w:id="248"/>
      <w:r>
        <w:rPr>
          <w:rtl w:val="true"/>
        </w:rPr>
        <w:t>ثمَّ إنّ هاهنا أمران يجب التنبيه عليهما</w:t>
      </w:r>
      <w:bookmarkEnd w:id="24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تحمّل المكلّف باختيار نفسه الحرج والمشقة ، وأتى بالعبادة التي فيها المشقّة ، سواء كان تمام العبادة أو جزؤها أو شرطها أو مانعها ، مثلا في البرد الشديد توضّأ أو في الحرّ الشديد في الصيف مع أنّ النهار طويل صام مع أنّه مجبور بالعمل في الشمس ، أو في البرد الشديد نزع اللباس من غير المأكول وأمثال ذلك هل تكون عبادته صحيحة ، أم لا ، بل تكون باطلة ؛ لأنّ في الأوّل كانت وظيفته التيمّم ، وفي الثاني كانت وظيفته الإفطار ، وفي الثالث كانت وظيفته الصلاة مع غير المأكول أو الحرير أو الذهب مثلا أو غيرها من الموانع؟ </w:t>
      </w:r>
    </w:p>
    <w:p>
      <w:pPr>
        <w:pStyle w:val="BookText"/>
        <w:rPr/>
      </w:pPr>
      <w:r>
        <w:rPr>
          <w:rFonts w:ascii="Amiri" w:hAnsi="Amiri" w:eastAsia="Amiri" w:cs="Amiri"/>
          <w:color w:val="111111"/>
          <w:sz w:val="28"/>
          <w:sz w:val="28"/>
          <w:szCs w:val="28"/>
          <w:rtl w:val="true"/>
          <w:lang w:bidi="ar-SA"/>
        </w:rPr>
        <w:t xml:space="preserve">ذهب شيخنا الأستاذ قدس سره إلى بطلان العبادة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الوضوء والغسل والصوم والصلاة مع نزع غير المأكول أو نزع الحرير إذا كانت ضرريّة تبطل ، فكذلك فيما إذا كانت هذه المذكورات حرجيّة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أنّ مساق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الضرر وقاعدة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إذ في موارد كلتيهما يكون الحكم الواقعي مرفوعا بالمرّة ؛ لأنّ نتيجة حكومتهما على الأدلة الأحكام الواقعيّة هو تخصيصها بغير موارد الضرر والحرج ، كما هو الحال في جميع موارد الحكومة الواقعيّة ، فكأنّ الحكم الواقعي يصير نوعين ، النوع الضرري والحرجي يرتفعان عن عالم التشريع بالمرّة ، والنوع الآخر الذي ليس بضرري ولا هو حرجي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والإطلاقات الأوّلية لو لا هاتان القاعدتان كانت تشمل هذه الموارد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موارد كونها ضرريّا أو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الموارد التي ليست كذلك ، ولكن أدلّة هاتين القاعدتين تخصّص العمومات الأوّلية تخصيصا واقعيّا ، وكذلك تقيّد الإطلاقات الأوّلية تقييدا واقعيّا ، فتكون موارد هاتين القاعدتين خارجة عن تحت حكم تلك العمومات والإطلاقات حقيقة وواقعا ، لا عن تحت موضوعها حتّى تكونان واردتين على الأدلّة الأوّلية ، فتكون العبادة أو جزؤها أو شرطها كأن لم يكن تعلّق بها أمر ولم تكن عبادة إذا كانت حرجيّة ، كما هي كذلك لو كانت ضرريّة ، فالإتيان بها عبادة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باب الحرج بباب الضرر في غير محلّه ؛ لأنّ الضرر موجب لحرمة الفعل الضرري ، فارتكاب الفعل الذي فيه الضرر لا يجوز ، فلا يجتمع مع العبادة التي يجب الإتيان بها مقرّبا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ضرري مبعد ، ولا يمكن أن يكون المبعد مقرّبا ، ولا يطاع اللّه من حيث يعصى وإن كان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الفعل الضرري مبعدا وحراما بجميع مراتبه حتى الضرر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المرتبة التي ليست محرّمة ومبعدة لا يرفع الحكم الشرعي الإلزامي ، فلا يرتفع بها </w:t>
      </w:r>
    </w:p>
    <w:p>
      <w:pPr>
        <w:pStyle w:val="BookText"/>
        <w:rPr/>
      </w:pPr>
      <w:r>
        <w:rPr>
          <w:rFonts w:ascii="Amiri" w:hAnsi="Amiri" w:eastAsia="Amiri" w:cs="Amiri"/>
          <w:color w:val="111111"/>
          <w:sz w:val="28"/>
          <w:sz w:val="28"/>
          <w:szCs w:val="28"/>
          <w:rtl w:val="true"/>
          <w:lang w:bidi="ar-SA"/>
        </w:rPr>
        <w:t>وجوب الغسل أو التيمّم ، وليس ببعيد فهو خارج عن محلّ الكلام لأنّ كلامنا الآن في الضرر الذي يرتفع به الحكم الشرعي الإلزامي ؛ هذا في باب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باب الحرج فليس كذلك ، أي ارتكاب الفعل الحرجي لا حرمة فيه فليس بمبعد ، فقياس أحدهما بالآخر لا وجه له ؛ لأنّ مناط البطلان في العبادة الضرريّة كالوضوء أو الغسل الضرريين ليس في العبادة الحرجيّة ، بل العبادة الحرجيّة التي يأتي بها مع المشقّة تكون آكد في العبوديّة ، ولعلّه يشير إلى هذا الحديث المشهور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العبادات أحمزها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أي أشدّها ، ولا شكّ في أنّ تحمّل المشاقّ في سبيل امتثال أوامر المولى ونواهيه ممدوح عند العقل والعقلاء ، إلاّ أن يكون المولى نهى عن تحمّله وإيقاع نفسه في المشقّة ، فحينئذ يكون عاصيا ويكون حاله حال الفعل الضرري ويكون خارجا عن مفروض الكلام ؛ لأنّ كلامنا في ما إذا كان الحرج موجبا لرفع الحكم الإلزامي إذا كان حرجيّا ، لا فيما إذا كان الفعل الحرجي منهيا كما أنّ الفعل الضرري يكون منهيّا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الحرج وكذلك قاعدة الضرر حكم امتناني ، غاية الأمر أنّ الفعل الضرر حرام بدليل آخر لا ربط له بالقاعدة ، بخلاف قاعدة الحرج فإنّه ليس هناك دليل آخر يدلّ على حرمة ارتكاب الفعل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فتوى المشهور ببطلان الوضوء والغسل الضرري دون الحرجي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صحّة العبادات الحرجيّة بأنّ الحرج يرتفع به الأمر كما هو مفاد هذه القاعدة ، فيكون إتيانها بقصد الأمر تشريعا محرّما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الملاك كاف في عدم كونه تشريعا محرّما ، كما أنّه في باب الواجبين </w:t>
      </w:r>
    </w:p>
    <w:p>
      <w:pPr>
        <w:pStyle w:val="BookText"/>
        <w:rPr/>
      </w:pPr>
      <w:r>
        <w:rPr>
          <w:rFonts w:ascii="Amiri" w:hAnsi="Amiri" w:eastAsia="Amiri" w:cs="Amiri"/>
          <w:color w:val="111111"/>
          <w:sz w:val="28"/>
          <w:sz w:val="28"/>
          <w:szCs w:val="28"/>
          <w:rtl w:val="true"/>
          <w:lang w:bidi="ar-SA"/>
        </w:rPr>
        <w:t>الضدّين الذي أحدهما أهمّ يسقط أمر المهمّ ، ومع ذلك أو عصى امتثال أمر الأهمّ وأتى بالمهمّ ، فالتحقيق صحّة عبادته ؛ لكفاية الملاك في التقرّب بها ولا يحتاج إلى الأمر ؛ ففيما نحن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الواجبين المتزاحمين الضدّين الذي أحدهما أهمّ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بوجود الملاك مع سقوط الأمر ؛ لأنّ سقوط الأمر هناك من باب عدم القدرة ، والقدرة العقليّة نعلم بعدم دخلها في الملاك ، فدليل وجوب ذلك الواجب المهمّ كما أنّه دالّ على وجوبه كذلك دالّ على وجود الملاك فيه ، والوجوب والأمر سقط بواسطة عدم القدرة ، وأمّا الدليل على وجود الملاك فباق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أيضا كذلك ، فإنّ المرفوع هو الإلزام من باب الامتنان لا الملاك ؛ لأنّه لا امتنان في رفع الملاك ، بل رفعه يكون خلاف الامتنان ، بل لا يمكن رفعه في عالم التشريع ؛ لأنّه أمر تكويني ورفعه لا بدّ وأن يكون بأسبابه التكوينيّة ، لا بمثل لا حرج ولا ضرر ، بناء على ما هو التحقيق من أنّ مفادهما رفع الحكم الشرعي ، بل ولو على القول بكون مفادهما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على وجود الملاك بعد عدم الأمر وارتفاعه بواسطة الحرج ؛ لأنّ الملاك كان يستكشف من الأمر ، فإذا سقط الأمر فليس هناك دليل كاشف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وعمومات الأدلّة الأوّلية كانت دليلا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 والآخر هو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الوجوب سقط عن الاعتبار بواسطة حكومة هذه القاعدة عليها ، وأمّا دلالتها على وجود الملاك فباق على حاله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ظهور الإطلاقات والعمومات الأوّليّة في وجود الملاك حتّى في حال كون تلك الأحكام حرجيّة ملازم مع ظهورها في الوجوب ، فإذا سقط ظهورها في الوجوب عن الاعتبار بواسطة هذه فيسقط ظهورها في وجود الملاك أيضا عن </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التفكيك بين المتلازمين في الحجيّة لا مانع منه كما ، أنّه في الخبرين المتعارضين كلّ واحد منهما يسقط دلالته المطابقيّة عن الاعتبار بواسطة المعارضة ، فكلّ واحد منهما ليس حجّة في 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كلاهما معتبران في مدلولهما الإلزامي ، أي نفي الحكم الثالث الذي هو خلاف مؤدّى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عدم بطلان الوضوء أو الغسل مع كونهما حرجيّين أن يكون مخيّرا بين الوضوء أو الغسل وبين التيمم في حال كونهما حرجيّين ، وهذا معلوم العدم ؛ لأنّ التفصيل قاطع للشركة ، فإنّ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علّق التيمّم على عدم وجود الماء ، وعند الوجدان بمعنى التمكّن من استعماله لا محلّ للتيمّم ، بل إمّا الوضوء أو الغسل ، كلّ في محلّه ، كما أنّه عند عدم الوجدان يتعيّن عليه التيمّم ولا محلّ للوضوء ولا للغسل ، وحيث أنّهما نقيضان فلا ثالث غيرهما ، وإلاّ يلزم إمّا اجتماع النقيضين وإمّا ارتفاع النقيضين ، بمعنى أنّه لو كان محلّ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الوضوء مثلا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أو تخييرا يلزم اجتماع النقيضين ، وإن لم يكن الاثنين فيلزم ارتفاع النقيضين ، فلا بدّ وأن يكون الواجب عند القيام إلى الصلاة أحدهما المعيّن لا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في مقام الثبوت عدم وجدان الماء عند القيام للصلاة بمعنى عدم التمكّن من استعماله عقلا أو شرعا علّة منحصرة لوجوب التيمّم ، وأمّا مع التمكّن وعدم مانع شرعي أو عقلي فإن لم يكن استعماله شاقّا وحرجيّا فيجب الوضوء أو الغسل كلّ في محلّه ومورده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شاقّا وحرجيّا فيكون مخيرا بين التيمم وبين الطهارة المائيّة أي الوضوء أو الغسل كلّ في محلّه ومورده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مقام الإثبات فلو لم تكن هذه القاعدة في البين ، كان مقتضى ظاهر الآية </w:t>
      </w:r>
    </w:p>
    <w:p>
      <w:pPr>
        <w:pStyle w:val="BookText"/>
        <w:rPr/>
      </w:pPr>
      <w:r>
        <w:rPr>
          <w:rFonts w:ascii="Amiri" w:hAnsi="Amiri" w:eastAsia="Amiri" w:cs="Amiri"/>
          <w:color w:val="111111"/>
          <w:sz w:val="28"/>
          <w:sz w:val="28"/>
          <w:szCs w:val="28"/>
          <w:rtl w:val="true"/>
          <w:lang w:bidi="ar-SA"/>
        </w:rPr>
        <w:t>أنّه عند عدم الوجدان وظيفته التيمّم ، وعند الوجدان الوضوء أو الغسل ، ولكن بعد ورود الدليل على عدم جعل الحكم الحرجي وعلمنا أنّه تعالى في مقام الامتنان ، فلا بدّ وأن يكون المرفوع هو الوجوب والإلزام لا الصحّة ؛ لأنّ رفع الصحّة خلاف الامتنان ، فبمقتضى رفعه لا بدّ وأن يكون التيمّم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طرف آخر حيث أنّ الطهارة المائيّة أيضا صحيحة ؛ لأنّ المرفوع هو الإلزام لا الصحّة ، فيكون مخيّرا بين الطهارة المائيّة وبين الطهارة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التأمّل فيما ذكرنا نعرف أنّ ما ذكره شيخنا الأستاذ قدس سره في حاشيته على العروة في هذا المقام من ادّعاء القطع بعدم التخيير بين الطهارتين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هو صحّة الوضوء والغسل الحرجيّين ما لم يصل إلى حد الضرر المحرّم ، وإن كان الاحتياط بالجمع بينهما حسن ، بمعنى أنّه لو توضّأ أو اغتسل وتحمّل الحرج والمشقّة لا يترك التيمّم وأمّا لو تيمّم فلا يحتاج إلى الطهارة المائيّة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القاعدة هل هي حاكمة على جميع العمومات وإطلاقات أدلّة الأحكام الإلزاميّة ، سواء كانت تلك الأحكام من الواجبات أو كانت من المحرّمات؟ وعلى تقدير كونها شاملة للمحرّمات أيضا كالواجبات ، فهل تختصّ حكومتها على أدلّة محرّمات الصغائر أو يشمل الكبائر أيضا؟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أساس قاعدة نفي العسر والحرج ، واستشهد الإمام علیه السلام في موارد عديدة بها ، وجعلها كبرى كلّية طبّقها على صغرياتها المتعدّدة في أبواب مختلفة ، أعني قوله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العموم لكلّ حكم شرعي حرجي ، سواء كان من الواجبات أو من المحرّمات ، وسواء كانت المحرّمات صغيرة أو كبيرة ، ولكن الظاهر أنّ بناء الفقهاء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العمل بذلك العموم والأخذ به ، خصوصا إذا كان المراد من الحرج والضيق العرفي الذي أخذ </w:t>
      </w:r>
    </w:p>
    <w:p>
      <w:pPr>
        <w:pStyle w:val="BookText"/>
        <w:rPr/>
      </w:pPr>
      <w:r>
        <w:rPr>
          <w:rFonts w:ascii="Amiri" w:hAnsi="Amiri" w:eastAsia="Amiri" w:cs="Amiri"/>
          <w:color w:val="111111"/>
          <w:sz w:val="28"/>
          <w:sz w:val="28"/>
          <w:szCs w:val="28"/>
          <w:rtl w:val="true"/>
          <w:lang w:bidi="ar-SA"/>
        </w:rPr>
        <w:t>موضوعا للرفع في الآية الشريفة هو الحرج الشخصي لا النوعي ، كما هو كذلك ؛ لأنّه ليس في أغلب المحرّمات الكبيرة كالزناء بذات البعل وأمثاله إلاّ ويكون تركها لبعض الأشخاص حرجيّا ، ولا شكّ في أنّ الفقيه لا يرضى من نفسه أن يفتي بجواز ارتكاب ذلك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ذلك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الحكم الحرجي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اللطف والامتنان على العباد ، وإيقاع المكلّف في المفسدة العظيمة المترتّبة على ذلك المحرّم والذنب الكبير برفع الإلزام عنه خلاف اللطف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الشخص الذي له عطف ورأفة على ولده الوحيد العزيز عنده ، يأمره بما فيها المصالح له ، وينهاه عن الأفعال التي فيها مفاسد على اختلاف تلك المصالح والمفاسد خفّة وشدّة ، وقلّة وكثرة ، وصغرا وكبرا ، كلّ تلك الأوامر والنواهي من باب اللطف والشفقة عليه ، حتّى أنّ إعمال المولويّة والوعد على الامتثال ، والوعيد على العصيان كلّ ذلك من باب اللطف والإحسان إليه ، لأنّ لا يفوت منه المصالح ، ولا يقع في المفاسد خصوصا إذا كانت المفاسد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لذلك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التي وجّهتها إليك إذا كان العمل على طبقها وامتثالها شاقّا عليك وتقع في الضيق من ناحية العمل بها والجري على وفقها ، فهي مرفوعة عنك ولا تضيق على نفسك وأنت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أنّ صدور هذا الكلام من ذلك الولد الرؤوف من باب اللطف والامتنان على ذلك الولد ، فهل نفهم منه أنّه رخصة في كلّ ما فيه مفسدة عظيمة ، أو ترك كلّ ما فيه مصلحة ملزمة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ثمَّ كلاّ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على الفقيه في مقام إجراء هذه القاعدة أن يعمل النظر ، ويهتمّ غاية الاهتمام بأن يكون المورد ممّا لا يرضى الشارع بتركه ولو كان الفعل حرجيّا شاقّا على المكلّف ، كالواجبات التي بني الإسلام عليها ، كالصلاة ، والزكاة ، وصوم شهر رمضان ، </w:t>
      </w:r>
    </w:p>
    <w:p>
      <w:pPr>
        <w:pStyle w:val="BookText"/>
        <w:rPr/>
      </w:pPr>
      <w:r>
        <w:rPr>
          <w:rFonts w:ascii="Amiri" w:hAnsi="Amiri" w:eastAsia="Amiri" w:cs="Amiri"/>
          <w:color w:val="111111"/>
          <w:sz w:val="28"/>
          <w:sz w:val="28"/>
          <w:szCs w:val="28"/>
          <w:rtl w:val="true"/>
          <w:lang w:bidi="ar-SA"/>
        </w:rPr>
        <w:t>والحج وأمثالها ممّا لا يرضى الشارع بتركها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يكون ممّا لا يرضى بفعله لاشتماله على المفسدة العظيمة ، كقتل النفس المحرّمة ، والزنا بذات البعل ، واللواط ، والفرار عين الزحف وارتكاب المعاملة الربويّة ، والقمار ، وشرب الخمر ، وسائر المحرّمات الكبيرة التي مذكورة في الفقه في أبواب ذكر العدالة فيها ، عصمنا اللّه من الزلل والخطأ</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bookmarkStart w:id="250" w:name="pg15902_182449"/>
    </w:p>
    <w:p>
      <w:pPr>
        <w:pStyle w:val="Heading2"/>
        <w:numPr>
          <w:ilvl w:val="1"/>
          <w:numId w:val="1"/>
        </w:numPr>
        <w:rPr/>
      </w:pPr>
      <w:bookmarkStart w:id="251" w:name="__RefHeading___Toc15519230_2142443653"/>
      <w:bookmarkStart w:id="252" w:name="_Toc81"/>
      <w:bookmarkEnd w:id="250"/>
      <w:bookmarkEnd w:id="251"/>
      <w:r>
        <w:rPr/>
        <w:t>10</w:t>
      </w:r>
      <w:r>
        <w:rPr>
          <w:rtl w:val="true"/>
        </w:rPr>
        <w:t xml:space="preserve"> - </w:t>
      </w:r>
      <w:r>
        <w:rPr>
          <w:rtl w:val="true"/>
        </w:rPr>
        <w:t>قاعدة الغرور</w:t>
      </w:r>
      <w:bookmarkEnd w:id="2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15519232_2142443653"/>
      <w:bookmarkStart w:id="254" w:name="_Toc82"/>
      <w:bookmarkEnd w:id="253"/>
      <w:r>
        <w:rPr>
          <w:rtl w:val="true"/>
        </w:rPr>
        <w:t>اشارة</w:t>
      </w:r>
      <w:bookmarkEnd w:id="25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الغرور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ومن القواعد المعروفة المشهورة في أبواب 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عند الفقهاء عن صدور فعل عنه أوجب الضرر عليه بواسطة انخداعه عن آخر ولو يكن ذلك الآخر قاصدا لانخداعه ، بل هو أيضا كان مخدوعا أو كان جاهلا ومشتبها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يشترط في كونه مغرورا أن يكون جاهلا بترتّب الضرر على فعله بحيث لا يتدارك ؛ لأنّه من الممكن أن يكون مغرورا مع علمه يترتّب الضرر على فعله للقطع بتداركه هذا ، ولكن خدع في أن هذا الضرر يتدارك ويتعقّب بنفع كثير ، فحكموا برجوع المغرور بالمعنى المذكور إلى من غرّه وخدعه ولو كان الغارّ جاهلا بأنّ فعله صار سببا لانخداع المغرور ؛ وذلك لأنّه لا يشترط في صدق عناوين الأفعال أن يكون الفاعل قاصدا لتلك العناوين ، فالذي قام أو قعد مثلا ولو غفلة من دون قصد إلى عنوان القيام والقعود يصدق عليه أنّه قام أو قعد ؛ فالذي أوقع شخصا في ارتكاب فعل يترتّب عليه الضرر مع جهله بحقيقة الحال بل أو همه أنّه ينتفع بهذا الفعل ، </w:t>
      </w:r>
      <w:bookmarkStart w:id="255" w:name="pg15902_182452"/>
    </w:p>
    <w:p>
      <w:pPr>
        <w:pStyle w:val="BookText"/>
        <w:rPr/>
      </w:pPr>
      <w:bookmarkEnd w:id="255"/>
      <w:r>
        <w:rPr>
          <w:rFonts w:ascii="Amiri" w:hAnsi="Amiri" w:eastAsia="Amiri" w:cs="Amiri"/>
          <w:color w:val="111111"/>
          <w:sz w:val="28"/>
          <w:sz w:val="28"/>
          <w:szCs w:val="28"/>
          <w:rtl w:val="true"/>
          <w:lang w:bidi="ar-SA"/>
        </w:rPr>
        <w:t>فيصدق عليه أنّه غرّه وخدعه وإن لم يكن قاصدا لخدعه ، بل ولو لم يدر أنّه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فالفاعل المباشر الذي صدر منه الفعل الذي يترتّب عليه الضرر مع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همه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يترتّب عليه الضرر بل ينتفع به يسمّى بالمغرور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أوهمه أنّه ليس في هذا الفعل ضرر بل فيه نفع ، هو يسمّى بالغار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رجوع المغرور إلى الغارّ هو أنّ المغرور له أن يغرم الغارّ ويأخذ منه مقدار ما 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القاعدة جهات من الكلام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5519234_2142443653"/>
      <w:bookmarkStart w:id="257" w:name="_Toc83"/>
      <w:bookmarkEnd w:id="256"/>
      <w:r>
        <w:rPr>
          <w:rtl w:val="true"/>
        </w:rPr>
        <w:t xml:space="preserve">الجهة الأولى </w:t>
      </w:r>
      <w:r>
        <w:rPr>
          <w:rtl w:val="true"/>
        </w:rPr>
        <w:t xml:space="preserve">: </w:t>
      </w:r>
      <w:r>
        <w:rPr>
          <w:rtl w:val="true"/>
        </w:rPr>
        <w:t>في مستندها</w:t>
      </w:r>
      <w:bookmarkEnd w:id="257"/>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المشهور بين الفريقين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المغرور يرجع إلى من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حكي عن المحقّق الثاني قدس سره في حاشية الإرشاد وعن نهاية ابن الأثير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ودلالة هذه الجملة على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المغرور إلى الغارّ فيما تضرّر من ناحية تغريره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يحتاج إلى شرح وإيضاح ؛ إذ لا معنى لرجوع المغرور إلى الغارّ في المتفاهم العرفي إلاّ هذا المعنى ، أي يكون له أخذ ما تضرّر من الغارّ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إثبات سندها ، وقد ادّعى بعضهم عدم وجودها في كتب الحديث ، وإن كان عدم الوجدان لا يدل على عدم الوجود ، لكن صرف احتمال الوجود لا أثر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لو كانت هذه الجملة في كتب الحديث ولو بعنوان الإرسال ، أو كان ذكرها أحد الفقهاء في كتابه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صاحب الجواهر قال في كتاب الغصب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لعلّ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يرجع إلى من غرّه ظاهر في ذلك </w:t>
      </w:r>
      <w:r>
        <w:rPr>
          <w:rFonts w:eastAsia="IRNazanin" w:cs="IRNazanin"/>
          <w:color w:val="111111"/>
          <w:sz w:val="28"/>
          <w:szCs w:val="28"/>
          <w:rtl w:val="true"/>
          <w:lang w:bidi="fa-IR"/>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اشتباه منه ، واعتمد قدس سره على ما هو المعروف ، لا أنّه ينقل الحديث عن كتاب أو عن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شكّ في حجّيته ؛ لما ذكرنا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الأصول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من أنّ مدار الحجّية في الخبر هو كونه موثوق الصدور ، والوثوق بالصدور كما يحصل من عدالة الراوي أو وثاقته وإن لم يكن عادلا بل كان منحرفا عن الحقّ ، كذلك يحصل من عمل الأصحاب به ، بل من فتوى مشهور القدماء على طبقه وإن لم يستندوا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يحتاج إلى نقله بعنوان الحديث والرواية ، كي بواسطة عمل الأصحاب على طبق مضمونه يحصل الوثوق بصدوره ، فيكون موضوعا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كون هذه الجملة معقد الإجماع لما ذكروها وأرسلوها إرسال المسلمات ، فهذا إن صحّ يرجع إلى الاستدلال بالإجماع ، وسنتكلّم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 بمعنى أنّ العقلاء في معاملاتهم وسائر أعمالهم إذا تضرّروا بواسطة تغرير الغير إيّاهم ، يرجعون فيما تضرّروا إلى الغارّ ، ويأخذون منه مقدار الضرر الذي صار سببا لوقوع المغرور فيه ، وسائر العقلاء لا يستنكرون هذا المعنى بل يغرمون الغارّ ، وهذا أمر دائر شائع بينهم من دون نكير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هذا الوجه أحسن الوجوه الذي ذكروها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يحتاج في حجّيته إلى الإمضاء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عدم الردع يكفي في الإمضاء ، ولم يثبت ردع من طرف الشارع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الاستدلال بهذه القاعدة في موارد متعدّدة من دون اعتراض من أحدهم </w:t>
      </w:r>
    </w:p>
    <w:p>
      <w:pPr>
        <w:pStyle w:val="BookText"/>
        <w:rPr/>
      </w:pPr>
      <w:r>
        <w:rPr>
          <w:rFonts w:ascii="Amiri" w:hAnsi="Amiri" w:eastAsia="Amiri" w:cs="Amiri"/>
          <w:color w:val="111111"/>
          <w:sz w:val="28"/>
          <w:sz w:val="28"/>
          <w:szCs w:val="28"/>
          <w:rtl w:val="true"/>
          <w:lang w:bidi="ar-SA"/>
        </w:rPr>
        <w:t>على هذا الاستدلال ، يكشف كشفا قطعيّا عن إمضاء الشارع لهذه الطريقة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رجوع المغرور إلى الغارّ بمقدار الضرر الذي أوقعه الغارّ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بينهم في ذلك ، وإن كان خلاف ففي بعض موارد تطبيق القاعدة على صغرياتها من دون تشكيك في أصل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ربما يقع الخلاف في أنّه إذا كان الغارّ جاهلا ومشتبها ، مثلا مدح بنتا بأنّها جميلة ولها ثروة كثيرة ولكن باعتقاد أنّها كذلك لسماعة من الناس في حقّها وتصديقه إياهم مع أنّها ليست كذلك ، فاغترّ المغرور بمدحه وبذل لها مهرا كثيرا للطمع في مالها وجمالها ، فظهر أنّها ليست كذلك ، فهل في مثل هذا المورد يصدق الغارّ على الذي أوقعه في هذه الخسارة أم لا؟</w:t>
      </w:r>
    </w:p>
    <w:p>
      <w:pPr>
        <w:pStyle w:val="BookText"/>
        <w:rPr/>
      </w:pPr>
      <w:r>
        <w:rPr>
          <w:rFonts w:ascii="Amiri" w:hAnsi="Amiri" w:eastAsia="Amiri" w:cs="Amiri"/>
          <w:color w:val="111111"/>
          <w:sz w:val="28"/>
          <w:sz w:val="28"/>
          <w:szCs w:val="28"/>
          <w:rtl w:val="true"/>
          <w:lang w:bidi="ar-SA"/>
        </w:rPr>
        <w:t>وأنت خبير بأنّ هذا الخلاف لا دخل له في إنكار الكبرى فالإنصاف أنّ الفقيه المتتبّع في موارد تطبيق هذه القاعدة لا يجد بدّا إلاّ من تصديق تحقّق هذا الإجماع ووجوده ، ولكن حيث أنّه من المحتمل القريب أن يكون المتّفقون معتمدين على تلك الرواية المشهورة وإن كان مدركهم غير صحيح عند جماعة أخرى الذين ينكرون وجود تلك الرواية ، أو كانوا معتمدين على مدرك آخر وعلى هذه الاحتمالات ، فلا يكون من الإجماع المصطلح في الأصول الذي بنينا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الغارّ أتلف ذلك المقدار الذي خسر المغرور وتضرّر ، من جهة أنّه كان سببا لوقوع المغرور في هذه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ها هنا أقوى من المباشر ؛ لأنّ المباشر جاهل مغرور ومخدوع ، فيكون المباشر بمنزلة آلة لتلف ذلك المقدار من المال ، فبناء على هذا ليست قاعدة الغرور قاعدة مستقلّة ، بل تكون من صغريات قاعدة التلف ، فيكون الدليل على قاعدة التلف دليلا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الوجه لا صغرى له ولا كبرى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الصغرى ، فمن جهة أنّ المراد من كون الغارّ سببا لو كان أن تغريره علّة تامّة لوقوع المغرور في هذا الضرر ، أو هو يكون جزء الأخير من العلّة التامّة ، فقطعا </w:t>
      </w:r>
    </w:p>
    <w:p>
      <w:pPr>
        <w:pStyle w:val="BookText"/>
        <w:rPr/>
      </w:pPr>
      <w:r>
        <w:rPr>
          <w:rFonts w:ascii="Amiri" w:hAnsi="Amiri" w:eastAsia="Amiri" w:cs="Amiri"/>
          <w:color w:val="111111"/>
          <w:sz w:val="28"/>
          <w:sz w:val="28"/>
          <w:szCs w:val="28"/>
          <w:rtl w:val="true"/>
          <w:lang w:bidi="ar-SA"/>
        </w:rPr>
        <w:t>ليس كذلك ؛ لأنّ الجزء الأخير والعلّة لوقوعه في هذا الضرر هو إرادة نفسه لا تغرير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أي تغريره معدّ من معدّات وجود هذا الضرر ، فهذا وإن كان حقّا ولكن مثل هذا المعنى لا ينبغي أن يتخيل أو يتفوّه به أحد ، لأنّه معدّات كثيرة تكون لوقوع هذا الضرر ؛ فلا وجه للرجوع إلى الغارّ وحدة وتغريمه ، مع اشتراك غيره معه في المعدّية ، بل يكون نسبة التلف إلى بعض المعدّات من المضحكات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الكبرى ، فمن جهة أن هذا الكلام أي كون السبب ها هنا أقوى من المباشر ممنوع ، وإن سلّمنا كونه سببا ؛ لأنّ المناط في أقوائيّة السبب من المباشر هو أن لا يتوسّط بين الفعل والسبب إرادة واختيار ، وإلاّ يكون الفعل مستندا إلى الفاعل المختار ، وهو يثاب أو يعاقب على الفعل لا الذي غرره وأغواه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يشير قوله تعالى حكاية عن 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 عَلَيْكُمْ مِنْ سُلْطانٍ إِلاّ أَنْ دَعَوْتُكُمْ فَاسْتَجَبْتُمْ لِي فَلا تَلُومُونِي وَلُومُوا أَنْفُسَكُمْ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يكن الفاعل المختار جاهلا بالضرر المترتّب على فعله ، أمّا لو كان جاهلا بالمفسدة والضرر المترتّب على ذلك الفعل ، كما أنّه لو وصف شخص دواء سامّة بأنّه نافع وله آثار كذا وكذا ، وغرّره على شرب تلك الدواء ، فالسبب ها هنا أقوى من المباشر وإن كان الفعل صادرا عن الفاعل المختار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من هذه الجهة يقال بأنّ الطبيب ضامن وإن كان حاذقا ، بل يمكن أن يقال بأنّه يقاد لو كان عالما بأنّها سامّة ومع ذلك غرّر المريض لشربها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قضيّة الشيطان عدوّ اللّه وعدوّ الناس أيضا يثاب أو يعاقب الناس بعد إرسال الرسل وإنزال الكتب وهدايتهم إلى سواء السبيل لكي لا تكون لهم الحجة على اللّه بل له الحجة البالغة ليهلك من هلك عن بينة ويحيي من حي عن 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لهذه الجهة اختار شيخنا الأعظم قدس سره هذا الوجه مدركا لرجوع المغرور إلى الغارّ فيما إذا كان المشتري عن الفضولي جاهلا بأنّ البائع فضولي وليس بمالك فتضرّر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الواردة في الموارد الخاصّة الدالّة على رجوع المغرور إلى الغارّ في مقدار الضرر الذي أوقعه فيه بواسطة تغريره له ، مثل الروايات الواردة في تدليس الزوجة الدالّة على رجوع الزوج بالمهر على المدلّس ، معلّلة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دلّسها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رفاعة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المهر على الذي زوّجها وإنّما صار عليه المهر لأنّه دلّسها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فجعل علیه السلام مناط الرجوع وعلّته تدليسه لها ، أي خدع الزوج بتدليسه إيّاها وإرائتها على خلاف الواقع ، فمقتضى عموم التعليل رجوع كلّ من خدع وتضرّر إلى الذي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 الحلبي عن الصادق علیه السلام في الرجل الذي يتزوّج إلى قوم ، فإذن امرأته عوراء ولم يبينوا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ترد ، إنّما يرد النكاح من البرص والجذام والجنون والعفل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قد دخل بها كيف يصنع بمهرها؟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المهر بما استحلّ من فرجها ، ويغرم وليّها الذي أنكحها مثل ما ساق إليها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ففي هذه الصحيحة وإن لم يذكر سبب ضمان الولي لما ساقه إلى زوجته العوراء ، ولكن يفهم منها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يدلّ حسب المتفاهم العرفي منه تدارك الضرر الذي أوقع الزوج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صحيح الحلبي ، عن أبي عبد اللّه علیه السلام في رجل ولّته امرأته أمرها ، وذات </w:t>
      </w:r>
    </w:p>
    <w:p>
      <w:pPr>
        <w:pStyle w:val="BookText"/>
        <w:rPr/>
      </w:pPr>
      <w:r>
        <w:rPr>
          <w:rFonts w:ascii="Amiri" w:hAnsi="Amiri" w:eastAsia="Amiri" w:cs="Amiri"/>
          <w:color w:val="111111"/>
          <w:sz w:val="28"/>
          <w:sz w:val="28"/>
          <w:szCs w:val="28"/>
          <w:rtl w:val="true"/>
          <w:lang w:bidi="ar-SA"/>
        </w:rPr>
        <w:t xml:space="preserve">قرابة أو جارة له لا يعرف دخيلة أمرها ، فوجدها قد داست عيبا هو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المهر منها ، ولا يكون على الذي زوّجها شي‌ء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علیه السلام رجوع الزوج إلى نفس الزوجة التي دلّست وغررت الزوج بستر عيبها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محمّد ابن مسلم ، عن أبي جعفر علیه السلام أنّه قال في كتاب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زوّج امرأة فيها عيب دلّسته ولم يبيّن ذلك لزوجها ، فإنّه يكون لها الصداق بما استحلّ من فرجها ، ويكون الذي ساق الرجل إليها على الذي زوّجها ولم يبيّن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فبمحض السكوت وعدم بيان العيب حكم بالرجوع إلى الذي زوجها ، فضلا عمّا إذا أظهر عدم العيب وأخبر بسلامتها وصحتها وعدم كلّ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وإن كانت ظاهرة في رجوع الزوج المغرور الجاهل بعيب زوجته إلى الذي غرّه وستر العيب ولم يبيّن ، سواء أكانت هي المدلّسة الساترة للعيب ، أو كان هو الولي على التزويج شرعا أو عرفا ولو كانت الولاية على التزويج بتوليتها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بولي التزويج ليس هو المباشر لإجراء الصيغة وكالة عنها في خصوص إجراء هذا الأمر أي الصيغة فقط ، بل المراد من يكون أمر التزويج بيده شرعا أو عرفا ، بحيث ينسب التزويج إليه ولو عرفا ، فيكون هو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عموم لها بحيث تكون دليلا على جواز رجوع كلّ مغرور إلى من غرّه في أيّ موضوع وأيّة معاملة ؛ لأنّها وردت في رجوع الزوج المغرور إلى زوجته المدلّسة ، أو الذي زوّجها وسكت عن بيان عيبها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وإلقاء الخصوصيّة واستنباط الحكم الكلّي شبه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رفاعة كان </w:t>
      </w:r>
    </w:p>
    <w:p>
      <w:pPr>
        <w:pStyle w:val="BookText"/>
        <w:rPr/>
      </w:pPr>
      <w:r>
        <w:rPr>
          <w:rFonts w:ascii="IRNazanin" w:hAnsi="IRNazanin" w:eastAsia="IRNazanin"/>
          <w:color w:val="111111"/>
          <w:sz w:val="28"/>
          <w:sz w:val="28"/>
          <w:szCs w:val="28"/>
          <w:rtl w:val="true"/>
          <w:lang w:bidi="fa-IR"/>
        </w:rPr>
        <w:t xml:space="preserve">الحكم معلّلا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دلّسها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برجوع الزوج على الذي زوّجها بعلّة تدليسه إيّاها ، أي ستر عيوبها عن زوجها ، فيمكن أن يقال بكون الحكم دائرا مدار هذه العلّة ، أي الرجوع دائر مدار التدليس والتغرير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استظهار العموم منها لا يخلو عن إشكال ؛ لأنّ صرف سكوت المتولّي للتزويج من ذكر العيب الذي فيها يكون تغريرا موجبا للضمان بعيد جدا ، خصوصا إذا كان المتولّي للتزويج جاهلا بذلك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الجهة الآتية أنّه لا فرق في مفاد القاعدة بين أن يكون الغارّ جاهلا يترتّب الضرر على الفعل الذي يفعله المغرور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الروايات الواردة في رجوع المحكوم عليه إلى شاهد الزور لو رجع عن شهادته وكذّب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جميل ، عن أحدهما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شهدوا على رجل ثمَّ رجعوا عن شهادتهم وقد قضي على الرجل ، ضمنوا ما شهدوا به وغرموه ، وإن لم يكن قضى طرحت شهادتهم ولم يغرم الشهود شيئا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تدلّ على أنّ الخسارة التي وقعت على المحكوم عليه بواسطة تغرير الشهود يرجع فيها إليهم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 بن قيس ، عن الباقر علیه السلام قال علیه السلام قضى أمير المؤمنين علیه السلام في رجل شهد عليه رجلان أنّه سرق فقطع يده حتّى إذا كان بعد ذلك جاء الشاهدان برجل آخر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السارق وليس الذي قطعت يده ، إنّما اشتبهنا ذلك بهذا ، فقضى عليهما أن غرمهما نصف الدية ولم يجز شهادتهما على الآخر </w:t>
      </w:r>
      <w:r>
        <w:rPr>
          <w:rFonts w:eastAsia="IRNazanin" w:cs="IRNazanin"/>
          <w:color w:val="111111"/>
          <w:sz w:val="28"/>
          <w:szCs w:val="28"/>
          <w:rtl w:val="true"/>
          <w:lang w:bidi="fa-IR"/>
        </w:rPr>
        <w:t xml:space="preserve">». </w:t>
      </w:r>
      <w:r>
        <w:rPr>
          <w:rStyle w:val="FootnoteAnchor"/>
          <w:rtl w:val="true"/>
        </w:rPr>
        <w:footnoteReference w:id="290"/>
      </w:r>
      <w:bookmarkStart w:id="258" w:name="pg15902_182459"/>
    </w:p>
    <w:p>
      <w:pPr>
        <w:pStyle w:val="BookText"/>
        <w:rPr/>
      </w:pPr>
      <w:bookmarkEnd w:id="258"/>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ابن محبوب عن الصادق علیه السلام في أربعة شهدوا على رجل محصن بالزنا ، ثمَّ رجع أحدهم بعد ما قتل الرجل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قال الراجع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همت ، ضرب الحدّ وأغرم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تعمّدت ، قتل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 عن أبي عبد اللّه علیه السلام في شاهد الزور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الشي‌ء قائما بعينه ردّ على صاحبه وإن لم يكن قائما ضمن بقدر ما أتلف من مال الرجل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الروايات ونظائرها ممّا لم نذكرها واردة في موارد خاصّة ، واستظهار هذه القاعدة الكليّة أعني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يرجع إلى من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5519236_2142443653"/>
      <w:bookmarkStart w:id="260" w:name="_Toc84"/>
      <w:bookmarkEnd w:id="259"/>
      <w:r>
        <w:rPr>
          <w:rtl w:val="true"/>
        </w:rPr>
        <w:t xml:space="preserve">الجهة الثانية </w:t>
      </w:r>
      <w:r>
        <w:rPr>
          <w:rtl w:val="true"/>
        </w:rPr>
        <w:t xml:space="preserve">: </w:t>
      </w:r>
      <w:r>
        <w:rPr>
          <w:rtl w:val="true"/>
        </w:rPr>
        <w:t>في مفاد هذه القاعدة ومدلولها</w:t>
      </w:r>
      <w:bookmarkEnd w:id="260"/>
    </w:p>
    <w:p>
      <w:pPr>
        <w:pStyle w:val="BookText"/>
        <w:rPr/>
      </w:pPr>
      <w:r>
        <w:rPr>
          <w:rFonts w:ascii="Amiri" w:hAnsi="Amiri" w:eastAsia="Amiri" w:cs="Amiri"/>
          <w:color w:val="111111"/>
          <w:sz w:val="28"/>
          <w:sz w:val="28"/>
          <w:szCs w:val="28"/>
          <w:rtl w:val="true"/>
          <w:lang w:bidi="ar-SA"/>
        </w:rPr>
        <w:t>لا شكّ في أنّ القدر المتيقّن من هذه القاعدة على تقدير اعتبارها هو فيما إذا كان الغارّ عالما بالضرر الذي يترتّب على الفعل الذي يرتكبه المغرور ، وأمّا فيما إذا كان جاهلا ومشتبها هل يصدق عليه الغارّ حتّى يكون من صغريات هذه القاعدة أم لا؟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والمغرور قد يكونان عالمين بالضرر ، ففي هذه الصورة ليس غارّ ولا مغرور في البين ؛ لأنّ جهل المغرور مأخوذ في حقيقة كونه مغرورا ، وإلاّ يكون هو بنفسه مقدّما على الضرر ، ولا خدعة ولا غرور في البين وقد </w:t>
      </w:r>
    </w:p>
    <w:p>
      <w:pPr>
        <w:pStyle w:val="BookText"/>
        <w:rPr/>
      </w:pPr>
      <w:r>
        <w:rPr>
          <w:rFonts w:ascii="Amiri" w:hAnsi="Amiri" w:eastAsia="Amiri" w:cs="Amiri"/>
          <w:color w:val="111111"/>
          <w:sz w:val="28"/>
          <w:sz w:val="28"/>
          <w:szCs w:val="28"/>
          <w:rtl w:val="true"/>
          <w:lang w:bidi="ar-SA"/>
        </w:rPr>
        <w:t>يكونان جاهلين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كونهما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دخول تلك الصورة تحت عموم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الصورة الثانية ، أي فيما إذا كان الفاعل المتضرّر عالما والغارّ جاهلا ، فخارجة عن تحت القاعدة أيضا قطعا ؛ لعدم صدق الغرور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 ، أي فيما إذا كان المغرور جاهلا بالضرر والغار عالما ، فهذه هي القدر المتيقّن من القاعدة على تقدير صحتها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 أي فيما إذا كانا جاهلين ففيه كلام من حيث أنّ الجاهل بضرر فعل إذا أوقع شخصا في ارتكاب ذلك الفعل هل يصدق عليه أنّه غرّه وخدعه أم لا؟</w:t>
      </w:r>
    </w:p>
    <w:p>
      <w:pPr>
        <w:pStyle w:val="BookText"/>
        <w:rPr/>
      </w:pPr>
      <w:r>
        <w:rPr>
          <w:rFonts w:ascii="Amiri" w:hAnsi="Amiri" w:eastAsia="Amiri" w:cs="Amiri"/>
          <w:color w:val="111111"/>
          <w:sz w:val="28"/>
          <w:sz w:val="28"/>
          <w:szCs w:val="28"/>
          <w:rtl w:val="true"/>
          <w:lang w:bidi="ar-SA"/>
        </w:rPr>
        <w:t xml:space="preserve">ربما يقال بعدم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خصوصا إذا كان مشتبها وتخيّل النفع في ذلك الفعل ودعاه إليه باعتقاد أنّه نافع له ، ثمَّ ظهر أنّه يضرّه ، كالطبيب الذي يصف الدواء الفلاني له باعتقاد أنّه نافع له ، ثمَّ بعد استعماله تبيّن أنّه ضرّه ، فمثل هذا لا يعدّ عند العرف تغريرا أو خدعا لذلك الآخر المتضرّر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عرفت فيما ذكرنا من قبل أنّ قصد عناوين الأفعال ليس معتبرا في صدق عنوان ذلك الفعل ، فاذا ضرب أحدا يصدق عليه عنوان الضرب وان لم يقصده ، فالتغرير عبارة عن ترغيب شخص إلى فعل يترتب عليه الضرر وإن كان المرغب جاهلا بترتّب الضرر على ذلك الفعل وإيقاعه في ذلك الفعل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العناوين القصديّة لا تحصل بدون قصد ذلك العنوان ، فالتعظيم الذي هو من العناوين القصديّة لا يحصل من صرف ذلك القيام والركوع بدون قصد ذلك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أنت خبير بأنّ التغرير ليس من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أوقع شخص شخصا آخر في ضرر فعل بترغيبه إلى ذلك الفعل أو بشكل آخر يكون مشمولا لهذه القاعدة ، وإن كان جاهلا بذلك الضرر بل ولو كان باعتقاد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دخول هذه الصورة في هذه القاعدة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رجوعه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أو لا يشمله فيحتاج إلى النظر في دليل القاعدة ، فباعتبار الأدلّة ربما يختلف الشمول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المدرك هو النبوي المشهور ، أي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يرجع إلى من غرّه </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فلا فرق بين أن يكون الغارّ جاهلا بترتّب الضرر والخسارة على فعل المغرور ؛ لما ذكرنا من عدم خروجه عن كونه غارّا بواسطة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المدرك هو الإجماع ، فالظاهر عدم شموله لما إذا كان الغارّ جاهلا ؛ لوقوع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المدرك هو بناء العقلاء على رجوع المغرر في خسارته إلى الغارّ ، ففي بنائهم خصوصا فيما إذا كان الغارّ مشتبها معتقدا عدم عيب وخسارة في الفعل الذي يرغب المغرور على ارتكابه ، مثلا لو اعتقد أنّ المرأة الفلانيّة ليس فيها عيب ولها من الجمال والمال والكمال كذا وكذا ، فرغب شخصا في تزويجها ، فظهر خلاف ما قال يكون بناء العقلاء في مثل هذه الصورة على تغريمه مشكل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مدركه قاعدة الإتلاف وأنّه السبب لوقوع هذه الخسارة على المغرور ، وأنّ السبب هنا أقوى من المباشر فعلى فرض تماميّة هذا الكلام لا فرق بين أن يكون السبب عالما أو جاهلا</w:t>
      </w:r>
      <w:r>
        <w:rPr>
          <w:rFonts w:eastAsia="Amiri" w:cs="Amiri" w:ascii="Amiri" w:hAnsi="Amiri"/>
          <w:color w:val="111111"/>
          <w:sz w:val="28"/>
          <w:szCs w:val="28"/>
          <w:rtl w:val="true"/>
          <w:lang w:bidi="ar-SA"/>
        </w:rPr>
        <w:t xml:space="preserve">. </w:t>
      </w:r>
      <w:bookmarkStart w:id="261" w:name="pg15902_182462"/>
    </w:p>
    <w:p>
      <w:pPr>
        <w:pStyle w:val="BookText"/>
        <w:rPr/>
      </w:pPr>
      <w:bookmarkEnd w:id="261"/>
      <w:r>
        <w:rPr>
          <w:rFonts w:ascii="Amiri" w:hAnsi="Amiri" w:eastAsia="Amiri" w:cs="Amiri"/>
          <w:color w:val="111111"/>
          <w:sz w:val="28"/>
          <w:sz w:val="28"/>
          <w:szCs w:val="28"/>
          <w:rtl w:val="true"/>
          <w:lang w:bidi="ar-SA"/>
        </w:rPr>
        <w:t>وأمّا لو كان المدرك لها هو الأخبار الخاصّة الواردة في أبواب مختلفة ، كما ذكرنا ما ورد في باب تدليس المرأة وإخفائها عيبها ، وما ورد في باب رجوع المحكوم عليه أو وليّه بخسارته إلى شاهد الزور ، فالإنصاف أنّ تلك الأخبار ظاهرة فيما إذا كان الغارّ عالما بالضرر على فرض صدق القاعدة في تلك الموارد وأن لا يكون من موارد كون سبب الإتلاف أقوى من المباشر ، والفقهاء ذكروها في ذلك الباب وإن استدلّ بعضهم في تلك الموارد بقاعدة الغرور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اخترنا من المدرك لهذه القاعدة هو بناء العقلاء وأنّ الروايات الواردة في هذا الباب تكون إمضاء لذلك البناء ، فيقتضي أن نقول بعدم الضمان في صورة جهل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الروايات الواردة في باب ضمان الطبيب تدلّ على ضمان الغارّ وإن كان جاهلا ؛ وذلك من جهة القطع بأنّ الطبيب جاهل بضرر الدواء الذي يصفه للمريض أو يكتب لعلاجه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الذي يحصل لنا من جميع أدلّة المقام من الأخبار ومن الأقوال والوجوه الأخر هو الاطمئنان بعدم الفرق بين أن يكون الغارّ جاهلا أو يكون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هذه المفاهيم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الغرور ، والخدع ، والتدليس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الأفعال منها مثل غرّه أو خدعه أو دلّس عليه لا تدلّ بهيئتها على كون الفاعل عالما ، ولكن موادّها أخذ فيها العلم والالتفات ، دعوى يكذّبها الوجدان وملاحظة موارد الاستعمالات</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5519238_2142443653"/>
      <w:bookmarkStart w:id="263" w:name="_Toc85"/>
      <w:bookmarkEnd w:id="262"/>
      <w:r>
        <w:rPr>
          <w:rtl w:val="true"/>
        </w:rPr>
        <w:t xml:space="preserve">الجهة الثالثة </w:t>
      </w:r>
      <w:r>
        <w:rPr>
          <w:rtl w:val="true"/>
        </w:rPr>
        <w:t xml:space="preserve">: </w:t>
      </w:r>
      <w:r>
        <w:rPr>
          <w:rtl w:val="true"/>
        </w:rPr>
        <w:t>في ذكر جملة من موارد تطبيق هذه القاعدة</w:t>
      </w:r>
      <w:bookmarkEnd w:id="26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جريان هذه القاعدة في أغلب أبواب الفقه ، خصوصا في أبواب </w:t>
      </w:r>
    </w:p>
    <w:p>
      <w:pPr>
        <w:pStyle w:val="BookText"/>
        <w:rPr/>
      </w:pPr>
      <w:r>
        <w:rPr>
          <w:rFonts w:ascii="Amiri" w:hAnsi="Amiri" w:eastAsia="Amiri" w:cs="Amiri"/>
          <w:color w:val="111111"/>
          <w:sz w:val="28"/>
          <w:sz w:val="28"/>
          <w:szCs w:val="28"/>
          <w:rtl w:val="true"/>
          <w:lang w:bidi="ar-SA"/>
        </w:rPr>
        <w:t xml:space="preserve">المعاملات والمعاوضات حتّى في مثل عوض طلاق الخلع ، ولكن نحن نذكر طائفة ممّا ذكروها في كتبهم تبعا لما ذكره الأساطين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الأنصاري قدس سره في باب بيع الفضولي أنّ المشتري إذا لم يخبره الفضول أنّ هذا مال الغير موهما أنّه ماله ، ثمَّ بعد ذلك تبيّن للمشتري أنّه مال الغير ، والمالك الأصيل أخذ العين من يده وغرمه أيضا بأن أخذ أجرة سكنى الدار سنين مثلا وقد يتّفق في بعض الصور ذهاب العين مع الثمن الذي بذله للبائع الفضولي لهذه الدار مثلا ، وهذه الخسارة حصلت له من ناحية البائع الفضولي وتغريره إيّاه بعدم ذكره أنّ المبيع ليس له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فبناء على صحّة هذه القاعدة واعتبارها للمشتري ، الرجوع إلى البائع الفضولي الذي غرّه بمقدار خسارته في هذه المعاملة ، خصوصا إذا لم يكن للمشتري مقابل هذه الخسارة نفع أصلا ، كالنفقة التي صرفها للحيوان أو الإنسان الذي اشتراهما من الفضولي بدون أن ينتفع منهما مقابل تلك النفقة لعدم حاجته إلى ركوب ، أو حمل تلك الدابّة ، أو الانتفاع بذلك العبد أو بتلك الجارية ، وكالذي صرفه في العمارة ، وكالذي خسره في الفرس ، وكالذي أعطاه قيمة للولد المنعقد حرا ، أو كالذي يعطي لنقص صفة من صفات المبيع الذي اشتراه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شيخنا الأعظم رجوع المشتري عن الفضولي إليه في خساراته التي حصلت له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لم يحصل له نفع مقابل هذه الخسارات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للغرور ، فإنّ البائع مغرّر للمشتري ، وموقع إيّاه في خطرات الضمان ، ومتلف عليه ما يغرمه فهو كشاهد الزور ، أي يضمن كما يضمن شاهد الزور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استدل شيخنا الأعظم في هذه الصورة مضافا إلى الاستدلال بقاعدة الغرور </w:t>
      </w:r>
    </w:p>
    <w:p>
      <w:pPr>
        <w:pStyle w:val="BookText"/>
        <w:rPr/>
      </w:pPr>
      <w:r>
        <w:rPr>
          <w:rFonts w:ascii="IRNazanin" w:hAnsi="IRNazanin" w:eastAsia="IRNazanin"/>
          <w:color w:val="111111"/>
          <w:sz w:val="28"/>
          <w:sz w:val="28"/>
          <w:szCs w:val="28"/>
          <w:rtl w:val="true"/>
          <w:lang w:bidi="fa-IR"/>
        </w:rPr>
        <w:t xml:space="preserve">بمرسلة جميل ، عن الرجل يشتري الجارية من السوق فيولدها ثمَّ يجي‌ء مستحقّ الجارية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يأخذ الجارية المستحقّ ، ويدفع إليه المبتاع قيمة الولد ويرجع على من باعه بثمن الجارية وقيمة الولد التي أخذت منه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شيخنا الأعظم في هذه المسألة شقوقا وصورا ، وطول الكلام فيها تركناها لأنّ استيفاء شقوق هذه المسألة وبيان صورها والتحقيق والتدقيق فيها وان كان لطيفا ودقيقا لكنّه موكول إلى محلّها ، والغرض هنا لم يكن إلاّ في أنّ هذا المورد أحد موارد تطبيق هذه القاعدة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زوّج وليّ المرأة شرعا ، أو من هو وليّ عرفاً كالأخ والعم وإن لم يكن بوليّ شرعا ، وكان في المرأة عيب سترته ولم تخبر به الوليّ ، سواء أخبر بعدم العيب أو كان صرف السكوت وعدم الإظهار ، وسواء كان الوليّ عالما بذلك العيب أو كان جاهلا به ، وإن كان في الأخير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أيضا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جواز رجوع الزوج إلى زوجته المدلّسة أو وليّها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الغرور ، وذكرنا جملة منها في الجهة الأولى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المحكوم عليه إلى شاهد الزور بالخسارة التي وردت عليه من جهة تغريره للحاكم على الحكم ، فلو رجع عن شهادته وكذب نفسه يرجع إليه المحكوم عليه بما خسر إن لم يكن المال المأخوذ منه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المال قائما بعينه يرد إليه ، فلا خسارة في البين كي يرجع إلى شاهد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تبيّن خطأ الشاهدين بعلم أو علمي من دون رجوعهما ، فكذلك يرد المال إليه إن كان قائما بعنيه ، وأمّا إن لم يكن كذلك وكان تالفا فاستقرار الضمان وإن كان على من أتلف أو وقع التلف في يده ، ولكن للمحكوم عليه الرجوع الى شاهد الزور لتغريره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جميع ذلك أيضا مضافا إلى قاعدة الغرور أخبار خاصّة ، والمسألة بجميع شقوقها وصورها مذكورة مفصّلة في كتاب القضاء والشهادات ، والغرض في هذا المقام ليس تحقيقها واستيفاء شقوقها وصورها بل الغرض الإشارة إلى أنّ هذا أيضا أحد موارد جريان قاعدة الغرور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قدم الغاصب طعاما إلى شخص بعنوان ضيافته له ، فتبيّن أنّه ملك الغير وهذا الذي قدمه إليه غاصب وإن كان مشتبها لا متعديّا أى كان جاهلا بأنّه ليس له ، فمع جهل الآكل الضيف بأنّه ليس للمضيف إمّا لأنّه غاصب وإمّا لأنّه مشتبه فالمالك الأصيل إذا رجع إلى الآكل لأنّه مباشر للإتلاف وان كان له الرجوع إلى الغاصب أو المشتبه المفروض المذكور ، فللآكل الضيف الرجوع إلى المضيف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أنّه لو قدم الغاصب مال المالك الأصلي إليه لكن بعنوان أنّه مال الغاصب لا بعنوان أنّه مال المالك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الغاصب المالك الأصلي وأطعمه مال نفسه ولكن بعنوان أنّه ضيف ، وكان المالك الأصلي جاهلا بأنّ هذا الذي يأكله مال نفسه ، فللمالك الأصلي الرجوع إلى الغاصب مع أنّه أكل مال نفسه ؛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للخيّاط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يكفي هذا قباء فاقطعه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 وقطعه فلم يكف ، فسقط عن القيمة أو قلّت قيمته ، فيرجع صاحب الثوب إلى الخيّاط بما نقص ؛ لأنّه غرّه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 هذا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أعاره مال الغير بعنوان أنّه مال نفسه ثمَّ تبيّن أنّه مال الغير ، ورجع ذلك الغير إلى المستعير ببذل ما انتفع من ماله ، فللمستعير الرجوع إلى المعير ؛ لأنّه غرّه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كلّ ما ذكرنا من أوّل القاعدة إلى هاهنا أنّ كلّ ما يغرمه الشخص </w:t>
      </w:r>
    </w:p>
    <w:p>
      <w:pPr>
        <w:pStyle w:val="BookText"/>
        <w:rPr/>
      </w:pPr>
      <w:r>
        <w:rPr>
          <w:rFonts w:ascii="Amiri" w:hAnsi="Amiri" w:eastAsia="Amiri" w:cs="Amiri"/>
          <w:color w:val="111111"/>
          <w:sz w:val="28"/>
          <w:sz w:val="28"/>
          <w:szCs w:val="28"/>
          <w:rtl w:val="true"/>
          <w:lang w:bidi="ar-SA"/>
        </w:rPr>
        <w:t xml:space="preserve">الجاهل بالواقع ويخسره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فعل شخص آخر ، أو قوله ، أو إخفاء عيب فيما بيده الأمر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تدليسه على الجاهل بالواقع الذي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يرجع إلى الذي غرّه ، وإن كان الغارّ أيضا جاهلا مشتبها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فروع قاعدة الغرور كثيرة في أبواب الفقه ، والفقيه لا يشتبه في تطبيقها على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كثير من موارد هذه القاعدة توجد أدلّة خاصّة على رجوع المغرور إلى من غرّه بالنسبة إلى الخسارة التي وردت عليه من طرف الغار وبسبب تغريره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ونسأله التوفيق لما يحبّ ويرضى</w:t>
      </w:r>
      <w:r>
        <w:rPr>
          <w:rFonts w:eastAsia="Amiri" w:cs="Amiri" w:ascii="Amiri" w:hAnsi="Amiri"/>
          <w:color w:val="111111"/>
          <w:sz w:val="28"/>
          <w:szCs w:val="28"/>
          <w:rtl w:val="true"/>
          <w:lang w:bidi="ar-SA"/>
        </w:rPr>
        <w:t xml:space="preserve">. </w:t>
      </w:r>
      <w:bookmarkStart w:id="264" w:name="pg15902_182467"/>
    </w:p>
    <w:p>
      <w:pPr>
        <w:pStyle w:val="Heading2"/>
        <w:numPr>
          <w:ilvl w:val="1"/>
          <w:numId w:val="1"/>
        </w:numPr>
        <w:rPr/>
      </w:pPr>
      <w:bookmarkStart w:id="265" w:name="__RefHeading___Toc15519240_2142443653"/>
      <w:bookmarkStart w:id="266" w:name="_Toc86"/>
      <w:bookmarkEnd w:id="264"/>
      <w:bookmarkEnd w:id="265"/>
      <w:r>
        <w:rPr/>
        <w:t>11</w:t>
      </w:r>
      <w:r>
        <w:rPr>
          <w:rtl w:val="true"/>
        </w:rPr>
        <w:t xml:space="preserve"> - </w:t>
      </w:r>
      <w:r>
        <w:rPr>
          <w:rtl w:val="true"/>
        </w:rPr>
        <w:t>قاعدة أصالة الصحّة</w:t>
      </w:r>
      <w:bookmarkEnd w:id="26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5519242_2142443653"/>
      <w:bookmarkStart w:id="268" w:name="_Toc87"/>
      <w:bookmarkEnd w:id="267"/>
      <w:r>
        <w:rPr>
          <w:rtl w:val="true"/>
        </w:rPr>
        <w:t>اشارة</w:t>
      </w:r>
      <w:bookmarkEnd w:id="26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902_182469"/>
      <w:bookmarkStart w:id="270" w:name="pg15902_182469"/>
      <w:bookmarkEnd w:id="270"/>
    </w:p>
    <w:p>
      <w:pPr>
        <w:pStyle w:val="BookText"/>
        <w:rPr/>
      </w:pPr>
      <w:bookmarkStart w:id="271" w:name="pg15902_182469"/>
      <w:bookmarkEnd w:id="271"/>
      <w:r>
        <w:rPr>
          <w:rFonts w:ascii="Amiri" w:hAnsi="Amiri" w:eastAsia="Amiri" w:cs="Amiri"/>
          <w:color w:val="111111"/>
          <w:sz w:val="28"/>
          <w:sz w:val="28"/>
          <w:szCs w:val="28"/>
          <w:rtl w:val="true"/>
          <w:lang w:bidi="ar-SA"/>
        </w:rPr>
        <w:t xml:space="preserve">قاعدة أصالة الصحّة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ومن جملة القواعد الفقهيّة 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5519244_2142443653"/>
      <w:bookmarkStart w:id="273" w:name="_Toc88"/>
      <w:bookmarkEnd w:id="272"/>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الدليل على اعتبارها</w:t>
      </w:r>
      <w:bookmarkEnd w:id="2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عمدة الدليل عليه هي سيرة العقلاء كافّة ، من جميع الملل ، في جميع العصور ، من أرباب جميع الأديان من المسلمين وغيرهم ، والشارع لم يردع عن هذه الطريقة بل أمضاها ، كما هو مفاد الأخبار في أبواب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هذا الأصل معتبرا لا يمكن أن يقوم للمسلمين سوق ، بل يوجب عدم اعتباره اختلال النظام كما ادّعاه شيخنا الأعظم الأنصاري قدس سره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74" w:name="pg15902_182470"/>
    </w:p>
    <w:p>
      <w:pPr>
        <w:pStyle w:val="BookText"/>
        <w:rPr/>
      </w:pPr>
      <w:bookmarkEnd w:id="274"/>
      <w:r>
        <w:rPr>
          <w:rFonts w:ascii="IRNazanin" w:hAnsi="IRNazanin" w:eastAsia="IRNazanin"/>
          <w:color w:val="111111"/>
          <w:sz w:val="28"/>
          <w:sz w:val="28"/>
          <w:szCs w:val="28"/>
          <w:rtl w:val="true"/>
          <w:lang w:bidi="fa-IR"/>
        </w:rPr>
        <w:t xml:space="preserve">والإنصاف أنّ الاختلال الذي يلزم من عدم اعتبار هذه القاعدة أشدّ وأعظم من الاختلال الذي يلزم من عدم اعتبار قاعدة اليد ، فإنّ هذه القاعدة جارية في أغلب أبواب الفقه من العبادات والمعاملات ؛ ولذلك لا يبقى محلّ للاستدلال على اعتبارها بالإجماع ؛ لأنّه من المظنون أن يكون مدرك المجمعين هو الذي ذكرنا ، فليس من الإجماع المصطلح الأصولي الذي يكون اعتباره من جهة كشفه عن رأي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الاستدلال عليه بالآيات والروايات فلا يخلو عن مناقشة بل منع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اعتبار هذه القاعدة وحكومتها على الاستصحاب وأصالة الفساد من المسلّمات التي لا خلاف فيها أصلا ، فلا ينبغي تطويل المقام بذكر الآيات والأخبار التي أوردوها ، والمناقشة فيها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5519246_2142443653"/>
      <w:bookmarkStart w:id="276" w:name="_Toc89"/>
      <w:bookmarkEnd w:id="275"/>
      <w:r>
        <w:rPr>
          <w:rtl w:val="true"/>
        </w:rPr>
        <w:t xml:space="preserve">[ </w:t>
      </w:r>
      <w:r>
        <w:rPr>
          <w:rtl w:val="true"/>
        </w:rPr>
        <w:t xml:space="preserve">المبحث </w:t>
      </w:r>
      <w:r>
        <w:rPr>
          <w:rtl w:val="true"/>
        </w:rPr>
        <w:t xml:space="preserve">] </w:t>
      </w:r>
      <w:r>
        <w:rPr>
          <w:rtl w:val="true"/>
        </w:rPr>
        <w:t>الثاني</w:t>
      </w:r>
      <w:bookmarkEnd w:id="276"/>
    </w:p>
    <w:p>
      <w:pPr>
        <w:pStyle w:val="BookText"/>
        <w:rPr/>
      </w:pPr>
      <w:r>
        <w:rPr>
          <w:rFonts w:ascii="Amiri" w:hAnsi="Amiri" w:eastAsia="Amiri" w:cs="Amiri"/>
          <w:color w:val="111111"/>
          <w:sz w:val="28"/>
          <w:sz w:val="28"/>
          <w:szCs w:val="28"/>
          <w:rtl w:val="true"/>
          <w:lang w:bidi="ar-SA"/>
        </w:rPr>
        <w:t>أنّ المراد من الصحّة في هذه القاعدة هل الصحّة الواقعيّة ، أو الصحّة باعتقاد الفاعل؟ وهناك احتمال آخر وهو أن يكون المراد منها الصحّة باعتقاد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تعيين أحد هذه الاحتمالات لا بدّ من ملاحظة دليل القاعدة ، وأنّ أيّ واحد من هذه الاحتمالات مفاد ذلك الدليل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الدليل هي سيرة العقلاء من كافّة الناس ، أو الإجماع ، أو اختلال النظام من عدم الاعتبار ولا شكّ في أنّ المراد هو الصحّة الواقعيّة ؛ وذلك لأنّ بناء العقلاء من المعاملات التي تقع بين الناس وحملها على الصحّة هي الصحّة الواقعيّة ، وإلاّ لو كانت الصحّة باعتقاد الفاعل لما كان للحمل على الصحّة أثر ؛ لأنّ اعتقاد الصحّة عند الفاعل مع عدم إثبات الصحّة الواقعيّة لا يوجب لسائر الناس ترتيب آثار الصحّة ، مع أنّ الناس قاطبة يرتّبون آثار الصحّة ، مثلا لو علموا أنّ رجلا </w:t>
      </w:r>
    </w:p>
    <w:p>
      <w:pPr>
        <w:pStyle w:val="BookText"/>
        <w:rPr/>
      </w:pPr>
      <w:r>
        <w:rPr>
          <w:rFonts w:ascii="Amiri" w:hAnsi="Amiri" w:eastAsia="Amiri" w:cs="Amiri"/>
          <w:color w:val="111111"/>
          <w:sz w:val="28"/>
          <w:sz w:val="28"/>
          <w:szCs w:val="28"/>
          <w:rtl w:val="true"/>
          <w:lang w:bidi="ar-SA"/>
        </w:rPr>
        <w:t>طلق زوجته ؛ أو باع داره ، أو اشترى دارا ، أو أي فعل صدر عن شخص يحملونه على الصحّة الواقعيّة ، ويرتّبون على ذلك الفعل آثار الصحّة ، سواء أكان ذلك الفعل من العبادات أو المعاملات ، ومن العقود أو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في قاعدة الفراغ إذا شكّ في صحّة العمل الذي أتى به مفاد تلك القاعدة حمل الفعل الصادر عن نفسه على الصحّة الواقعيّة ؛ لبناء 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الأمر في الفعل الصادر عن الغير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الجميع هي الصحّة الواقعيّة ، غاية الأمر أنّ الفاعل أو الحامل قد يخطئان فيعتقدون ما ليس بصحيح واقعا صحيحا واقعيا ، فبناء العقلاء على ما هو الصحيح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الإجماع انعقد على ذلك ، بل اختلال النظام لا يرتفع إلاّ بالحمل على الصحيح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مدرك هذه القاعدة لو كان ظهور حال المسلم في أنّه لا يأتي بالعمل إلاّ صحيحا ، فلا بدّ وأن يكون المراد هي الصحّة عند الفاعل ؛ لأنّه لا يأتي إلاّ بما يراه صحيحا ، لا ما هو صحيح عند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الفاعل عالما بالصحيح والفاسد ، والقاعدة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المدرك هي سيرة العقلاء ولا اختصاص لها بالمسلم ، وأنّ عدم اعتبارها يوجب اختلال النظام وتعطيل الأسواق ، فالعمدة في مدرك هذه القاعدة هذان الأمران ، أي السيرة ، ولزوم اختلال النظام من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مفاد هذين الدليلين هي الصحّة الواقعيّة ، وعليها مدار جريان المعاملات في الأسواق وفي باب العقود والإيقاعات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إذا علم الحامل أنّ الصحيح عند الفاعل مخالف مع ما هو الصحيح واقعا ، بمعنى أنّ الفاعل مخطئ في تطبيق الصحّة الواقعيّة على ما يأتي به ، ففي هذه الصورة حمل فعله على الصحّة الواقعيّة مشكل ؛ لأنّ كون ما أتى به صحيحا واقعيّا متوقّف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كونه متعمّدا بأن يأتي بما هو خلاف معتقده أنّه صحيح ، أو كونه </w:t>
      </w:r>
      <w:bookmarkStart w:id="277" w:name="pg15902_182472"/>
    </w:p>
    <w:p>
      <w:pPr>
        <w:pStyle w:val="BookText"/>
        <w:rPr/>
      </w:pPr>
      <w:bookmarkEnd w:id="277"/>
      <w:r>
        <w:rPr>
          <w:rFonts w:ascii="Amiri" w:hAnsi="Amiri" w:eastAsia="Amiri" w:cs="Amiri"/>
          <w:color w:val="111111"/>
          <w:sz w:val="28"/>
          <w:sz w:val="28"/>
          <w:szCs w:val="28"/>
          <w:rtl w:val="true"/>
          <w:lang w:bidi="ar-SA"/>
        </w:rPr>
        <w:t>غافلا عن معتقده حال العمل وأتى بالصحيح الواقعي من باب الصدقة والاتّفاق ، وكلاهما مخالف للأصل العقلائي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5519248_2142443653"/>
      <w:bookmarkStart w:id="279" w:name="_Toc90"/>
      <w:bookmarkEnd w:id="278"/>
      <w:r>
        <w:rPr>
          <w:rtl w:val="true"/>
        </w:rPr>
        <w:t xml:space="preserve">[ </w:t>
      </w:r>
      <w:r>
        <w:rPr>
          <w:rtl w:val="true"/>
        </w:rPr>
        <w:t xml:space="preserve">المبحث </w:t>
      </w:r>
      <w:r>
        <w:rPr>
          <w:rtl w:val="true"/>
        </w:rPr>
        <w:t xml:space="preserve">] </w:t>
      </w:r>
      <w:r>
        <w:rPr>
          <w:rtl w:val="true"/>
        </w:rPr>
        <w:t>الثالث</w:t>
      </w:r>
      <w:bookmarkEnd w:id="279"/>
    </w:p>
    <w:p>
      <w:pPr>
        <w:pStyle w:val="BookText"/>
        <w:rPr/>
      </w:pPr>
      <w:r>
        <w:rPr>
          <w:rFonts w:ascii="Amiri" w:hAnsi="Amiri" w:eastAsia="Amiri" w:cs="Amiri"/>
          <w:color w:val="111111"/>
          <w:sz w:val="28"/>
          <w:sz w:val="28"/>
          <w:szCs w:val="28"/>
          <w:rtl w:val="true"/>
          <w:lang w:bidi="ar-SA"/>
        </w:rPr>
        <w:t>أنّ هذا الأصل لا يجري إلاّ بعد إحراز عنوان العمل ، مثلا لو علم بأنّه صدر منه عملا ولم يعلم العنوان وأنّه بيع ، أو إجارة ، أو هبة أو غير ذلك فلا مورد لجريان أصالة الصحّة ؛ وذلك من جهة أنّ بناء العقلاء على أنّ العمل الصادر عن الغير بعد صدوره بعنوان الغسل مثلا واحتمل فقد جزء ، أو شرط ، أو وجود مانع لا يعتنون بذلك الاحتمال ، ويبنون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والاحتمال في أنّه هل قصد الغسل أو السباحة فليس بنائهم على صحّة هذا الغسل ؛ لأنّه في العناوين القصديّة قصد العنوان بمنزلة الموضع لهذا الأصل ، فلا معنى لإجرائه مع الشكّ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لو شكّ في صلاة الظهر أو العصر مثلا وأنّه هل قصد عنوان الظهريّة أو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سائر الصلوات ، بل وفي كلّ فعل معنون بعنوان قصدي الذي لا يتحقّق إلاّ بذلك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الأصل إلاّ بعد إحراز ذلك العنوان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الفعل الذي يصدر منه من غير العناوين القصديّة كالتطهير عن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ليس متقوّما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الصحّة عند الشكّ في إتيان بعض شرائطه يمكن ، ولو مع عدم إحراز أنّه قصد بهذا الفعل تطهير ثوبه مثلا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رأى إنسانا يغتسل ثوبه ولكن لم يحرز أنّه بصدد تطهير ذلك الثوب ، ويحتمل أن يكون غسله بقصد إزالة الوسخ لا بقصد التطهير ، فلو شكّ في أنّه هل عصر ذلك الثوب الذي غسله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التطهير بالعصر فيما يقبل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إجراء أصالة الصحّة والحكم بطهارة ذلك الثوب</w:t>
      </w:r>
      <w:r>
        <w:rPr>
          <w:rFonts w:eastAsia="Amiri" w:cs="Amiri" w:ascii="Amiri" w:hAnsi="Amiri"/>
          <w:color w:val="111111"/>
          <w:sz w:val="28"/>
          <w:szCs w:val="28"/>
          <w:rtl w:val="true"/>
          <w:lang w:bidi="ar-SA"/>
        </w:rPr>
        <w:t xml:space="preserve">. </w:t>
      </w:r>
      <w:bookmarkStart w:id="280" w:name="pg15902_182473"/>
    </w:p>
    <w:p>
      <w:pPr>
        <w:pStyle w:val="Heading3"/>
        <w:numPr>
          <w:ilvl w:val="2"/>
          <w:numId w:val="1"/>
        </w:numPr>
        <w:rPr/>
      </w:pPr>
      <w:bookmarkStart w:id="281" w:name="__RefHeading___Toc15519250_2142443653"/>
      <w:bookmarkStart w:id="282" w:name="_Toc91"/>
      <w:bookmarkEnd w:id="280"/>
      <w:bookmarkEnd w:id="281"/>
      <w:r>
        <w:rPr>
          <w:rtl w:val="true"/>
        </w:rPr>
        <w:t xml:space="preserve">[ </w:t>
      </w:r>
      <w:r>
        <w:rPr>
          <w:rtl w:val="true"/>
        </w:rPr>
        <w:t xml:space="preserve">المبحث </w:t>
      </w:r>
      <w:r>
        <w:rPr>
          <w:rtl w:val="true"/>
        </w:rPr>
        <w:t xml:space="preserve">] </w:t>
      </w:r>
      <w:r>
        <w:rPr>
          <w:rtl w:val="true"/>
        </w:rPr>
        <w:t>الرابع</w:t>
      </w:r>
      <w:bookmarkEnd w:id="282"/>
    </w:p>
    <w:p>
      <w:pPr>
        <w:pStyle w:val="BookText"/>
        <w:rPr/>
      </w:pPr>
      <w:r>
        <w:rPr>
          <w:rFonts w:ascii="Amiri" w:hAnsi="Amiri" w:eastAsia="Amiri" w:cs="Amiri"/>
          <w:color w:val="111111"/>
          <w:sz w:val="28"/>
          <w:sz w:val="28"/>
          <w:szCs w:val="28"/>
          <w:rtl w:val="true"/>
          <w:lang w:bidi="ar-SA"/>
        </w:rPr>
        <w:t>في أنّه لا يجري هذا الأصل إلاّ بعد وجود الشي‌ء‌فحينئذ إذا شكّ في أنّ ما أتي به هل صحيح ، أي تامّ من حيث الأجزاء والشرائط وعدم الموانع ويترتّب عليه الأثر المقصود منه ، أم لا؟ فبمقتضى هذا الأصل يحكم عليه بالصحّة ، ويترتّب عليه الأثر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 وجوده فلا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يريد أن يأتي به صحيح وتامّ ويترتّب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أثناء عمل شخص أنّ ما يأتي به هل هو صحيح أم لا ، لا مورد لجريان أصالة الصحّة ، وليس بناء العقلاء على الحكم بالصحّة وترتيب آثارها عليه قبل وجود الشي‌ء في وعاء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رجل أن يصلّي على الميّت ، أو يغسله ، أو أراد أن يحجّ فإجراء أصالة الصحّة قبل وجود هذه المذكورات فيها لا يخلو من غرابة ، وكذلك في أثناء العمل مثلا لو دخل شخص في إحرام عمرة حج التمتع ، فالحكم بصحّة عمرته وحجّه بمحض دخوله في الإحرام من باب أصالة الصحّة لا صحّة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تلك القطعة التي أتى بها يمكن أن يقال إنّها صحيحة من باب بناء العقلاء أو التعبّد ، وأمّا بالنسبة إلى مجموع العمل الذي لم يأت به بعد ، كيف يمكن أن يقال إنّ المأتي به موافق للمأمور به؟ فالحقّ أنّ موطن جريان أصالة الصحّة هو بعد وجود العمل والفراغ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بينها وبين قاعدة الفراغ في عمل النفس هو أنّ الدخول في الغير لا يحتاج إليه هاهنا ، ولو قلنا بالاحتياج إليه في قاعدة الفراغ</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كلّه من جهة أنّ معنى أصالة الصحّة عند العقلاء هو أنّ العمل الذي صدر عن الغير ويشكّ فيه أنّه أوجده صحيحا وتامّا لا خلل فيه أو ناقص غير تامّ وفيه الخلل ، يبنون على صحّته وتماميّته ؛ فموضوع أصالة الصحّة هو العمل الصادر عن الغير </w:t>
      </w:r>
      <w:bookmarkStart w:id="283" w:name="pg15902_182474"/>
    </w:p>
    <w:p>
      <w:pPr>
        <w:pStyle w:val="BookText"/>
        <w:rPr/>
      </w:pPr>
      <w:bookmarkEnd w:id="283"/>
      <w:r>
        <w:rPr>
          <w:rFonts w:ascii="Amiri" w:hAnsi="Amiri" w:eastAsia="Amiri" w:cs="Amiri"/>
          <w:color w:val="111111"/>
          <w:sz w:val="28"/>
          <w:sz w:val="28"/>
          <w:szCs w:val="28"/>
          <w:rtl w:val="true"/>
          <w:lang w:bidi="ar-SA"/>
        </w:rPr>
        <w:t>لا الذي سيصدر ، ولا الذي صدر بعضه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أحكام الميّت التي هي واجبات كفائيّة ، كغسله ، وكفنه ، ودفنه والصلاة عليه ، وعدم اعتناء من رأى أنّ شخصا يشتغل بهذه الأعمال باحتمال وقوع خلل فيها أو عدم إتمامها ، فليس من جهة جريان أصالة الصحّة في الأثناء كما توهّم ، بل إمّا من جهة الاطمئنان بأنّه يتمها ولا يتركها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استصحاب البقاء على الاشتغال بذلك العمل إلى إتمامه ، وبعد الفراغ عن العمل إذا شكّ في صحّته وفساده يجرى فيه أصالة الصحّة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5519252_2142443653"/>
      <w:bookmarkStart w:id="285" w:name="_Toc92"/>
      <w:bookmarkEnd w:id="284"/>
      <w:r>
        <w:rPr>
          <w:rtl w:val="true"/>
        </w:rPr>
        <w:t xml:space="preserve">[ </w:t>
      </w:r>
      <w:r>
        <w:rPr>
          <w:rtl w:val="true"/>
        </w:rPr>
        <w:t xml:space="preserve">المبحث </w:t>
      </w:r>
      <w:r>
        <w:rPr>
          <w:rtl w:val="true"/>
        </w:rPr>
        <w:t xml:space="preserve">] </w:t>
      </w:r>
      <w:r>
        <w:rPr>
          <w:rtl w:val="true"/>
        </w:rPr>
        <w:t>الخامس</w:t>
      </w:r>
      <w:bookmarkEnd w:id="285"/>
    </w:p>
    <w:p>
      <w:pPr>
        <w:pStyle w:val="Heading4"/>
        <w:numPr>
          <w:ilvl w:val="3"/>
          <w:numId w:val="1"/>
        </w:numPr>
        <w:rPr/>
      </w:pPr>
      <w:bookmarkStart w:id="286" w:name="__RefHeading___Toc15519254_2142443653"/>
      <w:bookmarkStart w:id="287" w:name="_Toc93"/>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في أنّه من المعلوم أنّها تجري في المعاملات في أبواب العقود والإيقاعات ، وتكون مقدّمة على أصالة الفساد فيها التي هي عبارة عن أصالة عدم النقل والانتقال فيها ، سواء قلنا بأنّ مدركها سيرة العقلاء وبناؤهم على ذلك ، أو قلنا أنّ مدركها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سواء قلنا بوجود إجماع آخر في خصوص أبواب المعاملات والعقود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الإجماع على اعتبارها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بل قلنا بتحقق إجماع واحد يدلّ على اعتبارها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جريانها في مورد الشكّ في صحّتها مطلقا سواء أكان الشكّ من جهة احتمال وقوع خلل في شرائط العقد أو في شرائط المتعاقدين أو في شرائط العوضين ، أو لا يجري إلاّ في مورد الشكّ في شرائط نفس العقد دون شرائط المتعاقدين أو العوضين أو يجري فيما سوى الشروط العرفيّة للمتعاقدين أو العوضين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الاحتمال الأوّل تكون حاكمة على كلّ أصل يقتضي فساد العقد ، سواء أكان ذلك الأصل المقتضي للفساد جاريا في شرائط العقد ، أو في شرائط المتعاقدين ، أو في شرائط العوضين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الاحتمال الثاني تكون حاكمة على الأصل الذي يقتضي الفساد الجاري في شرائط نفس العقد ، دون ما يقتضي الفساد الجاري في شرائط المتعاقدين أو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الاحتمال الثالث تكون حاكمة على كلّ أصل يقتضي الفساد ، إلاّ إذا كان ذلك الأصل الذي يقتضي الفساد جاريا في الشرائط العرفيّة للعوضين أو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بناء على هذا الاحتمال لو شكّ في ماليّة العوضين ، أو في رشد المتعاقدين ، أو أحدهما فلا تجري أصالة الصحّة كي تكون حاكمة على أصالة عدم ماليّة العوضين ، أو أصالة عدم رشد المتعاقدين ، أو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هذه الاحتمالات والوجوه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يقال بأنّ مدرك اعتبار أصالة الصحّة هو الإجماع وإنّ هناك إجماعان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قام على اعتبار أصالة الصحّة مطلقا ، سواء أكان مورد جريانها العبادات أو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انعقاده على حجيّة أصالة الصحّة في خصوص أبواب المعاملات ، وأنّه دليل لبّى لا إطلاق لمعقده في كلا الإجماعين ، فلا بدّ من الأخذ به في المورد المتيقّن دون المورد الذي وقع 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مدركها الإجماع وعدم إطلاق لمعقده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صحّة ما أفاد شيخنا الأستاذ قدس سره من اختصاصها بمورد احتمال الإخلال في نفس العقد ، دون شرائط المتعاقدين أو العوضين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قلنا بأنّ مدرك اعتبارها هي سيرة العقلاء من المسلمين وغير المسلمين ، مضافا إلى الإجماع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اخترنا هذا الوجه في وجه حجّيتها بل قلنا أنّه لا محلّ للإجماع الاصطلاحي الكاشف عن رأي المعصوم علیه السلام لإمكان اتّكاء المجمعين على تلك الأمور التي ذكرناها من السيرة ، واختلال النظام والآيات ، والروايات التي تقدّم </w:t>
      </w:r>
    </w:p>
    <w:p>
      <w:pPr>
        <w:pStyle w:val="BookText"/>
        <w:rPr/>
      </w:pP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ينظر إلى مقدار قيام السيرة ، وأنّها هل قامت على اعتبارها مقابل أصالة الفساد في خصوص شرائط العقد إذا شكّ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كالماضويّة وتقدّم الإيجاب على القبول والموالاة وأمثال ذلك ممّا هو 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بل قامت على اعتبارها مقابل أصالة الفساد في جميع ما شكّ في وجوده ممّا اعتبر في العقد ، أو في المتعاقدين ، أو في العوضين إذا لم يكن من الشرائط العرفيّة للمتعاقدين أو العوضين ، بمعنى أن يكون عند العرف من مقوّمات المعاملة ، بحيث لا يمكن تحقّق عنوان المعاملة عرفا إلاّ مع وجود تلك الشرائط؟</w:t>
      </w:r>
    </w:p>
    <w:p>
      <w:pPr>
        <w:pStyle w:val="BookText"/>
        <w:rPr/>
      </w:pPr>
      <w:r>
        <w:rPr>
          <w:rFonts w:ascii="Amiri" w:hAnsi="Amiri" w:eastAsia="Amiri" w:cs="Amiri"/>
          <w:color w:val="111111"/>
          <w:sz w:val="28"/>
          <w:sz w:val="28"/>
          <w:szCs w:val="28"/>
          <w:rtl w:val="true"/>
          <w:lang w:bidi="ar-SA"/>
        </w:rPr>
        <w:t>ولا شكّ في قيام السيرة على الحمل على الصحّة بالمعنى الثاني ، أي في كلّ مورد شكّ في صحّة معاملة من المعاملات ، بيعا كان ، أو إجارة ، أو هبة ، أو نكاحا ، أو غير ذلك من العناوين المذكورة في أبواب المعاملات من العقود والإيقاعات بعد تحقّق ذلك العنوان بنظر العرف وعندهم ، لاحتمال فقد شرط اعتبره الشارع أو العقلاء زائدا على ما هو المقوّم لذلك العنوان عندهم ، أو احتمال وجود مانع كذلك ، فيبنون على الصحّة ولا يعتنون إلى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ذلك الشرط المحتمل الفقدان من شرائط العقد ، أو المتعاقدين ، أو العوضين ، وكذلك المانع المحتمل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مورد في المعاملات تحقّق موضوع أصالة الصحّة الذي هو عبارة عن وجود ذلك العنوان الذي شكّ في صحّته وفساده لاحتمال فقد شرط ، أو وجود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هو دخيل في تحقّق ذلك العنوان عند العرف وفي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نجري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الشكّ في تحقّق موضوعها فلا تجري البتّة ، شأن كلّ حكم مع موضوعه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لها عقد وضع وعقد حمل ، كما هو الحال في جميع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كلّ قاعدة إثبات محمولها لموضوعها بعد الفراغ عن ثبوت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ثبوت موضوعها أو عدم ثبوته فليس من شؤون تلك القاعدة ، فكلّ قاعدة متكفّلة لعقد حملها لا لعقد وضعها ، وحيث أنّ موضوع هذه القاعدة في أبواب المعاملات تلك العناوين المذكورة في أبواب العقود والإيقاعات ، فلا بدّ من إحرازها لإجراء هذه القاعدة مع احتمال عدم صحّتها لاحتمال وقوع خلل فيها من فقد شرط أو 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إحراز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مشكوك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لجريان هذه القاعدة ؛ لامتناع تحقّق الحكم بدون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مجموع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شكّ في صحّته وفساده تارة هو السبب ، أي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المسبب ، أي المعاملة الكذائيّة كالبيع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العقد واحتمل عدم صحّته ، أي عدم تماميّته من حيث الأجزاء والشرائط وإعدام الموانع ، بحيث يشكّ في ترتّب الأثر المقصود منه عليه ولو انضمّ إليه سائر الشرائط المعتبرة في المتعاقدين ، فلا شكّ في جريان أصالة الصحّة في نفس العقد إذا لم يكن الشرط المحتمل الفقدان ، أو المانع المحتمل الوجود ممّا له دخل في تحقّق عنوان العقد عرفا ؛ لما ذكرنا من لزوم تحقّق ما هو موضوع أصالة الصحّة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إحراز ما هو موضوع أصالة الصحّة يثبت به الشرط المحتمل الفقدان ، وأيضا يثبت به عدم المانع المحتمل الوجود ، فيترتّب على ذلك العقد الأثر المقصود ، أي المعاملة الفلانيّة إذا انضمّ إليه سائر ما اعتبر في المعاملة ، من شرائط المتعاقدين كبلوغهما ورضائهما بمعنى عدم كونهما مكرهين أو أحدهما مكرها وأمثال ذلك ، ومن شرائط العوضين ككونهما قابلين للنقل والانتقال ، كأن لا يكون أحدهما حرّا مثلا ، وأن يكونا مملوكين بأن لا يكونا من قبيل الخمر والخنزير ، وذلك من جهة أنّ صحّة العقد ليس معناها ترتّب أثر المعاملة الصحيحة عليه بمجرده ، بل معنى صحّته أن يترتّب الأثر المطلوب من المعاملة عليه لو انضم إليه سائر ما اعتبر في المعاملة من شرائط المتعاقدين والعوضين</w:t>
      </w:r>
      <w:r>
        <w:rPr>
          <w:rFonts w:eastAsia="Amiri" w:cs="Amiri" w:ascii="Amiri" w:hAnsi="Amiri"/>
          <w:color w:val="111111"/>
          <w:sz w:val="28"/>
          <w:szCs w:val="28"/>
          <w:rtl w:val="true"/>
          <w:lang w:bidi="ar-SA"/>
        </w:rPr>
        <w:t xml:space="preserve">. </w:t>
      </w:r>
      <w:bookmarkStart w:id="288" w:name="pg15902_182478"/>
    </w:p>
    <w:p>
      <w:pPr>
        <w:pStyle w:val="BookText"/>
        <w:rPr/>
      </w:pPr>
      <w:bookmarkEnd w:id="288"/>
      <w:r>
        <w:rPr>
          <w:rFonts w:ascii="Amiri" w:hAnsi="Amiri" w:eastAsia="Amiri" w:cs="Amiri"/>
          <w:color w:val="111111"/>
          <w:sz w:val="28"/>
          <w:sz w:val="28"/>
          <w:szCs w:val="28"/>
          <w:rtl w:val="true"/>
          <w:lang w:bidi="ar-SA"/>
        </w:rPr>
        <w:t>وذلك من جهة أنّ الصحّة التعبّدية الثابتة بأصالة الصحّة ليست بأعظم من الصحّة المحرزة بالوجدان ، ومعلوم أنّ صحّة العقد واقعا وقطعا لا تترتّب عليها آثار صحّة المعاملة ما لم ينضمّ إليه جميع الشرائط التي للمتعاقدين ، وأيضا للعوضين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ما شكّ في صحّته وفساده هو المسبّب ، أي المعاملة الكذائيّة لأجل احتمال خلل ، من فقد شرط أو وجود مانع للعقد ، أو للمتعاقدين ، أو العوضين فيجري هذا الأصل فيها ويحكم بصحّتها ، سواء أكان الشرط المحتمل الفقدان ، أو المانع المحتمل الوجود من شرائط العقد أو موانعه ، أو من شرائط المتعاقدين وموانعهما ، أو العوضين ، أو نفس المسبب كذلك ما لم يكن من مقوّمات تحقّق المعاملة عرفا ؛ لما بيّنّا مفصّلا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التحقيق في المقام أن يقال بجريان هذا الأصل في جميع ما شكّ في صحّته وفساده بعد إحراز عقد وضع هذه القضيّة ، سواء أكان الشكّ في ناحية السبب أي العقد ، أو المسبب أي عناوين المعاملات المذكورة في أبواب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جميع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محلّها إمّا العقد أو المتعاقدين أو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إمّا إلى السبب ، أو إلى المسبّب ، أو إلى كليهما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5519256_2142443653"/>
      <w:bookmarkStart w:id="290" w:name="_Toc94"/>
      <w:bookmarkEnd w:id="289"/>
      <w:r>
        <w:rPr>
          <w:rtl w:val="true"/>
        </w:rPr>
        <w:t>ثمَّ إنّه هاهنا فروع ربما يستشكل في جريان قاعدة أصالة الصحّة فيها</w:t>
      </w:r>
      <w:bookmarkEnd w:id="290"/>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الوقف ، من جهة عدم صحّة بيع الوقف لو خلي وطبعه ، ولا يجوز إلاّ بطروّ أحد مجوّزات بيعه ، وليس هناك ما يدلّ على طروّ المجوّز إلاّ ظهور حال المسلم في أنّه لا يرتكب ما لا يجوز</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أوّلا غير أصالة الصحّة التي بناء العقلاء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مثل هذا الظهور ؛ لأنّ كثيرا من المسلمين يفعلون ما لا يجوز وما ليس بنافذ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الإنصاف أن بيع الوقف ان كان من قبل الناظر أو الحاكم الشرعي ، فحيث أنّه يمكن أن يكون صحيحا لوقوعه مع وجود أحد المسوّغات وليس وجود المسوّغ من مقوّمات تحقّق بيع الوقف عرفا ، بل ممّا اعتبره الشارع في صحّته ، فبناء على الضابط الذي ذكرنا لجريان قاعدة أصالة الصحّة تجري وتكون حاكمة على أصالة عدم وجود المسوغ ، كما هو شأن قاعدة أصالة الصحّة في جميع المقامات ، حيث أنّها تقدّم على استصحابات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اختاره شيخنا الأستاذ قدس سره من اختصاص جريانها بصورة الشكّ في صحّة العقد لاحتمال وجود خلل فيه ، من فقد شرط من شرائط العقد ، أو وجود مانع من موانعه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من جهة عدم قابليّة المتعاقدين أو أحدها شرعا لإيقاع المعاملة ، ككونهما أو أحدهما غير بالغ ، أو كان الشكّ من جهة عدم قابليّة المال للنقل والانتقال كالوقف إلاّ مع طروّ أحد المسوغات وكان طروّه مشكوكا ، فلا يجري هذا الأصل</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ولكن أنت عرفت ما في كلامه قدس سره وعمدة ما ذكره في وجه ما اختاره ، أنّ مدرك هذه القاعدة هو الإجماع ، والإجماع قاصر عن شموله لغير شرائط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المدرك هو بناء العقلاء والسيرة 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الصرف لو شك في القبض في المجلس ، فالبناء على صحّة العقد لا يثبت وقوع القبض في المجلس الذي هو شرط صحّة المعاملة ووقوع النقل والانتقال شرعا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أنّ بعد إحراز عنوان المعاملة وتحقّقه في نظر العرف ، فأصالة الصحّة تجري فيه ولو كان الشكّ في وقوعه شرعا من جهة احتمال عدم شرط اعتبره الشارع في صحّة المعاملة ، وترتيب الأثر عليها كالقبض في المجلس في مسألة بيع 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 القبض في المجلس في بيع الصرف ليس من مقوّمات المعاملة عرفا كي يكون الشكّ فيه مساوقا للشكّ في تحقّق عنوان المعاملة ، فعنوان المعاملة يتحقّق عرفا حتّى مع هذا الشكّ ، فبجريان أصالة الصحّة يثبت هذا الشرط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أصالة الصحّة في الشبهات الموضوعيّة نتيجة أصالة الإطلاق في الشبهات الحكميّة ، فكما أنّ بإطلاق أدلّة عناوين المعاملات لو كان إطلاق في البين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أو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خَيْرٌ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وأمثالهما يتمسّك لرفع شرطيّة ما هو مشكوك الشرطيّة ، وعدم مانعيّة ما هو مشكوك المانعيّة بعد تحقّق هذه العناوين عرفا حتّى على القول الصحيحي ، كذلك في الشبهة الموضوعيّة التي هي مجرى أصالة الصحّة أو حصل الشكّ واحتمل عدم شرط من شرائط صحّة ذلك العنوان ، أو احتمل وجود مانع عن صحّته مع إحراز ذلك العنوان في نظر العرف ، فبأصالة الصحّة يثبت الصحّة ويترتّب على ذلك الفعل آثار وجود ذلك الشرط وعدم ذلك المانع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وقوع خلل فيما وقع وصدر بعد إحراز عنوان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موضوع الأثر مركبا من أمرين أحدهما وجد ولا خلل فيه من فقد شرطه أو وجود مانعه ، وإنّما لا يترتّب الأثر ويتوقف فيه للشكّ في وجود جزء الآخر ، فهذا غير مربوط بأصالة الصحّة ؛ لأنّ ما وقع صحيح بالوجدان ولا خلل فيه ، فإجراء أصالة الصحّة فيه من قبيل تحصيل ما هو حاصل بالوجدان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 أي وقوع المعاملة وإنشائها في بيع الصرف مع الشكّ في تحقّق القبض في المجلس من هذا القبيل ، فإنّ إنشاء المعاملة وقع صحيحا وبلا خلل ، ولكن موضوع الأثر شرعا هو وشي‌ء آخر ، أي القبض في المجلس المشكوك وجوده وإحرازه غير مربوط بجريان أصالة الصحّة فيما وقع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يظهر حال الشكّ في صدور الإجازة من المالك في عقد الفضولي ؛ لأنّ عقد الفضولي الصادر من الفضول لا خلل فيه ، وإنّما يكون الأثر مترتّبا شرعا عليه وعلى أمر آخر وهو إجازة المالك المشكوك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بيع الوقف ليس من هذا القبيل إذا صدر من المتولّي أو الحاكم ، لأنّ ما وقع إن كان مع وجود المسوّغ فهو صحيح وإلاّ فلا ، فمع الشكّ في وجود المسوّغ يحكم إليه بالصحّة بأصالة الصحّة ، ويثبت بها وجود المسوّغ أو لزوم ترتيب آثار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ظهر ممّا ذكرنا أنّ بيع الراهن ماله المرهون مع الشكّ في إذن المرتهن أيضا من هذا القبيل ، أي من قبيل بيع الفضولي مال الغير مع الشكّ في إجازة المالك ، فموضوع الأثر فيه أيضا مركّب من العقد الصادر من المالك الراهن مع سبق إذن المرتهن أو لحقوق إجازته ، وأصالة الصحّة فيه لا يثبت سبق الإذن أو لحوق الإجازة من المرتهن ، بل لا معنى لجريان أصالة الصحّة فيما صدر عن الراهن ؛ لأنّ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 بمعنى أنّه لو تعقّب بالإجازة ، أو اقترن بالإذن يترتّب عليه الأثر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مجرى أصالة الصحّة هو فيما إذا دار الأمر بين صحّته الفعليّة أو بطلانه رأسا ، كما أنّه في مسألة الوقف الصادر من المتولي مع الشكّ في وجود المسوّغ بكون الأمر هكذا ، أي يدور ذلك البيع أمره بين أن يكون صحيحا فعليّا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والانتقال ، وهذا فيما إذا كان المسوّغ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باطلا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إذا لم يكن المسوّغ موجودا الذي هو الاحتمال الآخر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المذكورات من بيع الراهن مع الشكّ في إذن المرتهن ، وبيع الفضول مع الشكّ في تعقّبه بالإجازة ، وبيع الصرف مع الشكّ في القبض في المجلس ، فالصحّة 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تعقّب بالإجازة في بيع الراهن والفضولي ، وبالقبض في المجلس في بيع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موجودة ، وإنّما الشكّ في وجود أمر آخر تكون الصحّة الفعليّة منوطة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وهاهنا فرع ذكره الشيخ الأعظم </w:t>
      </w:r>
      <w:r>
        <w:rPr>
          <w:rStyle w:val="FootnoteAnchor"/>
          <w:rtl w:val="true"/>
        </w:rPr>
        <w:footnoteReference w:id="303"/>
      </w:r>
      <w:r>
        <w:rPr>
          <w:rFonts w:ascii="IRNazanin" w:hAnsi="IRNazanin" w:eastAsia="IRNazanin"/>
          <w:color w:val="111111"/>
          <w:sz w:val="28"/>
          <w:sz w:val="28"/>
          <w:szCs w:val="28"/>
          <w:rtl w:val="true"/>
          <w:lang w:bidi="fa-IR"/>
        </w:rPr>
        <w:t xml:space="preserve">وأستاذنا المحقّق </w:t>
      </w:r>
      <w:r>
        <w:rPr>
          <w:rStyle w:val="FootnoteAnchor"/>
          <w:rtl w:val="true"/>
        </w:rPr>
        <w:footnoteReference w:id="304"/>
      </w:r>
      <w:r>
        <w:rPr>
          <w:rFonts w:ascii="Amiri" w:hAnsi="Amiri" w:eastAsia="Amiri" w:cs="Amiri"/>
          <w:color w:val="111111"/>
          <w:sz w:val="28"/>
          <w:sz w:val="28"/>
          <w:szCs w:val="28"/>
          <w:rtl w:val="true"/>
          <w:lang w:bidi="ar-SA"/>
        </w:rPr>
        <w:t>قدس سره وهو أنّه لو علم بصدور البيع عن المالك الراهن ، وأيضا برجوع المرتهن عن إذنه ولكن شكّ في المتقدّم منهما ، فلو كان الرجوع متأخّرا عن البيع فالبيع صحيح ، ولو كان متقدّما عليه فالبيع باطل ، فهل تجري هاهنا أصالة الصحّة في البيع أم لا؟</w:t>
      </w:r>
    </w:p>
    <w:p>
      <w:pPr>
        <w:pStyle w:val="BookText"/>
        <w:rPr/>
      </w:pPr>
      <w:r>
        <w:rPr>
          <w:rFonts w:ascii="Amiri" w:hAnsi="Amiri" w:eastAsia="Amiri" w:cs="Amiri"/>
          <w:color w:val="111111"/>
          <w:sz w:val="28"/>
          <w:sz w:val="28"/>
          <w:szCs w:val="28"/>
          <w:rtl w:val="true"/>
          <w:lang w:bidi="ar-SA"/>
        </w:rPr>
        <w:t xml:space="preserve">مقتضى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مجرى أصالة الصحّة فيما إذا كان الفعل الصادر دائرا أمره بين الصحّة الفعليّة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 ؛ لأنّ الفعل الصادر من الراهن قطعا صحيح إذا تعقّب بإجازة المرتهن ولم يرجع قبل البيع ، وعدم ترتيب الأثر لأمر آخر وهو الشكّ في بقاء إذنه إلى حال البيع ، وليس مستندا إلى احتمال فساد ما صدر عن الراهن ؛ فهذا خارج عن مجرى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شي‌ء وهو أنّ أصالة عدم تحقّق الرجوع إلى زمان تحقّق البيع هل تكون لها معارض أم لا؟ ولا شكّ في أنّ ما هو موضوع الأثر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سببا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صدور البيع عن المالك الراهن مع إذن المرتهن ، والبيع وجد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الرجوع معناه بقاء الإذن ؛ ولذلك لا فرق بين استصحاب بقاء الإذن أو استصحاب عدم الرجوع فيتحقّق كلا جزئي الموضوع ، أحدهما بالوجدان وهو بيع المالك الراهن ، والثاني بالأصل وهو بقاء الإذن وعدم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الاستصحاب معارض باستصحاب عدم وقوع البيع إلى زمان الرجوع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جهة أنّه مثبت ، إذ لازمه عقلا حينئذ وقوع البيع مع عدم 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لما ذكر قدس سره هذا الفرع مع أنّه لا خصوصيّة فيه يكون موجبا لذكره ، وهو من الوضوح بمكان مع أنّه قدس سره خرّيت هذه الصناعة</w:t>
      </w:r>
      <w:r>
        <w:rPr>
          <w:rFonts w:eastAsia="Amiri" w:cs="Amiri" w:ascii="Amiri" w:hAnsi="Amiri"/>
          <w:color w:val="111111"/>
          <w:sz w:val="28"/>
          <w:szCs w:val="28"/>
          <w:rtl w:val="true"/>
          <w:lang w:bidi="ar-SA"/>
        </w:rPr>
        <w:t xml:space="preserve">. </w:t>
      </w:r>
      <w:bookmarkStart w:id="291" w:name="pg15902_182483"/>
    </w:p>
    <w:p>
      <w:pPr>
        <w:pStyle w:val="Heading3"/>
        <w:numPr>
          <w:ilvl w:val="2"/>
          <w:numId w:val="1"/>
        </w:numPr>
        <w:rPr/>
      </w:pPr>
      <w:bookmarkStart w:id="292" w:name="__RefHeading___Toc15519258_2142443653"/>
      <w:bookmarkStart w:id="293" w:name="_Toc95"/>
      <w:bookmarkEnd w:id="291"/>
      <w:bookmarkEnd w:id="292"/>
      <w:r>
        <w:rPr>
          <w:rtl w:val="true"/>
        </w:rPr>
        <w:t xml:space="preserve">[ </w:t>
      </w:r>
      <w:r>
        <w:rPr>
          <w:rtl w:val="true"/>
        </w:rPr>
        <w:t xml:space="preserve">المبحث </w:t>
      </w:r>
      <w:r>
        <w:rPr>
          <w:rtl w:val="true"/>
        </w:rPr>
        <w:t xml:space="preserve">] </w:t>
      </w:r>
      <w:r>
        <w:rPr>
          <w:rtl w:val="true"/>
        </w:rPr>
        <w:t>السادس</w:t>
      </w:r>
      <w:bookmarkEnd w:id="293"/>
    </w:p>
    <w:p>
      <w:pPr>
        <w:pStyle w:val="BookText"/>
        <w:rPr/>
      </w:pPr>
      <w:r>
        <w:rPr>
          <w:rFonts w:ascii="IRNazanin" w:hAnsi="IRNazanin" w:eastAsia="IRNazanin"/>
          <w:color w:val="111111"/>
          <w:sz w:val="28"/>
          <w:sz w:val="28"/>
          <w:szCs w:val="28"/>
          <w:rtl w:val="true"/>
          <w:lang w:bidi="fa-IR"/>
        </w:rPr>
        <w:t>قد عرفت فيما تقدّم أنّ الأفعال والعناوين القصديّة لا تجري فيها أصالة الصحّة إلاّ بعد إحراز أنّ الغير الفاعل لذلك الفعل قصد عنوان ذلك العنوان القصدي ، وقد ذكرنا من باب المثال أنّ الذي يصلّي صلاة الظهر مثلا لا تجري أصالة الصحّة في فعله بعد صدوره عنه إلاّ بعد إحراز أنّه قصد عنوان الظهريّة في المثال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النيابة من العناوين القصديّة ، بمعنى أنّه لو حجّ ، أو زار أحد المعصومين علیهم السلام بدون قصد النيابة عن قبل زيد مثلا ، لا تقع النيابة عن قبل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أحرز المستنيب أنّ النائب قصد بفعله النيابة عن قبله بمحرز وجداني أو تعبّدي ، وشكّ في أنّ النائب هل أتى بالحجّ مثلا بجميع ما اعتبر فيه وجودا كالأجزاء والشرائط ، أو عدما كالموانع أم لا ، فتجري أصالة الصحّة في فعل النائب ، ويثبت بها أنّه بجميع ما اعتبر فيه ؛ فيسقط عن المنوب عنه ويستحقّ النائب الأجرة إن كان بأجرة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الشيخ الأعظم الأنصاري قدس سره أفاد أنّ لفعل النائب 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حيث أنّه فعل من أفعال النائب ، ولذا يجب عليه مراعاة الأجزاء والشرائط ، وبهذا الاعتبار يترتّب عليه جميع آثار صدور الفعل الصحيح منه ، مثل استحقاق الأجرة ، وجواز استيجاره ثانيا بناء على اشتراط فراغ ذمّة الأجير في صحّة استيجاره ثانيا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حيث أنّه فعل للمنوب عنه ، حيث أنّه بمنزلة الفاعل بالتسبيب والآلة ، وكان الفعل بعد قصد النيابة والبدليّة قائما بالمنوب عنه ، وبهذا الاعتبار يراعي فيه القصر والإتمام في صلاة ، والتمتّع والقران في الحجّ ، والترتيب في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من الحيثيّة الأولى لا يثبت الصحّة من هذه الحيثيّة الثانية ، بل لا بدّ من إحراز صدور الفعل الصحيح عنه على وجه التسبيب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الغير يسقط التكليف عنه من حيث أنّه فعل الغير كفت أصالة الصحّة في السقوط ، كما في الصلاة على الميّت ، وإن كان إنّما يسقط التكليف عنه من حيث اعتبار كونه فعلا له ولو على وجه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 أصالة الصحّة في سقوطه ، بل يجب التفكيك بين أثري الفعل من الحيثيتين انتهى</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ولكن أنت خبير بأنّ ما هو موضوع سقوط التكليف عن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الاستيجار عليه ثانيا مع موضوع استحقاق النائب للأجرة إذا كان أجيرا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وهو صدور الفعل التامّ الأجزاء والشرائط وفاقد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أنّه قصد بهذا الفعل النيابة عن ذلك المنوب عنه ، والمفروض أنّ المنوب عنه أحرز أنّه قصد 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واجد لجميع الأجزاء والشرائط ، وفاقد للموانع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فبأصالة الصحّة ؛ فلا وجه لعدم سقوط التكليف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إثبات أن هذا فعل المنوب عنه بالتسبيب ، بل ولو كان محتاجا إلى ذلك فليس ذلك مربوطا بأصالة الصحّة ، بل يتحقّق الانتساب إليه إمّا من ناحية استنابته له ، وإمّا من ناحية قصد النائب النيابة عنه ، وكلا الأمرين لا ربط له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الفعل الصادر من النائب منتسب إلى المنوب عنه بالاستنابة أو بقصد النائب ، ولكن الفعل المنتسب إليه فعل مشكوك الصحّة والفساد ، وما هو موضوع سقوط التكليف عنه هو انتساب الفعل الصحيح إليه ، فيحتاج إلى إحراز صحّته ، ولا يمكن إحرازها بأصالة الصحّة لما ذكرنا من أنّها لا تثبت الصحّة من حيث أنّه فعل المنوب عنه ، بل تثبت الصحّة من حيث أنّه فعل النائب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هذا الفعل الصادر عن النائب منتسبا إلى المنوب عنه ولو ادّعاء ومجازا ، وحكم الشارع بأنّه تامّ وصحيح ، فهذا الفعل الذي صحيح تعبّدا منتسب إلى المنوب عنه فهو في الأثر مثل انتساب الفعل الصحيح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إلى ما </w:t>
      </w:r>
      <w:bookmarkStart w:id="294" w:name="pg15902_182485"/>
    </w:p>
    <w:p>
      <w:pPr>
        <w:pStyle w:val="BookText"/>
        <w:rPr/>
      </w:pPr>
      <w:bookmarkEnd w:id="294"/>
      <w:r>
        <w:rPr>
          <w:rFonts w:ascii="Amiri" w:hAnsi="Amiri" w:eastAsia="Amiri" w:cs="Amiri"/>
          <w:color w:val="111111"/>
          <w:sz w:val="28"/>
          <w:sz w:val="28"/>
          <w:szCs w:val="28"/>
          <w:rtl w:val="true"/>
          <w:lang w:bidi="ar-SA"/>
        </w:rPr>
        <w:t>ذكرنا من أنّ موضوع سقوط التكليف عن المنوب عنه هو صدور الفعل الصحيح وجدانا أو تعبدا عن النائب بقصد النيابة عنه ، ولا يحتاج إلى انتساب الفعل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للمنوب عنه أو من يستنيب عنه إحراز أنّ النائب قصد النيابة عنه ، فهل يثبت وجود هذا القصد ويتحقّق في عالم الإثبات بأخبار النائب مطلقا ، أو فيما إذا كان عادلا ، أو لا يثبت به وإن كان عادلا ما لم يحصل وثوق واطمينان من قوله وإخباره؟</w:t>
      </w:r>
    </w:p>
    <w:p>
      <w:pPr>
        <w:pStyle w:val="BookText"/>
        <w:rPr/>
      </w:pPr>
      <w:r>
        <w:rPr>
          <w:rFonts w:ascii="Amiri" w:hAnsi="Amiri" w:eastAsia="Amiri" w:cs="Amiri"/>
          <w:color w:val="111111"/>
          <w:sz w:val="28"/>
          <w:sz w:val="28"/>
          <w:szCs w:val="28"/>
          <w:rtl w:val="true"/>
          <w:lang w:bidi="ar-SA"/>
        </w:rPr>
        <w:t xml:space="preserve">والحق هو هذا الأخير ؛ لأنّه لا دليل على حجّية قول العادل الواحد في الموضوعات ، بل ظاهر رواية مسعدة خلافه وأنّه على ذلك حتّى تقوم عليه البينة </w:t>
      </w:r>
      <w:r>
        <w:rPr>
          <w:rStyle w:val="FootnoteAnchor"/>
          <w:rtl w:val="true"/>
        </w:rPr>
        <w:footnoteReference w:id="306"/>
      </w:r>
      <w:r>
        <w:rPr>
          <w:rFonts w:ascii="Amiri" w:hAnsi="Amiri" w:eastAsia="Amiri" w:cs="Amiri"/>
          <w:color w:val="111111"/>
          <w:sz w:val="28"/>
          <w:sz w:val="28"/>
          <w:szCs w:val="28"/>
          <w:rtl w:val="true"/>
          <w:lang w:bidi="ar-SA"/>
        </w:rPr>
        <w:t>وإذا كان العادل الواحد لا يقبل فغير العادل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بقبول إقراره وسماعه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النائب مالك لأنّ يفعل ما أنيب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أي قبول قوله عند الوثوق والاطمئنان فلأنّ ذلك طريقة العقلاء في باب الأولياء والوكلاء والنواب في الأمور التي بيدهم وأودعت تحت تصرّفهم ، فالناس يصدّقونهم في تلك الأمور ، ولا يطلبون منهم البيّنة إذا كانوا موثوقين ومورد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الشارع أمضى هذه الطريقة ولو بعدم الردع</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5519260_2142443653"/>
      <w:bookmarkStart w:id="296" w:name="_Toc96"/>
      <w:bookmarkEnd w:id="295"/>
      <w:r>
        <w:rPr>
          <w:rtl w:val="true"/>
        </w:rPr>
        <w:t xml:space="preserve">المبحث السابع </w:t>
      </w:r>
      <w:r>
        <w:rPr>
          <w:rtl w:val="true"/>
        </w:rPr>
        <w:t xml:space="preserve">: </w:t>
      </w:r>
      <w:r>
        <w:rPr>
          <w:rtl w:val="true"/>
        </w:rPr>
        <w:t>في أنّها أصل أو أمارة</w:t>
      </w:r>
      <w:bookmarkEnd w:id="29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إن كانت أمارة فبناء على ما تقدّم بأنّ جعل حجّية الأمارات من باب تتميم الكشف ، فتكون مثبتة لجميع الآثار التي لذلك الفعل الذي تجري فيه أصالة </w:t>
      </w:r>
    </w:p>
    <w:p>
      <w:pPr>
        <w:pStyle w:val="BookText"/>
        <w:rPr/>
      </w:pPr>
      <w:r>
        <w:rPr>
          <w:rFonts w:ascii="Amiri" w:hAnsi="Amiri" w:eastAsia="Amiri" w:cs="Amiri"/>
          <w:color w:val="111111"/>
          <w:sz w:val="28"/>
          <w:sz w:val="28"/>
          <w:szCs w:val="28"/>
          <w:rtl w:val="true"/>
          <w:lang w:bidi="ar-SA"/>
        </w:rPr>
        <w:t>الصحّة إذا كان صحيحا واقعا ، سواء أكانت تلك الآثار آثارا شرعيّة ، أو كانت من اللوازم العقليّة التي لها آثار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أصلا عمليّا سواء قلنا بأنّه من الأصول المحرزة أم لا ، بل كانت من الأصول غير المحرزة ، فلا يثبت بها إلاّ الآثار الشرعيّة التي تكون لذلك الفعل ، بلا واسطة أثر عقلي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ليس من مختصّات أصالة الصحّة ، بل يجري في كلّ أصل وأمارة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مثبتات الأمارات حجّة دون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أنّها أمارة ، أو أصل محرز ، أو أصل غير محرز فهذا راجع إلى النظر في مدرك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الإجماع ، فالقدر المتيقن من معقده هو ترتيب الآثار الشرعيّة التي للفعل الصحيح بلا واسطة لازمه العقلي ، سواء لم يكن لها واسطة أصلا ، أو كانت بواسطة الآثار الشرعيّة التي لذلك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هو بناء العقلاء كما اخترناه ، فإن كان بناؤهم على اعتبارها من جهة ظهور حال كلّ فاعل عاقل سواء كان مسلما أو غير مسلم في أنّه يفعل فعله وعمله صحيحا تاما ، لا ناقصا وفاسدا ، فإن قلنا إنّ بنائهم من جهة تتميمهم الكشف الناقص الموجود في ظهور حالهم ، فتكون أمارة وتكون مثبتاتها أيضا حجّة شأن كلّ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بنائهم ليس من جهة تتميم الكشف ، بل يعملون طبق ذلك الظهور من دون أن يرونه طريقا وكاشفا تامّا في عالم اعتبارهم ، ولكن يعملون طبق ذلك الظهور عمل المتيقّن ، فيكون أصلا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عملهم طبق ذلك الظهور من دون بنائهم أنّه عمل المتيقّن ، فيكون أصلا غير محرز</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من بنائهم هو الاحتمال الثاني ، فتكون من الأصول المحرزة ، وعلى كلّ حال ليس بناؤهم على ترتيب آثار الصحّة على فعل الغير من جهة كونه طريقا </w:t>
      </w:r>
    </w:p>
    <w:p>
      <w:pPr>
        <w:pStyle w:val="BookText"/>
        <w:rPr/>
      </w:pPr>
      <w:r>
        <w:rPr>
          <w:rFonts w:ascii="Amiri" w:hAnsi="Amiri" w:eastAsia="Amiri" w:cs="Amiri"/>
          <w:color w:val="111111"/>
          <w:sz w:val="28"/>
          <w:sz w:val="28"/>
          <w:szCs w:val="28"/>
          <w:rtl w:val="true"/>
          <w:lang w:bidi="ar-SA"/>
        </w:rPr>
        <w:t>وكاشفا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عدم حجّية مثبتاتها بين أن تكون أصلا محرزا أو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لا يثبت بأصالة الصحّة ما يلازم الفعل الصحيح عقلا ، بل يترتّب على ذلك الفعل الآثار الشرعيّة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الشيخ الأعظم الأنصاري قدس سره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عدم إثبات أصالة الصحّة اللوازم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شكّ في أنّ الشراء الصادر عن الغير كان بما لا يملك كالخمر والخنزير ، أو بعين من أعيان ماله ، فلا يحكم بخروج تلك العين من تركته ، بل يحكم بصحّة الشراء وعدم انتقال شي‌ء من تركته إلى البائع ؛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 بعين عبارته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والظاهر من هذا الكلام أنّ هذه المعاملة صحيحة بحكم أصالة الصحّة ، ولكن لازم الصحّة عقلا أن يكون الثمن عينا من أعيان ماله ، لا الشي‌ء الذي لا يملك كالخمر والخنزير ؛ لأنّ ما لا يملك ليس قابلا للنقل والانتقال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الثمن بين ما لا يملك كالخمر والخنزير وبين عين من أعيان ماله ، إذا انضم إلى صحّة المعاملة يكون لازم الصحّة عقلا هو أن يكون الثمن المردّد منطبقا على ما هو المملوك ، إذ كون غير المملوك ثمنا ينافي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أنّ هذا من اللوازم العقليّة للصحّة لا من الآثار الشرعيّة ، وقد عرفت أنّ هذا الأصل لا يثبت اللوازم العقليّة ، فلا يثبت أنّ الثمن هو ذلك الفرد المملوك ، أي عين من أعيان تركته ، فيحكم بصحّة الشراء بأصالة الصحّة ويعطي المبيع لورثة المشتري ، ولكن لا ينتقل شي‌ء من تركته إلى البائع ؛ لأصالة عدم الانتقال ، ولا علم إجمالي بانتقال شي‌ء من تركته إلى البائع لاحتمال أن يكون الثمن هو ما لا يملك ، وتكون المعاملة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احتمال بطلانها واقعا مع إجراء أصالة الصحّة ، بل مورد جريان أصالة الصحّة دائما هو مع احتمال البطلان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يجوز للوارث أو الورثة التصرّف في المبيع ومجموع التركة ، أو خصوص </w:t>
      </w:r>
    </w:p>
    <w:p>
      <w:pPr>
        <w:pStyle w:val="BookText"/>
        <w:rPr/>
      </w:pPr>
      <w:r>
        <w:rPr>
          <w:rFonts w:ascii="Amiri" w:hAnsi="Amiri" w:eastAsia="Amiri" w:cs="Amiri"/>
          <w:color w:val="111111"/>
          <w:sz w:val="28"/>
          <w:sz w:val="28"/>
          <w:szCs w:val="28"/>
          <w:rtl w:val="true"/>
          <w:lang w:bidi="ar-SA"/>
        </w:rPr>
        <w:t>تلك العين من أعيان ماله إذا كان طرف الترديد في الثمن المسمّى عينا معيّنا ؛ وذلك من جهة العلم الإجمالي إمّا بعدم دخول المبيع في ملك مورّثهم لو كان الثمن المسمّى ما لا يملك ، وإمّا بخروج تلك العين الشخصيّة أو مقدار ما يساوي المبيع من التركة عن ملك مورّثهم ، فيجب الاحتياط بمقتضى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لزوم هذا الاحتياط الفقيه الهمداني قدس سره في حاشيته على رسائل شيخنا الأعظم الأنصاري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شيخنا الأستاذ </w:t>
      </w:r>
      <w:r>
        <w:rPr>
          <w:rStyle w:val="FootnoteAnchor"/>
          <w:rtl w:val="true"/>
        </w:rPr>
        <w:footnoteReference w:id="308"/>
      </w:r>
      <w:r>
        <w:rPr>
          <w:rFonts w:ascii="Amiri" w:hAnsi="Amiri" w:eastAsia="Amiri" w:cs="Amiri"/>
          <w:color w:val="111111"/>
          <w:sz w:val="28"/>
          <w:sz w:val="28"/>
          <w:szCs w:val="28"/>
          <w:rtl w:val="true"/>
          <w:lang w:bidi="ar-SA"/>
        </w:rPr>
        <w:t>قدس سره على ما أفاده الشيخ الأعظم الأنصاري ، من الجمع بين صحّة الشراء وانتقال المبيع إلى المشتري المفروض ، وبين عدم انتقال شي‌ء من تركته إلى البائع ، بأنّه إن كان الثمن المردّة بين ما لا يملك كالخمر والخنزير وبين عين من أعيان ماله ، كان في حاقّ الواقع هو ما لا يملك ، فلا يدخل المبيع في ملك المشتري ؛ لأنّه يلزم أن يكون انتقال المبيع بلا ثمن ، وهذا ينافي مع حقيقة البيع ؛ لأنّ حقيقة البيع هي المبادلة بين المالين فلا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ذلك المال الذي عيّنه وسمّاه ، فهذا مناف مع عدم انتقال شي‌ء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 أنّ صحّة الشراء مع عدم انتقال شي‌ء من تركته إلى البائع متنافيان ، فيعلم إجمالا بكذب أحد الأصلين ، إمّا أصالة الصحّة ، وإمّا أصالة عدم الانتقال ، فيتساقطان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قدس سره حكم ببطلان هذا الشراء وهذه المعاملة للشكّ في قابليّة الثمن للنقل والانتقال ؛ وذلك بناء على مبناه من أنّ أصالة الصحّة لا ترفع الشكّ الذي في جانب العوضين أو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بأنّه وإن كان كذلك بالنسبة إلى الصحّة الواقعيّة وانتقال المبيع واقعا إلى المشتري وعدم انتقال شي‌ء من تركته إلى البائع واقعا فإنّهما متنافيان ، ولكن </w:t>
      </w:r>
      <w:bookmarkStart w:id="297" w:name="pg15902_182489"/>
    </w:p>
    <w:p>
      <w:pPr>
        <w:pStyle w:val="BookText"/>
        <w:rPr/>
      </w:pPr>
      <w:bookmarkEnd w:id="297"/>
      <w:r>
        <w:rPr>
          <w:rFonts w:ascii="Amiri" w:hAnsi="Amiri" w:eastAsia="Amiri" w:cs="Amiri"/>
          <w:color w:val="111111"/>
          <w:sz w:val="28"/>
          <w:sz w:val="28"/>
          <w:szCs w:val="28"/>
          <w:rtl w:val="true"/>
          <w:lang w:bidi="ar-SA"/>
        </w:rPr>
        <w:t xml:space="preserve">ليس كذلك بالنسبة إلى الصحّة الظاهريّة وعدم الانتقال ظاهرا ؛ لأنّه من الممكن عدم الصحّة واقعا ولكن الشارع حكم بالصحّة ظاهرا في ظرف الشكّ ، فحينئذ مع هذا الحكم الظاهري بالصحّة في المفروض لم ينتقل شي‌ء من تركته إلى البائع قطعا وكذلك في صورة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حكم الشارع ظاهرا بعدم انتقال شي‌ء من تركته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صحّة المعاملة واقعا ؛ لأنّ عدم الانتقال الظاهري في ظرف الشكّ في الانتقال بحكم الاستصحاب لا ينافي الانتقال الواقعي ، فلا تنافي بين الظاهريين منهما كما في المقام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نظيره كثيرا في مفاد الأصول والأحكام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نفس المشتري إذا كان حيّا أو ورثته ، إذا كان ميتا ليس لهم التصرّف في المبيع ، وذلك الذي كان طرف ترديد الثمن من أمواله للعلم الإجمالي المذكور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شي‌ء آخر لا ربط له بما ذكره الشيخ الأعظم الأنصاري وأفاده ، ولعلّ عدم ذكره من جهة وضوحه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5519262_2142443653"/>
      <w:bookmarkStart w:id="299" w:name="_Toc97"/>
      <w:bookmarkEnd w:id="298"/>
      <w:r>
        <w:rPr>
          <w:rtl w:val="true"/>
        </w:rPr>
        <w:t xml:space="preserve">المبحث الثامن </w:t>
      </w:r>
      <w:r>
        <w:rPr>
          <w:rtl w:val="true"/>
        </w:rPr>
        <w:t xml:space="preserve">: </w:t>
      </w:r>
      <w:r>
        <w:rPr>
          <w:rtl w:val="true"/>
        </w:rPr>
        <w:t>في تقديم أصالة الصحّة على الاستصحابات الموضوعيّة أو تقديمها على أصالة الصحّة</w:t>
      </w:r>
      <w:bookmarkEnd w:id="29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 من جريان أصالة الصحّة في شرائط العقد ، والعوضين ، والمتعاقدين عند الشكّ في وجودها فتكون حاكمة على الأصول الموضوعيّة العدميّة ولو كان من شروط العوضين أو المتعاقدين بناء على كونها أمارة ؛ وذلك من جهة كشفها عن وجود تلك الشرائط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للاستصحابات أصلا في عالم الاعتبار التشريعي ، وهذا 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أماريّتها الأمر في غاية الوضوح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نحن أنكرنا أماريّتها وبنينا على أنّها من الأصول المحرزة ، فلا يمكننا القول بتقديمها على الاستصحابات العدميّة من جهة حكومة الأمارات على الأصول ، ولا بدّ من القول بوقوع التعارض ؛ لأنّ كليهما من الأصول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يمكن أن يقال أنّ مدرك حجيّة أصالة الصحّة إمّا الإجماع كما يقول به شيخنا الأستاذ قدس سره </w:t>
      </w:r>
      <w:r>
        <w:rPr>
          <w:rStyle w:val="FootnoteAnchor"/>
          <w:rtl w:val="true"/>
        </w:rPr>
        <w:footnoteReference w:id="309"/>
      </w:r>
      <w:r>
        <w:rPr>
          <w:rFonts w:ascii="Amiri" w:hAnsi="Amiri" w:eastAsia="Amiri" w:cs="Amiri"/>
          <w:color w:val="111111"/>
          <w:sz w:val="28"/>
          <w:sz w:val="28"/>
          <w:szCs w:val="28"/>
          <w:rtl w:val="true"/>
          <w:lang w:bidi="ar-SA"/>
        </w:rPr>
        <w:t>وإمّا بناء العقلاء وسيرتهم من كافّة الأمم ، سواء كانوا مسلمين أو لم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فلا بدّ وأن ينظر في الإجماع ، وأنّه هل لمعقده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موارد الاستصحابات الموضوعيّة العدميّة في غير الشرائط التي دخيلة في تحقّق عنوان المعاملة عرفا ، إذ في الشكّ فيها لا مجال لجريان أصالة الصحّة كما تقدّم بيان ذلك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 كان لمعقده إطلاق يشمل تلك الموارد ، فأيضا لا يبقى للاستصحابات الموضوعيّة مجال ؛ إذ إطلاق معقد الإجماع مثل الإطلاق الدليل اللفظي حاكم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المدرك لحجيّة أصالة الصحّة هو بناء العقلاء وسيرتهم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تقدّمها على تلك الاستصحابات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العقلاء إذا قامت على شي‌ء فعدم ردع الشارع كاف في الإمضاء فحينئذ لا بدّ من أن ننظر إلى دليل الاستصحاب وأنّه هل صالح لأن يردع هذه السيرة أم 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الاستصحاب وظيفة علميّة مجعولة للشاكّ المتحيّر ، فإذا قامت سيرة العقلاء في مورد الشكّ في صحّة معاملة إذا كان منشأ الشكّ فقد شرط أو وجود مانع لا دخل لها في تحقّق عنوان المعاملة عرفا ، سواء كانت من شرائط العقد ، أو من شرائط العوضين ، أو من شرائط المتعاقدين فلا يرى نفسه متحيّرا شاكّا ، بمعنى </w:t>
      </w:r>
    </w:p>
    <w:p>
      <w:pPr>
        <w:pStyle w:val="BookText"/>
        <w:rPr/>
      </w:pPr>
      <w:r>
        <w:rPr>
          <w:rFonts w:ascii="Amiri" w:hAnsi="Amiri" w:eastAsia="Amiri" w:cs="Amiri"/>
          <w:color w:val="111111"/>
          <w:sz w:val="28"/>
          <w:sz w:val="28"/>
          <w:szCs w:val="28"/>
          <w:rtl w:val="true"/>
          <w:lang w:bidi="ar-SA"/>
        </w:rPr>
        <w:t xml:space="preserve">أنّه لا يلتفت إلى كونه شاكّا ، وإن كان لو التفت إلى حاله يكون شاكّا ، ولكن لا يتحيّر فلا يرى نفسه موضوعا 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رادعا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تتوهّم من هذا أماريّة أصالة الصحّة ، وهو خلاف المفروض ، لأنّ فرضنا الآن على تقدير الأصليّة وأنّها أصل محرز ، وإلاّ فعلى تقدير الأماريّة بيّنّا حكومتها على الاستصحابات الموضوعيّة ، شأن حكومة كلّ أمارة على كلّ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جهة أنّ معنى الأمارة الشرعيّة أن يجعلها الشارع في عالم اعتباره التشريعي كاشفا تامّا ، ونحن ما ادّعينا مثل ذلك لها ، وإنّما قلنا أنّ بناء العقلاء على العلم على طبق المعاملة الصحيحة التامّة الواجدة لجميع الأجزاء والشرائط ، وهذا المعنى لا يلازم جعلها كاشفا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أنّه ما من مورد يشكّ في صحّة معاملة من أقسام المعاملات من العقود والإيقاعات ، إلاّ وأن يكون بالنسبة إلى بعض شرائط المتعاقدين أو العوضين مجرى استصحابات العدميّة ، فلو كانت تلك الاستصحابات مقدّمة على هذا الأصل لا يبقى مورد له أصلا ، أو كان مورده في غاية القلّة بحيث يكون مثل هذا التشريع لغوا ، بل يوجب سقوط هذا الأصل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باب تقديم تلك الاستصحابات ، أو من باب سقوطه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النظام أيضا ، فلا بدّ من تقديمه على تلك الاستصحابات ، سواء قلنا بأنّه أصل أو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الأصل أخصّ بحسب المورد عن الاستصحاب ، فيكون مخصّصا لدليل الاستصحاب ، كما هو الشأن في مورد الخاصّ والعامّ المختلفين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مباحث أصالة الصحّة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الشيخ الأعظم الأنصاري قدس سره ذكر أصالة الصحّة في الأقوال والاعتقادات ، وذكر للأوّل صورا وقال في بعضها بجريان أصالة الصحّة فيها ، وفي بعضها الآخر أنكر </w:t>
      </w:r>
    </w:p>
    <w:p>
      <w:pPr>
        <w:pStyle w:val="BookText"/>
        <w:rPr/>
      </w:pPr>
      <w:r>
        <w:rPr>
          <w:rFonts w:ascii="Amiri" w:hAnsi="Amiri" w:eastAsia="Amiri" w:cs="Amiri"/>
          <w:color w:val="111111"/>
          <w:sz w:val="28"/>
          <w:sz w:val="28"/>
          <w:szCs w:val="28"/>
          <w:rtl w:val="true"/>
          <w:lang w:bidi="ar-SA"/>
        </w:rPr>
        <w:t>جريانها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ولكن جملة من الصور التي ذكرها لا ربط لها بأصالة الصحّة ، بل يكون مرجعها إلى أصالة الظهور الكاشف عن مراد المتكلّم ، أو الأصول التي تستعمل لتشخيص الظاهر عن غيره ، كأصالة الحقيقة ، وأصالة العموم ، وأصالة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الأقوال من حيث أنّها فعل من أفعال المكلّفين ، فإذا كان لصحيحها أثر شرعي فتجري فيها أصالة الصحّة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مثل القراءة في الصلاة ، فإذا شكّ في أنّه أتى بها صحيحة أو فاسدة من جهة النقص في مادّتها من حيث مخارج الحروف ، أو نقيصة بعض حروف الكلمة ، أو من جهة النقص في إعرابه فتجري فيها أصالة الصحّة ويترتب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أراد معناه الحقيقي ، أو المجازي ، أو ما أراد معنى أصلا ، أو ما أخبر به مطابق مع الواقع وصدق فيما أخبر أو كذب وأمثال ذلك ، فكلّ ذلك لا ربط له بأصالة الصحّة ، بل يرجع إمّا إلى أصالة الظهور ، أو إلى الأصول التي تستعمل لتشخيص الظاهر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إنّه صادق أو كاذب فيرجع إلى أدّلة حجّية الخبر الواحد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أصالة الصحّة في 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من الاعتقادات العقائد في أصول الدين التي يجب العلم بها ومعرفتها ، فالشكّ في اعتقادها وأنّه هل اعتقاده صحيح أو فاسد ، مثلا إذا شكّ في اعتقاده باللّه وأنّه واحد أحد لا شريك له ولا تركيب فيه ، لا ، من الأجزاء الخارجيّة ولا من الأجزاء العقلية ، وأنّ صفاته عين ذاته ، وأنّه واجب الوجود بالذات ، وأنّه تعالى مجمع الكمالات وينبوع الفضائل ، وأنّ محمّدا صلی اللّه علیه و آله أشرف الخلائق أجمعين وخاتم الأنبياء والمرسلين ، وأنّ الناس يحشرون بأجسامهم وأبدانهم الموجودة في دار الدنيا ، وأنّ عليّ بن أبي طالب علیه السلام أمير المؤمنين ، وأولاده المعصومين أئمّة هداة مهديّون وحجج اللّه تعالى على الخلق أجمعين ، أو لا ، بل </w:t>
      </w:r>
    </w:p>
    <w:p>
      <w:pPr>
        <w:pStyle w:val="BookText"/>
        <w:rPr/>
      </w:pPr>
      <w:r>
        <w:rPr>
          <w:rFonts w:ascii="Amiri" w:hAnsi="Amiri" w:eastAsia="Amiri" w:cs="Amiri"/>
          <w:color w:val="111111"/>
          <w:sz w:val="28"/>
          <w:sz w:val="28"/>
          <w:szCs w:val="28"/>
          <w:rtl w:val="true"/>
          <w:lang w:bidi="ar-SA"/>
        </w:rPr>
        <w:t>لا يعترف بشي‌ء من المذكورات أو ببعضها ، وفرضنا لاعتقاده الصحيح أثر شرعي يجب ترتيبه عليه ، فإن أظهر ذلك الاعتقاد باللسان أو بدالّ آخر يكون ذلك الظاهر حجّة له ، أو عليه ، ولا ربط له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يظهر أو كان غائبا أو ميّتا ولكن لاعتقاده الصحيح أثر شرعا ولو بعد مماته ، وحصل هذا الشكّ فهل يحمل على الصحّة أم لا؟</w:t>
      </w:r>
    </w:p>
    <w:p>
      <w:pPr>
        <w:pStyle w:val="BookText"/>
        <w:rPr/>
      </w:pPr>
      <w:r>
        <w:rPr>
          <w:rFonts w:ascii="Amiri" w:hAnsi="Amiri" w:eastAsia="Amiri" w:cs="Amiri"/>
          <w:color w:val="111111"/>
          <w:sz w:val="28"/>
          <w:sz w:val="28"/>
          <w:szCs w:val="28"/>
          <w:rtl w:val="true"/>
          <w:lang w:bidi="ar-SA"/>
        </w:rPr>
        <w:t>والظاهر أنّه يحمل على الصحّة إذا علم أو ثبت بحجّة شرعيّة أنّه منتحل للإسلام وسيرة المسلمين قائمة على صحّة اعتقاد من يدّعي ويظهر الإسلام حتّى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من الاعتقاد ، الاعتقاد في الفروع وأحكام الفقهيّة ، بمعنى رأي الفقيه واعتقاده مثلا بوجوب شي‌ء أو حرمته حيث أنّ لاعتقاده ورأيه إذا كان عن منشأ صحيح أثر بالنسبة إلى مقلّديه ، فإذا شكّ في أنّ هذا الرأي هل هو عن استنباط صحيح أم لا ، بل لم يؤدّ وظيفة الاستنباط كاملا بل تساهل وتسامح ، فالظاهر هو الحمل على الصحّة ، وعليه بناء عامّة المقلّدين في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الحقيقة إجراء أصالة الصحّة في الاستنباط ، لا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إثبات أنّ هذا الرأي والاعتقاد مطابق للواقع بأصالة الصحّة بالمعنى المذكور ؛ لأنّ الاستنباط ولو كان عن مدرك صحيح موافق للقواعد المقرّرة الفقهيّة والأصولية وكان في كمال الدقّة ، ومع ذلك كلّه قد يخطئ وقد يصيب ، فكون الاستنباط عن مدرك صحيح لا يلزم دوام الإصابة ، فلا يمكن الحكم بالإصابة ومطابقة هذا الرأي للواقع بإجراء أصالة الصحّة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أصالة الصحّة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5902_182495"/>
      <w:bookmarkStart w:id="301" w:name="pg15902_182495"/>
      <w:bookmarkEnd w:id="301"/>
    </w:p>
    <w:p>
      <w:pPr>
        <w:pStyle w:val="Heading2"/>
        <w:numPr>
          <w:ilvl w:val="1"/>
          <w:numId w:val="1"/>
        </w:numPr>
        <w:rPr/>
      </w:pPr>
      <w:bookmarkStart w:id="302" w:name="pg15902_182495"/>
      <w:bookmarkStart w:id="303" w:name="__RefHeading___Toc15519264_2142443653"/>
      <w:bookmarkStart w:id="304" w:name="_Toc98"/>
      <w:bookmarkEnd w:id="302"/>
      <w:bookmarkEnd w:id="303"/>
      <w:r>
        <w:rPr/>
        <w:t>12</w:t>
      </w:r>
      <w:r>
        <w:rPr>
          <w:rtl w:val="true"/>
        </w:rPr>
        <w:t xml:space="preserve"> - </w:t>
      </w:r>
      <w:r>
        <w:rPr>
          <w:rtl w:val="true"/>
        </w:rPr>
        <w:t>قاعدتي الفراغ والتجاوز</w:t>
      </w:r>
      <w:bookmarkEnd w:id="30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15519266_2142443653"/>
      <w:bookmarkStart w:id="306" w:name="_Toc99"/>
      <w:bookmarkEnd w:id="305"/>
      <w:r>
        <w:rPr>
          <w:rtl w:val="true"/>
        </w:rPr>
        <w:t>اشارة</w:t>
      </w:r>
      <w:bookmarkEnd w:id="30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5902_182497"/>
      <w:bookmarkStart w:id="308" w:name="pg15902_182497"/>
      <w:bookmarkEnd w:id="308"/>
    </w:p>
    <w:p>
      <w:pPr>
        <w:pStyle w:val="BookText"/>
        <w:rPr/>
      </w:pPr>
      <w:bookmarkStart w:id="309" w:name="pg15902_182497"/>
      <w:bookmarkEnd w:id="309"/>
      <w:r>
        <w:rPr>
          <w:rFonts w:ascii="IRNazanin" w:hAnsi="IRNazanin" w:eastAsia="IRNazanin"/>
          <w:color w:val="111111"/>
          <w:sz w:val="28"/>
          <w:sz w:val="28"/>
          <w:szCs w:val="28"/>
          <w:rtl w:val="true"/>
          <w:lang w:bidi="fa-IR"/>
        </w:rPr>
        <w:t xml:space="preserve">فراغ والتجاوز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ومن جملة القواعد الفقهيّة المشهورة قاعدتي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5519268_2142443653"/>
      <w:bookmarkStart w:id="311" w:name="_Toc100"/>
      <w:bookmarkEnd w:id="310"/>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أنّهما هل من الأصول التنزيليّة أو من الأمارات؟</w:t>
      </w:r>
      <w:bookmarkEnd w:id="311"/>
    </w:p>
    <w:p>
      <w:pPr>
        <w:pStyle w:val="BookText"/>
        <w:rPr/>
      </w:pPr>
      <w:r>
        <w:rPr>
          <w:rFonts w:ascii="Amiri" w:hAnsi="Amiri" w:eastAsia="Amiri" w:cs="Amiri"/>
          <w:color w:val="111111"/>
          <w:sz w:val="28"/>
          <w:sz w:val="28"/>
          <w:szCs w:val="28"/>
          <w:rtl w:val="true"/>
          <w:lang w:bidi="ar-SA"/>
        </w:rPr>
        <w:t>وأمّا احتمال أن يكونا من الأصول غير التنزيليّة فبعيد لا ينبغي المصير إليه والبحث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مرارا أنّ المناط في الأماريّة بناء على ما هو التحقيق في وجه حجيّتها هو تتميم كشفها في عالم الاعتبار التشريعي بعد ما كان فيها كشف ناقص ، فالشارع في عالم الاعتبار التشريعي يعتني بذلك الكشف الناقص التكويني ، ويحسبه ويعتبره كشفا تامّا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فأماريّة الأمارة متوقّفة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فيه جهة كشف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إلغاء الشارع تلك الجهة ، بل اعتنائه بها واعتبارها كشفا تامّا وإن لم يكن تامّا بحسب التكوين ، بل احتمال الخلاف فيه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في مورد هاتين القاعدتين يكون لهما نحو كشف وطريقيّة ، لوجود العمل التام الصحيح بعد الفراغ في مورد قاعدة الفراغ ، ووجود الجزء المشكوك بعد تجاوز محلّه في قاعدة التجاوز ؛ وذلك لأنّ الإنسان إذا أراد إيجاد عمل مركّب في الخارج فإرادته تتعلّق بإيجاد تمام أجزائه وشرائطه ، كلّ في محلّه إن كان له محلّ ، وترك جميع موانعه ، وإلاّ ليس في مقام الامتثال ،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العمل يصدر منه طبق تلك الإرادة ، وكما أنّه بعيد غاية البعد أن يريد إيجاد شي‌ء ويوجد شيئا مباينا لما أراد ، كذلك لا يخلو من البعد أن يريد إيجاد مجموع الأجزاء والشرائط وترك جميع الموانع ، ثمَّ يأتي ببعضها بالنسبة إلى الأجزاء والشرائط ، ويترك بعضها بالنسبة إلى الموانع ولو غفلة ونسيانا ؛ لأنّ الغفلة والنسيان حالتان قد تعرض على الإنسان في بعض الأحيان بالنسبة إلى بعض الأعمال ، فهاتان الحالتان ليستا دائميّتين ولا غالبيّتين ، ولذلك بناء العقلاء على أصالة عدم الغفلة والنسيان عند الشكّ فيهما ، وذلك من جهة أنّ الغفلة والنسيان خروج عن مقتضى الطبع الأوّلي وإن قيل بأنّ السهو والنسيان كالطبيعة الثانية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طبع الإرادة المتعلّقة بالمركّب إيجاده على طبقها ، ولا فرق في ذلك بين القول بأنّ الإرادة الكليّة المتعلّقة بالمركّب هي المحرّكة للعضلات نحو إيجاد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القول بتولّد إرادات جزئيّة من تلك الإرادة الكليّة وتعلّق كلّ واحدة منها بجزء من الأجزاء ، أو شرط من الشروط ، أو ترك مانع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الفرق أنّ وجود الأجزاء والشرائط وعدم الموانع بالآخرة مسبّب عن تلك الإرادة الكلّية ، غاية الأمر إمّا بلا واسطة أو مع الواسطة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ذلك وعرفت أنّ الجهة الأولى من الجهتين اللتين تتوقّف الأمارة عليهما موجود في مورد القاعدتين إلاّ وهو الكشف الناقص ، فلننظر في الجهة الثانية وهو أن </w:t>
      </w:r>
    </w:p>
    <w:p>
      <w:pPr>
        <w:pStyle w:val="BookText"/>
        <w:rPr/>
      </w:pPr>
      <w:r>
        <w:rPr>
          <w:rFonts w:ascii="Amiri" w:hAnsi="Amiri" w:eastAsia="Amiri" w:cs="Amiri"/>
          <w:color w:val="111111"/>
          <w:sz w:val="28"/>
          <w:sz w:val="28"/>
          <w:szCs w:val="28"/>
          <w:rtl w:val="true"/>
          <w:lang w:bidi="ar-SA"/>
        </w:rPr>
        <w:t>يكون الجعل الشرعي بلحاظ تلك الجهة وتتميم الكشف الناقص الموجود فيهما واعتباره كشفا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تعيين هذه الجهة وتشخيصهما من ملاحظة أدلّة حجيّتهما وأنّ أيّ شي‌ء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أدلّتهما مختلفة ، ففي بعضها حكم بأنّه يمضي ، وفي بعضها حكم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العبارات على اختلافها لا تدلّ على أكثر من الجري العملي ، ولا يمكن إثبات الأماريّة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أخبار الشكّ في أجزاء الوضوء بعد الفراغ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التعليل لعدم الإعادة هي الأماريّة ، وأنّ حجيّتها بلحاظ الكشف عن وجود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الأخبار ، وأمّا بناء على كون حجيّتهما من باب بناء العقلاء على صحّة المركّب الذي صدر منهم إذا شكّوا في إتيانه كاملا بعد الفراغ عنه ، أو إذا شكّوا في إتيان جزء بعد التجاوز عن محلّه إذا كان للجزء محلّ ، فتكون القاعدتان من الأمارات يقينا ، وعلى كلّ حال تكونان مقدّما على الاستصحاب إمّا من باب الحكومة لو كانا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وجه حكومة الأمارات على الأصول وإن كانت الأصول 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كونهما من الأصول التنزيليّة ، فتقديمها على الاستصحاب من جهة كون جعلهما في مورد الاستصحاب غالبا ، فلو لم يقدّما عليه يلزم لغويّة جعلهما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في وجه تقديمهما عليه وإن كانا من الأصول التنزيليّة أيضا بحكومتهما عليه ، كما لو كانا أمارتين من جهة أنّ موضوع الاستصحاب هو الشكّ في البقاء بعد اليقين بالحدوث ، ومفاد القاعدتين هو البناء على عدم الاعتناء بالشكّ في بقاء العدم ، بل البناء العملي على انقلاب العدم بالوجود ، فيرتفع موضوع الاستصحاب تعبّدا ، </w:t>
      </w:r>
      <w:bookmarkStart w:id="312" w:name="pg15902_182500"/>
    </w:p>
    <w:p>
      <w:pPr>
        <w:pStyle w:val="BookText"/>
        <w:rPr/>
      </w:pPr>
      <w:bookmarkEnd w:id="312"/>
      <w:r>
        <w:rPr>
          <w:rFonts w:ascii="Amiri" w:hAnsi="Amiri" w:eastAsia="Amiri" w:cs="Amiri"/>
          <w:color w:val="111111"/>
          <w:sz w:val="28"/>
          <w:sz w:val="28"/>
          <w:szCs w:val="28"/>
          <w:rtl w:val="true"/>
          <w:lang w:bidi="ar-SA"/>
        </w:rPr>
        <w:t>وهذا معنى الحكومة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شككنا ولم نحرز أنّهما من الأمارات أو من الأصول ، فمقتضى القاعدة عدم ترتيب آثار الأمارة عليهما من ترتيب آثار الشرعيّة التي للوازمهما العقليّة عليها ؛ لأنّ مرجع هذا الشكّ هو الشكّ في إثبات اللوازم بهما ، وإلاّ بالنسبة إلى أصل المؤدّى فلا فرق بينهما ، أي سواء كانا من الأصول أو من الأمارات يثبت المؤدّى بهما ، ومعلوم أنّ نتيجة الشكّ في حجيّتهما في إثبات اللوازم عدم حجيّتهما كما هو الشأن في كلّ مشكوك الحجيّة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5519270_2142443653"/>
      <w:bookmarkStart w:id="314" w:name="_Toc101"/>
      <w:bookmarkEnd w:id="313"/>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w:t>
      </w:r>
      <w:r>
        <w:rPr>
          <w:rtl w:val="true"/>
        </w:rPr>
        <w:t>في أنّهما من القواعد الفقهيّة أو من المسائل الأصولية؟</w:t>
      </w:r>
      <w:bookmarkEnd w:id="314"/>
    </w:p>
    <w:p>
      <w:pPr>
        <w:pStyle w:val="BookText"/>
        <w:rPr/>
      </w:pPr>
      <w:r>
        <w:rPr>
          <w:rFonts w:ascii="Amiri" w:hAnsi="Amiri" w:eastAsia="Amiri" w:cs="Amiri"/>
          <w:color w:val="111111"/>
          <w:sz w:val="28"/>
          <w:sz w:val="28"/>
          <w:szCs w:val="28"/>
          <w:rtl w:val="true"/>
          <w:lang w:bidi="ar-SA"/>
        </w:rPr>
        <w:t>وقد ذكرنا مرارا أنّ الضابط في كون المسألة أصوليّة أن تكون واسطة في إثبات المحمولات الفقهيّة لموضوعاتها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 في ذلك أنّه لا شكّ في أنّ كلّ قضيّة ومسألة ليس ثبوت محمولها لموضوعها بديهيّا ومبيّنا في نفسه ، فالتصديق بثبوت ذلك المحمول لذلك الموضوع يحتاج إلى دليل ومثبت ، وذلك الدليل والمثبت هو الذي تسمّيه بالواسطة في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أغلب المسائل الفقهيّة نظريّة يحتاج إلى النظر والاجتهاد والاستنباط في عصر الغيبة ، بل وفي عصر حضور الإمام علیه السلام ، كما يظهر ذلك من أمرهم صلوات اللّه عليهم بعض أصحابهم في زمان حضورهم بالجلوس والإفتاء بين الناس</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فالمجتهد هو الذي يفتّش ويفحّص عن وجود الدليل على ثبوت محمول المسألة الفقهيّة لموضوعها ، والعلم المتكفّل لتعيين تلك الأدلّة هو علم الأصول ، فكل قاعدة ومسألة تقع نتيجة البحث عنها واسطة لإثبات محمول مسألة فقهيّة لموضوعها يكون من المسائل الأصولية ؛ لأنّه لا همّ ولا غرض للأصولي إلاّ معرفة المبادي التصديقيّة </w:t>
      </w:r>
    </w:p>
    <w:p>
      <w:pPr>
        <w:pStyle w:val="BookText"/>
        <w:rPr/>
      </w:pPr>
      <w:r>
        <w:rPr>
          <w:rFonts w:ascii="Amiri" w:hAnsi="Amiri" w:eastAsia="Amiri" w:cs="Amiri"/>
          <w:color w:val="111111"/>
          <w:sz w:val="28"/>
          <w:sz w:val="28"/>
          <w:szCs w:val="28"/>
          <w:rtl w:val="true"/>
          <w:lang w:bidi="ar-SA"/>
        </w:rPr>
        <w:t xml:space="preserve">للمسائل الفقهيّة والأدلّة لها ، ولأجل هذا الغرض وهذه النتيجة ألّفوا على الأصول ، ولذا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العلم بالقواعد التي تقع كبرى في قياس يستنتج منه الحكم الشرعي الفرعي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قاعدة الفراغ والتجاوز ليس إلاّ الحكم بصحّة العمل الذي فرغ منه ، وشكّ في أنّه هل أخلّ بذلك العمل المأمور به بترك جزء ، أو شرط ، أو إتيان مانع في قاعدة الفراغ ؛ وأيضا ليس إلاّ الحكم بإتيان جزء أو شرط إذا شكّ في إتيانه بعد تجاوز محلّه إذا عيّن له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المعنى الذي هو مفاد القاعدتين بنفسه حكم شرعي فرعي كلّي ينطبق على مواردها انطباق جميع الأحكام الشرعيّة الفرعيّة على مواردها ، وليس واسطة لإثبات حكم شرعي فرعي كلّي آخر ؛ فليست من المسائل الأصوليّة بل هما قاعدتان فقهيّتان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ما الفرق بين المسألة الفقهيّة وقاعدتها؟ ولما ذا سمّيتهما بالقاعدة الفقهيّة دون مسألتها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صرف اصطلاح ، وإلاّ فليس ها هنا فرقا جوهريّا نعم جرى اصطلاحهم على تسمية المسائل العامّة التي تحتها مسائل ، وتنطبق على أبواب متعدّدة كمسألتينا ، هاتين حيث أنّهما تنطبقان على كلّ عمل شكّ في وقوع الخلل فيه وصحّته بعد الفراغ في قاعدة الفراغ ، وفي وجود أيّ جزء أو شرط شكّ في وجوده بعد التجاوز عن محلّه في قاعدة التجاوز في أيّ باب من أبواب الفقه ، بناء على عدم اختصاص قاعدة التجاوز بالصلاة ، وإلاّ تكون منحصرة فيها بأبواب الصلاة من أجزائها وشرائطها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فقاعدة الفراغ تجري في جميع أبواب العبادات والمعاملات ، وقاعدة التجاوز أيضا كذلك ، بناء على عدم اختصاصها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الاختصاص سمّيت بالقاعدة </w:t>
      </w:r>
      <w:bookmarkStart w:id="315" w:name="pg15902_182502"/>
    </w:p>
    <w:p>
      <w:pPr>
        <w:pStyle w:val="BookText"/>
        <w:rPr/>
      </w:pPr>
      <w:bookmarkEnd w:id="315"/>
      <w:r>
        <w:rPr>
          <w:rFonts w:ascii="Amiri" w:hAnsi="Amiri" w:eastAsia="Amiri" w:cs="Amiri"/>
          <w:color w:val="111111"/>
          <w:sz w:val="28"/>
          <w:sz w:val="28"/>
          <w:szCs w:val="28"/>
          <w:rtl w:val="true"/>
          <w:lang w:bidi="ar-SA"/>
        </w:rPr>
        <w:t xml:space="preserve">لشمولها لجميع أبواب الصلاة من جميع أجزائها وشرائطها ، مثلا لو قال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المصلّي في القراءة بعد أن ركع فليمض في صلاته ولا يعتني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مسألة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وجود أيّ جزء أو شرط للصلاة بعد التجاوز عن محلّه فليمض في صلاته ولا يعتني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قاعدة فقهيّة ، وهذه هي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المسائل الفقهيّة وقواعدها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5519272_2142443653"/>
      <w:bookmarkStart w:id="317" w:name="_Toc102"/>
      <w:bookmarkEnd w:id="316"/>
      <w:r>
        <w:rPr>
          <w:rtl w:val="true"/>
        </w:rPr>
        <w:t xml:space="preserve">[ </w:t>
      </w:r>
      <w:r>
        <w:rPr>
          <w:rtl w:val="true"/>
        </w:rPr>
        <w:t xml:space="preserve">المبحث </w:t>
      </w:r>
      <w:r>
        <w:rPr>
          <w:rtl w:val="true"/>
        </w:rPr>
        <w:t xml:space="preserve">] </w:t>
      </w:r>
      <w:r>
        <w:rPr>
          <w:rtl w:val="true"/>
        </w:rPr>
        <w:t xml:space="preserve">الثالث </w:t>
      </w:r>
      <w:r>
        <w:rPr>
          <w:rtl w:val="true"/>
        </w:rPr>
        <w:t xml:space="preserve">: </w:t>
      </w:r>
      <w:r>
        <w:rPr>
          <w:rtl w:val="true"/>
        </w:rPr>
        <w:t>في أنّهما قاعدتين أو قاعدة واحدة؟</w:t>
      </w:r>
      <w:bookmarkEnd w:id="317"/>
    </w:p>
    <w:p>
      <w:pPr>
        <w:pStyle w:val="Heading4"/>
        <w:numPr>
          <w:ilvl w:val="3"/>
          <w:numId w:val="1"/>
        </w:numPr>
        <w:rPr/>
      </w:pPr>
      <w:bookmarkStart w:id="318" w:name="__RefHeading___Toc15519274_2142443653"/>
      <w:bookmarkStart w:id="319" w:name="_Toc103"/>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بمعنى أنّ الكبرى المجعول واحدة في كليهما ، أو الكبرى المجعول في إحديهما غير المجعول في الأخرى؟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مفاد كلّ واحدة منهما ومفهومه غير مفهوم الآخر ؛ لأنّ قاعدة الفراغ عبارة عن الحكم بصحّة الشي‌ء المشكوك صحّته وتماميّته بعد الفراغ عنه ومضيّه ، وقاعدة التجاوز عبارة عن حكم الشارع بوجود الشي‌ء الذي شكّ في وجوده بعد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إن شاء اللّه تعالى في أنّه ما المراد من المحلّ في بعض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أنّ مفهوميهما ومفاديهما مختلفان ، فيرجع البحث إلى أنّ المجعول من قبل الشارع هل هو كبرى واحد ، بحيث ينطبق على كلا المفهومين ويكون كلا المفادين المذكورين من مصاديق تلك الكبرى المجعول الجامع بين مضمون القاعدتين أم لا؟</w:t>
      </w:r>
    </w:p>
    <w:p>
      <w:pPr>
        <w:pStyle w:val="Heading4"/>
        <w:numPr>
          <w:ilvl w:val="3"/>
          <w:numId w:val="1"/>
        </w:numPr>
        <w:rPr/>
      </w:pPr>
      <w:bookmarkStart w:id="320" w:name="__RefHeading___Toc15519276_2142443653"/>
      <w:bookmarkStart w:id="321" w:name="_Toc104"/>
      <w:bookmarkEnd w:id="320"/>
      <w:r>
        <w:rPr>
          <w:rtl w:val="true"/>
        </w:rPr>
        <w:t>وهاهنا مقامان</w:t>
      </w:r>
      <w:bookmarkEnd w:id="32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 وأنّه هل يمكن في مقام التشريع جعل كبرى واحد تكون شاملة لكلتا القاعدتين وتنطبق على كلا المفادين ، أم لا يمكن؟ لعدم جامع بين </w:t>
      </w:r>
    </w:p>
    <w:p>
      <w:pPr>
        <w:pStyle w:val="BookText"/>
        <w:rPr/>
      </w:pPr>
      <w:r>
        <w:rPr>
          <w:rFonts w:ascii="Amiri" w:hAnsi="Amiri" w:eastAsia="Amiri" w:cs="Amiri"/>
          <w:color w:val="111111"/>
          <w:sz w:val="28"/>
          <w:sz w:val="28"/>
          <w:szCs w:val="28"/>
          <w:rtl w:val="true"/>
          <w:lang w:bidi="ar-SA"/>
        </w:rPr>
        <w:t>المفادين فلا يمكن جمعهما في استعمال واحد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 والاستظهار من الأدلّة ، وأنّه بعد الفراغ عن إمكان جعل كبرى واحدة تشملهما ، هل هناك في أدلّة الباب دليل يدلّ على مثل هذا الجعل أم لا؟</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يقول بعدم إمكان الجمع بينهما في جعل واحد ، يقول بأنّ الشكّ في قاعدة التجاوز متعلّق بأصل وجود الشي‌ء ، وفي قاعدة الفراغ بصحّة الموجود ، وأن الأوّل مفاد كان التامّة ، والثاني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والتعبّد بوجود الشي‌ء غير التعبّد بصحّة الموجود ؛ فلا يمكن الجمع بينهما في استعمال واحد ، إلاّ بناء على جواز استعمال اللفظ في أكثر من معنى واحد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في المقام القول بجواز استعمال اللفظ في أكثر من معنى واحد ؛ لأنّه على فرض الجواز أيضا يكون المجعول أمرين مختلفين ، وهو خلاف المفروض في المقام ؛ لأنّ المفروض والمدّعى في المقام أن يكون المجعول معنى واحد جامعا بين مفادي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التعبّد بوجود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الفراغ الذي هو التعبّد بصحّة الموجود ، أعني تماميّة ما أوجده من دون وقوع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فالمدّعى هو أنّ المجعول معنى واحد يكون مفاد كلتا القاعدتين ومضمونهما من ذلك المعنى الواحد ، فلو أمكن ذلك يكون من باب استعمال اللفظ في معنى واحد لا من باب استعماله في المتعدّد ، وإن لم يكن جعل ذلك المعنى الواحد الجامع بين المفادين فجواز استعمال اللفظ في المعاني المتعددة لا أثر 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أجاب شيخنا الأعظم الأنصاري قدس سره عن هذا الإشكال </w:t>
      </w:r>
      <w:r>
        <w:rPr>
          <w:rStyle w:val="FootnoteAnchor"/>
          <w:rtl w:val="true"/>
        </w:rPr>
        <w:footnoteReference w:id="312"/>
      </w:r>
      <w:r>
        <w:rPr>
          <w:rFonts w:ascii="Amiri" w:hAnsi="Amiri" w:eastAsia="Amiri" w:cs="Amiri"/>
          <w:color w:val="111111"/>
          <w:sz w:val="28"/>
          <w:sz w:val="28"/>
          <w:szCs w:val="28"/>
          <w:rtl w:val="true"/>
          <w:lang w:bidi="ar-SA"/>
        </w:rPr>
        <w:t xml:space="preserve">بإمكان إرجاع قاعدة الفراغ أيضا إلى مفاد كان التامّة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فيها أيضا يرجع إلى التعبّد بوجود الصحيح ، لا التعبّد بصحّة الموجود ، حتّى يكون مفاد كان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الصحّة قيدا للموضوع لا للمحمول كي يكون المحمول هو الوجود المطلق ، فيكون مفاد كان التامة ، بأن يقال عند الشكّ في صحّة العمل الذي فرغ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كان ذلك العمل أو حجّا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الصحيح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مفاد كون القضيّة مفاد كان التامّة أن يكون المحمول هو الوجود المطلق ، ولو لوحظ ألف قيد في جانب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ومناط كونها مفاد كان الناقصة هو أن يكون المحمول هو الوجود المقيّد ، سواء أكان الموضوع مطلقا أو مقيّدا ، فالإطلاق والتقييد في جانب المحمول هو المناط في كون القضيّة مفاد كان التامّة أو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الإطلاق والتقييد في جانب الموضوع فلا أثر لهما أصلا ، فبناء على ما ذكره قدس سره تكون الكبرى المجعولة معنى واحدا ، وهو التعبّد بوجود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شيخنا الأستاذ قدس 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التعبد بوجود الصحيح لا يثبت صحّة الموجود ، إلاّ بناء على القول بالأصل المثبت ، والأثر مترتّب على صحّة الموجود لا على وجود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سقوط الأمر والامتثال التعبّد بوجود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كفايته في العبادات لا يكفي في المعاملات ؛ لأنّ الأثر فيها مترتّب على كون هذه المعاملة الموجودة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كونها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 لا على وجود المعاملة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هاتين القاعدتين من الأمارات لا يبقى وجه لهذا الإشكال ؛ لأنّه حينئذ مثبتاتهما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التجاوز الواردة في الأخبار في قاعدة الفراغ ذات الشي‌ء ونفسه ، وفي قاعدة التجاوز محلّه ، ولا جامع بينهما</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يجاب عن هذا الإشكال بأنّ التجاوز عن الشي‌ء كما أنّه يصدق بالتجاوز عن نفسه وإتمامه والمضي عنه ، كذلك يصدق بالتجاوز عن محلّه الذي عيّن له </w:t>
      </w:r>
    </w:p>
    <w:p>
      <w:pPr>
        <w:pStyle w:val="BookText"/>
        <w:rPr/>
      </w:pP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شيخنا الأستاذ قدس سره عن هذا الإشكال بأنّ متعلّق التجاوز في قاعدة الفراغ أيضا محلّ الجزء المشكوك وجوده ، لأنّ الشكّ في صحّة العمل المركّب الذي صدر عنه بعد الفراغ عنه أيضا مسبّب عن وجود ذلك الجزء المشكوك الوجود في محلّه ، ومعلوم أنّ حصول هذا الشكّ المسبّبي إنّما يكون بعد التجاوز عن محلّ ذلك الجزء المشكوك الوجود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أنت خبير بأنّ هذا الكلام معناه إرجاع قاعدة الفراغ إلى قاعدة التجاوز ، بل إنكار قاعدة الفراغ بالمرّة ، مضافا إلى أنّه يلزم الاستخدام في ضمير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إذ المراد بناء على هذا الجواب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المركّب ، ومن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المشكوك الوجود ، وهذا هو الاستخدام وهو خلاف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ينتج صحّة المركّب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الشكّ في قاعدة التجاوز هو الجزء ، وفي قاعدة الفراغ هو الكلّ ، ولا جامع بين الجزء والكلّ في عالم اللحاظ ؛ لأنّ لحاظ الجزء شيئا بحيال ذاته لا يكون إلاّ في الرتبة السابقة على المركّب والكلّ ، لأنّ النسبة بين الأجزاء والكلّ نسبة العلّية والمعلوليّة ، وللأجزاء تقدّم على الكلّ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شيئيّة الأجزاء مندكّة في شيئيّة الكلّ ، ففي مرتبة لحاظ الكلّ شيئا لا يمكن لحاظ الجزء شيئا ؛ لأنّه لا شيئيّة له في تلك المرتبة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لحاظ شيئيّة الجزء وشيئيّة الكلّ في مرتبة واحدة ، ففي مرتبة لحاظ شيئيّة الجزء ليس كلّ في البين حتّى يلاحظ شيئيّته ، وفي مرتبة لحاظ شيئيّة الكلّ لا شيئيّة للجزء ؛ لأنّ شيئيّة الجزء في هذا اللحاظ مندكّة في شيئيّة الكلّ ، فالجمع بينهما في لحاظ واحد ممّا لا يمكن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ما لا يمكن الجمع بينهما في لحاظ واحد هو شيئيّة الجزء بعنوان أنّه جزء مع شيئيّة الكلّ بعنوان أنّه كلّ ، لا شيئيّة الجزء والكلّ بعنوان أنّهما موجودان وشيئان كسائر الأشياء ، فلا مانع من شمول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كما أنّه يشمل سائر الأشياء ، ولا يحتاج إلى شيئيّة الجزء والكلّ بعنوان أنّه جزء وكلّ ، حتّى يقال بأنّه لا يمكن اجتماعهما في 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موجودا في الخارج ، أو كان موجودا في الذهن ، أو كان موجودا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 لأنّ الشيئيّة مساوق للوجود يدور معه حيثما دار ، فالجزء والكلّ شي‌ء بعناية واحدة وهي أنّهما موجودان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لا يمكن هو لحاظ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بعنوانهما الخاصّ في لحاظ واحد ، واستعمال واحد ، من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فلا يبقى وجه لما تكلّفه شيخنا الأستاذ قدس سره في مقام 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مصداقيّة الجزء للشي‌ء بعناية التعبّد وتنزيل الشكّ في الجزء في خصوص باب الصلاة منزلة الشكّ في الكلّ ، ولذا لا تجري قاعدة التجاوز في غير باب الصلاة مطلقا ، ولا خصوصيّة للطهارات الثلاث حتّى يقال إنّ خروجها وتخصيصها بالإجماع والأخبار ؛ لأنّه بناء على هذا لا عموم للقاعدة ، فيكون خروج الطهارات الثلاث كغيرها من سائر المركّبات ما عدا الصلاة من باب التخصّص لا التخصيص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قدس سره في دفع هذا الإشكال هو أنّ الكبرى المجعولة هي عبارة عن </w:t>
      </w:r>
    </w:p>
    <w:p>
      <w:pPr>
        <w:pStyle w:val="BookText"/>
        <w:rPr/>
      </w:pPr>
      <w:r>
        <w:rPr>
          <w:rFonts w:ascii="Amiri" w:hAnsi="Amiri" w:eastAsia="Amiri" w:cs="Amiri"/>
          <w:color w:val="111111"/>
          <w:sz w:val="28"/>
          <w:sz w:val="28"/>
          <w:szCs w:val="28"/>
          <w:rtl w:val="true"/>
          <w:lang w:bidi="ar-SA"/>
        </w:rPr>
        <w:t>عدم الاعتناء بالشكّ في وجود الشي‌ء بعد التجاوز عنه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ولكن انطباق هذه الكبرى على الكلّ لا يحتاج إلى عناية أخرى لأن شيئيّة الكلّ وجدانيّة قطعيّة ، وأمّا انطباقها على الجزء لا يمكن إلاّ بعد عناية أخرى وهو تنزيل الجزء منزلة الكلّ في هذا الأثر ، كي يصير الجزء بواسطة هذا التنزيل فردا ومصداقا تعبديا لمفهوم الشي‌ء في تلك الكبرى المجعولة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هذا التعبّد والتنزيل وقع في الصلاة دون سائر المركّبات ، كما يدلّ عليه رواية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الأذان وقد دخل في الإقامة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الإقامة وقد كبّر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التكبير وقد قرأ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في القراءة وقد ركع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في الركوع وقد سجد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يمضي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إذا خرجت من شي‌ء ثمَّ دخلت في غيره فشكّك ليس بشي‌ء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فلذلك لا تجري هذه القاعدة إلاّ في الصلاة ، وسائر المركّبات خارجة عن عمومها تخصّصا لا تخصيصا ، ولا فرق في ذلك بين الطهارات الثلاث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أنّ معنى هذا الكلام هو إنكار قاعدة التجاوز والالتزام بجريان قاعدة الفراغ في خصوص أجزاء الصلاة لمكان ذلك التنزيل دون سائر المركبات ، فكأنّه جعلت أجزاء الصلاة بواسطة التنزيل المذكور كأنّه مركّب مستقلّ من المركّبات العباديّة ، ففي الحقيقة هو التزم بأنّه هناك قاعدة واحدة وهي قاعدة الفراغ ، ولكنّها لا تجري في الأجزاء إلاّ في أجزاء الصلاة بواسطة التنزيل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عدم تماميّة ما أفاد ويأباه الذوق السليم ، والسليقة المستقيمة تحكم بأنّ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 يشمل أجزاء الصلاة وغيرها </w:t>
      </w:r>
    </w:p>
    <w:p>
      <w:pPr>
        <w:pStyle w:val="BookText"/>
        <w:rPr/>
      </w:pPr>
      <w:r>
        <w:rPr>
          <w:rFonts w:ascii="Amiri" w:hAnsi="Amiri" w:eastAsia="Amiri" w:cs="Amiri"/>
          <w:color w:val="111111"/>
          <w:sz w:val="28"/>
          <w:sz w:val="28"/>
          <w:szCs w:val="28"/>
          <w:rtl w:val="true"/>
          <w:lang w:bidi="ar-SA"/>
        </w:rPr>
        <w:t>من المركّبات التي لأجزائها محلّ شرعي ، ويصدق بعد التجاوز عن ذلك المحلّ الشرعي إذا شكّ في إتيان ذلك الجزء أنّه شكّ بعد التجاوز عنه ؛ فتخصيصها بخصوص أجزاء الصلاة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بدّ وأن يكون عدم جريانها في أجزاء الطهارات الثلاث لجهة ، من إجماع أو غيره ، كما ادّعاه شيخنا الأعظم الأنصاري قدس سره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 بعد الفراغ عن إمكان جعل كبرى واحدة تشمل كلتا القاعدتين في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ذكر الأخبار الواردة في هذا الباب حتّى نرى ما ذا يستفاد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 وأنا ساجد ، فلا أدري ركعت أم لا؟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ركعت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 وتقدّم من رواية زرارة ونقلناها ، ومحلّ الشاهد ما في آخرها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إذا خرجت من شي‌ء ثمَّ دخلت في غيره فشكّك ليس بشي‌ء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شكّ في الركوع بعد ما سجد فليمض ، وإن شكّ في السجود بعد ما قام فليمض ، كلّ شي‌ء شكّ فيه مما قد جاوزه ودخل في غيره فليمضى عليه </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بكير عن محمّد بن مسلم عن أبي جعفر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w:t>
      </w:r>
    </w:p>
    <w:p>
      <w:pPr>
        <w:pStyle w:val="BookText"/>
        <w:rPr/>
      </w:pPr>
      <w:r>
        <w:rPr>
          <w:rFonts w:ascii="Amiri" w:hAnsi="Amiri" w:eastAsia="Amiri" w:cs="Amiri"/>
          <w:color w:val="111111"/>
          <w:sz w:val="28"/>
          <w:sz w:val="28"/>
          <w:szCs w:val="28"/>
          <w:rtl w:val="true"/>
          <w:lang w:bidi="ar-SA"/>
        </w:rPr>
        <w:t xml:space="preserve">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أبي يعفور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شككت في شي‌ء من الوضوء وقد دخلت في غيره فليس شكّك بشي‌ء ، إنّما الشكّ إذا كنت في شي‌ء لم تجزه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بكير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يشكّ بعد ما يتوضّأ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أذكر منه حين يشكّ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 نقلوها ليست بصراحة ما ذكرناها من حيث اشتمالها على الكبرى الكليّة ، وفيما ذكرناها غنى وكفاية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في الرواية الأولى ، أي 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خرجت من شي‌ء ودخلت في غيره فشكّك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كبرى كلّية ينطبق على الخروج عن الجزء ودخوله في جزء آخر ، أو مطلق ما كان غيره كي يشمل الجزء الأخير ، وعلى الخروج عن المركّب المأمور به والدخول في غيره ، مثل الصلاة والحجّ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مسألة لزوم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يكفي صدق التجاوز عن الشي‌ء والمضي عنه ، وإنّما ذكره الدخول في الغير لأجل تحقّق التجاوز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سنتكلّم عنه إن شاء اللّه تعالى في المباحث الآتية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ذكرنا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عامّ ينطبق على الجزء وعلى المركّب الذي نسمّيه بالكلّ ، والخروج عنه له مصداقان 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محلّه الذي عيّن الشارع له ، وبهذا الاعتبار يشمل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نفسه والفراغ عنه ، وبهذا الاعتبار يشمل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بينهما هو عنوان الخروج عن الشي‌ء ، ولا يلزم محذور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في رواية إسماعيل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شكّ فيه ممّا 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أنّه أيضا كبرى كليّة أمر علیه السلام بالمضي وعدم الاعتناء بالشكّ في كلّ ما شكّ فيه ، سواء أكان ذلك المشكوك فيه نفس المركّب أو جزء من أجزائه بعد ما مضى عنه ، غاية الأمر المضي عن المركّب بإتمامه والفراغ عنه وعن الجزء بالمضي عن محلّه ، كما بيّنّا لك في رواية زرارة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القياس قوله علیه السلام في موثقّة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شككت ممّا قد مضى فامضه كما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في موثّقة ابن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الشكّ إذا كنت في شي‌ء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فبمفهوم الحصر يدلّ على أنّه إذا جزت عن شي‌ء فليس شكّ هناك ، بمعنى أنّ الشارع ألقى الشكّ في كلّ شي‌ء جزت عنه ، وجعل وجوده بمنزلة العدم ، فيكون حال هذه الرواية أيضا حال سائر الروايات من كونه علیه السلام بصدد بيان كبرى كليّة ، أي عدم الاعتناء بالشكّ في كلّ شي‌ء جزت عنه ، سواء أكان ذلك الشي‌ء نفس المركب أو أحد أجزائه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حكم الشارع بعدم الاعتناء بالشكّ بعد أن خرج عن المشكوك ودخل في غيره بأن يكون الخروج عن جزء والدخول في جزء آخر ، وبين أن يكون الخروج عن مجموع المركّب والدخول في شي‌ء آخر 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الخروج عن الجزء باعتبار الخروج عن محلّه ؛ لأنّ المفروض أن أصل وجود الجزء مشكوك ، فلا معنى للخروج عن نفس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الفرق في حكمه بعدم </w:t>
      </w:r>
      <w:bookmarkStart w:id="322" w:name="pg15902_182511"/>
    </w:p>
    <w:p>
      <w:pPr>
        <w:pStyle w:val="BookText"/>
        <w:rPr/>
      </w:pPr>
      <w:bookmarkEnd w:id="322"/>
      <w:r>
        <w:rPr>
          <w:rFonts w:ascii="Amiri" w:hAnsi="Amiri" w:eastAsia="Amiri" w:cs="Amiri"/>
          <w:color w:val="111111"/>
          <w:sz w:val="28"/>
          <w:sz w:val="28"/>
          <w:szCs w:val="28"/>
          <w:rtl w:val="true"/>
          <w:lang w:bidi="ar-SA"/>
        </w:rPr>
        <w:t>الاعتناء بالشكّ بعد التجاوز عن المشكوك أو بعد المضي عنه بين الكلّ والجزء ، فالأمر أوضح كما هو واضح</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5519278_2142443653"/>
      <w:bookmarkStart w:id="324" w:name="_Toc105"/>
      <w:bookmarkEnd w:id="323"/>
      <w:r>
        <w:rPr>
          <w:rtl w:val="true"/>
        </w:rPr>
        <w:t xml:space="preserve">[ </w:t>
      </w:r>
      <w:r>
        <w:rPr>
          <w:rtl w:val="true"/>
        </w:rPr>
        <w:t xml:space="preserve">المبحث </w:t>
      </w:r>
      <w:r>
        <w:rPr>
          <w:rtl w:val="true"/>
        </w:rPr>
        <w:t xml:space="preserve">] </w:t>
      </w:r>
      <w:r>
        <w:rPr>
          <w:rtl w:val="true"/>
        </w:rPr>
        <w:t xml:space="preserve">الرابع </w:t>
      </w:r>
      <w:r>
        <w:rPr>
          <w:rtl w:val="true"/>
        </w:rPr>
        <w:t xml:space="preserve">: </w:t>
      </w:r>
      <w:r>
        <w:rPr>
          <w:rtl w:val="true"/>
        </w:rPr>
        <w:t>في أنّه ما المراد من المضي والتجاوز في القاعدتين؟</w:t>
      </w:r>
      <w:bookmarkEnd w:id="324"/>
    </w:p>
    <w:p>
      <w:pPr>
        <w:pStyle w:val="BookText"/>
        <w:rPr/>
      </w:pPr>
      <w:r>
        <w:rPr>
          <w:rFonts w:ascii="Amiri" w:hAnsi="Amiri" w:eastAsia="Amiri" w:cs="Amiri"/>
          <w:color w:val="111111"/>
          <w:sz w:val="28"/>
          <w:sz w:val="28"/>
          <w:szCs w:val="28"/>
          <w:rtl w:val="true"/>
          <w:lang w:bidi="ar-SA"/>
        </w:rPr>
        <w:t>حيث جعل الشارع موضوع حكمه بعدم الاعتناء بالشكّ أحد هذين العنوانين ، أو عنوان الخروج عن المشكوك والدخول في غيره؟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لمفهوم التجاوز والمضي مصداقين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نفس الشي‌ء بمعنى إتمام وجوده والمضي عنه ، وهذا مورد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محلّه ، وهذا مورد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كلاهما مصداقان حقيقيان لمفهوم التجاوز عن الشي‌ء ، وليس في الثاني منهما تجوّز أو إضمار ، بل التجاوز عن المحلّ الذي عيّن الشارع لشي‌ء يكون تجاوزا عن ذلك الشي‌ء حقيقة ، فالذي يقرأ السورة مثلا تجاوز حقيقة عن فاتحة الكتاب ، وهكذا الأمر في جميع أجزاء المركّبات التدريجيّة الوجود التي جعل الشارع لإيجاد أجزائها ترتيب ، فكلّ جزء له محلّ شرعي لا يجوز تقديمه عليه ولا تأخيره عنه ؛ لا كلام في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الكلام في أنّه هل المحلّ العادي للجزء أيضا هكذا ، بمعنى أنّ التجاوز عن المحلّ العادي للشي‌ء هل تجاوز عن الشي‌ء أم لا؟ فإن صدق عليه التجاوز عن الشي‌ء حقيقة ، كما أنّه يصدق على التجاوز عن محلّه الشرعي التجاوز عن ذلك الشي‌ء حقيقة ، كما أنّه علیه السلام طبق الكبرى على التجاوز عن محلّه الشرعي في ما نقلناه من رواية </w:t>
      </w:r>
    </w:p>
    <w:p>
      <w:pPr>
        <w:pStyle w:val="BookText"/>
        <w:rPr/>
      </w:pPr>
      <w:r>
        <w:rPr>
          <w:rFonts w:ascii="Amiri" w:hAnsi="Amiri" w:eastAsia="Amiri" w:cs="Amiri"/>
          <w:color w:val="111111"/>
          <w:sz w:val="28"/>
          <w:sz w:val="28"/>
          <w:szCs w:val="28"/>
          <w:rtl w:val="true"/>
          <w:lang w:bidi="ar-SA"/>
        </w:rPr>
        <w:t>زرارة وغيرها ، فتشمل القاعدة التجاوز عن المحلّ العادي أيضا ، وتترتّب على التعميم ثمرات فقهيّة مهمّة ، مثلا الذي من عادته الوضوء عقيب الحدث الأصغر ، أو الغسل عقيب الحدث الأكبر فلو شكّ في وقت من الأوقات أنّه توضّأ عقيب الحدث الأصغر ، أو اغتسل عقيب الحدث الأكبر ، فعلى التعميم لا بدّ وأن نقول في الأوّل بطهارته من الحدث الأصغر ، وفي الثاني بطهارته من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بأنّه لا وجه لإلحاق المحلّ العادي بالمحلّ الشرعي ؛ لأنّه ليس في الأخبار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نتكلّم في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المحلّ العادي أم لا؟ بل الموجود فيها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عن الشي‌ء والتجاوز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العناوين ، فالمدار على صدق أحد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في التجاوز عن المحلّ الشرعي يقال بأنّه تجاوز عن عن الشي‌ء حقيقة بلا تجوّز ولا إضمار على ما هو التحقيق ، أو بتقدير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ربما قال به المشهور من باب دلالة الاقتضاء ، صونا للكلام عن اللغويّة ، كما أنّهم قالوا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 ) </w:t>
      </w:r>
      <w:r>
        <w:rPr>
          <w:rStyle w:val="FootnoteAnchor"/>
          <w:rtl w:val="true"/>
        </w:rPr>
        <w:footnoteReference w:id="324"/>
      </w:r>
      <w:r>
        <w:rPr>
          <w:rFonts w:ascii="Amiri" w:hAnsi="Amiri" w:eastAsia="Amiri" w:cs="Amiri"/>
          <w:color w:val="111111"/>
          <w:sz w:val="28"/>
          <w:sz w:val="28"/>
          <w:szCs w:val="28"/>
          <w:rtl w:val="true"/>
          <w:lang w:bidi="ar-SA"/>
        </w:rPr>
        <w:t>لأجل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هذا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أعمّ من المحلّ الشرعي والعادي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التقدير من ناحية دلالة الاقتضاء ، وتطبيقه علیه السلام التجاوز عن الشي‌ء على التجاوز عن المحلّ الشرعي حيث أنّه علیه السلام طبّق هذه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الشكّ في وجود الأجزاء بعد التجاوز عن محلّها الشرعي ، كما تقدّم في بعض الروايات المتقدّمة ، حيث قال علیه السلام بعد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الأذان وقد دخل في الإقامة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الإقامة وقد كبّر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سأل السائل عن الشكّ في </w:t>
      </w:r>
    </w:p>
    <w:p>
      <w:pPr>
        <w:pStyle w:val="BookText"/>
        <w:rPr/>
      </w:pPr>
      <w:r>
        <w:rPr>
          <w:rFonts w:ascii="IRNazanin" w:hAnsi="IRNazanin" w:eastAsia="IRNazanin"/>
          <w:color w:val="111111"/>
          <w:sz w:val="28"/>
          <w:sz w:val="28"/>
          <w:szCs w:val="28"/>
          <w:rtl w:val="true"/>
          <w:lang w:bidi="fa-IR"/>
        </w:rPr>
        <w:t xml:space="preserve">الأجزاء بعد تجاوز المحلّ الشرعي ، فأجابه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إذا خرجت من شي‌ء ودخلت في غيره فشكّك ليس بشي‌ء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أن نقول بأنّ المراد من الخروج عن الشي‌ء في هذه الرواية والمضي والتجاوز في سائر الروايات ، هو الخروج عن محلّها الشرعي والمضي والتجاوز عنه ؛ لأنّ هذا المقدار هو الذي طبّق الإمام علیه السلام ، وأمّا أكثر من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 الشرعي كي يشمل المحلّ العادي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تقتضيه دلالة الاقتضاء ، وليس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البين حتّى نأخذ بعمومه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وجه آخر لشمول التجاوز عن الشي‌ء التجاوز عن المحلّ الشرعي ، وهو تنزيل التجاوز عن محلّه الشرعي الذي عيّن له الشارع ، كما في المركّبات المترتّبة الأجزاء منزلة التجاوز عن نفس الشي‌ء ، وادّعاء أنّه هو ، كما ذهب إليه شيخنا الأستاذ </w:t>
      </w:r>
      <w:r>
        <w:rPr>
          <w:rStyle w:val="FootnoteAnchor"/>
          <w:rtl w:val="true"/>
        </w:rPr>
        <w:footnoteReference w:id="325"/>
      </w:r>
      <w:r>
        <w:rPr>
          <w:rFonts w:ascii="Amiri" w:hAnsi="Amiri" w:eastAsia="Amiri" w:cs="Amiri"/>
          <w:color w:val="111111"/>
          <w:sz w:val="28"/>
          <w:sz w:val="28"/>
          <w:szCs w:val="28"/>
          <w:rtl w:val="true"/>
          <w:lang w:bidi="ar-SA"/>
        </w:rPr>
        <w:t>قدس سره ومعلوم أنّ مثل هذا التنزيل والادّعاء من طرف الشارع لا يكون إلاّ بالنسبة إلى المحلّ الشرعي الذي عيّن له هو ، وأمّا المحلّ العادي فأجنبي عن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التعميم هو الوجه الأوّل الذي ذكرنا الشمول التجاوز عن الشي‌ء التجاوز عن المحلّ الشرعي ، وهو أنّه لمفهوم التجاوز عن الشي‌ء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التجاوز عن نفسه ، والثاني التجاوز عن محلّه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الشي‌ء كما أنّه يتحقّق بإيجاد الشي‌ء والفراغ عنه ، كذلك يتحقّق حقيقة لا ادّعاء بالتجاوز عن المحلّ الذي عيّن الشارع له في المركّبات المترتّبة الأجزاء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المهيّات المخترعة المترتّبة الأجزاء التدريجيّة الوجود في عالم التشريع ، مثل المهيّات التدريجيّة الوجود في عالم التكوين ، فكما أنّه لو ترك آية من سورة من سور القرآن ، أو شعر من أشعار قصيدة معيّنة معلومة وشرع في الآية التي </w:t>
      </w:r>
    </w:p>
    <w:p>
      <w:pPr>
        <w:pStyle w:val="BookText"/>
        <w:rPr/>
      </w:pPr>
      <w:r>
        <w:rPr>
          <w:rFonts w:ascii="Amiri" w:hAnsi="Amiri" w:eastAsia="Amiri" w:cs="Amiri"/>
          <w:color w:val="111111"/>
          <w:sz w:val="28"/>
          <w:sz w:val="28"/>
          <w:szCs w:val="28"/>
          <w:rtl w:val="true"/>
          <w:lang w:bidi="ar-SA"/>
        </w:rPr>
        <w:t xml:space="preserve">بعد تلك الآية المتروكة ، وهكذا شرع في البيت الذي بعد ذلك البيت المتروك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من تلك الآية المتروكة ومن ذلك البيت المتروك ، كذلك لو ترك جزء من هذا المركّب المترتّب الأجزاء شرعا ودخل في الجزء الذي بعده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تجاوز عن ذلك الجزء المتروك وتعدّى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الوجه أيضا لا ربط له بالمحلّ العادي ؛ لأنّ جريان العادة بإيجاد شي‌ء في محلّ من دون أن يكون ترتّب تكويني أو تشريعي في البين ، لا يوجب صدق التجاوز بالنسبة إلى الجزء أو الكلّ المشكوك الوجود في ذلك المحلّ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تعميم القاعدة والقول بصدق التجاوز بالنسبة إلى المحلّ العادي مستلزم لتأسيس فقه جديد ، وهذا بنفسه محذور ، ولو لم يكن محذور آخر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ما فيه ، وأنّ الشكّ في وجود جزء من أجزاء المركّب أو تمامه بعد التجاوز عن المحلّ الذي جرت العادة بإتيان ذلك الجزء ، أو ذلك الكلّ في ذلك المحلّ ، ليس مشمولا لقاعدة التجاوز في الجزء ، ولا لقاعدة الفراغ في الشكّ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شكّ في الجزء الأخير من المركّب المترتّب الأجزاء كالتسليم في باب الصلاة ، فهل تجري قاعدة التجاوز أو الفراغ ، أو إحديهما ، أو لا يجري شي‌ء منهما؟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الجزء الأخير لا بدّ وأن يكون في المركّب المترتّب الأجزاء ، وإلاّ تكون الأجزاء عرضيّة ولا يبقي معنى للجزء الأخير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المركّب المترتّب الأجزاء على قسمين ؛ لأنّه إمّا أن يعتبر الموالاة بين أجزائه أم 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لم يعتبر الموالاة بين أجزائه كالغسل ، إذا شكّ في جزئه الأخير أي غسل الجانب الأيسر ، فجريان قاعدة التجاوز فيه لا وجه له أصلا ؛ لأنّه لم يتحقّق بالنسبة إليه تجاوز ، لا عن نفس وجوده لأنّ المفروض أنّه مشكوك الوجود ، ولا عن محلّه الشرعي لأنّ المفروض عدم اعتبار الموالاة فيه ؛ ففي أيّ وقت أتى به يكون في </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إلحاق المحلّ العادي بالمحلّ الشرعي فقد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قاعدة الفراغ فجريانها أيضا لا يخلو عن إشكال ؛ لأنّ المفروض أنّ الجزء الأخير مشكوك الوجود ، فكيف يصدق الفراغ عن ذلك العمل والمضي عنه؟ نعم ربما يصدق الفراغ عرفا إذا شكّ في جزء يسير من الجزء الأخير في المثال المذكور ، كما أنّه لو شكّ في غسل إصبع من الجانب الأيسر مع القطع بغسل ذلك الجانب إلاّ هذا المقدار اليسير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جريانها هو صدق عنوان الفراغ عن العمل ومضي المركّب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اعتبر فيه الموالاة كالصلاة والوضوء ، فلا يبعد جريانهما بناء على عدم اختصاص قاعدة التجاوز بخصوص الصلاة حتّى في الجزء الأخير من الوضوء إذا كان الشكّ بعد فوات الموالاة ، لأنّه يصدق عليه التجاوز والمضي عن العمل ، وعن الجزء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اختصاص قاعدة التجاوز بالصلاة ، ففيها حتّى بالنسبة إلى الجزء الأخير تجري كلتا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فلا تجري إلاّ قاعدة الفراغ ، فإذا شكّ في التسليم فتجري القاعدتان إذا كان مشغولا بالتعقيب ؛ لصدق التجاوز عن محلّه الشرعي ، وأيضا الفراغ بدخوله في التعقيب ، لأنّ محلّ التعقيب شرعا بعد التسليم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شكّ في التسليم ولم يكن دخل في التعقيب بعد ، فإمّا أن يكون بعد صدور المنافي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ما نذكره بين المنافي العمدي والسهو كالحدث ، وبين ما هو المنافي عمدا لا سهوا كالتكلّم ، ولا بين أن يكون المنافي أمرا وجوديا كالحدث والتكلّم ، أو عدميّا كالسكوت الطويل الماحي لصورة الصلاة ، أو لا بل يكون قبل صدور المنافي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بعد صدور المنافي عنه بجميع أقسامه فالظاهر أيضا جريان كلتا القاعدتين ، أمّا قاعدة التجاوز لأنّ محلّ التسليم شرعا قبل فعل المنافي ، </w:t>
      </w:r>
      <w:bookmarkStart w:id="325" w:name="pg15902_182516"/>
    </w:p>
    <w:p>
      <w:pPr>
        <w:pStyle w:val="BookText"/>
        <w:rPr/>
      </w:pPr>
      <w:bookmarkEnd w:id="325"/>
      <w:r>
        <w:rPr>
          <w:rFonts w:ascii="Amiri" w:hAnsi="Amiri" w:eastAsia="Amiri" w:cs="Amiri"/>
          <w:color w:val="111111"/>
          <w:sz w:val="28"/>
          <w:sz w:val="28"/>
          <w:szCs w:val="28"/>
          <w:rtl w:val="true"/>
          <w:lang w:bidi="ar-SA"/>
        </w:rPr>
        <w:t>فيكون الشكّ بعد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الفراغ لصدق عنوان الفراغ بعد الاشتغال بالمنافي ولو كان أمرا عدميا كالسكوت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قبل صدور المنافي وقبل أن يدخل في التعقيب ، فالظاهر عدم جريان كلتا القاعدتين ؛ لعدم التجاوز عن محلّ الجزء المشكوك ، وعدم صدق الفراغ عن العمل والمضي عنه ؛ لأنّه لو علم بالترك وأتى به لكان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معنى التجاوز على الجزء والفراغ عن المركّب وحكم الشكّ في الجزء الأخير</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5519280_2142443653"/>
      <w:bookmarkStart w:id="327" w:name="_Toc106"/>
      <w:bookmarkEnd w:id="326"/>
      <w:r>
        <w:rPr>
          <w:rtl w:val="true"/>
        </w:rPr>
        <w:t xml:space="preserve">المبحث الخامس </w:t>
      </w:r>
      <w:r>
        <w:rPr>
          <w:rtl w:val="true"/>
        </w:rPr>
        <w:t xml:space="preserve">: </w:t>
      </w:r>
      <w:r>
        <w:rPr>
          <w:rtl w:val="true"/>
        </w:rPr>
        <w:t>في أنّ الدخول في الغير معتبر في جريان القاعدتين أم لا؟</w:t>
      </w:r>
      <w:bookmarkEnd w:id="32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الدخول في الغير في كلتا القاعدتين أو إحديهما تارة يكون من جهة توقّف تحقّق هذه العناوين ،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وأخرى يقال باعتباره تعبّدا ، من جهة دلالة الدليل عليه من دون توقّف أحد هذه العناوين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أمّا في قاعدة التجاوز بالنسبة إلى غير الجزء الأخير فواضح أنّه لا يتحقّق التجاوز وما شابهه من العناوين إلاّ بعد الدخول في الجزء المترتّب عليه ، أي على المشكوك ؛ لأنّ التجاوز فيها لا يتحقّق إلاّ بالتجاوز عن محلّ الجزء ، ومعلوم أنّ التجاوز عن محلّ المشكوك لا يصدق إلاّ بعد الدخول في الجزء التالي ، وإلاّ فالمحلّ باق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السكوت الطويل الماحي لصورة الصلاة عقيب الجزء المشكوك الوجود وإن كان يوجب التجاوز عن المحلّ ، ولكن من جهة أنّه قاطع يكون موجبا لبطلان الصلاة ، فلا يبقى مجال لجريان قاعدة التجاوز وتصحيح الصلاة بها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إلى غير الجزء الأخير لا يتحقّق التجاوز عن المحلّ الذي هو معتبر في </w:t>
      </w:r>
    </w:p>
    <w:p>
      <w:pPr>
        <w:pStyle w:val="BookText"/>
        <w:rPr/>
      </w:pPr>
      <w:r>
        <w:rPr>
          <w:rFonts w:ascii="Amiri" w:hAnsi="Amiri" w:eastAsia="Amiri" w:cs="Amiri"/>
          <w:color w:val="111111"/>
          <w:sz w:val="28"/>
          <w:sz w:val="28"/>
          <w:szCs w:val="28"/>
          <w:rtl w:val="true"/>
          <w:lang w:bidi="ar-SA"/>
        </w:rPr>
        <w:t>جريان قاعدة التجاوز إلاّ بالدخول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الجزء الأخير ، كالتسليم في باب الصلاة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التجاوز لا يصدق إلاّ بعد الدخول في شي‌ء غير الصلاة من تعقيب ، أو فعل ما هو مناف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السكوت الطويل ها هنا يوجب تحقّق عنوان التجاوز وتجري قاعدة التجاوز ، من دون أن يكون الدخول في الغير في البين ، فما أفاده شيخنا الأستاذ قدس سره من اعتبار الدخول في الغير في قاعدة التجاوز مطلقا </w:t>
      </w:r>
      <w:r>
        <w:rPr>
          <w:rStyle w:val="FootnoteAnchor"/>
          <w:rtl w:val="true"/>
        </w:rPr>
        <w:footnoteReference w:id="326"/>
      </w:r>
      <w:r>
        <w:rPr>
          <w:rFonts w:ascii="Amiri" w:hAnsi="Amiri" w:eastAsia="Amiri" w:cs="Amiri"/>
          <w:color w:val="111111"/>
          <w:sz w:val="28"/>
          <w:sz w:val="28"/>
          <w:szCs w:val="28"/>
          <w:rtl w:val="true"/>
          <w:lang w:bidi="ar-SA"/>
        </w:rPr>
        <w:t>ليس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قاعدة الفراغ ، فإذا كان منشأ الشكّ في صحّة العمل ما عدا الجزء الأخير فبإتيان الجزء الأخير يصدق الفراغ والتجاوز إذا كان إتيان معظم الأجزاء معلوما ، من دون الاحتياج إلى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المنشأ هو الشكّ في إتيان الجزء الأخير فربما يقال بأنّه لا يصدق الفراغ إلاّ بالدخول في الغير ، بل ربما يقال بعدم صدق الفراغ ما لم يحرز إيجاد الجزء الأخير بالوجدان أو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إتيان معظم الأجزاء محرزا وكان في حالة منافية للصلاة مثلا ، يصدق الفراغ والتجاوز ولو كان العمل ممّا له صورة وهيئة اتّصالية ، فالسكوت الطويل القاطع للهيئة الاتّصالية أيضا يوجب صدق عنوان الفراغ ، إذا كان قد أتى بمعظم الأجزاء مع عدم دخوله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الغير ليس ممّا يعتبر في تحقّق عنوان الفراغ ، فإن كان فلا بدّ وأن يكون بتعبّد شرعي ، وطريق إثباته ملاحظة الأدلّة الواردة في هذا الباب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زرارة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إذا خرجت من شي‌ء ثمَّ دخلت في غيره فشكّك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رواية إسماعيل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ممّا 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هاتين الروايتين اعتبار الدخول في </w:t>
      </w:r>
    </w:p>
    <w:p>
      <w:pPr>
        <w:pStyle w:val="BookText"/>
        <w:rPr/>
      </w:pPr>
      <w:r>
        <w:rPr>
          <w:rFonts w:ascii="IRNazanin" w:hAnsi="IRNazanin" w:eastAsia="IRNazanin"/>
          <w:color w:val="111111"/>
          <w:sz w:val="28"/>
          <w:sz w:val="28"/>
          <w:szCs w:val="28"/>
          <w:rtl w:val="true"/>
          <w:lang w:bidi="fa-IR"/>
        </w:rPr>
        <w:t xml:space="preserve">الغير ، كما أنّ ظاهر موثقّة ابن بكير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شككت فيه ممّا قد مضى فامضه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من جهة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من الوضوء وقد دخلت في غيره فشكّك ليس بشي‌ء ، 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صدرا وذيلا ، فباعتبار الصدر يدلّ على الاعتبار ، وباعتبار الذيل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القواعد الأوّلية حمل المطلق على المقيّد والقول باحتياج جريانهما إلى الدخول في الغير بعد إحرازه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بورود القيد مورد الغالب ، كما في قوله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مِنْ نِسائِكُمُ اللاّتِي دَخَلْتُمْ بِهِنَّ </w:t>
      </w:r>
      <w:r>
        <w:rPr>
          <w:rFonts w:eastAsia="Amiri" w:cs="Amiri" w:ascii="Amiri" w:hAnsi="Amiri"/>
          <w:color w:val="111111"/>
          <w:sz w:val="28"/>
          <w:szCs w:val="28"/>
          <w:rtl w:val="true"/>
          <w:lang w:bidi="ar-SA"/>
        </w:rPr>
        <w:t xml:space="preserve">) - ) </w:t>
      </w:r>
      <w:r>
        <w:rPr>
          <w:rStyle w:val="FootnoteAnchor"/>
          <w:rtl w:val="true"/>
        </w:rPr>
        <w:footnoteReference w:id="327"/>
      </w:r>
      <w:r>
        <w:rPr>
          <w:rFonts w:ascii="Amiri" w:hAnsi="Amiri" w:eastAsia="Amiri" w:cs="Amiri"/>
          <w:color w:val="111111"/>
          <w:sz w:val="28"/>
          <w:sz w:val="28"/>
          <w:szCs w:val="28"/>
          <w:rtl w:val="true"/>
          <w:lang w:bidi="ar-SA"/>
        </w:rPr>
        <w:t>فلا موجب لحمل المطلق على المقيّد ، بل لا بدّ وأن يؤخذ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يعارض هذا الوجه أنّه يمكن أن يقال مقابل هذا القول بأنّ المطلق محمول على الغالب لأنّه غالبا الفراغ عن الشي‌ء والتجاوز عنه ملازم مع الدخول في الغير ، لا سيما إذا عممنا الغير ، وقلنا بشموله لكلّ حالة مغايرة للحالة التي كان هو فيها من الاشتغال بالمركب ، فلا إطلاق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كلا الأمرين تأمّل ، أمّا احتمال ورود القيد مورد الغالب فمنفي بأنّ الأصل في باب القيود أن يكون القيد احترازيّا ، إلاّ أن يدلّ دليل معتبر على أنّه وارد مورد الغالب وليس احترازيّا ، وإلاّ فبصرف احتمال ذلك لا يرفع اليد عن ظهوره في كونه احترازيّا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حمل المطلق على الغالب وانصرافه إليه فقد حقّقنا في محلّه أنّ غلبة الوجود لا يوجب الانصراف ، ولا ينسدّ باب التمسّك بالإطلاق ؛ لأنّ أغلب الطبائع بعض أفرادها أو بحسب بعض حالاتها أكثر وجودا من الأبعاض الأخر ، بل الانصراف لا يكون إلاّ بظهور المطلق في البعض المنصرف بواسطة كثرة الاستعمال ، </w:t>
      </w:r>
      <w:bookmarkStart w:id="328" w:name="pg15902_182519"/>
    </w:p>
    <w:p>
      <w:pPr>
        <w:pStyle w:val="BookText"/>
        <w:rPr/>
      </w:pPr>
      <w:bookmarkEnd w:id="328"/>
      <w:r>
        <w:rPr>
          <w:rFonts w:ascii="Amiri" w:hAnsi="Amiri" w:eastAsia="Amiri" w:cs="Amiri"/>
          <w:color w:val="111111"/>
          <w:sz w:val="28"/>
          <w:sz w:val="28"/>
          <w:szCs w:val="28"/>
          <w:rtl w:val="true"/>
          <w:lang w:bidi="ar-SA"/>
        </w:rPr>
        <w:t>وإثبات هذا المعنى في المقام لا يخلو عن إشكال ، فلا مناص إلاّ عن الأخذ بالقواعد الأوّلية وحمل المطلق على المقيّد</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5519282_2142443653"/>
      <w:bookmarkStart w:id="330" w:name="_Toc107"/>
      <w:bookmarkEnd w:id="329"/>
      <w:r>
        <w:rPr>
          <w:rtl w:val="true"/>
        </w:rPr>
        <w:t>المبحث السادس</w:t>
      </w:r>
      <w:bookmarkEnd w:id="330"/>
    </w:p>
    <w:p>
      <w:pPr>
        <w:pStyle w:val="BookText"/>
        <w:rPr/>
      </w:pPr>
      <w:r>
        <w:rPr>
          <w:rFonts w:ascii="Amiri" w:hAnsi="Amiri" w:eastAsia="Amiri" w:cs="Amiri"/>
          <w:color w:val="111111"/>
          <w:sz w:val="28"/>
          <w:sz w:val="28"/>
          <w:szCs w:val="28"/>
          <w:rtl w:val="true"/>
          <w:lang w:bidi="ar-SA"/>
        </w:rPr>
        <w:t>في أنّ الغير المعتبر دخوله فيه في خصوص قاعدة التجاوز يشمل مقدمات الأجزاء ، مثل الهوى للركوع ، والنهوض للقيام ، وهكذا أبعاض الأجزاء كأبعاض السورة مثلا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الغير بالأجزاء المذكورة في الروايات ، كرواية زرارة ، ورواية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مبني على اختصاص قاعدة التجاوز بالصلاة ، وبناء على هذا الاحتمال لا تشمل السورة إذا شكّ في الحمد بعد دخوله فيها ، وأيضا لا تشمل التشهّد إذا شكّ في السجود بعد دخوله فيه ؛ إذ لا ذكر من هذين ، أي السورة والتشهد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لكلّ جزء من أجزاء الصلاة المستقلّة بالتبويب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أوسع من الاحتمال الأوّل لشموله للسورة والتشهّد ، ولكن لا يشمل مقدّمات الأجزاء ، ولا أجزاء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لكلّ ما يصدق عليه مفهوم الغير ، ولكن بشرط أن لا يكون خارجا عن الصلاة ، بناء على اختصاص القاعدة بالصلاة ومطلقا ، سواء أكان منها أو من غيرها بناء على عدم اختصاصها 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الأستاذ قدس سره رجّح الاحتمال الثاني ، وذلك من جهة ما أفاد وبيّنّاه فيما تقدّم </w:t>
      </w:r>
    </w:p>
    <w:p>
      <w:pPr>
        <w:pStyle w:val="BookText"/>
        <w:rPr/>
      </w:pPr>
      <w:r>
        <w:rPr>
          <w:rFonts w:ascii="Amiri" w:hAnsi="Amiri" w:eastAsia="Amiri" w:cs="Amiri"/>
          <w:color w:val="111111"/>
          <w:sz w:val="28"/>
          <w:sz w:val="28"/>
          <w:szCs w:val="28"/>
          <w:rtl w:val="true"/>
          <w:lang w:bidi="ar-SA"/>
        </w:rPr>
        <w:t>من أنّ إطلاق الشي‌ء على الأجزاء يكون بالعناية والادّعاء ، وإلاّ لا يكون الجزء شيئا في عرض شيئيّة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هذا الادّعاء والتنزيل لم يتحقّق من قبل الشارع إلاّ في الأجزاء المستقلّة بالتبويب ، فلا يطلق الشي‌ء والغير على ما عداها من أجزاء الأجزاء ومقدّماتها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قد وقع في الأجزاء المذكورة في الروايات فقط ، أعني الروايتين المتقدّمتين من زرارة وإسماعيل بن جابر ، وليس فيهما عين ولا أثر من السورة والتشهّد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تلك الأجزاء من باب المثال ، وإلاّ فالمقصود بالتنزيل هو مطلق الإجزاء المستقلّة بالتبويب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شيخنا الأستاذ قدس سره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عرفت عدم تماميّة هذا الكلام وأنّ الشي‌ء يطلق على الأجزاء والكلّ في عرض واحد حقيقة بدون عناية وادّعاء وتنزيل ، بل يستعمل في الجامع بينهما ، ولا تلاحظ في حال الاستعمال خصوصيّة كلّ واحد منهما حتّى تقول بعدم إمكان الجمع بين اللحاظين في استعمال واحد وأمثال ذلك ممّا تقدّم ذكره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الكلام في عموم الغير لا الشي‌ء ، ولا شكّ في أنّه بعد ما شمل الشي‌ء المتجاوز عنه الأجزاء المستقلّة بعناية كما أفاد ، أو بدون الاحتياج إلى عناية وتنزيل كما ادّعينا يشمل لفظ الغير من غير ذلك الشي‌ء الحقيقي كما نقول ، أو الادّعائي كما يقول هو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شمول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للأجزاء المستقلّة كما يقول هو قدس سره ، أو لجميع ما هو غير ذلك الجزء المتجاوز عنه كما نقول ، لا يحتاج إلى إعمال عناية وادّعاء وتنزيل أصلا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جميع ما ذكرنا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جريان قاعدة التجاوز الدخول فيه ، سواء أكان اعتباره من باب تحقّق التجاوز والمضي به ، أو كان من جهة </w:t>
      </w:r>
      <w:bookmarkStart w:id="331" w:name="pg15902_182521"/>
    </w:p>
    <w:p>
      <w:pPr>
        <w:pStyle w:val="BookText"/>
        <w:rPr/>
      </w:pPr>
      <w:bookmarkEnd w:id="331"/>
      <w:r>
        <w:rPr>
          <w:rFonts w:ascii="Amiri" w:hAnsi="Amiri" w:eastAsia="Amiri" w:cs="Amiri"/>
          <w:color w:val="111111"/>
          <w:sz w:val="28"/>
          <w:sz w:val="28"/>
          <w:szCs w:val="28"/>
          <w:rtl w:val="true"/>
          <w:lang w:bidi="ar-SA"/>
        </w:rPr>
        <w:t>دلالة الأخبار تعبّدا ، هو مطلق ما كان مصداقا لمفهوم غير الجزء المشكوك الوجود ، فتشمل الأجزاء وأجزاء الأجزاء ومقدّمات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قلنا بعدم اختصاصها بالصلاة فلا فرق فيما ذكرنا من شمول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للأجزاء ، وأجزاء الأجزاء ومقدّمات الأجزاء بين الصلاة وسائر المركّبات التي أمر الشارع بإيجادها كالحجّ مثلا ، فإذا شكّ في أثناء السعي مثلا في الطواف أو في جزء منه ، يكون مشمولا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وجه عدم جريانها في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والغسل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الجلي أنّه بناء على ما ذكرنا لا يبقى فرق في صدق الغير أن يكون من الأجزاء المستحبّة أو الواجبة ، بل وإن لم يكن جزء وكان خارجا عن حقيقة المركّب كالتعقيب</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5519284_2142443653"/>
      <w:bookmarkStart w:id="333" w:name="_Toc108"/>
      <w:bookmarkEnd w:id="332"/>
      <w:r>
        <w:rPr>
          <w:rtl w:val="true"/>
        </w:rPr>
        <w:t xml:space="preserve">المبحث السابع </w:t>
      </w:r>
      <w:r>
        <w:rPr>
          <w:rtl w:val="true"/>
        </w:rPr>
        <w:t xml:space="preserve">: </w:t>
      </w:r>
      <w:r>
        <w:rPr>
          <w:rtl w:val="true"/>
        </w:rPr>
        <w:t>في جريان قاعدة التجاوز في الشروط</w:t>
      </w:r>
      <w:bookmarkEnd w:id="333"/>
    </w:p>
    <w:p>
      <w:pPr>
        <w:pStyle w:val="BookText"/>
        <w:rPr/>
      </w:pPr>
      <w:r>
        <w:rPr>
          <w:rFonts w:ascii="Amiri" w:hAnsi="Amiri" w:eastAsia="Amiri" w:cs="Amiri"/>
          <w:color w:val="111111"/>
          <w:sz w:val="28"/>
          <w:sz w:val="28"/>
          <w:szCs w:val="28"/>
          <w:rtl w:val="true"/>
          <w:lang w:bidi="ar-SA"/>
        </w:rPr>
        <w:t xml:space="preserve">وتحقيق المقام هو أنّ الشرائط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عقليّا لتحقّق عنوان المأمور به ، كقصد الظهريّة والعصريّة في صلاة الظهر والعصر مثلا ، فإنّ عنوان الظهريّة والعصريّة لا يمكن أن يتحقّق في صلاتيهما إلاّ بهذا القصد ؛ لأنّها أمور 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شرعيّا لصحّة المأمور به وتحقّقه ، كالاستقبال والستر والطهارة وأمثال 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شرعيّا للجزء ، كالجهر والإخفات بناء على كونهما </w:t>
      </w:r>
    </w:p>
    <w:p>
      <w:pPr>
        <w:pStyle w:val="BookText"/>
        <w:rPr/>
      </w:pPr>
      <w:r>
        <w:rPr>
          <w:rFonts w:ascii="Amiri" w:hAnsi="Amiri" w:eastAsia="Amiri" w:cs="Amiri"/>
          <w:color w:val="111111"/>
          <w:sz w:val="28"/>
          <w:sz w:val="28"/>
          <w:szCs w:val="28"/>
          <w:rtl w:val="true"/>
          <w:lang w:bidi="ar-SA"/>
        </w:rPr>
        <w:t>شرطين للقراءة لا للصلاة في حال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الشرط الشرعي للصلاة إمّا يكون شرطا لها في حال الاشتغال بها ، وأمّا يكون شرطا لها مطلقا ولو في حال السكونات المتخلّلة ، كالستر والاستقبال والطهارة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واحد من التقديرين إمّا أن يكون له محلّ شرعي ، وإمّا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كالطهارة الحدثيّة حيث أنّها شرط شرعي للصلاة ، ولها محلّ شرعي وهو أن يكون قبل الصلاة ، كما 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كالستر والاستقبال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هذه الأقسام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يكون شرطا عقليّا لتحقّق عنوان المأمور به ، كقصد الظهريّة والعصريّة والمغربيّة والعشائيّة والصبحيّة لتحقّق هذه العناوين ، أعني صلاة الظهر والعصر والمغرب والعشاء والصبح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فيها قاعدة التجاوز ؛ لأنّ تعنون الصلاة بهذه العناوين من الآثار العقليّة التكوينيّة لواقع قصدها ، فالتعبّد بوجود نيّة الظهر مثلا لا يترتّب عليه هذه الثمرة وهذا الأثر ، فيكون مثل هذا التعبّد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تجري قاعدة الفراغ أيضا لو شكّ في قصد الظهريّة والعصريّة مثلا بعد الفراغ عن العمل ؛ لأنّ مجرى قاعدة الفراغ هو أن يشكّ في صحّة العمل وفساده بعد إحراز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لم يحرز عنوانه ، كما إذا شكّ في أنّ هذا الذي صدر منه هل كان صلاة أو كان لعبا؟ فقاعدة الفراغ لا تثبت أنّه كان صلاة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الشكّ في النيّة بمعنى قصد العنوان المقوّم لعناوين الظهريّة والعصريّة وأمثالها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شكّ في النيّة بمعنى قصد القربة ، فتارة نقول بأنّ قصد القربة شرط شرعي مأخوذ في متعلّق الأمر ولو كان بمتمّم الجعل ، وأخرى نقول بأنّه ليس شرطا شرعيّا ، بل تكون ممّا يعتبره العقل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فرق بين قاعدة التجاوز وقاعدة الفراغ ؛ إذ الأولى لا تجري على كلا القولين ؛ لأنّه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النيّة بمعنى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وأن يكون تمام العمل مقرونا بهذه النيّة ، أي قصد القربة وإتيان العمل بداعي محبوبيّته ومطلوبيّته لله تعالى شأنه ، فالعقل يحكم بلزوم هذا القصد من أوّل الشروع في العمل إلى إتمامه ، لا أنّ الشارع عيّن محلا لهذا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المراد من التجاوز عن المحلّ هو التجاوز عن المحلّ الشرعي لا المحلّ العادي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الفراغ فلا تجري لو قلنا بأنّه شرط عقلي ، فمع الشكّ فيه يكون شكّا في الامتثال ، والمفروض أنّه أمر عقلي فلا ينافي له 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بأنّه شرط شرعي لصحّة العمل فقاعدة الفراغ تجري فيها بلا كلام ؛ لأنّ مجرى قاعدة الفراغ هو الشكّ في صحّة العمل بعد الفراغ عنه ، من جهة احتمال وقوع الخلل فيما اعتبر الشارع فيه ، من ترك جزء أو شرط ، أو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شرطا شرعيّا للمركّب المأمور به ، كالستر والاستقبال والطهارة للصّلاة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القسم بين أن يكون شرطا للمركّب في حال الاشتغال بالأجزاء ونفس العمل ، أو كان شرطا مطلقا ، أي حتّى في حال السكونات المتخلّلة بين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القسمين إما له محلّ شرعي أو 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له محلّ شرعي فلا تجري فيه قاعدة التجاوز ؛ لما ذكرنا من أنّ موضوع هذه القاعدة هو التجاوز عن المحلّ المقرّر شرعا للشي‌ء المشكوك الوجود ، </w:t>
      </w:r>
    </w:p>
    <w:p>
      <w:pPr>
        <w:pStyle w:val="BookText"/>
        <w:rPr/>
      </w:pPr>
      <w:r>
        <w:rPr>
          <w:rFonts w:ascii="Amiri" w:hAnsi="Amiri" w:eastAsia="Amiri" w:cs="Amiri"/>
          <w:color w:val="111111"/>
          <w:sz w:val="28"/>
          <w:sz w:val="28"/>
          <w:szCs w:val="28"/>
          <w:rtl w:val="true"/>
          <w:lang w:bidi="ar-SA"/>
        </w:rPr>
        <w:t>فإذا لم يكن للشرط محلّ مقرّر شرعا فلا موضوع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الفراغ فإذا كان الشكّ بعد الفراغ عن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المركّب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 لأنّه شكّ في صحّة العمل المركّب الذي أوجده ، من جهة احتمال وقوع الخلل فيه من ناحية فقدان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أثناء العمل المشروط كالصلاة مثلا ، فإن كان الجزء أو الأجزاء الماضية عملا مستقلا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أفعال الحجّ ربما يكون كذلك ، فالإحرام ، والطواف والسعي وصلاة الطواف والوقوفان كلّ واحد منها يعدّ عملا مستقلاّ عندهم ولو قلنا بأنّ الحجّ شرعا عمل واحد وعبادة واحدة ارتباطيّة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قاعدة الفراغ في الأثناء بالنسبة إلى ذلك الجزء المستقلّ عند العرف أيضا ؛ لتحقّق موضوعها ، وهو الفراغ عن ذلك الجزء مع الشكّ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تكن الأجزاء الماضية عملا مستقلاّ عندهم ، فلا وجه لجريان قاعدة الفراغ أيضا ؛ لعدم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للشرط محلّ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له محلّ شرعي كالطهارة الحدثيّة ، وكصلاة الظهر لصلاة العصر ، والمغرب لصلاة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محلّ الطهارة الحدثيّة قبل الصلاة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ومحلّ صلاة الظهر والمغرب قبل العصر وقبل العشاء ؛ لقوله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 قاعدة التجاوز في الشرط المشكوك الوجود وعدمه وجهان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الجريان ، فهل يثبت بها وجود الشرط مطلقا حتّى بالنسبة إلى مشروط آخر ، فلا تجب الطهارة حتّى بالنسبة إلى صلاة أخرى غير هذه التي بيده ما </w:t>
      </w:r>
    </w:p>
    <w:p>
      <w:pPr>
        <w:pStyle w:val="BookText"/>
        <w:rPr/>
      </w:pPr>
      <w:r>
        <w:rPr>
          <w:rFonts w:ascii="Amiri" w:hAnsi="Amiri" w:eastAsia="Amiri" w:cs="Amiri"/>
          <w:color w:val="111111"/>
          <w:sz w:val="28"/>
          <w:sz w:val="28"/>
          <w:szCs w:val="28"/>
          <w:rtl w:val="true"/>
          <w:lang w:bidi="ar-SA"/>
        </w:rPr>
        <w:t>لم يوجد حدث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مثال الظهر والمغرب إذا شكّ فيهما في أثناء العصر والعشاء فيثبت بقاعدة التجاوز وجودهما مطلقا ، فلا يجب الإتيان بهما حتّى بعد الفراغ عن العصر والعشاء ، أو لا تثبت بها تلك الشروط إلاّ من حيث شرطيّتها لتلك المذكورات ، فلا بدّ من تحصيل الطهارة للصلوات الأخر ، وإتيان الظهر والمغرب بعد الإتيان بالعصر والعشاء وإتمامهما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آخر وهو إثبات الشرط بالنسبة إلى الأجزاء الماضية فقط ، وأمّا بالنسبة إلى الأجزاء الباقية من المركّب التي لم يأت بها بعد فيجب تحصيل الشرط إن كان ممكنا ، وإلاّ فيبطل العمل إذا كان المركّب الواجب ارتباطيّا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جريان قاعدة التجاوز في هذا المفروض فلا وجه للإشكال فيه ؛ لأنّه لا فرق بين الجزء المشكوك والشرط المشكوك الوجود ، فكما أنّها تجري في الجزء فكذلك تجري في الشرط ؛ لأنّ مناط الجريان فيهما واحد ، وهو أنّ صحّة العمل متوقّف على وجود الجزء أو الشرط المشكوك وجودهما بعد التجاوز عن محلّهما المقرّر لهما شرعا ، فلا 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الوجهين أو الوجوه التي ذكرناها على تقدير الجريان ، ففرق بين أن نقول بأنّها أمارة أو أصل ، إذ على تقدير كونها أمارة يثبت وجود الشرط ، بناء على أنّ جعل الأمارة حجّة عبارة عن تتميم كشفها في عالم الاعتبار ، فيكون كما إذا قامت البيّنة على وجود الشرط فيترتّب عليه جميع آثار وجود الشرط واقعا ، فلا يجب عليه تحصيل الطهارة ولو للصلوات الأخر ، ولا إتيان صلاة الظهر والمغرب بعد إتمام العصر والعشاء ، كلّ ذلك من جهة إثبات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الشرط واقعا ، أي الطهارة لو شكّ في أثناء الصّلاة في وجودها ، وصلاة الظهر لو شكّ في وجودها في أثناء العصر ، وصلاة المغرب لو شكّ في وجودها في أثناء العشاء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بأنّها من الأصول التنزيليّة ، إذ احتمال كونها من الأصول غير </w:t>
      </w:r>
    </w:p>
    <w:p>
      <w:pPr>
        <w:pStyle w:val="BookText"/>
        <w:rPr/>
      </w:pPr>
      <w:r>
        <w:rPr>
          <w:rFonts w:ascii="Amiri" w:hAnsi="Amiri" w:eastAsia="Amiri" w:cs="Amiri"/>
          <w:color w:val="111111"/>
          <w:sz w:val="28"/>
          <w:sz w:val="28"/>
          <w:szCs w:val="28"/>
          <w:rtl w:val="true"/>
          <w:lang w:bidi="ar-SA"/>
        </w:rPr>
        <w:t>التنزيليّة بعيد وسخيف جدّا ، فيكون مفادها ترتيب آثار وجود الشرط من حيث كونه شرطا لهذا العمل الذي بيده وشكّ في وجود الشرط في أثنائه ، فيجب معاملة وجود صلاة الظهر مثلا من حيث شرطيّته لصحّة صلاة العصر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جريان قاعدة التجاوز بأنّ التجاوز الذي هو موضوع القاعدة لم يتحقّق بالنسبة إلى الأجزاء الباقية التي لم يأت بها بعد ، فلا أثر لجريان القاعدة في الأثناء بحيث يثبت بها صحّة العمل من ناحية احتمال 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الشرط لمجموع العمل وجود الظهر مثلا قبل العصر ، فبمحض دخوله في صلاة العصر تجاوز عن محلّ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يؤيّد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الشيخ الأعظم الأنصاري قدس سره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عليّ بن جعفر ،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على وضوء ثمَّ يشكّ على وضوئه هو أم لا؟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ذكرها وهو في صلاته انصرف وأعادها ، وإن ذكرها وقد فرغ من صلاته أجزاء ذلك </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Style w:val="FootnoteAnchor"/>
          <w:rtl w:val="true"/>
        </w:rPr>
        <w:footnoteReference w:id="333"/>
      </w:r>
      <w:r>
        <w:rPr>
          <w:rFonts w:ascii="Amiri" w:hAnsi="Amiri" w:eastAsia="Amiri" w:cs="Amiri"/>
          <w:color w:val="111111"/>
          <w:sz w:val="28"/>
          <w:sz w:val="28"/>
          <w:szCs w:val="28"/>
          <w:rtl w:val="true"/>
          <w:lang w:bidi="ar-SA"/>
        </w:rPr>
        <w:t>أي إذا كان شرطا عقليّا للجزء كالموالاة بين حروف الكلمة ، فتجري قاعدة التجاوز بلا إشكال ؛ لأنّ مرجع هذا الشكّ إلى الشكّ في وجود الجزء الذي هو الكلمة بعد التجاوز عن محلّه كما هو المفروض في المقام ؛ لأنّ المفروض أنّ الشرط شرط عقلي للجزء ، فالشكّ فيه مستلزم للشكّ في المشروط أعني الجزء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شرطا شرعيّا للجزء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الرابع </w:t>
      </w:r>
      <w:r>
        <w:rPr>
          <w:rStyle w:val="FootnoteAnchor"/>
          <w:rtl w:val="true"/>
        </w:rPr>
        <w:footnoteReference w:id="334"/>
      </w:r>
      <w:r>
        <w:rPr>
          <w:rFonts w:ascii="Amiri" w:hAnsi="Amiri" w:eastAsia="Amiri" w:cs="Amiri"/>
          <w:color w:val="111111"/>
          <w:sz w:val="28"/>
          <w:sz w:val="28"/>
          <w:szCs w:val="28"/>
          <w:rtl w:val="true"/>
          <w:lang w:bidi="ar-SA"/>
        </w:rPr>
        <w:t xml:space="preserve">من الأقسام التي ذكرناها للشروط ، وذلك كالجهر والإخفات بناء على كونهما شرطين للقراءة لا للصلاة في حال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قاعدة التجاوز فيه لا يخلو عن إشكال ؛ لأنّ الشرط حيث أنّه </w:t>
      </w:r>
      <w:bookmarkStart w:id="334" w:name="pg15902_182527"/>
    </w:p>
    <w:p>
      <w:pPr>
        <w:pStyle w:val="BookText"/>
        <w:rPr/>
      </w:pPr>
      <w:bookmarkEnd w:id="334"/>
      <w:r>
        <w:rPr>
          <w:rFonts w:ascii="Amiri" w:hAnsi="Amiri" w:eastAsia="Amiri" w:cs="Amiri"/>
          <w:color w:val="111111"/>
          <w:sz w:val="28"/>
          <w:sz w:val="28"/>
          <w:szCs w:val="28"/>
          <w:rtl w:val="true"/>
          <w:lang w:bidi="ar-SA"/>
        </w:rPr>
        <w:t>ليس له وجود مستقلّ فلا يقال إنّه قد 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المشروط فلا شكّ في وجوده حتّى تجري فيه قاعدة التجاوز ؛ لأنّه موجود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جريان قاعدة التجاوز في الشرط والمشروط ، أمّا في الشرط المشكوك الوجود فلأنّ الجهر وكذلك الإخفات شي‌ء شكّ في وجوده بعد التجاوز عن محلّه ، وعدم كونه جوهرا ومستقلّ الوجود لا ينافي مع كونه شيئا كما هو واضح وأمّا في المشروط فلأنّ المشروط بوصف كونه صحيحا مشكوك الوجود ، فلا فرق بين الشرط العقلي وبين الشرط الشرعي لما هو جزء</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5519286_2142443653"/>
      <w:bookmarkStart w:id="336" w:name="_Toc109"/>
      <w:bookmarkEnd w:id="335"/>
      <w:r>
        <w:rPr>
          <w:rtl w:val="true"/>
        </w:rPr>
        <w:t>المبحث الثامن</w:t>
      </w:r>
      <w:bookmarkEnd w:id="336"/>
    </w:p>
    <w:p>
      <w:pPr>
        <w:pStyle w:val="BookText"/>
        <w:rPr/>
      </w:pPr>
      <w:r>
        <w:rPr>
          <w:rFonts w:ascii="Amiri" w:hAnsi="Amiri" w:eastAsia="Amiri" w:cs="Amiri"/>
          <w:color w:val="111111"/>
          <w:sz w:val="28"/>
          <w:sz w:val="28"/>
          <w:szCs w:val="28"/>
          <w:rtl w:val="true"/>
          <w:lang w:bidi="ar-SA"/>
        </w:rPr>
        <w:t xml:space="preserve">في أنّه يعتبر في جريان قاعدتي التجاوز والفراغ أن يكون المكلّف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بإحراز وجداني أو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أجزاء المركّب المأمور به ، وشرائطه وموانعه ، وأنّ متعلّق التكليف عبارة عن المركّب من هذه الأمور ، وإنّما الشكّ يكون بعد العمل وفي مقام انطباق المأتي به ، على ما هو المأمور به ، فلا يتحقّق مثل هذا الشكّ إلاّ بعد العمل ؛ لأنّه لا بدّ وأن يكون عمل في البين كي تشكّ في أنّه مطابق مع المأمور به أم لا؟ فمركز الشكّ في هاتين القاعدتين هو انطباق العمل المأتي به على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شكّه في صحّة العمل من جهة احتمال اعتبار شي‌ء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أو جزء ، أو احتمال اعتبار عدمه كي يكون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مربوط بالقاعدتين ، بل لا بدّ من المراجعة إلى الأمارات ، وعند فقدها إلى الأصول العمليّة لعلاج هذا الشكّ ، ولا ربط له بمفاد القاعدتين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القاعدتان من الأصول المستعملة في مقام الامتثال وإسقاط التكليف ، لا في مقام إثبات التكليف ، فلا بدّ في جريان القاعدتين من صدور عمل عن المكلّف والشكّ في مطابقته لما هو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حصول هذا الشكّ في </w:t>
      </w:r>
    </w:p>
    <w:p>
      <w:pPr>
        <w:pStyle w:val="BookText"/>
        <w:rPr/>
      </w:pPr>
      <w:r>
        <w:rPr>
          <w:rFonts w:ascii="Amiri" w:hAnsi="Amiri" w:eastAsia="Amiri" w:cs="Amiri"/>
          <w:color w:val="111111"/>
          <w:sz w:val="28"/>
          <w:sz w:val="28"/>
          <w:szCs w:val="28"/>
          <w:rtl w:val="true"/>
          <w:lang w:bidi="ar-SA"/>
        </w:rPr>
        <w:t>أثناء العمل فهذا يكون مورد قاعدة التجاوز ، وإن كان بعد الفراغ عن العمل فيكون مورد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فلنذكر صورا من فروع هذه المسألة لكي ترى هل أنّها من موارد الشكّ في الانطباق حتّى يكون من موارد القاعدتين ، أم لا فلا؟</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مع التفاته حين العمل إلى الأجزاء والشرائط والموانع في صحّة العمل وفساده بواسطة احتمال طروّ غفلة أو سهو أو نسيان ، فإن كان هذا الشكّ حصل له في أثناء العمل بعد التجاوز عن المحلّ المقرّر شرعا عن جزء المشكوك الوجود ، أو عن الشرط المشكوك الوجود فيكون مجرى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حصول هذا الشكّ بعد الفراغ عن العمل يكون مجرى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جريان قاعدة التجاوز في بعض الصور ، بناء على ما هو الصحيح من عدم اشتراط اتّصال زمان حصول الشكّ بزمان ذلك الجزء المشكوك الوجود ، أو ذلك الشرط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هو القدر المتيقّن من صور جريان قاعدة التجاوز والفراغ ؛ لاجتماع شرائط جريانهما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هذه الصورة ولكن فيما إذا كان احتمال تركه للجزء أو الشرط عن عمد واختيار لا عن غفلة ونسيان ، والظاهر عدم جريان القاعدتين في هذه الصورة ؛ لأنّه لو كان المدرك لهما بناء العقلاء فليس لهم في مثل هذا المورد بناء على وجود الجزء أو الشرط المشكوك الوجود ، إذ منشأ بنائهم على ذلك أصالة عدم الغفلة والسهو والنسيان ، كما أشرنا إلى ذلك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احتمال الترك عن عمد لا مورد لهذه الأصول العدميّة العقلائيّة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لو كان المدرك لهما الأخبار ؛ لأنّه ليس مفاد الأخبار حكما تعبديا صرفا في ظرف الشكّ في وجود جزء أو شرط ، بل باعتبار أنّ المكلّف إذا أراد إتيان </w:t>
      </w:r>
    </w:p>
    <w:p>
      <w:pPr>
        <w:pStyle w:val="BookText"/>
        <w:rPr/>
      </w:pPr>
      <w:r>
        <w:rPr>
          <w:rFonts w:ascii="Amiri" w:hAnsi="Amiri" w:eastAsia="Amiri" w:cs="Amiri"/>
          <w:color w:val="111111"/>
          <w:sz w:val="28"/>
          <w:sz w:val="28"/>
          <w:szCs w:val="28"/>
          <w:rtl w:val="true"/>
          <w:lang w:bidi="ar-SA"/>
        </w:rPr>
        <w:t>عبادة مركّبة من أجزاء وشرائط ، يكون ما يأتي به على طبق ما أراد ، وألقى الشارع احتمال الغفلة والسهو والنسيان لا احتمال الترك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ما ذكرنا تعليقه علیه السلام للمضي وعدم الاعتناء بالشكّ في بعض الأخبار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ما يتوضّأ أذكر </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وظهور هذا التعليل في كون منشأ الترك هي الغفلة أو السهو والنسيان لا العمد ممّا لا ينكر ؛ لأنّ الترك العمدي لا ينافي مع كونه حين الوضوء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الترك عن غفلة أو عن سهو ونسيان بعيد ؛ مع كونه ذلك الوقت أذكر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جريان القاعدتين أن لا يكون احتمال الترك عن عمد ، فليس لروايات الباب إطلاق تشمل صورة كون احتمال الترك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ملتفتا إلى الأجزاء والشرائط حال الاشتغال بالمركّب المأمور به ، بمعنى أنّه لا معرفة له بتمام أجزاء المركّب وجميع شرائطه وموانعه ، مثلا حال الاشتغال بالعمل لم يعلم أنّ هذا المشكوك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كان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أو شرط ، سواء أكان جهله من ناحية الشبهة الحكميّة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مثل أنّه لم يعلم أنّ السورة جزء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مثل أنّه يعلم أنّ الاستقبال شرط للصلاة ، ولكن لم يعلم أنّ هذه الجهة التي صلّى إليها قبلة أم لا؟ وبعد حصول الشكّ يعلم بصورة العمل الذي صدر منه ، ويحتمل أن تكون الجهة التي صلّى إليها قبلة من باب الاتّفاق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جريان القاعدة في هذه الصورة أيضا ؛ لأنّ مطابقته للواقع لو كانت فهي من باب الاتّفاق ، فلا تشملها الأخبار ولا بناء العقلاء ؛ لما ذكرنا في الصورة السابقة من بناء العقلاء باعتبار أنّ المكلّف إذا أراد أن يأتي بالمأمور به يكون المأتي به </w:t>
      </w:r>
    </w:p>
    <w:p>
      <w:pPr>
        <w:pStyle w:val="BookText"/>
        <w:rPr/>
      </w:pPr>
      <w:r>
        <w:rPr>
          <w:rFonts w:ascii="Amiri" w:hAnsi="Amiri" w:eastAsia="Amiri" w:cs="Amiri"/>
          <w:color w:val="111111"/>
          <w:sz w:val="28"/>
          <w:sz w:val="28"/>
          <w:szCs w:val="28"/>
          <w:rtl w:val="true"/>
          <w:lang w:bidi="ar-SA"/>
        </w:rPr>
        <w:t>طبق المأمور به ، واحتمال السهو والغفلة ملقى عند العقلاء ، وأخبار الباب أيضا ناظرة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كان عالما بالأجزاء والشرائط حال العمل ، حتّى يكون عدم مطابقة المأتي به مع المأمور به مستندا إلى الغفلة أو السهو والنسيان ، ولم تكن له شبهة حكميّة ولا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لم يكن كذلك ، وكانت له شبهة حكميّة أو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مطابقة المأتي به مع المأمور به كان بصرف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مربوط بمفاد كلتا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الصحّة بعد العمل ، أو في أثنائه ولكن بعد التجاوز عن محلّ المشكوك شرعا ، وكان هذا الشكّ له قبل أن يدخل في العمل أيضا ولكن كان له الدخول في العمل شرعا مع وجود 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كان شاكّا في بقاء طهارته من الحدث ، فلا محالة يكون شاكّا في صحّة الصلاة التي يريد أن يدخل فيها بتلك الحالة ؛ لأنّ الطهارة الواقعيّة شرط للصلاة لا إحراز الطهارة ، فالشكّ فيها ملازم مع الشكّ في صحّة الصلاة ، ولكن مع ذلك يجوز له الدخول فيها بواسطة استصحاب الطهارة ، وبعد الصلاة في الفرض إذا زال الاستصحاب وانقلب إلى الشكّ الساري لزوال اليقين السابق في الظرف الذي كان موجودا ، فالآن ليس استصحاب في البين حتّى نقول بأنّ الشرط موجود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في هذه الصورة تصحيح العمل بقاعدة الفراغ أم لا؟</w:t>
      </w:r>
    </w:p>
    <w:p>
      <w:pPr>
        <w:pStyle w:val="BookText"/>
        <w:rPr/>
      </w:pPr>
      <w:r>
        <w:rPr>
          <w:rFonts w:ascii="Amiri" w:hAnsi="Amiri" w:eastAsia="Amiri" w:cs="Amiri"/>
          <w:color w:val="111111"/>
          <w:sz w:val="28"/>
          <w:sz w:val="28"/>
          <w:szCs w:val="28"/>
          <w:rtl w:val="true"/>
          <w:lang w:bidi="ar-SA"/>
        </w:rPr>
        <w:t>والظاهر عدم جريان قاعدة الفراغ في هذه الصورة أيضا ؛ لأنّ الشكّ ليس متمحّضا في انطباق المأتي به على المأمور به ؛ لأنّ الاستصحاب الذي كان محرز للشرط لم يبق وزال ، بل تبيّن بعد العمل أنّ وجود الاستصحاب كان وجودا خياليّا لا واقعيّة له ، فكأنّه صلّى بدون إحراز شرطه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الصلاة بدون إحراز شرطها ومع الشكّ فيه باطلة ، فلا يبقى مجال </w:t>
      </w:r>
    </w:p>
    <w:p>
      <w:pPr>
        <w:pStyle w:val="BookText"/>
        <w:rPr/>
      </w:pPr>
      <w:r>
        <w:rPr>
          <w:rFonts w:ascii="Amiri" w:hAnsi="Amiri" w:eastAsia="Amiri" w:cs="Amiri"/>
          <w:color w:val="111111"/>
          <w:sz w:val="28"/>
          <w:sz w:val="28"/>
          <w:szCs w:val="28"/>
          <w:rtl w:val="true"/>
          <w:lang w:bidi="ar-SA"/>
        </w:rPr>
        <w:t>لجريان قاعدة الفراغ ، لما قلنا أنّ قاعدة الفراغ والتجاوز موردهما هو الشكّ في صحّة العمل من جهة وجود خلل في المأتي به غفلة أو سهوا أو نسيانا ، وما نحن فيه ليس الأمر كذلك ، لأنّ المصلّي في المفروض لم يغفل ولم يسه عن جزء أو شرط ، بل دخل في الصلاة باستصحاب زائل لا ثبات له ، بل ربما يكون دخوله بشهادة رجلين يتخيّل عدالتهما ثمَّ يتبيّن فسقهما حال الشهادة ، فيكون الدخول مستندا إلى تخيّل البيّنة ، لا البيّنة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 الصورة الخامسة ، وهي عيّن الصورة السابقة باستثناء جواز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المركّب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في هذه الصورة عدم جواز الدخول ، بخلاف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شكّ قبل الصلاة في أنّه محدث ولم يكن استصحاب الطهارة في البين ، فلا يجوز له أن يدخل في الصلاة ؛ للزوم إحراز الشرط ، أي الطهارة ، فلو غفل وصلّى فلا شكّ في أنّه بعد الصلاة يشكّ في صحّة عمله ، فتارة يحتمل أنّه بعد ما شكّ في الحدث توضّأ مثلا ، وأخرى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فلا شكّ في شمول القاعدتين ؛ لأنّ حال الشكّ في الحدث ليس بأعظم من القطع بالحدث ، ومع القطع بالحدث لو غفل ودخل في الصلاة ولكن بعد الصلاة يحتمل أنّه توضّأ بعد ذلك القطع فتشمل القاعدتان مثل هذا المورد ، ففي مورد الشكّ يكون شمولهما له بطريق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لا يحتمل الوضوء بعد ذلك القطع ، فالظاهر عدم شمول القاعدة له ؛ لما ذكرنا من أنّ قاعدة التجاوز والفراغ مفادهما إلقاء احتمال ترك جزء أو شرط ، غفلة أو سهوا أو نسيانا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المفروض أنّه دخل في الصلاة غفلة عن كونه شاكّا في كونه محدثا ، وإلاّ لو لم يكن غافلا لما كان يجوز له أن يدخل في الصلاة ، فمع فرض دخوله فيها غفلة عن كونه شاكّا في وجود الشرط كيف يمكن أن يقال بأنّ مقتضى قاعدة الفراغ أو </w:t>
      </w:r>
      <w:bookmarkStart w:id="337" w:name="pg15902_182532"/>
    </w:p>
    <w:p>
      <w:pPr>
        <w:pStyle w:val="BookText"/>
        <w:rPr/>
      </w:pPr>
      <w:bookmarkEnd w:id="337"/>
      <w:r>
        <w:rPr>
          <w:rFonts w:ascii="Amiri" w:hAnsi="Amiri" w:eastAsia="Amiri" w:cs="Amiri"/>
          <w:color w:val="111111"/>
          <w:sz w:val="28"/>
          <w:sz w:val="28"/>
          <w:szCs w:val="28"/>
          <w:rtl w:val="true"/>
          <w:lang w:bidi="ar-SA"/>
        </w:rPr>
        <w:t>التجاوز عدم غفلته عن إيجاد الشرط وأنّه 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هذه المسألة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جريان القاعدتين وعدم جريانهما هو أنّه لو كان حدوث الشكّ بعد العمل ، أو في الأثناء بعد التجاوز عن المحلّ المقرّر للمشكوك ، وكان الشكّ متمحّضا في انطباق المأتي به مع المأمور به ، ولم يكن هذا الشكّ مسبوقا بالشكّ في صحّة المركّب المأمور به قبل أن يشرع في العمل لاحتمال فقد شرط أو وجود مانع ، فحينئذ يكون مورد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احتمل أن يكون جنبا ، ثمَّ غفل ودخل في الصلاة ، أو دخل باستصحاب عدم الحدث ثمَّ زال الاستصحاب ، فلا مجال لجريان قاعدة الفراغ بعد العمل ، أو التجاوز في أثنائه بعد التجاوز عن المحلّ المقرّر شرعا للمشكوك ؛ لأنّ الشكّ في صحّة العمل بعده مسبوق بالشكّ فيها قبله ، فيجب على الفقيه مراعاة هذا الضابط في مقام إجراء هاتين القاعدتين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5519288_2142443653"/>
      <w:bookmarkStart w:id="339" w:name="_Toc110"/>
      <w:bookmarkEnd w:id="338"/>
      <w:r>
        <w:rPr>
          <w:rtl w:val="true"/>
        </w:rPr>
        <w:t xml:space="preserve">المبحث التاسع </w:t>
      </w:r>
      <w:r>
        <w:rPr>
          <w:rtl w:val="true"/>
        </w:rPr>
        <w:t xml:space="preserve">: </w:t>
      </w:r>
      <w:r>
        <w:rPr>
          <w:rtl w:val="true"/>
        </w:rPr>
        <w:t>في وجه عدم جريان قاعدة التجاوز في الوضوء بل في الغسل والتيمم أيضا</w:t>
      </w:r>
      <w:bookmarkEnd w:id="339"/>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على مسلك شيخنا الأستاذ قدس سره علیه السلام من اختصاص قاعدة التجاوز بالصلاة فقط ، </w:t>
      </w:r>
      <w:r>
        <w:rPr>
          <w:rStyle w:val="FootnoteAnchor"/>
          <w:rtl w:val="true"/>
        </w:rPr>
        <w:footnoteReference w:id="336"/>
      </w:r>
      <w:r>
        <w:rPr>
          <w:rFonts w:ascii="Amiri" w:hAnsi="Amiri" w:eastAsia="Amiri" w:cs="Amiri"/>
          <w:color w:val="111111"/>
          <w:sz w:val="28"/>
          <w:sz w:val="28"/>
          <w:szCs w:val="28"/>
          <w:rtl w:val="true"/>
          <w:lang w:bidi="ar-SA"/>
        </w:rPr>
        <w:t>فلا إشكال في البين حتّى يحتاج إلى بيان الوجه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ذكرنا من وحدة الكبرى المجعولة في القاعدتين ، وأنّ عموم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ابن أبي يعفور </w:t>
      </w:r>
      <w:r>
        <w:rPr>
          <w:rStyle w:val="FootnoteAnchor"/>
          <w:rtl w:val="true"/>
        </w:rPr>
        <w:footnoteReference w:id="337"/>
      </w:r>
      <w:r>
        <w:rPr>
          <w:rFonts w:ascii="Amiri" w:hAnsi="Amiri" w:eastAsia="Amiri" w:cs="Amiri"/>
          <w:color w:val="111111"/>
          <w:sz w:val="28"/>
          <w:sz w:val="28"/>
          <w:szCs w:val="28"/>
          <w:rtl w:val="true"/>
          <w:lang w:bidi="ar-SA"/>
        </w:rPr>
        <w:t>وأمثاله في سائر الروايات يشمل الشكّ في الجزء والكلّ بلا عناية أمر آخر ، فلا بدّ حينئذ من التماس وجه ودليل لتخصيص قاعدة التجاوز بالنسبة إلى الوضوء ، حيث أنّ بناءهم على عدم إجراء قاعدة التجاوز ، بل ربما يلحقون به التيمّم بل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الوضوء فمضافا إلى الإجماع على عدم جريان القاعدة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قاعدا في وضوئك فلم تدر أغسلت ذراعيك أم لا ، فأعد عليهما وعلى جميع ما شككت فيه أنّك لم تغسله ممّا سمّى اللّه تعالى ما دمت في حال الوضوء ، فإذا قمت من الوضوء وفرغت منه وصرت في حالة أخرى في الصلاة أو في غيرها فشككت في بعض ما سمّى اللّه تعالى ممّا أوجب اللّه عليك لا شي‌ء عليك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عدم جريان قاعدة التجاوز في الوضوء وجريان قاعدة الفراغ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ألحقوا به الغسل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 التيمّم بالوضوء يمكن أن يوجّه بأنّ البدل بحسب المتفاهم العرفي في حكم المبدل عنه ، وإن كان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الغسل فلا وجه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يدّعي الإجماع على الإلحاق ، أو على عدم جريان قاعدة التجاوز ابتداء فيه من دون كونه بعنوان الإلحاق ، وعلى كلّ حال ثبوت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جريان قاعدة التجاوز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 بل وفي التيمم أيضا مشكل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شيخنا الأعظم الأنصاري قدس سره في هذا المقام وجها لعدم جريان القاعدة في الوضوء بأنّه عمل واحد أثره ، وبهذا الاعتبار ليس له أجزاء بحيث يكون </w:t>
      </w:r>
    </w:p>
    <w:p>
      <w:pPr>
        <w:pStyle w:val="BookText"/>
        <w:rPr/>
      </w:pPr>
      <w:r>
        <w:rPr>
          <w:rFonts w:ascii="Amiri" w:hAnsi="Amiri" w:eastAsia="Amiri" w:cs="Amiri"/>
          <w:color w:val="111111"/>
          <w:sz w:val="28"/>
          <w:sz w:val="28"/>
          <w:szCs w:val="28"/>
          <w:rtl w:val="true"/>
          <w:lang w:bidi="ar-SA"/>
        </w:rPr>
        <w:t xml:space="preserve">كلّ واحد من تلك الأجزاء مصداقا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قد تقدّم جوابه ، من إمكان أن يكون الجامع بين الكلّ والجزء هو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الباب ، ووحدة الأثر وبساطته لا يوجب بساطة السبب المؤثر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وكثير من العبادات المركّبة ذات الأجزاء ، آثارها لها وحدة وبساطة ومع ذلك لها أجزاء ، وكلّ جزء من أجزائها يطلق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والوضوء أيضا كذلك له أجزاء متميّزة بعضها عن بعض ، فغسل الوجه غير غسل اليدين ، وهما غير مسح الرأس والرجلين وإن كان أثر جميع تلك الأجزاء المسمّاة بالوضوء أمر واحد بسيط ، وهي النورانيّة النفسانيّة ، وقد أشار إلى ذلك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نور ، والوضوء على الوضوء نور على نور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مضافا إلى ما في رواية ابن أبي يعفور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شككت في شي‌ء من الوضوء وقد دخلت في غيره فشكّك ليس بشي‌ء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في أنّ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شي‌ء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جزء من أجزاء الوضوء ، ففرض علیه السلام أجزاء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كان المرجع في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دخلت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يدلّ على أنّ الشارع فرض الوضوء ذا أجزاء وجعل الشكّ في كلّ جزء من تلك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الدخول في غير ذلك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ملغى لا يعتنى به ، فيكون مفادها اعتبار قاعدة التجاوز في الوضوء أيضا ، فيكون معارضا لصحيحة زرارة المتقدّمة النافية لاعتبار قاعدة التجاوز في الوضوء بخلاف قاعدة الفراغ ، حيث أنّها تدلّ على الوضوء </w:t>
      </w:r>
      <w:bookmarkStart w:id="340" w:name="pg15902_182535"/>
    </w:p>
    <w:p>
      <w:pPr>
        <w:pStyle w:val="BookText"/>
        <w:rPr/>
      </w:pPr>
      <w:bookmarkEnd w:id="340"/>
      <w:r>
        <w:rPr>
          <w:rFonts w:ascii="Amiri" w:hAnsi="Amiri" w:eastAsia="Amiri" w:cs="Amiri"/>
          <w:color w:val="111111"/>
          <w:sz w:val="28"/>
          <w:sz w:val="28"/>
          <w:szCs w:val="28"/>
          <w:rtl w:val="true"/>
          <w:lang w:bidi="ar-SA"/>
        </w:rPr>
        <w:t>حجّيتها فيه ، أي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بأنّ مرجع الضمير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وإن كانت لا تدلّ على حجيّة قاعدة التجاوز ويرتفع التعارض ، لكن تدلّ على كلّ حال على أنّ الوضوء ليس أمرا بسيطا ، بل الشكّ في كلّ جزء من أجزائه لا يعتنى به ، إمّا بعد الدخول في غير ذلك الجزء ، أو في غير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شيخنا الأعظم الأنصاري قدس سره من أنّ الوضوء باعتبار وحدة أثره وبساطة ذلك الأثر أمر واحد بسيط لا جزء له </w:t>
      </w:r>
      <w:r>
        <w:rPr>
          <w:rStyle w:val="FootnoteAnchor"/>
          <w:rtl w:val="true"/>
        </w:rPr>
        <w:footnoteReference w:id="342"/>
      </w:r>
      <w:r>
        <w:rPr>
          <w:rFonts w:ascii="Amiri" w:hAnsi="Amiri" w:eastAsia="Amiri" w:cs="Amiri"/>
          <w:color w:val="111111"/>
          <w:sz w:val="28"/>
          <w:sz w:val="28"/>
          <w:szCs w:val="28"/>
          <w:rtl w:val="true"/>
          <w:lang w:bidi="ar-SA"/>
        </w:rPr>
        <w:t>لا يخلو عن غرابة</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5519290_2142443653"/>
      <w:bookmarkStart w:id="342" w:name="_Toc111"/>
      <w:bookmarkEnd w:id="341"/>
      <w:r>
        <w:rPr>
          <w:rtl w:val="true"/>
        </w:rPr>
        <w:t>المبحث العاشر</w:t>
      </w:r>
      <w:bookmarkEnd w:id="342"/>
    </w:p>
    <w:p>
      <w:pPr>
        <w:pStyle w:val="BookText"/>
        <w:rPr/>
      </w:pPr>
      <w:r>
        <w:rPr>
          <w:rFonts w:ascii="Amiri" w:hAnsi="Amiri" w:eastAsia="Amiri" w:cs="Amiri"/>
          <w:color w:val="111111"/>
          <w:sz w:val="28"/>
          <w:sz w:val="28"/>
          <w:szCs w:val="28"/>
          <w:rtl w:val="true"/>
          <w:lang w:bidi="ar-SA"/>
        </w:rPr>
        <w:t xml:space="preserve">في أنّ المضي وعدم الاعتناء بالشكّ في القاعدتين هل على نحو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يجوز الاعتناء بالشكّ وإتيان المشكوك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بل على نحو الرخصة؟ بمعنى أنّه يجوز أن تمضي ولا تعتني بالشك ، ويجوز أيضا أن تأتي بالمشكوك بعنوان الاحتياط ورجاء ادراك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أستاذنا المحقّق قدس 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الشارع في مورد قاعدة التجاوز بالمضي على نحو العزيمة ؛ لأنّه بعد حكم الشارع بوجوب المضي وعدم الاعتناء بالشكّ وإلغائه لا يجوز إتيان الجزء أو الشرط المشكوك فيه ولو رجاء ، لأنّه لا موضوع له مع هذا الحكم بوجوده ، فيكون الإتيان به حينئذ من الزيادة العمديّة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الاحتياط وإتيان المحتمل الآخر غير ما قام عليه الحجّة لا ينافي مع الحجّة حتّى الأمارات فضلا عن الأصول ؛ لأنّ معنى حجيّة الأمارة أو الأصل لزوم الإتيان بمؤدّاهما ، لا عدم الإتيان بالمحتمل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بوجوب المشكوك والأمر بالبناء عليه لا موضوع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وجوب الاحتياط أو جوازه هو احتمال التكليف وفيما نحن فيه احتمال عدم وجود المشكوك ، وهذا أمر وجداني لا يرتفع باعتبار قاعدة التجاوز وحكمه بالمضي وعدم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الاحتياط الزيادة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الزيادة العمديّة احتمال الزيادة ، فهذا الاحتمال موجود في الشكّ في المحل ؛ لأنّ التجاوز عن المحلّ قلنا إنّه لا يرفع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المحلّ والشكّ بعد التجاوز عن المحلّ فرق بينهما ، بأنّ الأوّل محكوم شرعا بالاعتناء وبإتيان المشكوك ، والثاني بإلغاء احتمال عدم الإتيان بالمشكوك ؛ فقياس أحدهما بالآخر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ما هو محلّ الكلام وهو أنّه في كليهما احتمال الزيادة موجود ، فلو كان احتمال الزيادة مضرّا لا بدّ وأن يكون مضرّا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لزوم الإتيان بالمشكوك في الشكّ في المحلّ ، لها حكومة على أدلّة مبطليّة الزيادة العمديّة في الصلاة ، بمعنى أنّ الشارع حكم بأنّ الزيادة الاحتمالية في مورد الشكّ في المحلّ ليست بزيادة ، كما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كثير الشكّ ليس 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ليست قاعدة التجاوز مخصوصة بالصلاة ، والزيادة العمديّة مبطلة في خصوص الصلاة ، فهذا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الاحتياط بإعادة الصلاة ، لا بإعادة الجزء فقط كي يلزم الزيادة العمديّة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المقام أنّ حال قاعدة التجاوز حال سائر الحجج الشرعيّة من الأمارات والأصول ، وليس في موردها في الاحتياط برجاء إدراك الواقع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تمام الكلام في قاعدتي الفراغ والتجاوز</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5902_182539"/>
      <w:bookmarkStart w:id="344" w:name="pg15902_182539"/>
      <w:bookmarkEnd w:id="344"/>
    </w:p>
    <w:p>
      <w:pPr>
        <w:pStyle w:val="Heading2"/>
        <w:numPr>
          <w:ilvl w:val="1"/>
          <w:numId w:val="1"/>
        </w:numPr>
        <w:rPr/>
      </w:pPr>
      <w:bookmarkStart w:id="345" w:name="pg15902_182539"/>
      <w:bookmarkStart w:id="346" w:name="__RefHeading___Toc15519292_2142443653"/>
      <w:bookmarkStart w:id="347" w:name="_Toc112"/>
      <w:bookmarkEnd w:id="345"/>
      <w:bookmarkEnd w:id="346"/>
      <w:r>
        <w:rPr/>
        <w:t>13</w:t>
      </w:r>
      <w:r>
        <w:rPr>
          <w:rtl w:val="true"/>
        </w:rPr>
        <w:t xml:space="preserve"> - </w:t>
      </w:r>
      <w:r>
        <w:rPr>
          <w:rtl w:val="true"/>
        </w:rPr>
        <w:t>قاعدة الإعانة على الإثم والعدوان</w:t>
      </w:r>
      <w:bookmarkEnd w:id="34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15519294_2142443653"/>
      <w:bookmarkStart w:id="349" w:name="_Toc113"/>
      <w:bookmarkEnd w:id="348"/>
      <w:r>
        <w:rPr>
          <w:rtl w:val="true"/>
        </w:rPr>
        <w:t>اشارة</w:t>
      </w:r>
      <w:bookmarkEnd w:id="34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5902_182541"/>
      <w:bookmarkStart w:id="351" w:name="pg15902_182541"/>
      <w:bookmarkEnd w:id="351"/>
    </w:p>
    <w:p>
      <w:pPr>
        <w:pStyle w:val="BookText"/>
        <w:rPr/>
      </w:pPr>
      <w:bookmarkStart w:id="352" w:name="pg15902_182541"/>
      <w:bookmarkEnd w:id="352"/>
      <w:r>
        <w:rPr>
          <w:rFonts w:ascii="Amiri" w:hAnsi="Amiri" w:eastAsia="Amiri" w:cs="Amiri"/>
          <w:color w:val="111111"/>
          <w:sz w:val="28"/>
          <w:sz w:val="28"/>
          <w:szCs w:val="28"/>
          <w:rtl w:val="true"/>
          <w:lang w:bidi="ar-SA"/>
        </w:rPr>
        <w:t xml:space="preserve">قاعدة الإعانة على الإثم والعدوان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التي يتمسّك بها الفقهاء في مقام الإقتاء في جملة من الفروع الفقهيّة ، ويطبقونها على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الحال يقتضي التكلّم فيها عن جهات ثلاث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5519296_2142443653"/>
      <w:bookmarkStart w:id="354" w:name="_Toc114"/>
      <w:bookmarkEnd w:id="353"/>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مدركها ومستندها</w:t>
      </w:r>
      <w:bookmarkEnd w:id="354"/>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المائدة في ضمن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ودلالة الجملة الثانية المشتملة على النهي عن التعاون على الإثم والعدوان على حرمة الإعانة على الإثم واضحة ، كما أنّ الجملة الأولى أيضا ظاهرة في وجوب التعاون على البرّ والتقوى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حيث نعلم من الخارج عدم وجوب مطلق التعاون على البرّ والتقوى ، فلا بدّ من رفع اليد عن ذلك الظهور والحمل على الاستحباب كما هو الظاهر ، أو الحمل على بعض الموارد التي يكون التعاون واجبا ، كإنقاذ غريق ، أو حريق وأمثال ذلك ممّا </w:t>
      </w:r>
    </w:p>
    <w:p>
      <w:pPr>
        <w:pStyle w:val="BookText"/>
        <w:rPr/>
      </w:pPr>
      <w:r>
        <w:rPr>
          <w:rFonts w:ascii="Amiri" w:hAnsi="Amiri" w:eastAsia="Amiri" w:cs="Amiri"/>
          <w:color w:val="111111"/>
          <w:sz w:val="28"/>
          <w:sz w:val="28"/>
          <w:szCs w:val="28"/>
          <w:rtl w:val="true"/>
          <w:lang w:bidi="ar-SA"/>
        </w:rPr>
        <w:t>يكون التعاون لأجل حفظ نفس محترمة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مانع من الأخذ بظهور المجلة الثانية ، بل هو المشهور المعروف ، فلا بدّ من الأخذ به والعمل على طبقه بمقتضى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وحدة السياق ولزوم حمل النهي على الكراهة لا الحرمة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السياق فيما إذا كانت كلّ واحدة من الجملتين مشتملة على الأمر أو النهي ، مثل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الماء قائما ولا تبل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المقام ممّا يكون إحدى الجملتين مشتملة على الأمر والأخرى على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إحديهما مفادها البعث على إيجاد شي‌ء ، والأخرى الزجر عن إيجاد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موردا للأخذ بوحدة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الجملتين ها هنا كلّ واحدة منها مستقلّة وفي مقام بيان أمر غير ما هو مفاد الأخرى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 منهما بصدد بيان مطلب لا ربط له بالمطلب الآخر الذي هو مفاد الجملة الأخرى ، وصرف تتابع الجملتين في الذكر لا يدلّ على أنّ سياقهما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حديث الرفع </w:t>
      </w:r>
      <w:r>
        <w:rPr>
          <w:rStyle w:val="FootnoteAnchor"/>
          <w:rtl w:val="true"/>
        </w:rPr>
        <w:footnoteReference w:id="345"/>
      </w:r>
      <w:r>
        <w:rPr>
          <w:rFonts w:ascii="IRNazanin" w:hAnsi="IRNazanin" w:eastAsia="IRNazanin"/>
          <w:color w:val="111111"/>
          <w:sz w:val="28"/>
          <w:sz w:val="28"/>
          <w:szCs w:val="28"/>
          <w:rtl w:val="true"/>
          <w:lang w:bidi="fa-IR"/>
        </w:rPr>
        <w:t>حيث أنّه صلی اللّه علیه و آله بصدد بيان رفع الأشياء التي في رفعها امتنان عن هذه الأمّة كرامة له صلی اللّه علیه و آله ، فالمرفوع وإن كان متعدّدا ولكن المسند في جميعها هو الرفع الامتناني ، وهو 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قالوا بلزوم أن يكون المرفوع في الجميع إمّا هو الحكم وإمّا يكون هو الموضوع ، لا أن يكون في بعضها الحكم وفي بعض الآخر هو الموضوع ؛ لوحدة السياق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يستشكل في دلالة الآية على حرمة الإعانة على الإثم بأنّ النهي في الآية </w:t>
      </w:r>
    </w:p>
    <w:p>
      <w:pPr>
        <w:pStyle w:val="BookText"/>
        <w:rPr/>
      </w:pPr>
      <w:r>
        <w:rPr>
          <w:rFonts w:ascii="Amiri" w:hAnsi="Amiri" w:eastAsia="Amiri" w:cs="Amiri"/>
          <w:color w:val="111111"/>
          <w:sz w:val="28"/>
          <w:sz w:val="28"/>
          <w:szCs w:val="28"/>
          <w:rtl w:val="true"/>
          <w:lang w:bidi="ar-SA"/>
        </w:rPr>
        <w:t xml:space="preserve">تعلّق بعنوان التعاون لا المعاونة والإعانة ، والتعاون لا بدّ وأن تكون المعاونة من الطرفين ، ففيما إذا كان صدور فعل بإعانة 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كانا شريكين في إيجاد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التعاون ، وإلاّ لو كانت الإعانة من طرف واحد بحيث يكون أحدهما عونا للفاعل المباشر بواسطة إيجاد بعض مقدمات فعله ، فهذه إعانة لا تعاون ؛ لأنّ هيئة باب التفاعل موضوعة لاشتراك الشخصين في جهة صدور الفعل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فالتعاون عبارة عن كون كلّ واحد منهما عونا للآخر ، والإعانة عبارة عن كون شخص عونا لشخص آخر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مفاد القاعدة ومضمونها هو الثاني ، ومفاد الآية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أمره تبارك وتعالى بالتعاون على البرّ والتقوى ، وكذلك نهيه عن التعاون على الإثم والعدوان ليس باعتبار فعل واحد وقضية واحدة وفي واقعة واحدة ، بل الخطاب إلى عموم المؤمنين والمسلمين بأن يكون كلّ واحد منهم عونا للآخر في البرّ والتقوى ، ولا يكون عونا لأحد في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مجموع القضايا ، لا باعتبار قضية واحدة وفعل واحد ، فلو كان مثلا زيد عونا لعمرو في الفعل الفلاني وكان عمرو عونا لزيد في فعل آخر يصدق أنّهما تعاونا ، أي أعان كلّ واحد منهما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إعانة كلّ واحد منهما لصاحبه في فعل يصدر من نفس ذلك الصاحب ، فيكون المأمور به في الآية الشريفة إعانة كلّ مسلم لكلّ مسلم في ما يصدر منه من فعل الخير والبرّ والتقوى ، بمعنى مساعدته في ذلك الفعل ولو كان بإيجاد بعض مقدّماته القريبة أو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والمنهي عنه إعانة كلّ شخص في فعله الذي هو إثم ، أي معصية للخالق أو عدوان وظلم على الغير ، وهذا عين مفاد القاعدة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 لا قصور في دلالة الآية المباركة على هذه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المراد بالبرّ والتقوى هي الأفعال الحسنة التي تصدر من المسلمين ، سواء أكانت واجبة عليهم كالحجّ مثلا ، أو مستحبّة كبناء المساجد ، وطبع الكتب الدينيّة ونشرها ، إلى غير ذلك ممّا ندب الشرع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بالإثم هي المنهيّات والمعاصي ، صغيرة كانت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الطبري عن ابن عبّاس هذا المعنى في تفسير الآية المباركة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قبيل عطف الخاص على العام ؛ لأنّ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التعدّي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مصاديق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المفسّرين ذكروا في شأن نزول الآية الشريفة قصّة وحكاية ، ولكن أنت خبير بأنّ خصوصيّة المورد لا يضرّ بحجيّة عموم مفاد الآية ؛ وذلك من جهة أنّ العمومات الواردة في الكتاب الكريم في مورد خاصّ يكون من قبيل الكبرى الكلية التي تنطبق على المورد ، ويكون المورد إحدى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الموارد الخاصّة التي تدلّ على حرمة الإعانة على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على قتل مسلم ولو بشطر كلمة ، جاء يوم القيامة مكتوبا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آيس من رحمة اللّه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بهذا الحديث على حرمة الإعانة على الإثم أنّه لا شكّ في أنّ قتل المسلم إثم ، وقد أوعد في الحديث العقاب واليأس من رحمة اللّه بالنسبة إلى الذي أعان على هذا الإثم العظيم والجريمة الكبيرة ، ويستكشف من هذا الإيعاد حرمته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الإعانة على قتل المسلم هي بنفسها إثم وحرام لا من جهة كونها إعانة على الإثم ، وإن كان الظاهر من الحديث هو المنع عن الإعانة على </w:t>
      </w:r>
    </w:p>
    <w:p>
      <w:pPr>
        <w:pStyle w:val="BookText"/>
        <w:rPr/>
      </w:pPr>
      <w:r>
        <w:rPr>
          <w:rFonts w:ascii="Amiri" w:hAnsi="Amiri" w:eastAsia="Amiri" w:cs="Amiri"/>
          <w:color w:val="111111"/>
          <w:sz w:val="28"/>
          <w:sz w:val="28"/>
          <w:szCs w:val="28"/>
          <w:rtl w:val="true"/>
          <w:lang w:bidi="ar-SA"/>
        </w:rPr>
        <w:t>قتل المسلم لكونها إعانة على ذلك الإثم العظيم ، لا لكونه إثم مستقلّ في قبال قتل النفس المحترمة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عن أبي عبد اللّه علیه السلام حكاية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أكل الطين فمات فقد أعان على نفسه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ظاهر هذا الحديث مفروغية حرمة الإعانة على النفس وأنّها موجبة لاستحقاق العقاب ، وأخبر أنّ أكل الطين من مصاديقها كي يرتدع منه خوفا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من المحتمل أن يكون صلی اللّه علیه و آله بصدد إرشاد من يأكل الطين ، وأنّ العاقل لا يرتكب أمرا يكون موجبا لهلاك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الاحتمال ضعيف ، والظاهر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حرمة معونة الظالمين في ظلمهم ، وهي كثيرة ولها باب مخصوص في كتاب الوسائل </w:t>
      </w:r>
      <w:r>
        <w:rPr>
          <w:rStyle w:val="FootnoteAnchor"/>
          <w:rtl w:val="true"/>
        </w:rPr>
        <w:footnoteReference w:id="349"/>
      </w:r>
      <w:r>
        <w:rPr>
          <w:rFonts w:ascii="Amiri" w:hAnsi="Amiri" w:eastAsia="Amiri" w:cs="Amiri"/>
          <w:color w:val="111111"/>
          <w:sz w:val="28"/>
          <w:sz w:val="28"/>
          <w:szCs w:val="28"/>
          <w:rtl w:val="true"/>
          <w:lang w:bidi="ar-SA"/>
        </w:rPr>
        <w:t xml:space="preserve">والمستدرك </w:t>
      </w:r>
      <w:r>
        <w:rPr>
          <w:rStyle w:val="FootnoteAnchor"/>
          <w:rtl w:val="true"/>
        </w:rPr>
        <w:footnoteReference w:id="350"/>
      </w:r>
      <w:r>
        <w:rPr>
          <w:rFonts w:ascii="Amiri" w:hAnsi="Amiri" w:eastAsia="Amiri" w:cs="Amiri"/>
          <w:color w:val="111111"/>
          <w:sz w:val="28"/>
          <w:sz w:val="28"/>
          <w:szCs w:val="28"/>
          <w:rtl w:val="true"/>
          <w:lang w:bidi="ar-SA"/>
        </w:rPr>
        <w:t>، وإن شئت راجع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حرمة إجارة داره لأن يباع فيها الخمر ، كخبر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يواجر بيته فيبتاع فيه الخمر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أجرته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بإسناده عن جابر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رسول اللّه صلی اللّه علیه و آله في الخمر عشرة غارسها ، وحارسها ، وعاصرها ، وشاربها ، وساقيها ، </w:t>
      </w:r>
    </w:p>
    <w:p>
      <w:pPr>
        <w:pStyle w:val="BookText"/>
        <w:rPr/>
      </w:pPr>
      <w:r>
        <w:rPr>
          <w:rFonts w:ascii="Amiri" w:hAnsi="Amiri" w:eastAsia="Amiri" w:cs="Amiri"/>
          <w:color w:val="111111"/>
          <w:sz w:val="28"/>
          <w:sz w:val="28"/>
          <w:szCs w:val="28"/>
          <w:rtl w:val="true"/>
          <w:lang w:bidi="ar-SA"/>
        </w:rPr>
        <w:t xml:space="preserve">وحاملها ، والمحمولة إليه ، وبائعها ، ومشتريها ، وآكل ثمنها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عدا الشارب من هذه العشرة حرمتها من جهة كونها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أكل ثمنها من جهة بطلان بيعها لإلغاء الشارع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الخاصّة بمعنى النهي عن مصاديق الإعانة على الإثم كثيرة ، وفي بعضها يكون متعلّق النهي مفهوم الإعانة لكن في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الفقيه يستظهر من مجموع هذه الأخبار المتفرّقة في الأبواب المختلفة حرمة الإعانة على الإثم ، خصوصا في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المساعدة على إتيان ما هو مبغوض المولى وما هو فيه المفسدة ، فإنّ من رضي بفعل قوم فهو منهم ، فضلا من أن يكون هيّأ له المقدّمات أو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المقدّمات البعيدة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كبعض معدّات وجود الشي‌ء الذي يحتاج إلى وجود مقدّمات كثيرة بعده ، حتّى تصل النوبة إلى صدور الفعل بإرادته واختياره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قصد ترتّب صدور الحرام عليه لا يحكم العقل بقبحه ، فلا بدّ وأن يحمل لعنه صلی اللّه علیه و آله غارسها مع أنّه من المقدّمات البعيدة على أن يكون الغرس بهذا القصد والنيّة ، إذ من الواضح المعلوم أنّ إيجاد مقدّمة من مقدّمات فعل الحرام الصادر من الغير إن كان بقصد ترتّب ذلك الحرام عليها يكون إعانة على ذلك الإثم وإن كان من المقدّمات البعيدة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لم يكن بذلك القصد ، أو قصد العدم ولكن ترتّب عليه فلا يعدّ عند العرف إعانة ، فلا يكون زواج الأب من أمّ الولد العاصي إعانة على الإثم ، مع أنّه قطعا من معدّات صدور المعصية عن ذلك الولد ، غاية الأمر من المعدّات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w:t>
      </w:r>
      <w:bookmarkStart w:id="355" w:name="pg15902_182547"/>
    </w:p>
    <w:p>
      <w:pPr>
        <w:pStyle w:val="BookText"/>
        <w:rPr/>
      </w:pPr>
      <w:bookmarkEnd w:id="355"/>
      <w:r>
        <w:rPr>
          <w:rFonts w:ascii="Amiri" w:hAnsi="Amiri" w:eastAsia="Amiri" w:cs="Amiri"/>
          <w:color w:val="111111"/>
          <w:sz w:val="28"/>
          <w:sz w:val="28"/>
          <w:szCs w:val="28"/>
          <w:rtl w:val="true"/>
          <w:lang w:bidi="ar-SA"/>
        </w:rPr>
        <w:t>المثال لو تزوّج بقصد أنّه يولد له ولد يبيع الخمر ، أو يكون عشارا مثلا ، يكون تزويجه إعانة على الإثم وإن كان من المقدّمات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المقدّمات القريبة فيمكن أن يعدّ إعانة عرفا ولو لم يكن بقصد ترتّب ذلك ، وسيأتي تحقيقه في بيان الجهة الثانية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أنّه كما أنّ العقل مستقلّ بقبح مخالفة المولى وإتيان ما هو المبغوض عنده ، كذلك مستقلّ في الحكم بقبح المساعدة على إتيان الغير ذلك المبغوض للمولى وما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واتّفاق الفقهاء رضوان اللّه تعالى عليهم أجمعين على حرمة الإعانة على الإثم ، فإنّهم يعلّلون حرمة بعض الأفعال بأنّه إعانة على الإثم ويرسلونه إرسال المسلّمات ، وكأنّها أمر مفروغ عنه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مرارا أنّ مثل هذا الاتّفاق الذي له مدارك عقليّة وكذلك النقليّة من الآيات والروايات ليس من الإجماع الذي بنينا في الأصول على حجيّته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5519298_2142443653"/>
      <w:bookmarkStart w:id="357" w:name="_Toc115"/>
      <w:bookmarkEnd w:id="356"/>
      <w:r>
        <w:rPr>
          <w:rtl w:val="true"/>
        </w:rPr>
        <w:t xml:space="preserve">الجهة الثانية </w:t>
      </w:r>
      <w:r>
        <w:rPr>
          <w:rtl w:val="true"/>
        </w:rPr>
        <w:t xml:space="preserve">: </w:t>
      </w:r>
      <w:r>
        <w:rPr>
          <w:rtl w:val="true"/>
        </w:rPr>
        <w:t>في أنّه ما المراد من هذه القاعدة أي حرمة الإعانة على الإثم</w:t>
      </w:r>
      <w:bookmarkEnd w:id="35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فمعناه معلوم ، إذ المراد به مخالفة التكليف الإلزامي ، أي ترك ما هو الواجب ، أو فعل ما هو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هو العصيان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الإعانة فهي لغة بمعنى المساعدة ، وأعانه على ذلك ، أي ساعده عليه ، والمعين والمعاون للإنسان هو المساعد له في فعله وإشغاله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الضعيف من أفضل الصدقة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أي مساعدته في أفعاله وفي أمور معيشته أو إشغاله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من الإعانة على الإثم مساعدة الآثم في الإثم الذي يصدر منه ، وذلك بإيجاد جميع مقدّمات الحرام الذي يرتكبه أو بعضها 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هل يحتاج في صدق الإعانة قصد ترتّب الحرام الذي يرتكبه الآثم على هذه المقدّمة أم لا؟ ومضافا قصد ترتّب الحرام هل يحتاج إلى وقوع الحرام بمعنى أنّه لو قصد بإيجاد هذه المقدّمة من مقدّمات الحرام الصادر عن الغير ترتّب ذلك الحرام عليهما ، فهل يحتاج في صدق الإعانة على هذا الإيجاد وقوع ذلك الحرام أيضا في الخارج أم لا ، بل صرف إيجاده تلك المقدّمة بقصد ترتّب ذلك الحرام يكفي في صدق الإعانة ، سواء وقع الإثم أم لم يقع؟ وجوه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كلا الأمرين في صدق الإعانة على إيجاد تلك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لزوم كلا الأمرين بل بمحض إيجاد تلك المقدّمة يصدق عليه الإعانة ، قصد ترتّب ذلك الحرام أو لم يقصد ، وأيضا وقع ذلك الحرام في الخارج أو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باحتياج صدقها إلى القصد دون وقوع ذلك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بالعكس ، أي باحتياج صدقها إلى وقوع ذلك المحرّم دون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هذه الصور الأربع ؛ أي فيما إذا قصد المعين الإعانة على ذلك الإثم مع وقوع الإثم ؛ وفيما إذا لم يقصد المعين ، وأيضا لم يقع الإثم ، وفيما إذا قصد ولم يقع ، أو وقع ولم يقصد ؛ الصورة الأولى ، أي فيما إذا قصد ووقع ، فلا شكّ في أنّها القدر المتيقّن من صدق الإعانة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 ، فهو القدر المتيقّن من عدم صدق الإعانة وإن قيل بالصدق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الثالثة ، أي فيما إذا قصد الإعانة ولم يقع الإثم ، فالظاهر أيضا عدم صدق الإعانة على الإثم ؛ لعدم إثم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أعطي العصا بقصد أن يضرب ولكنّه لم يضرب ، أو أعطاه الخشب ليصنع صليبا أو صنما ، باعه العنب ليصنع خمرا ولكنّه صنعه خلاّ ولم يصنع خمرا وأمثال ذلك ، فليس هناك معصية ولم يصدر منه إثم حتّى تكون الأفعال المذكورة من إعطاء العصا ، وإعطاء الخشب ، وبيع العنب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حرمة 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 من الآية والروايات وحكم العقل بقبحها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المتجري ؛ لأنّه أتى بهذه الأفعال بقصد الإعانة قاطعا بأنّها إعانة على الإثم ، لقطعه بصدور الحرام منه أو وثوقه واطمئنانه بصدوره منه ، أو قيام حجّة أخرى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بأنّه حرام من جهة أنّ تهيئة أسباب الحرام حرام في نفسه مع قصد ترتّب ذلك الحرام عليها ، لا من جهة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الإعانة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ذلك الفعل من قبيل البرّ والتقوى ، أو كان من قبيل الإثم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إيجاد مقدّمة من مقدّمات وجود ذلك الفعل الذي صدر عن الغير ، فإذا لم يصدر سواء أكان برجوعه عن قصده أو بواسطة وجود مانع عن إيجاد ذلك الفعل ، فلا معنى لكونه مساعدا له في ذلك الفعل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صدور ذلك الفعل الذي هو إثم ، وقوعه في الخارج شرط في صدق الإعانة بالنسبة إلى ذلك الفعل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 في بعض الموارد بأنّه إعانة ، كما أنّه لو أراد التزويج أو أراد شراء دار ، فساعده شخص آخر بإعطاء المال له ليبذل في المهر ، أو لجعله ثمنا لشراء الدار ، فمنعه مانع عن التزويج أو شراء الدار ، أو هو رجع عن إرادته ، فهذا الإطلاق 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أنّه إعانة وساعده على القدرة على التزويج أو على شراء الدار ، والقدرة الماليّة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فالقول بأنّه أعانه على فعل لم يفعل لا يخلو عن ركاكة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الرابعة ، أي فيما إذا وقع الإثم في الخارج من شخص ، وأوجد شخص آخر بعض مقدّمات ذلك الإثم الذي يتوقّف وجود ذلك الإثم عليه ولكن بدون قصد ترتّب ذلك الإثم عليه ، فصار محلّ الخلاف بين الأعلام والفقهاء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فبعضهم قال بعدم صدق الإعانة مع عدم القصد ، ومنهم الشيخ الأعظم الأنصاري قدس سره </w:t>
      </w:r>
      <w:r>
        <w:rPr>
          <w:rStyle w:val="FootnoteAnchor"/>
          <w:rtl w:val="true"/>
        </w:rPr>
        <w:footnoteReference w:id="354"/>
      </w:r>
      <w:r>
        <w:rPr>
          <w:rFonts w:ascii="Amiri" w:hAnsi="Amiri" w:eastAsia="Amiri" w:cs="Amiri"/>
          <w:color w:val="111111"/>
          <w:sz w:val="28"/>
          <w:sz w:val="28"/>
          <w:szCs w:val="28"/>
          <w:rtl w:val="true"/>
          <w:lang w:bidi="ar-SA"/>
        </w:rPr>
        <w:t xml:space="preserve">والبعض الآخر قالوا بصدقها ولو لم يقصد ، وفصّل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كانت تلك المقدّمة بعد إرادة الآثم لذلك الإثم وعزمه على ذلك الفعل ولكن يتوقّف إيجاده على تلك المقدمة ، كما إذا عزم على ضرب شخص وأراده ولكن يتوقّف وقوع الضرب في الخارج على وصول عصاء بيده ، فأعطاه العصا بيده في هذه الحالة مع علم المعطي بإرادته ، يكون إعانة على ذلك الإثم ولو لم يقصد ترتّب الضرب على ذلك الإعطاء ، بل يتمنّى ويرجى أن يندم ولا يضرب ، وإنّما كان إعطاءه العصا الفرض عقلائي أو سفهي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أن تكون تلك المقدّمة التي يوجدها المعين قبل إرادة الآثم لذلك الفعل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مبادي الإرادة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تكون بعد تحقّق إرادة الآثم وعزمه على الفعل المحرّم وتكون بمنزلة الجزء الأخير من العلّة التامّة لذلك الفعل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لا تكون إعانة على الإثم لا مع قصد ترتّب ذلك الحرام والإثم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وذكرنا أنّ لعن رسول اللّه صلی اللّه علیه و آله غارسها لا بدّ وأن يحمل على صورة قصد الغارس ترتّب صنع الخمر على غرسه هذا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فهي إعانة ، قصد أو لم يقصد ؛ لأنّه يعلم أنّ بفعله يصدر الحرام عن ذلك الغير ، إذ هو بمنزلة الجزء الأخير من العلّة التامّة ، لأنّه ليس لوقوع </w:t>
      </w:r>
      <w:bookmarkStart w:id="358" w:name="pg15902_182551"/>
    </w:p>
    <w:p>
      <w:pPr>
        <w:pStyle w:val="BookText"/>
        <w:rPr/>
      </w:pPr>
      <w:bookmarkEnd w:id="358"/>
      <w:r>
        <w:rPr>
          <w:rFonts w:ascii="Amiri" w:hAnsi="Amiri" w:eastAsia="Amiri" w:cs="Amiri"/>
          <w:color w:val="111111"/>
          <w:sz w:val="28"/>
          <w:sz w:val="28"/>
          <w:szCs w:val="28"/>
          <w:rtl w:val="true"/>
          <w:lang w:bidi="ar-SA"/>
        </w:rPr>
        <w:t>الفعل المحرّم حالة منتظرة إلاّ وجود هذه المقدّمة ، فكيف يمكن أن يقال بأنّها ليست إعانة على الإثم؟</w:t>
      </w:r>
    </w:p>
    <w:p>
      <w:pPr>
        <w:pStyle w:val="BookText"/>
        <w:rPr/>
      </w:pPr>
      <w:r>
        <w:rPr>
          <w:rFonts w:ascii="Amiri" w:hAnsi="Amiri" w:eastAsia="Amiri" w:cs="Amiri"/>
          <w:color w:val="111111"/>
          <w:sz w:val="28"/>
          <w:sz w:val="28"/>
          <w:szCs w:val="28"/>
          <w:rtl w:val="true"/>
          <w:lang w:bidi="ar-SA"/>
        </w:rPr>
        <w:t xml:space="preserve">وظهر ممّا ذكرنا أنّ تجارة التاجر وإن كان من مقدّمات أخذ العشّار العشر مثلا وهو حرام وإثم ، ولكن حيث أنّ التجارة من مبادي إرادة أخذ العشر وتكون بمنزلة الموضوع له وفي الرتبة المتقدّمة عليه ، فلو لم يكن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ترتّب أخذ العشر ، كما أنّه كذلك إذ قصد التاجر الانتفاع بهذا العمل ، لا أن يؤخذ منه العشر بل يسعى في عدمه أو لا أقلّ في تقليله ، فلا يكون إعانة وليس بحرام ، بل يكون على حكمه الأوّلى أي الاستحباب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بفعله هذا ترتّب الحرام عليه يكون إعانة وإن كان من أبعد المقدّمات والمعدّات</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5519300_2142443653"/>
      <w:bookmarkStart w:id="360" w:name="_Toc116"/>
      <w:bookmarkEnd w:id="359"/>
      <w:r>
        <w:rPr>
          <w:rtl w:val="true"/>
        </w:rPr>
        <w:t xml:space="preserve">الجهة الثالثة </w:t>
      </w:r>
      <w:r>
        <w:rPr>
          <w:rtl w:val="true"/>
        </w:rPr>
        <w:t xml:space="preserve">: </w:t>
      </w:r>
      <w:r>
        <w:rPr>
          <w:rtl w:val="true"/>
        </w:rPr>
        <w:t>في موارد تطبيق هذه القاعدة</w:t>
      </w:r>
      <w:bookmarkEnd w:id="360"/>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بيع العنب لمن يعلم أنّه يصنعه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لهذه المسألة شيخنا الأعظم الأنصاري قدس سره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ذكرنا من الضابط في باب الإعانة على الإثم إن كان البائع للعنب قصد ببيعه هذا ترتّب صنع الخمر على هذا البيع ، فيكون من الإعانة على الإثم قطعا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لم يقصد ذلك ، بل يريد بيع عنبه وتحصيل ثمنه ، وربما يتأذّى من صنعه خمرا ويسأل اللّه أن يردعه عن هذا الفعل ، فإن كان ذلك الغير عازما ومريدا لصنع الخمر إذا وجد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بيعه للعنب عليه بمنزلة الجزء الأخير من العلّة </w:t>
      </w:r>
    </w:p>
    <w:p>
      <w:pPr>
        <w:pStyle w:val="BookText"/>
        <w:rPr/>
      </w:pPr>
      <w:r>
        <w:rPr>
          <w:rFonts w:ascii="Amiri" w:hAnsi="Amiri" w:eastAsia="Amiri" w:cs="Amiri"/>
          <w:color w:val="111111"/>
          <w:sz w:val="28"/>
          <w:sz w:val="28"/>
          <w:szCs w:val="28"/>
          <w:rtl w:val="true"/>
          <w:lang w:bidi="ar-SA"/>
        </w:rPr>
        <w:t xml:space="preserve">التامّة ، ويكون من قبيل إعطاء العصا بيد من يريد ضرب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بيعه إعانة على الإثم ، قصد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كذلك ، ولا يريد فعلا أن يصنع خمرا ، ولكن يعلم البائع أنّ هذا العنب لو انتقل إليه يحدث فيه بعد ذلك إرادة صنع الخمر لما يعلم أنّه سيحدث له دواعي هذا الفعل ، ففي هذه الصورة لا يصدق على ذلك البيع عنوان الإعانة على الإثم ، إلاّ مع قصده ترتّب صنع الخمر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السلاح من أعداء الدين حال قيام الحرب معهم ، أو مطلقا على بعض الوجوه ، أي فيما إذا قصد البائع تقويتهم وازدياد شوكتهم ، أو استعماله في الحرب مع المسلمين إن قام بينهم وبين المسلمين حرب ؛ هكذا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 هذا بنفسه إثم بل من المعاصي الكبيرة ، لا أنّ حرمته من باب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قلنا من حرمة بيع العنب لمن يعلم أنّه يجعله خمرا من باب الإعانة على الإثم في بعض الصور الذي تقدّم تفصيلا ليس مختصّا بالبيع ، بل يشمل مطلق التمليك الاختياري ، سواء أكان بالبيع ، أو الصلح ، أو الدين ، أو الهبة ، أو المهر ، أو عوض الخلع إلى غير ذلك ؛ لوحدة مناط 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الدار أو الدكّان لصنع الخمر ، أو لبيعه ، أو ليكون محلّ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 التفصيل الذي تقدّم في بيع العنب من كونها إعانة على الإثم مطلقا إذا كانت بقصد ترتّب ذلك الحرام على هذه الإجارة ، وإلاّ إذا لم يقصد فإن كانت هذه الإجارة بمنزلة الجزء الأخير للعلّة التامّة لوقوع ذلك الحرام والإثم ، أي كانت بعد تحقّق إرادة المباشر للإثم وعزمه عليه بحيث لا تكون له حالة منتظرة إلاّ وجود مكان للاشتغال بهذا المحرّم ، من دكّان ، أو دار ، أو ما يشبههما فتكون إعانة على الإثم ، وإلاّ فلا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الخشب أو مادّة أخرى لمن يعلم أنّه يصنع الصليب أو الصنم على </w:t>
      </w:r>
    </w:p>
    <w:p>
      <w:pPr>
        <w:pStyle w:val="BookText"/>
        <w:rPr/>
      </w:pPr>
      <w:r>
        <w:rPr>
          <w:rFonts w:ascii="Amiri" w:hAnsi="Amiri" w:eastAsia="Amiri" w:cs="Amiri"/>
          <w:color w:val="111111"/>
          <w:sz w:val="28"/>
          <w:sz w:val="28"/>
          <w:szCs w:val="28"/>
          <w:rtl w:val="true"/>
          <w:lang w:bidi="ar-SA"/>
        </w:rPr>
        <w:t>التفصيل الذي تقدّم في بيع العنب لمن يعلم أنّه يصنعه خمرا لأنهما من واد واحد ، ومناط الحكم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فرق في صدق الإعانة على الإثم فيما ذكرنا من إجارة الدار أو الدكّان أو محلاّ آخر ممّا يشبههما بين أن يكون تسليم الدار أو الدكّان إلى المباشر الآثم بعنوان الوفاء بعقد الإجارة ، أو كان بعنوان الإعارة ، أو بعنوان آخر ممّا يوجب نقل المنفعة أو حلّية الانتفاع لذلك الذي يصدر منه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مسألة بيع الخشب أو مادّة أخرى ممّا يصنع منه الصليب أو الصنم لمن يعلم أنّه يصنعهما ، لا فرق بين البيع والهبة والصلح وسائر النواقل الشرعيّة الاختيارية للأعيان التي لها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 بيع الخشب أو أيّ مادة أخرى تصلح لصنع البرابط والمزامير والعود وسائر أدوات اللّهو وآلاته ، على التفصيل المتقدّم في بيع العنب لمن يعلم أنّه يصنع منها آلات اللّهو وأدواته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فرق بين أن يكون نقل هذه المواد إلى الذي يعلم أنّه يصنعها آلات اللّهو بالبيع ، أو كان بناقل شرعي اختياري آخر ، كما ذكرنا في الفروع السابقة ؛ لوحدة مناط 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السفينة أو الدابّة أو ما يشبههما كالسيارة والطيارة والقطار لحمل الخمر ونقله من مكان إلى مكان آخر لغرض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فيه التفصيل المتقدّم كما هو واضح بأدنى تأمل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عدّوا من شرائط صحّة الإجارة أن تكون المنفعة مباحة ؛ لأنّ حقيقة الإجارة تمليك منفعة معلومة بعوض معلوم ، والفرق بين البيع والإجارة أنّ البيع يتعلّق بالأعيان ويكون عبارة عن تمليك الأعيان المتموّلة بعوض مالي ، والإجارة تتعلّق بالمنافع وتكون عبارة عن تمليك المنافع المتموّلة في نظر الشارع ، فإذا كانت المنفعة </w:t>
      </w:r>
    </w:p>
    <w:p>
      <w:pPr>
        <w:pStyle w:val="BookText"/>
        <w:rPr/>
      </w:pPr>
      <w:r>
        <w:rPr>
          <w:rFonts w:ascii="Amiri" w:hAnsi="Amiri" w:eastAsia="Amiri" w:cs="Amiri"/>
          <w:color w:val="111111"/>
          <w:sz w:val="28"/>
          <w:sz w:val="28"/>
          <w:szCs w:val="28"/>
          <w:rtl w:val="true"/>
          <w:lang w:bidi="ar-SA"/>
        </w:rPr>
        <w:t>محرّمة فليس لها ماليّة كي تقابل بالعوض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الخامس أن تكون المنفعة مباحة ، فلو آجره مسكنا ليحرز فيه خمرا ، أو دكّانا ليبيع فيه آلة محرّمة ، أو أجيرا ليحمل إليه مسكرا لم تنعقد الإجارة ، وربما قيل بالتحريم وانعقاد الإجارة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وزاد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جارية للغناء ، أو كاتبا ليكتب له كفرا ونحوه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لأنّ الملاك في الجميع واحد ، والمراد بالكاتب الذي يكتب الكفر هو كتابة كتب الضلال التي توجب ضلال الناظرين فيه وفساد عقائدهم ، كالكتب التي تكتب ردّا على الإسلام من أصحاب سائر الأديان ، أو من الطبيعيين المنكرين للاله خذلهم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والموارد التي تكون المنفعة محرّمة ليست منحصرة بما ذكره صاحب الشرائع وصاحب الجواهر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كثيرة ، ولا يتوقّف الفقيه في مقام التطبيق بعد معرفة ضابط الذي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المفروض في كلام الشرائع غير ما نحن فيه ؛ لأنّ ما فرضه قدس سره فيما إذا كانت لأجل هذه الغاية المحرّمة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المنفعة التي يملكها المؤجر للمستأجر في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في بطلان عقد الإجارة وحرمته ، وإن نسب المحقق قدس سره الصحّة وعدم البطلان إلى القيل ، ولكن لا وجه 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bookmarkStart w:id="361" w:name="pg15902_18255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15519302_2142443653"/>
      <w:bookmarkStart w:id="363" w:name="_Toc117"/>
      <w:bookmarkEnd w:id="361"/>
      <w:bookmarkEnd w:id="362"/>
      <w:r>
        <w:rPr>
          <w:rtl w:val="true"/>
        </w:rPr>
        <w:t>فهرس الموضوعات</w:t>
      </w:r>
      <w:bookmarkEnd w:id="36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من ملك</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أنها من القواعد الفقهية أو من المسائل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بينها وبين قاعدة إقرار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بين السلطنة على ثبوت الشئ والسلطنة على إثباته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مفاد هذه القاعدة وما هو الظاهر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إقراره مشروط بأن يكون مالكا حال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الإمكان</w:t>
      </w:r>
    </w:p>
    <w:p>
      <w:pPr>
        <w:pStyle w:val="BookText"/>
        <w:rPr/>
      </w:pPr>
      <w:r>
        <w:rPr>
          <w:rFonts w:ascii="Amiri" w:hAnsi="Amiri" w:eastAsia="Amiri" w:cs="Amiri"/>
          <w:color w:val="111111"/>
          <w:sz w:val="28"/>
          <w:sz w:val="28"/>
          <w:szCs w:val="28"/>
          <w:rtl w:val="true"/>
          <w:lang w:bidi="ar-SA"/>
        </w:rPr>
        <w:t xml:space="preserve">والبحث فيه عن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الإمكان وما هو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خلاصة الكلام في المراد من الإمكان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فيما اختاره الشيخ الأنصاري قدس سره في معنى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على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كاشف اللثام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دلالة الروايات على هذه القاعدة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جريان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هذه القاعدة أصل عملي ومفادها حكم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اختصاص جريانها بالشبهات الموضوعية دون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الأصل في الدم بعد ما لمك يكن حيضا أنه استحاضة أم لا أصل لهذا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الأدلة على الأصل الإشكال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الإسلام يجبّ ما قبله</w:t>
      </w:r>
    </w:p>
    <w:p>
      <w:pPr>
        <w:pStyle w:val="BookText"/>
        <w:rPr/>
      </w:pPr>
      <w:r>
        <w:rPr>
          <w:rFonts w:ascii="Amiri" w:hAnsi="Amiri" w:eastAsia="Amiri" w:cs="Amiri"/>
          <w:color w:val="111111"/>
          <w:sz w:val="28"/>
          <w:sz w:val="28"/>
          <w:szCs w:val="28"/>
          <w:rtl w:val="true"/>
          <w:lang w:bidi="ar-SA"/>
        </w:rPr>
        <w:t xml:space="preserve">سند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المراد من القاعدة وما هو مفادها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موارد جريانها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خلاصة الكلام في مفادها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القرعة</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مشروعية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جريانها للشبهة الموضوعية المقرونة بالعلم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ذكر موارد جريان القرعة في سفينة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أصل أو 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الاستخارة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القاعدة مع الاستصحاب ، أيهما 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w:t>
      </w:r>
    </w:p>
    <w:p>
      <w:pPr>
        <w:pStyle w:val="BookText"/>
        <w:rPr/>
      </w:pPr>
      <w:r>
        <w:rPr>
          <w:rFonts w:ascii="Amiri" w:hAnsi="Amiri" w:eastAsia="Amiri" w:cs="Amiri"/>
          <w:color w:val="111111"/>
          <w:sz w:val="28"/>
          <w:sz w:val="28"/>
          <w:szCs w:val="28"/>
          <w:rtl w:val="true"/>
          <w:lang w:bidi="ar-SA"/>
        </w:rPr>
        <w:t>في بيان مدركها</w:t>
      </w:r>
    </w:p>
    <w:p>
      <w:pPr>
        <w:pStyle w:val="BookText"/>
        <w:rPr/>
      </w:pPr>
      <w:r>
        <w:rPr>
          <w:rFonts w:ascii="Amiri" w:hAnsi="Amiri" w:eastAsia="Amiri" w:cs="Amiri"/>
          <w:color w:val="111111"/>
          <w:sz w:val="28"/>
          <w:sz w:val="28"/>
          <w:szCs w:val="28"/>
          <w:rtl w:val="true"/>
          <w:lang w:bidi="ar-SA"/>
        </w:rPr>
        <w:t xml:space="preserve">مباحث توضيح القاعدة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شمولها للعامد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تكلف البعض لشمولها له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شمولها للعامد الجاهل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الدليل على عدم شمولها للجاهل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المستفاد منم ظاهر الصحيحة بكلا عقديها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عقد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الجزئية والشرطية والمانعية ، ينفيها بنفي الإعادة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الحكم بالنقيصة أو يشتمل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الفرق في شمولها بين الجزء والشرط بل المانع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للإعادة والقضاء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الخمسة المذكورة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الطهور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تحديد الركوع والسجود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 التجاوز في الجزء المنسي ، هو الدخول في الركن الذي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الأركان في هذه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عن السجدتين لا السجدة 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الإعادة في السجود على أرض نجسة نسيانا وسهوا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القروع والموارد التي ينطبق الحديث عليها بحسب عقد المستثنى منه أو المستثنى واستخراج حكمها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العمدي مبطل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جزء كم الصلاة أو أتى به بوجه غير صحيح لوجود خلل فيه ، تبطل الصلاة وتجب الإعادة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بالصلاة سهوا ونسيانا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النقيصة في الأجزاء أو الشرائط الركنية مبطل وموجب للإعادة إذا كان الالتفات بعد الفراغ من الصلاة أو تجاوز المحل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القول فيمن نسى السجدتين وتذكر قبل تجاوز المحل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القول فيمن نسى السجدتين وتذكر بعد تجاوز محلها أو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القول في التذكر بعد السلام وإتيان المنافي عمدا وسهوا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القول في التذكر بعد السلام وقبل إتيان المنافي والمبطل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القول فيمن نسى تمام الركعة الأخيرة من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إذا كان المنسى غير الأركان فلا تبطل الصلاة على كل 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الأجزاء غير الركنية على الترتيب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نسيان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نسيان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نسيان السجدة 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نسيان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أخبار تدل على صحة الصلاة إذا نسي السلام وإن أتى بالمنافي </w:t>
      </w:r>
    </w:p>
    <w:p>
      <w:pPr>
        <w:pStyle w:val="BookText"/>
        <w:rPr/>
      </w:pPr>
      <w:r>
        <w:rPr>
          <w:rFonts w:ascii="Amiri" w:hAnsi="Amiri" w:eastAsia="Amiri" w:cs="Amiri"/>
          <w:color w:val="111111"/>
          <w:sz w:val="28"/>
          <w:sz w:val="28"/>
          <w:szCs w:val="28"/>
          <w:rtl w:val="true"/>
          <w:lang w:bidi="ar-SA"/>
        </w:rPr>
        <w:t xml:space="preserve">العمدي والسهوي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الزيادة في الصلاة في الأركان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p>
    <w:p>
      <w:pPr>
        <w:pStyle w:val="BookText"/>
        <w:rPr/>
      </w:pPr>
      <w:r>
        <w:rPr>
          <w:rFonts w:ascii="Amiri" w:hAnsi="Amiri" w:eastAsia="Amiri" w:cs="Amiri"/>
          <w:color w:val="111111"/>
          <w:sz w:val="28"/>
          <w:sz w:val="28"/>
          <w:szCs w:val="28"/>
          <w:rtl w:val="true"/>
          <w:lang w:bidi="ar-SA"/>
        </w:rPr>
        <w:t>وفيها جهات من الكلام</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قاعدة فقهية وليست من المسائل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اعتبارها ، وهو من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أصل أو 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دلالتها ومقدار حجيتها وموارد جريانها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موارد البحث والخلاف في اعتبار اليد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حال حدوثها معلوم العنوان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مقابل ذي اليد من يدعى الملكية لما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حجيتها مخصوصة بالأعيان المتمولة ، أم تجري في المنافع أيضا؟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في الحقوق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في النسب والأعراض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في حق نفس ذي اليد إذا شك في أن ما بيده ملك له أو لغيره فيما إذا لم يكن مدع في قباله ،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 المسلم إمارة على التذكية والحلية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ذي اليد في الطهارة والنجاسة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 ذي اليد وإقرار لأحد المتنازعين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ذي اليد لكل واحد من الشخصين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الأمر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الشهادة والحلف مستندا إلى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تعارضها مع الأمارات والأصول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تعارض اليد مع سائر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تعدد الأيدي على مال واحد أمارة على الملكية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أحد موجبات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اليد سببا لحصول الملكيّة في عالم الثبوت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السبيل للكافرين على المسلمين</w:t>
      </w:r>
    </w:p>
    <w:p>
      <w:pPr>
        <w:pStyle w:val="BookText"/>
        <w:rPr/>
      </w:pPr>
      <w:r>
        <w:rPr>
          <w:rFonts w:ascii="Amiri" w:hAnsi="Amiri" w:eastAsia="Amiri" w:cs="Amiri"/>
          <w:color w:val="111111"/>
          <w:sz w:val="28"/>
          <w:sz w:val="28"/>
          <w:szCs w:val="28"/>
          <w:rtl w:val="true"/>
          <w:lang w:bidi="ar-SA"/>
        </w:rPr>
        <w:t>وفيها جهات من البحث</w:t>
      </w:r>
    </w:p>
    <w:p>
      <w:pPr>
        <w:pStyle w:val="BookText"/>
        <w:rPr/>
      </w:pPr>
      <w:r>
        <w:rPr>
          <w:rFonts w:ascii="Amiri" w:hAnsi="Amiri" w:eastAsia="Amiri" w:cs="Amiri"/>
          <w:color w:val="111111"/>
          <w:sz w:val="28"/>
          <w:sz w:val="28"/>
          <w:szCs w:val="28"/>
          <w:rtl w:val="true"/>
          <w:lang w:bidi="ar-SA"/>
        </w:rPr>
        <w:t xml:space="preserve">الجهة الأولى في مستندها ، وهو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يعلو ولا يعلى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الحكم والموضوع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مضمون هذه القاعدة ومفادها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عدم جواز تملك الكافر للمسلم بأي نحو من أنحاء التملك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هل يجوز إجارة العبد المسلم للكافر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هل يجوز إعادة العبد المسلم للكافر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ارتهان العبد المسلم عند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عدم جواز وقف العبد المسلم على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عدم ثبوت الولاية للكافر على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عدم توقف صحة نذر الولد المسلم على إذن أبيه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جعل الكافر متوليا على أوقاف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ثبوت حق الشفعة للكافر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بطلان نكاح الكافر بإسلام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عدم اعتبار التقاط الكافر للطفل المحكوم بإسلامه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ضرر ولا ضرار</w:t>
      </w:r>
    </w:p>
    <w:p>
      <w:pPr>
        <w:pStyle w:val="BookText"/>
        <w:rPr/>
      </w:pPr>
      <w:r>
        <w:rPr>
          <w:rFonts w:ascii="Amiri" w:hAnsi="Amiri" w:eastAsia="Amiri" w:cs="Amiri"/>
          <w:color w:val="111111"/>
          <w:sz w:val="28"/>
          <w:sz w:val="28"/>
          <w:szCs w:val="28"/>
          <w:rtl w:val="true"/>
          <w:lang w:bidi="ar-SA"/>
        </w:rPr>
        <w:t xml:space="preserve">والكلام فيها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 وهو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شرح ألفاظ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مفاد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ايجاد 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بلسان نفي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الفرق بين القولين الثاني والثالث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مفادها نفي الضرر غير المتدارك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الدليل على المختار من الأقوال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الإشكالات على تطبيق هذه القاعدة على مواردها التي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الشيخ الأنصاري على تمامية القاعدة بلزوم تخصيص الأكثر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تقديم هذه القاعدة على الأدلة الأولية القائمة على ثبوت الأحكام الواقعية لموضوعاتها بعناوينها الأولية </w:t>
      </w:r>
      <w:r>
        <w:rPr>
          <w:rFonts w:eastAsia="Amiri" w:cs="Amiri" w:ascii="Amiri" w:hAnsi="Amiri"/>
          <w:color w:val="111111"/>
          <w:sz w:val="28"/>
          <w:szCs w:val="28"/>
          <w:lang w:bidi="ar-SA"/>
        </w:rPr>
        <w:t>231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القاعدة نفي الضرر الواقعي في حالتي العلم والجهل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هذه القاعدة هذه القاعدة رفع الحكم الضروري الذي لولاها لكان ثابتا وموجودا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الضرر المنفي في هذه القاعدة ، الشخصي أو النوعي؟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الضررين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هذه القاعدة مع مجرى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نفى العسر والحرج</w:t>
      </w:r>
    </w:p>
    <w:p>
      <w:pPr>
        <w:pStyle w:val="BookText"/>
        <w:rPr/>
      </w:pPr>
      <w:r>
        <w:rPr>
          <w:rFonts w:ascii="Amiri" w:hAnsi="Amiri" w:eastAsia="Amiri" w:cs="Amiri"/>
          <w:color w:val="111111"/>
          <w:sz w:val="28"/>
          <w:sz w:val="28"/>
          <w:szCs w:val="28"/>
          <w:rtl w:val="true"/>
          <w:lang w:bidi="ar-SA"/>
        </w:rPr>
        <w:t xml:space="preserve">والتكلّم فيها من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عليها من الآيات والروايات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ومضمونها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أمران يجب التنبيه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تصح العبادة مع تحمل المكلف الحرج باختياره؟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حاكمية القاعدة على كل حكم شرعي حرجي ، من الواجبات والمحرمات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المغرور يرجع إلى من غره</w:t>
      </w:r>
    </w:p>
    <w:p>
      <w:pPr>
        <w:pStyle w:val="BookText"/>
        <w:rPr/>
      </w:pPr>
      <w:r>
        <w:rPr>
          <w:rFonts w:ascii="Amiri" w:hAnsi="Amiri" w:eastAsia="Amiri" w:cs="Amiri"/>
          <w:color w:val="111111"/>
          <w:sz w:val="28"/>
          <w:sz w:val="28"/>
          <w:szCs w:val="28"/>
          <w:rtl w:val="true"/>
          <w:lang w:bidi="ar-SA"/>
        </w:rPr>
        <w:t xml:space="preserve">والكلام فيها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القاعدة جهات من الكلام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مستندها ،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الأوّل 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يرجع إلى من غره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إتلاف الغار على المغرور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الواردة في الموارد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ومدلولها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الجهة الثالثة في ذكر جملة من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w:t>
      </w:r>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اعتبارها بناء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الصحة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الواقعية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هذا الأصل إلا بعد إحراز عنوان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هذا الأصل إلا بعد وجود الشئ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المعاملات في أبواب العقود والإيقاعات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فروع يستشكل في جريان القاعدة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الصرف لو شك في القبض في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لا تجري في الأفعال القصدية إلا بعد إحراز قصد الفاعل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إنها أصل أو إمارة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الاستصحابات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أصالة الصحة في الاعتقادات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قاعدتي الفراغ والتجاوز</w:t>
      </w:r>
    </w:p>
    <w:p>
      <w:pPr>
        <w:pStyle w:val="BookText"/>
        <w:rPr/>
      </w:pPr>
      <w:r>
        <w:rPr>
          <w:rFonts w:ascii="Amiri" w:hAnsi="Amiri" w:eastAsia="Amiri" w:cs="Amiri"/>
          <w:color w:val="111111"/>
          <w:sz w:val="28"/>
          <w:sz w:val="28"/>
          <w:szCs w:val="28"/>
          <w:rtl w:val="true"/>
          <w:lang w:bidi="ar-SA"/>
        </w:rPr>
        <w:t>وفيها مباحث</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من الأصول التنزيليّة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من القواعد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قاعدتين أو قاعدة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المضي والتجاوز في القاعدتين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الدخول في الغير معتبر في جريان القاعدتين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الغير في قاعدة التجاوز يشمل مقدمات الأجزاء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التجاوز في الشروط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جريان القاعدتين أن يكون المكلف محرزا لجميع أجزاء المركب المأمور به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جريان قاعدة التجاوز في الوضوء والغسل والتيمم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عدم الاعتنا بالشك في القاعدتين عل نحو العزيمة ، ام على نحو الرخصة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على الإثم والعدوان</w:t>
      </w:r>
    </w:p>
    <w:p>
      <w:pPr>
        <w:pStyle w:val="BookText"/>
        <w:rPr/>
      </w:pPr>
      <w:r>
        <w:rPr>
          <w:rFonts w:ascii="Amiri" w:hAnsi="Amiri" w:eastAsia="Amiri" w:cs="Amiri"/>
          <w:color w:val="111111"/>
          <w:sz w:val="28"/>
          <w:sz w:val="28"/>
          <w:szCs w:val="28"/>
          <w:rtl w:val="true"/>
          <w:lang w:bidi="ar-SA"/>
        </w:rPr>
        <w:t xml:space="preserve">والتكلّم فيها عن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مدركها ومستندها وهو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التي تدل على حرمة الإعانة على الإثم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المساعدة على إتيان ما هو مبغوض المولى وما هو فيه المفسدة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واتفاق الفقهاء على حرمة الإعانة على الإثم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الجهة الثانية في المراد من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مدني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وقد نقلنا النص من اللغة الفارسية إلى العربية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تاريخ ولادته، فذهب بعض إلى أنها في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و بعض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و أشار ولده آية اللّه سید محمد البجنوردي إلى أن تاريخ ولادته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ولد المصنّف آية اللّه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والدي كان يحفظ القرآن و نهج البلاغة و الصحيفة السجادية و المعلقات السبع و مقامات الحريري و مثنوي و شاهنامه فردوسی و گلستان سعدی و دیوان حافظ و جامى و 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 كل قصيدة إذا قرأتها مرتين حفظتها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ترجمة السيد البجنوردي و ذكر أحواله على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معجم رجال الفكر و الأدب في النجف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مشاهیر جهان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دانشنامۀ جهان اسلام، حرف ب، جزوه سه، 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آیة اللّه سید محمد موسوی بجنوردی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طلاق العبد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الإقرار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من دم الاستحاضة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الحيض والاستحاضة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من دم الاستحاضة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حكم الحيض والاستحاضة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علائم دم الحيض والاستحاضة والعذرة والقرحة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أوّل ما تحيض المرأة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الحيض والاستحاضة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الطهر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ترى الدم قبل أيّامها أو بعد طهرها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الحيض والاستحاضة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الحبلى ترى الدم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الحيض والاستحاضة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الحبلى ترى الدم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الحيض والاستحاضة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الحبلى ترى الدم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الحيض والاستحاضة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في يوم من أيّام شهر رمضان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الحيض والاستحاضة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الاستظهار للمستحاضة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الاستظهار للمستحاضة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قضاياه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الطبراني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قضاياه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المناسك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 ح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البينتين يتقابلان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الدعاوي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 ح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الدعاوي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البيّنتين يتقابلان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واحكام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البينتين يتقابلان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 ح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البينتين يتقابلان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البينتين يتقابلان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ميراث الغرقى والذين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الغرقى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ميراث الغرقى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 في المتن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البينتين يتقابلان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أنّهم علیهم السلام عندهم موادّ العلم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السادس في التعادل والتراجيح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إنّهم علیهم السلام عندهم موادّ العلم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القراءة في الصلاة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وجوب الطهور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الخلوة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الركوع وما يقال فيه من التسبيح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الركوع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في صحيحة لا تعاد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احكام السهو في الصلاة ،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الجهر بالقراءة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القراءة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الكتب الأربعة ووسائل الشيعة ومستدرك الوسائل وبحار الأنوار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وقت الصلاة في يوم الغيم والريح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وعلامة كلّ وقت منها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المواقيت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القبلة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المواقيت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أفعال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والشكّ ،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الركوع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تكبيرة الإحرام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نسي الركوع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الركوع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التشهّد في الركعتين الأولتين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التسليم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في الصلاة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تكلّم في الصلاة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تكلّم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والشك ،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القراءة في الصلاة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القراءة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القراءة في الصلاة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والشكّ ،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الجهر بالقراءة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القراءة في الصلاة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التشهّد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تكلّم في صلاته أو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ترك سجدة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السجود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التسليم ليس بفرض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التسليم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البول والغائط والريح يقطع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الالتفات في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التسليم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التسليم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تيقّن أنّه زاد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سها في الأربع والخمس ولم 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تيقّن أنّه زاد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الأقطاب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امارة مالكيت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شيدا شكوايى ، ماجستير ، جامعة طهران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مالكي ويد ضماني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قاعدة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يد ولا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يجب ردّ شهادته ومن يجب قبول شهادته ، 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الرقيق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البيوع ، ح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البيوع ، 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القضاء بالبينات والأيمان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للعراقي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للعراقي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اللقطة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اللقطة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لباس المصلّى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يصلّي فيه وما لا يصلّي ،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بن إسماعيل ، عن أبيه إسماعيل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موسى عن أبيه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الذبائح والأطعمة ومار كلّ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الإقرار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فيمن يجب ردّ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ردّ المغضوب إذا كان باقيا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الصدقات ، باب العارية ،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أحيا أرضا ميتة ليست لأحد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أحيا أرضا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سبيل در حقوق 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شاملو احمدى ، ماجستير مدرسة الشهيد مطهّرى العالية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موانع الإرث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القضاء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أتي بعبد لذمّي قد أسلم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البيع ، في شرائط المتعاقدين ، 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الإيمان يشترك الإسلام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البيع ، في شرائط المتعاقدين ، 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الأقطاب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والقواعد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نفى 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الخميني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قاعدتان فقهيتان اللاضرر والرضاع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وتحقيق قاعدة لا ضرر ولا ضرار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شرف الدين ، ماجستير ، جامعه طهران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وتحقيق قاعدة لا ضرر از 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اليثربى ، ماجستير ، جامعة طهران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مولا ، ماجستير ، جامعة طهران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لا ضرر از ديدگاه امام راحل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 مجله حضور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قاعدة فقهي قاعدة يد ولا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فصليّة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السبق والرماية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مختار النراقي ،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حاشية على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للمنفي لا للنفي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ج معادل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لحفر الأرض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المدية ج مُدىً ومِدىً ومديات ومديات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الكبيرة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الأقطاب الفقهية على مذهب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والقواعد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نفى العسر والحرج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الآشتيانى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نفى عسر وحرج وكاربرد آن در قوانين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خرسنديان ، ماجستير ، مدرسة الشهيد مطهري العالية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وحرج ونقش آن در روابط موجر ومستأجر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اليميني ، ماجستير ، جامعة الشهيد بهشتى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عسر وحرج وآثار آن در حقوق مدني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ماجستير ، جامعة طهران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قاعدة لا حرج در اجاره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كشورى ،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قضائي وحقوقي دادگسترى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بحثي در عسر وحرج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على محمّد المدرّس الأصفهاني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كانون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لسنتها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وبررسيها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قاعدة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الفصليّة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والغرض منه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على الجبائر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ركود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صفر أو حجارة كالإجانة ، وقد يتوضّأ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المياه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الماء الذي تكون فيه قلّة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القليل يحصل فيه النجاسة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اختلاط ماء المطر بالبول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يصلّي فيه وما لا يصلّي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الرهبانيّة وترك الباه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الصلوات المندوبة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في اللفظ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الرهبانيّة وترك الباه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الصلوات المندوبة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النيّة وشرائطها ومراتبها ،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الإخلاص معنى قربه تعالى ،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غرور وتتبع كاربرد آن در فقه وقانون 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نوشين چترچى ، ماجستير مدرسة الشهيد مطهّرى العالية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غرور وموارد استناد به آن در مذاهب خمسه 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طالبي ، ماجستير ، جامعة طهران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غرور وكاربرد آن در فقه وقانون 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نوشين چترچى ،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قاعدة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وأصالة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غرور ودليل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اعتضاد البروجردي ،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المحدودة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يرد منه النكاح ، 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الوكالة ، ح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الزور وما جاء فيها ، 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الزور وما جاء فيها ، ح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اشترى جارية فأولدها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صحت وأصل لزوم 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شهيدى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جمالي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كانون سر دفتران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صحت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فريار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مؤسسة حقوق تطبيقى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صحت در عمل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الگرجي ، مجلّة كليّة الحقوق والعلوم السياسي ،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قاعدة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وأصالة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اعتضاد البروجردي ،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لسنتها الأولى ، والعدد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لسنتها الثانية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وهو قائم فلا يدرى أركع أم لا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الركوع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وهو قائم فلا يدري أركع أم لا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الركوع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والغرض منه والسنّة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والغرض منه والسنة ،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المواقيت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هذا القسم ،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القسم الثالث من الأقسام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رسول اللّه صلی اللّه علیه و آله ،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والأشربة ،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فيما يحلّ الشراء والبيع منه وما لا يحلّ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وشراء السرقة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إجارة البيت لمن يبيع فيه الخمر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جهاد العدو وما يناسبه ،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94797</Words>
  <Characters>378442</Characters>
  <CharactersWithSpaces>471118</CharactersWithSpaces>
  <Paragraphs>2506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2026-08-25T06:06:46Z</dcterms:created>
  <dc:creator>ghaemiyeh.com</dc:creator>
  <dc:description/>
  <dc:language>en-US</dc:language>
  <cp:lastModifiedBy/>
  <dcterms:modified xsi:type="dcterms:W3CDTF">2026-08-25T09:36:57Z</dcterms:modified>
  <cp:revision>1</cp:revision>
  <dc:subject/>
  <dc:title>القواعد الفقهیة جلد 1</dc:title>
</cp:coreProperties>
</file>

<file path=docProps/custom.xml><?xml version="1.0" encoding="utf-8"?>
<Properties xmlns="http://schemas.openxmlformats.org/officeDocument/2006/custom-properties" xmlns:vt="http://schemas.openxmlformats.org/officeDocument/2006/docPropsVTypes"/>
</file>