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61564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2561566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561568_2142443653">
            <w:r>
              <w:rPr>
                <w:webHidden/>
                <w:rStyle w:val="IndexLink"/>
                <w:rtl w:val="true"/>
              </w:rPr>
              <w:t>فصل</w:t>
            </w:r>
            <w:r>
              <w:rPr>
                <w:rStyle w:val="IndexLink"/>
                <w:rtl w:val="true"/>
              </w:rPr>
              <w:t xml:space="preserve">: </w:t>
            </w:r>
            <w:r>
              <w:rPr>
                <w:rStyle w:val="IndexLink"/>
                <w:rtl w:val="true"/>
              </w:rPr>
              <w:t>في أحكام التخلي</w:t>
            </w:r>
            <w:r>
              <w:rPr>
                <w:rStyle w:val="IndexLink"/>
                <w:rtl w:val="true"/>
              </w:rPr>
              <w:tab/>
            </w:r>
            <w:r>
              <w:rPr>
                <w:rStyle w:val="IndexLink"/>
              </w:rPr>
              <w:t>10</w:t>
            </w:r>
          </w:hyperlink>
        </w:p>
        <w:p>
          <w:pPr>
            <w:pStyle w:val="Contents3"/>
            <w:tabs>
              <w:tab w:val="clear" w:pos="8459"/>
              <w:tab w:val="right" w:pos="9026" w:leader="dot"/>
            </w:tabs>
            <w:rPr/>
          </w:pPr>
          <w:hyperlink w:anchor="__RefHeading___Toc12561570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2561572_2142443653">
            <w:r>
              <w:rPr>
                <w:webHidden/>
                <w:rStyle w:val="IndexLink"/>
                <w:rtl w:val="true"/>
              </w:rPr>
              <w:t>فصل</w:t>
            </w:r>
            <w:r>
              <w:rPr>
                <w:rStyle w:val="IndexLink"/>
                <w:rtl w:val="true"/>
              </w:rPr>
              <w:t xml:space="preserve">: </w:t>
            </w:r>
            <w:r>
              <w:rPr>
                <w:rStyle w:val="IndexLink"/>
                <w:rtl w:val="true"/>
              </w:rPr>
              <w:t>في أحكام التخلي</w:t>
            </w:r>
            <w:r>
              <w:rPr>
                <w:rStyle w:val="IndexLink"/>
                <w:rtl w:val="true"/>
              </w:rPr>
              <w:tab/>
            </w:r>
            <w:r>
              <w:rPr>
                <w:rStyle w:val="IndexLink"/>
              </w:rPr>
              <w:t>12</w:t>
            </w:r>
          </w:hyperlink>
        </w:p>
        <w:p>
          <w:pPr>
            <w:pStyle w:val="Contents4"/>
            <w:tabs>
              <w:tab w:val="clear" w:pos="8176"/>
              <w:tab w:val="right" w:pos="9026" w:leader="dot"/>
            </w:tabs>
            <w:rPr/>
          </w:pPr>
          <w:hyperlink w:anchor="__RefHeading___Toc12561574_2142443653">
            <w:r>
              <w:rPr>
                <w:webHidden/>
                <w:rStyle w:val="IndexLink"/>
                <w:rtl w:val="true"/>
              </w:rPr>
              <w:t>ستر العورة</w:t>
            </w:r>
            <w:r>
              <w:rPr>
                <w:rStyle w:val="IndexLink"/>
                <w:rtl w:val="true"/>
              </w:rPr>
              <w:tab/>
            </w:r>
            <w:r>
              <w:rPr>
                <w:rStyle w:val="IndexLink"/>
              </w:rPr>
              <w:t>12</w:t>
            </w:r>
          </w:hyperlink>
        </w:p>
        <w:p>
          <w:pPr>
            <w:pStyle w:val="Contents4"/>
            <w:tabs>
              <w:tab w:val="clear" w:pos="8176"/>
              <w:tab w:val="right" w:pos="9026" w:leader="dot"/>
            </w:tabs>
            <w:rPr/>
          </w:pPr>
          <w:hyperlink w:anchor="__RefHeading___Toc12561576_2142443653">
            <w:r>
              <w:rPr>
                <w:webHidden/>
                <w:rStyle w:val="IndexLink"/>
                <w:rtl w:val="true"/>
              </w:rPr>
              <w:t xml:space="preserve">المسألة </w:t>
            </w:r>
            <w:r>
              <w:rPr>
                <w:rStyle w:val="IndexLink"/>
              </w:rPr>
              <w:t>73</w:t>
            </w:r>
            <w:r>
              <w:rPr>
                <w:rStyle w:val="IndexLink"/>
                <w:rtl w:val="true"/>
              </w:rPr>
              <w:t xml:space="preserve">: </w:t>
            </w:r>
            <w:r>
              <w:rPr>
                <w:rStyle w:val="IndexLink"/>
                <w:rtl w:val="true"/>
              </w:rPr>
              <w:t>حرمة النظر إلى عورة الغير</w:t>
            </w:r>
            <w:r>
              <w:rPr>
                <w:rStyle w:val="IndexLink"/>
                <w:rtl w:val="true"/>
              </w:rPr>
              <w:tab/>
            </w:r>
            <w:r>
              <w:rPr>
                <w:rStyle w:val="IndexLink"/>
              </w:rPr>
              <w:t>23</w:t>
            </w:r>
          </w:hyperlink>
        </w:p>
        <w:p>
          <w:pPr>
            <w:pStyle w:val="Contents4"/>
            <w:tabs>
              <w:tab w:val="clear" w:pos="8176"/>
              <w:tab w:val="right" w:pos="9026" w:leader="dot"/>
            </w:tabs>
            <w:rPr/>
          </w:pPr>
          <w:hyperlink w:anchor="__RefHeading___Toc12561578_2142443653">
            <w:r>
              <w:rPr>
                <w:webHidden/>
                <w:rStyle w:val="IndexLink"/>
                <w:rtl w:val="true"/>
              </w:rPr>
              <w:t xml:space="preserve">المسألة </w:t>
            </w:r>
            <w:r>
              <w:rPr>
                <w:rStyle w:val="IndexLink"/>
              </w:rPr>
              <w:t>74</w:t>
            </w:r>
            <w:r>
              <w:rPr>
                <w:rStyle w:val="IndexLink"/>
                <w:rtl w:val="true"/>
              </w:rPr>
              <w:t xml:space="preserve">: </w:t>
            </w:r>
            <w:r>
              <w:rPr>
                <w:rStyle w:val="IndexLink"/>
                <w:rtl w:val="true"/>
              </w:rPr>
              <w:t>ما هي العورة</w:t>
            </w:r>
            <w:r>
              <w:rPr>
                <w:rStyle w:val="IndexLink"/>
                <w:rtl w:val="true"/>
              </w:rPr>
              <w:tab/>
            </w:r>
            <w:r>
              <w:rPr>
                <w:rStyle w:val="IndexLink"/>
              </w:rPr>
              <w:t>26</w:t>
            </w:r>
          </w:hyperlink>
        </w:p>
        <w:p>
          <w:pPr>
            <w:pStyle w:val="Contents4"/>
            <w:tabs>
              <w:tab w:val="clear" w:pos="8176"/>
              <w:tab w:val="right" w:pos="9026" w:leader="dot"/>
            </w:tabs>
            <w:rPr/>
          </w:pPr>
          <w:hyperlink w:anchor="__RefHeading___Toc12561580_2142443653">
            <w:r>
              <w:rPr>
                <w:webHidden/>
                <w:rStyle w:val="IndexLink"/>
                <w:rtl w:val="true"/>
              </w:rPr>
              <w:t xml:space="preserve">المسألة </w:t>
            </w:r>
            <w:r>
              <w:rPr>
                <w:rStyle w:val="IndexLink"/>
              </w:rPr>
              <w:t>75</w:t>
            </w:r>
            <w:r>
              <w:rPr>
                <w:rStyle w:val="IndexLink"/>
                <w:rtl w:val="true"/>
              </w:rPr>
              <w:t xml:space="preserve">: </w:t>
            </w:r>
            <w:r>
              <w:rPr>
                <w:rStyle w:val="IndexLink"/>
                <w:rtl w:val="true"/>
              </w:rPr>
              <w:t>حرمة استقبال القبلة</w:t>
            </w:r>
            <w:r>
              <w:rPr>
                <w:rStyle w:val="IndexLink"/>
                <w:rtl w:val="true"/>
              </w:rPr>
              <w:tab/>
            </w:r>
            <w:r>
              <w:rPr>
                <w:rStyle w:val="IndexLink"/>
              </w:rPr>
              <w:t>27</w:t>
            </w:r>
          </w:hyperlink>
        </w:p>
        <w:p>
          <w:pPr>
            <w:pStyle w:val="Contents4"/>
            <w:tabs>
              <w:tab w:val="clear" w:pos="8176"/>
              <w:tab w:val="right" w:pos="9026" w:leader="dot"/>
            </w:tabs>
            <w:rPr/>
          </w:pPr>
          <w:hyperlink w:anchor="__RefHeading___Toc12561582_2142443653">
            <w:r>
              <w:rPr>
                <w:webHidden/>
                <w:rStyle w:val="IndexLink"/>
                <w:rtl w:val="true"/>
              </w:rPr>
              <w:t xml:space="preserve">المسألة </w:t>
            </w:r>
            <w:r>
              <w:rPr>
                <w:rStyle w:val="IndexLink"/>
              </w:rPr>
              <w:t>76</w:t>
            </w:r>
            <w:r>
              <w:rPr>
                <w:rStyle w:val="IndexLink"/>
                <w:rtl w:val="true"/>
              </w:rPr>
              <w:t xml:space="preserve">: </w:t>
            </w:r>
            <w:r>
              <w:rPr>
                <w:rStyle w:val="IndexLink"/>
                <w:rtl w:val="true"/>
              </w:rPr>
              <w:t>وجوب غسل محل البول</w:t>
            </w:r>
            <w:r>
              <w:rPr>
                <w:rStyle w:val="IndexLink"/>
                <w:rtl w:val="true"/>
              </w:rPr>
              <w:tab/>
            </w:r>
            <w:r>
              <w:rPr>
                <w:rStyle w:val="IndexLink"/>
              </w:rPr>
              <w:t>29</w:t>
            </w:r>
          </w:hyperlink>
        </w:p>
        <w:p>
          <w:pPr>
            <w:pStyle w:val="Contents4"/>
            <w:tabs>
              <w:tab w:val="clear" w:pos="8176"/>
              <w:tab w:val="right" w:pos="9026" w:leader="dot"/>
            </w:tabs>
            <w:rPr/>
          </w:pPr>
          <w:hyperlink w:anchor="__RefHeading___Toc12561584_2142443653">
            <w:r>
              <w:rPr>
                <w:webHidden/>
                <w:rStyle w:val="IndexLink"/>
                <w:rtl w:val="true"/>
              </w:rPr>
              <w:t xml:space="preserve">المسألة </w:t>
            </w:r>
            <w:r>
              <w:rPr>
                <w:rStyle w:val="IndexLink"/>
              </w:rPr>
              <w:t>77</w:t>
            </w:r>
            <w:r>
              <w:rPr>
                <w:rStyle w:val="IndexLink"/>
                <w:rtl w:val="true"/>
              </w:rPr>
              <w:t xml:space="preserve">: </w:t>
            </w:r>
            <w:r>
              <w:rPr>
                <w:rStyle w:val="IndexLink"/>
                <w:rtl w:val="true"/>
              </w:rPr>
              <w:t>كيفيّة غسل الأغلف</w:t>
            </w:r>
            <w:r>
              <w:rPr>
                <w:rStyle w:val="IndexLink"/>
                <w:rtl w:val="true"/>
              </w:rPr>
              <w:tab/>
            </w:r>
            <w:r>
              <w:rPr>
                <w:rStyle w:val="IndexLink"/>
              </w:rPr>
              <w:t>33</w:t>
            </w:r>
          </w:hyperlink>
        </w:p>
        <w:p>
          <w:pPr>
            <w:pStyle w:val="Contents4"/>
            <w:tabs>
              <w:tab w:val="clear" w:pos="8176"/>
              <w:tab w:val="right" w:pos="9026" w:leader="dot"/>
            </w:tabs>
            <w:rPr/>
          </w:pPr>
          <w:hyperlink w:anchor="__RefHeading___Toc12561586_2142443653">
            <w:r>
              <w:rPr>
                <w:webHidden/>
                <w:rStyle w:val="IndexLink"/>
                <w:rtl w:val="true"/>
              </w:rPr>
              <w:t xml:space="preserve">المسألة </w:t>
            </w:r>
            <w:r>
              <w:rPr>
                <w:rStyle w:val="IndexLink"/>
              </w:rPr>
              <w:t>78</w:t>
            </w:r>
            <w:r>
              <w:rPr>
                <w:rStyle w:val="IndexLink"/>
                <w:rtl w:val="true"/>
              </w:rPr>
              <w:t xml:space="preserve">: </w:t>
            </w:r>
            <w:r>
              <w:rPr>
                <w:rStyle w:val="IndexLink"/>
                <w:rtl w:val="true"/>
              </w:rPr>
              <w:t>تطهير مخرج الغائط</w:t>
            </w:r>
            <w:r>
              <w:rPr>
                <w:rStyle w:val="IndexLink"/>
                <w:rtl w:val="true"/>
              </w:rPr>
              <w:tab/>
            </w:r>
            <w:r>
              <w:rPr>
                <w:rStyle w:val="IndexLink"/>
              </w:rPr>
              <w:t>34</w:t>
            </w:r>
          </w:hyperlink>
        </w:p>
        <w:p>
          <w:pPr>
            <w:pStyle w:val="Contents4"/>
            <w:tabs>
              <w:tab w:val="clear" w:pos="8176"/>
              <w:tab w:val="right" w:pos="9026" w:leader="dot"/>
            </w:tabs>
            <w:rPr/>
          </w:pPr>
          <w:hyperlink w:anchor="__RefHeading___Toc12561588_2142443653">
            <w:r>
              <w:rPr>
                <w:webHidden/>
                <w:rStyle w:val="IndexLink"/>
                <w:rtl w:val="true"/>
              </w:rPr>
              <w:t xml:space="preserve">المسألة </w:t>
            </w:r>
            <w:r>
              <w:rPr>
                <w:rStyle w:val="IndexLink"/>
              </w:rPr>
              <w:t>79</w:t>
            </w:r>
            <w:r>
              <w:rPr>
                <w:rStyle w:val="IndexLink"/>
                <w:rtl w:val="true"/>
              </w:rPr>
              <w:t xml:space="preserve">: </w:t>
            </w:r>
            <w:r>
              <w:rPr>
                <w:rStyle w:val="IndexLink"/>
                <w:rtl w:val="true"/>
              </w:rPr>
              <w:t>حدّ غسل الغائط</w:t>
            </w:r>
            <w:r>
              <w:rPr>
                <w:rStyle w:val="IndexLink"/>
                <w:rtl w:val="true"/>
              </w:rPr>
              <w:tab/>
            </w:r>
            <w:r>
              <w:rPr>
                <w:rStyle w:val="IndexLink"/>
              </w:rPr>
              <w:t>38</w:t>
            </w:r>
          </w:hyperlink>
        </w:p>
        <w:p>
          <w:pPr>
            <w:pStyle w:val="Contents4"/>
            <w:tabs>
              <w:tab w:val="clear" w:pos="8176"/>
              <w:tab w:val="right" w:pos="9026" w:leader="dot"/>
            </w:tabs>
            <w:rPr/>
          </w:pPr>
          <w:hyperlink w:anchor="__RefHeading___Toc12561590_2142443653">
            <w:r>
              <w:rPr>
                <w:webHidden/>
                <w:rStyle w:val="IndexLink"/>
                <w:rtl w:val="true"/>
              </w:rPr>
              <w:t xml:space="preserve">المسألة </w:t>
            </w:r>
            <w:r>
              <w:rPr>
                <w:rStyle w:val="IndexLink"/>
              </w:rPr>
              <w:t>80</w:t>
            </w:r>
            <w:r>
              <w:rPr>
                <w:rStyle w:val="IndexLink"/>
                <w:rtl w:val="true"/>
              </w:rPr>
              <w:t xml:space="preserve">: </w:t>
            </w:r>
            <w:r>
              <w:rPr>
                <w:rStyle w:val="IndexLink"/>
                <w:rtl w:val="true"/>
              </w:rPr>
              <w:t>يعتبر في مسح موضع الغائط أن يكون بثلاثة اشياء</w:t>
            </w:r>
            <w:r>
              <w:rPr>
                <w:rStyle w:val="IndexLink"/>
                <w:rtl w:val="true"/>
              </w:rPr>
              <w:tab/>
            </w:r>
            <w:r>
              <w:rPr>
                <w:rStyle w:val="IndexLink"/>
              </w:rPr>
              <w:t>44</w:t>
            </w:r>
          </w:hyperlink>
        </w:p>
        <w:p>
          <w:pPr>
            <w:pStyle w:val="Contents4"/>
            <w:tabs>
              <w:tab w:val="clear" w:pos="8176"/>
              <w:tab w:val="right" w:pos="9026" w:leader="dot"/>
            </w:tabs>
            <w:rPr/>
          </w:pPr>
          <w:hyperlink w:anchor="__RefHeading___Toc12561592_2142443653">
            <w:r>
              <w:rPr>
                <w:webHidden/>
                <w:rStyle w:val="IndexLink"/>
                <w:rtl w:val="true"/>
              </w:rPr>
              <w:t xml:space="preserve">المسألة </w:t>
            </w:r>
            <w:r>
              <w:rPr>
                <w:rStyle w:val="IndexLink"/>
              </w:rPr>
              <w:t>81</w:t>
            </w:r>
            <w:r>
              <w:rPr>
                <w:rStyle w:val="IndexLink"/>
                <w:rtl w:val="true"/>
              </w:rPr>
              <w:t xml:space="preserve">: </w:t>
            </w:r>
            <w:r>
              <w:rPr>
                <w:rStyle w:val="IndexLink"/>
                <w:rtl w:val="true"/>
              </w:rPr>
              <w:t>كفايه كل جسم قالع في المسح</w:t>
            </w:r>
            <w:r>
              <w:rPr>
                <w:rStyle w:val="IndexLink"/>
                <w:rtl w:val="true"/>
              </w:rPr>
              <w:tab/>
            </w:r>
            <w:r>
              <w:rPr>
                <w:rStyle w:val="IndexLink"/>
              </w:rPr>
              <w:t>46</w:t>
            </w:r>
          </w:hyperlink>
        </w:p>
        <w:p>
          <w:pPr>
            <w:pStyle w:val="Contents3"/>
            <w:tabs>
              <w:tab w:val="clear" w:pos="8459"/>
              <w:tab w:val="right" w:pos="9026" w:leader="dot"/>
            </w:tabs>
            <w:rPr/>
          </w:pPr>
          <w:hyperlink w:anchor="__RefHeading___Toc12561594_2142443653">
            <w:r>
              <w:rPr>
                <w:webHidden/>
                <w:rStyle w:val="IndexLink"/>
                <w:rtl w:val="true"/>
              </w:rPr>
              <w:t>آداب التخلي</w:t>
            </w:r>
            <w:r>
              <w:rPr>
                <w:rStyle w:val="IndexLink"/>
                <w:rtl w:val="true"/>
              </w:rPr>
              <w:tab/>
            </w:r>
            <w:r>
              <w:rPr>
                <w:rStyle w:val="IndexLink"/>
              </w:rPr>
              <w:t>50</w:t>
            </w:r>
          </w:hyperlink>
        </w:p>
        <w:p>
          <w:pPr>
            <w:pStyle w:val="Contents4"/>
            <w:tabs>
              <w:tab w:val="clear" w:pos="8176"/>
              <w:tab w:val="right" w:pos="9026" w:leader="dot"/>
            </w:tabs>
            <w:rPr/>
          </w:pPr>
          <w:hyperlink w:anchor="__RefHeading___Toc12561596_2142443653">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2561598_2142443653">
            <w:r>
              <w:rPr>
                <w:webHidden/>
                <w:rStyle w:val="IndexLink"/>
                <w:rtl w:val="true"/>
              </w:rPr>
              <w:t xml:space="preserve">المسألة </w:t>
            </w:r>
            <w:r>
              <w:rPr>
                <w:rStyle w:val="IndexLink"/>
              </w:rPr>
              <w:t>82</w:t>
            </w:r>
            <w:r>
              <w:rPr>
                <w:rStyle w:val="IndexLink"/>
                <w:rtl w:val="true"/>
              </w:rPr>
              <w:t xml:space="preserve">: </w:t>
            </w:r>
            <w:r>
              <w:rPr>
                <w:rStyle w:val="IndexLink"/>
                <w:rtl w:val="true"/>
              </w:rPr>
              <w:t>ماء الاستنجاء طاهر</w:t>
            </w:r>
            <w:r>
              <w:rPr>
                <w:rStyle w:val="IndexLink"/>
                <w:rtl w:val="true"/>
              </w:rPr>
              <w:tab/>
            </w:r>
            <w:r>
              <w:rPr>
                <w:rStyle w:val="IndexLink"/>
              </w:rPr>
              <w:t>63</w:t>
            </w:r>
          </w:hyperlink>
        </w:p>
        <w:p>
          <w:pPr>
            <w:pStyle w:val="Contents4"/>
            <w:tabs>
              <w:tab w:val="clear" w:pos="8176"/>
              <w:tab w:val="right" w:pos="9026" w:leader="dot"/>
            </w:tabs>
            <w:rPr/>
          </w:pPr>
          <w:hyperlink w:anchor="__RefHeading___Toc12561600_2142443653">
            <w:r>
              <w:rPr>
                <w:webHidden/>
                <w:rStyle w:val="IndexLink"/>
                <w:rtl w:val="true"/>
              </w:rPr>
              <w:t xml:space="preserve">المسألة </w:t>
            </w:r>
            <w:r>
              <w:rPr>
                <w:rStyle w:val="IndexLink"/>
              </w:rPr>
              <w:t>83</w:t>
            </w:r>
            <w:r>
              <w:rPr>
                <w:rStyle w:val="IndexLink"/>
                <w:rtl w:val="true"/>
              </w:rPr>
              <w:t xml:space="preserve">: </w:t>
            </w:r>
            <w:r>
              <w:rPr>
                <w:rStyle w:val="IndexLink"/>
                <w:rtl w:val="true"/>
              </w:rPr>
              <w:t>تعدّي الغائط عن المحلّ</w:t>
            </w:r>
            <w:r>
              <w:rPr>
                <w:rStyle w:val="IndexLink"/>
                <w:rtl w:val="true"/>
              </w:rPr>
              <w:tab/>
            </w:r>
            <w:r>
              <w:rPr>
                <w:rStyle w:val="IndexLink"/>
              </w:rPr>
              <w:t>72</w:t>
            </w:r>
          </w:hyperlink>
        </w:p>
        <w:p>
          <w:pPr>
            <w:pStyle w:val="Contents4"/>
            <w:tabs>
              <w:tab w:val="clear" w:pos="8176"/>
              <w:tab w:val="right" w:pos="9026" w:leader="dot"/>
            </w:tabs>
            <w:rPr/>
          </w:pPr>
          <w:hyperlink w:anchor="__RefHeading___Toc12561602_2142443653">
            <w:r>
              <w:rPr>
                <w:webHidden/>
                <w:rStyle w:val="IndexLink"/>
                <w:rtl w:val="true"/>
              </w:rPr>
              <w:t xml:space="preserve">المسألة </w:t>
            </w:r>
            <w:r>
              <w:rPr>
                <w:rStyle w:val="IndexLink"/>
              </w:rPr>
              <w:t>84</w:t>
            </w:r>
            <w:r>
              <w:rPr>
                <w:rStyle w:val="IndexLink"/>
                <w:rtl w:val="true"/>
              </w:rPr>
              <w:t xml:space="preserve">: </w:t>
            </w:r>
            <w:r>
              <w:rPr>
                <w:rStyle w:val="IndexLink"/>
                <w:rtl w:val="true"/>
              </w:rPr>
              <w:t>إذا اشتبه ماء طاهر بماء نجس</w:t>
            </w:r>
            <w:r>
              <w:rPr>
                <w:rStyle w:val="IndexLink"/>
                <w:rtl w:val="true"/>
              </w:rPr>
              <w:tab/>
            </w:r>
            <w:r>
              <w:rPr>
                <w:rStyle w:val="IndexLink"/>
              </w:rPr>
              <w:t>72</w:t>
            </w:r>
          </w:hyperlink>
        </w:p>
        <w:p>
          <w:pPr>
            <w:pStyle w:val="Contents4"/>
            <w:tabs>
              <w:tab w:val="clear" w:pos="8176"/>
              <w:tab w:val="right" w:pos="9026" w:leader="dot"/>
            </w:tabs>
            <w:rPr/>
          </w:pPr>
          <w:hyperlink w:anchor="__RefHeading___Toc12561604_2142443653">
            <w:r>
              <w:rPr>
                <w:webHidden/>
                <w:rStyle w:val="IndexLink"/>
                <w:rtl w:val="true"/>
              </w:rPr>
              <w:t xml:space="preserve">المسألة </w:t>
            </w:r>
            <w:r>
              <w:rPr>
                <w:rStyle w:val="IndexLink"/>
              </w:rPr>
              <w:t>85</w:t>
            </w:r>
            <w:r>
              <w:rPr>
                <w:rStyle w:val="IndexLink"/>
                <w:rtl w:val="true"/>
              </w:rPr>
              <w:t xml:space="preserve">: </w:t>
            </w:r>
            <w:r>
              <w:rPr>
                <w:rStyle w:val="IndexLink"/>
                <w:rtl w:val="true"/>
              </w:rPr>
              <w:t>إذا اشتبه ماء مطلق بماء مضاف</w:t>
            </w:r>
            <w:r>
              <w:rPr>
                <w:rStyle w:val="IndexLink"/>
                <w:rtl w:val="true"/>
              </w:rPr>
              <w:tab/>
            </w:r>
            <w:r>
              <w:rPr>
                <w:rStyle w:val="IndexLink"/>
              </w:rPr>
              <w:t>77</w:t>
            </w:r>
          </w:hyperlink>
        </w:p>
        <w:p>
          <w:pPr>
            <w:pStyle w:val="Contents4"/>
            <w:tabs>
              <w:tab w:val="clear" w:pos="8176"/>
              <w:tab w:val="right" w:pos="9026" w:leader="dot"/>
            </w:tabs>
            <w:rPr/>
          </w:pPr>
          <w:hyperlink w:anchor="__RefHeading___Toc12561606_2142443653">
            <w:r>
              <w:rPr>
                <w:webHidden/>
                <w:rStyle w:val="IndexLink"/>
                <w:rtl w:val="true"/>
              </w:rPr>
              <w:t xml:space="preserve">المسألة </w:t>
            </w:r>
            <w:r>
              <w:rPr>
                <w:rStyle w:val="IndexLink"/>
              </w:rPr>
              <w:t>86</w:t>
            </w:r>
            <w:r>
              <w:rPr>
                <w:rStyle w:val="IndexLink"/>
                <w:rtl w:val="true"/>
              </w:rPr>
              <w:t xml:space="preserve">: </w:t>
            </w:r>
            <w:r>
              <w:rPr>
                <w:rStyle w:val="IndexLink"/>
                <w:rtl w:val="true"/>
              </w:rPr>
              <w:t>إذا اشتبه الماء المباح بالمغصوب</w:t>
            </w:r>
            <w:r>
              <w:rPr>
                <w:rStyle w:val="IndexLink"/>
                <w:rtl w:val="true"/>
              </w:rPr>
              <w:tab/>
            </w:r>
            <w:r>
              <w:rPr>
                <w:rStyle w:val="IndexLink"/>
              </w:rPr>
              <w:t>77</w:t>
            </w:r>
          </w:hyperlink>
        </w:p>
        <w:p>
          <w:pPr>
            <w:pStyle w:val="Contents4"/>
            <w:tabs>
              <w:tab w:val="clear" w:pos="8176"/>
              <w:tab w:val="right" w:pos="9026" w:leader="dot"/>
            </w:tabs>
            <w:rPr/>
          </w:pPr>
          <w:hyperlink w:anchor="__RefHeading___Toc12561608_2142443653">
            <w:r>
              <w:rPr>
                <w:webHidden/>
                <w:rStyle w:val="IndexLink"/>
                <w:rtl w:val="true"/>
              </w:rPr>
              <w:t xml:space="preserve">المسألة </w:t>
            </w:r>
            <w:r>
              <w:rPr>
                <w:rStyle w:val="IndexLink"/>
              </w:rPr>
              <w:t>87</w:t>
            </w:r>
            <w:r>
              <w:rPr>
                <w:rStyle w:val="IndexLink"/>
                <w:rtl w:val="true"/>
              </w:rPr>
              <w:t xml:space="preserve">: </w:t>
            </w:r>
            <w:r>
              <w:rPr>
                <w:rStyle w:val="IndexLink"/>
                <w:rtl w:val="true"/>
              </w:rPr>
              <w:t>لا يلزم في غسل مخرج البول مسح الموضع باليد</w:t>
            </w:r>
            <w:r>
              <w:rPr>
                <w:rStyle w:val="IndexLink"/>
                <w:rtl w:val="true"/>
              </w:rPr>
              <w:tab/>
            </w:r>
            <w:r>
              <w:rPr>
                <w:rStyle w:val="IndexLink"/>
              </w:rPr>
              <w:t>79</w:t>
            </w:r>
          </w:hyperlink>
        </w:p>
        <w:p>
          <w:pPr>
            <w:pStyle w:val="Contents4"/>
            <w:tabs>
              <w:tab w:val="clear" w:pos="8176"/>
              <w:tab w:val="right" w:pos="9026" w:leader="dot"/>
            </w:tabs>
            <w:rPr/>
          </w:pPr>
          <w:hyperlink w:anchor="__RefHeading___Toc12561610_2142443653">
            <w:r>
              <w:rPr>
                <w:webHidden/>
                <w:rStyle w:val="IndexLink"/>
                <w:rtl w:val="true"/>
              </w:rPr>
              <w:t xml:space="preserve">المسألة </w:t>
            </w:r>
            <w:r>
              <w:rPr>
                <w:rStyle w:val="IndexLink"/>
              </w:rPr>
              <w:t>88</w:t>
            </w:r>
            <w:r>
              <w:rPr>
                <w:rStyle w:val="IndexLink"/>
                <w:rtl w:val="true"/>
              </w:rPr>
              <w:t xml:space="preserve">: </w:t>
            </w:r>
            <w:r>
              <w:rPr>
                <w:rStyle w:val="IndexLink"/>
                <w:rtl w:val="true"/>
              </w:rPr>
              <w:t>نجاسة الماء القليل بمجرّد الملاقاة</w:t>
            </w:r>
            <w:r>
              <w:rPr>
                <w:rStyle w:val="IndexLink"/>
                <w:rtl w:val="true"/>
              </w:rPr>
              <w:tab/>
            </w:r>
            <w:r>
              <w:rPr>
                <w:rStyle w:val="IndexLink"/>
              </w:rPr>
              <w:t>79</w:t>
            </w:r>
          </w:hyperlink>
        </w:p>
        <w:p>
          <w:pPr>
            <w:pStyle w:val="Contents4"/>
            <w:tabs>
              <w:tab w:val="clear" w:pos="8176"/>
              <w:tab w:val="right" w:pos="9026" w:leader="dot"/>
            </w:tabs>
            <w:rPr/>
          </w:pPr>
          <w:hyperlink w:anchor="__RefHeading___Toc12561612_2142443653">
            <w:r>
              <w:rPr>
                <w:webHidden/>
                <w:rStyle w:val="IndexLink"/>
                <w:rtl w:val="true"/>
              </w:rPr>
              <w:t xml:space="preserve">المسألة </w:t>
            </w:r>
            <w:r>
              <w:rPr>
                <w:rStyle w:val="IndexLink"/>
              </w:rPr>
              <w:t>89</w:t>
            </w:r>
            <w:r>
              <w:rPr>
                <w:rStyle w:val="IndexLink"/>
                <w:rtl w:val="true"/>
              </w:rPr>
              <w:t xml:space="preserve">: </w:t>
            </w:r>
            <w:r>
              <w:rPr>
                <w:rStyle w:val="IndexLink"/>
                <w:rtl w:val="true"/>
              </w:rPr>
              <w:t>اعتصام الماء الكرّ</w:t>
            </w:r>
            <w:r>
              <w:rPr>
                <w:rStyle w:val="IndexLink"/>
                <w:rtl w:val="true"/>
              </w:rPr>
              <w:tab/>
            </w:r>
            <w:r>
              <w:rPr>
                <w:rStyle w:val="IndexLink"/>
              </w:rPr>
              <w:t>93</w:t>
            </w:r>
          </w:hyperlink>
        </w:p>
        <w:p>
          <w:pPr>
            <w:pStyle w:val="Contents4"/>
            <w:tabs>
              <w:tab w:val="clear" w:pos="8176"/>
              <w:tab w:val="right" w:pos="9026" w:leader="dot"/>
            </w:tabs>
            <w:rPr/>
          </w:pPr>
          <w:hyperlink w:anchor="__RefHeading___Toc12561614_2142443653">
            <w:r>
              <w:rPr>
                <w:webHidden/>
                <w:rStyle w:val="IndexLink"/>
                <w:rtl w:val="true"/>
              </w:rPr>
              <w:t xml:space="preserve">المسألة </w:t>
            </w:r>
            <w:r>
              <w:rPr>
                <w:rStyle w:val="IndexLink"/>
              </w:rPr>
              <w:t>90</w:t>
            </w:r>
            <w:r>
              <w:rPr>
                <w:rStyle w:val="IndexLink"/>
                <w:rtl w:val="true"/>
              </w:rPr>
              <w:t xml:space="preserve">: </w:t>
            </w:r>
            <w:r>
              <w:rPr>
                <w:rStyle w:val="IndexLink"/>
                <w:rtl w:val="true"/>
              </w:rPr>
              <w:t>عدم وجوب الاستبراء</w:t>
            </w:r>
            <w:r>
              <w:rPr>
                <w:rStyle w:val="IndexLink"/>
                <w:rtl w:val="true"/>
              </w:rPr>
              <w:tab/>
            </w:r>
            <w:r>
              <w:rPr>
                <w:rStyle w:val="IndexLink"/>
              </w:rPr>
              <w:t>97</w:t>
            </w:r>
          </w:hyperlink>
        </w:p>
        <w:p>
          <w:pPr>
            <w:pStyle w:val="Contents4"/>
            <w:tabs>
              <w:tab w:val="clear" w:pos="8176"/>
              <w:tab w:val="right" w:pos="9026" w:leader="dot"/>
            </w:tabs>
            <w:rPr/>
          </w:pPr>
          <w:hyperlink w:anchor="__RefHeading___Toc12561616_2142443653">
            <w:r>
              <w:rPr>
                <w:webHidden/>
                <w:rStyle w:val="IndexLink"/>
                <w:rtl w:val="true"/>
              </w:rPr>
              <w:t xml:space="preserve">المسألة </w:t>
            </w:r>
            <w:r>
              <w:rPr>
                <w:rStyle w:val="IndexLink"/>
              </w:rPr>
              <w:t>91</w:t>
            </w:r>
            <w:r>
              <w:rPr>
                <w:rStyle w:val="IndexLink"/>
                <w:rtl w:val="true"/>
              </w:rPr>
              <w:t xml:space="preserve">: </w:t>
            </w:r>
            <w:r>
              <w:rPr>
                <w:rStyle w:val="IndexLink"/>
                <w:rtl w:val="true"/>
              </w:rPr>
              <w:t>لو لم يستبرئ وقطع بعدم بقاء البول</w:t>
            </w:r>
            <w:r>
              <w:rPr>
                <w:rStyle w:val="IndexLink"/>
                <w:rtl w:val="true"/>
              </w:rPr>
              <w:tab/>
            </w:r>
            <w:r>
              <w:rPr>
                <w:rStyle w:val="IndexLink"/>
              </w:rPr>
              <w:t>98</w:t>
            </w:r>
          </w:hyperlink>
        </w:p>
        <w:p>
          <w:pPr>
            <w:pStyle w:val="Contents4"/>
            <w:tabs>
              <w:tab w:val="clear" w:pos="8176"/>
              <w:tab w:val="right" w:pos="9026" w:leader="dot"/>
            </w:tabs>
            <w:rPr/>
          </w:pPr>
          <w:hyperlink w:anchor="__RefHeading___Toc12561618_2142443653">
            <w:r>
              <w:rPr>
                <w:webHidden/>
                <w:rStyle w:val="IndexLink"/>
                <w:rtl w:val="true"/>
              </w:rPr>
              <w:t xml:space="preserve">المسألة </w:t>
            </w:r>
            <w:r>
              <w:rPr>
                <w:rStyle w:val="IndexLink"/>
              </w:rPr>
              <w:t>92</w:t>
            </w:r>
            <w:r>
              <w:rPr>
                <w:rStyle w:val="IndexLink"/>
                <w:rtl w:val="true"/>
              </w:rPr>
              <w:t xml:space="preserve">: </w:t>
            </w:r>
            <w:r>
              <w:rPr>
                <w:rStyle w:val="IndexLink"/>
                <w:rtl w:val="true"/>
              </w:rPr>
              <w:t>حكم الاستبراء مع قطع الذكر أو الحشفة</w:t>
            </w:r>
            <w:r>
              <w:rPr>
                <w:rStyle w:val="IndexLink"/>
                <w:rtl w:val="true"/>
              </w:rPr>
              <w:tab/>
            </w:r>
            <w:r>
              <w:rPr>
                <w:rStyle w:val="IndexLink"/>
              </w:rPr>
              <w:t>99</w:t>
            </w:r>
          </w:hyperlink>
        </w:p>
        <w:p>
          <w:pPr>
            <w:pStyle w:val="Contents4"/>
            <w:tabs>
              <w:tab w:val="clear" w:pos="8176"/>
              <w:tab w:val="right" w:pos="9026" w:leader="dot"/>
            </w:tabs>
            <w:rPr/>
          </w:pPr>
          <w:hyperlink w:anchor="__RefHeading___Toc12561620_2142443653">
            <w:r>
              <w:rPr>
                <w:webHidden/>
                <w:rStyle w:val="IndexLink"/>
                <w:rtl w:val="true"/>
              </w:rPr>
              <w:t xml:space="preserve">المسألة </w:t>
            </w:r>
            <w:r>
              <w:rPr>
                <w:rStyle w:val="IndexLink"/>
              </w:rPr>
              <w:t>93</w:t>
            </w:r>
            <w:r>
              <w:rPr>
                <w:rStyle w:val="IndexLink"/>
                <w:rtl w:val="true"/>
              </w:rPr>
              <w:t xml:space="preserve">: </w:t>
            </w:r>
            <w:r>
              <w:rPr>
                <w:rStyle w:val="IndexLink"/>
                <w:rtl w:val="true"/>
              </w:rPr>
              <w:t>حكم المباشرة في الاستبراء</w:t>
            </w:r>
            <w:r>
              <w:rPr>
                <w:rStyle w:val="IndexLink"/>
                <w:rtl w:val="true"/>
              </w:rPr>
              <w:tab/>
            </w:r>
            <w:r>
              <w:rPr>
                <w:rStyle w:val="IndexLink"/>
              </w:rPr>
              <w:t>100</w:t>
            </w:r>
          </w:hyperlink>
        </w:p>
        <w:p>
          <w:pPr>
            <w:pStyle w:val="Contents4"/>
            <w:tabs>
              <w:tab w:val="clear" w:pos="8176"/>
              <w:tab w:val="right" w:pos="9026" w:leader="dot"/>
            </w:tabs>
            <w:rPr/>
          </w:pPr>
          <w:hyperlink w:anchor="__RefHeading___Toc12561622_2142443653">
            <w:r>
              <w:rPr>
                <w:webHidden/>
                <w:rStyle w:val="IndexLink"/>
                <w:rtl w:val="true"/>
              </w:rPr>
              <w:t xml:space="preserve">المسألة </w:t>
            </w:r>
            <w:r>
              <w:rPr>
                <w:rStyle w:val="IndexLink"/>
              </w:rPr>
              <w:t>94</w:t>
            </w:r>
            <w:r>
              <w:rPr>
                <w:rStyle w:val="IndexLink"/>
                <w:rtl w:val="true"/>
              </w:rPr>
              <w:t xml:space="preserve">: </w:t>
            </w:r>
            <w:r>
              <w:rPr>
                <w:rStyle w:val="IndexLink"/>
                <w:rtl w:val="true"/>
              </w:rPr>
              <w:t>الشكّ في الاستبراء</w:t>
            </w:r>
            <w:r>
              <w:rPr>
                <w:rStyle w:val="IndexLink"/>
                <w:rtl w:val="true"/>
              </w:rPr>
              <w:tab/>
            </w:r>
            <w:r>
              <w:rPr>
                <w:rStyle w:val="IndexLink"/>
              </w:rPr>
              <w:t>101</w:t>
            </w:r>
          </w:hyperlink>
        </w:p>
        <w:p>
          <w:pPr>
            <w:pStyle w:val="Contents4"/>
            <w:tabs>
              <w:tab w:val="clear" w:pos="8176"/>
              <w:tab w:val="right" w:pos="9026" w:leader="dot"/>
            </w:tabs>
            <w:rPr/>
          </w:pPr>
          <w:hyperlink w:anchor="__RefHeading___Toc12561624_2142443653">
            <w:r>
              <w:rPr>
                <w:webHidden/>
                <w:rStyle w:val="IndexLink"/>
                <w:rtl w:val="true"/>
              </w:rPr>
              <w:t xml:space="preserve">المسألة </w:t>
            </w:r>
            <w:r>
              <w:rPr>
                <w:rStyle w:val="IndexLink"/>
              </w:rPr>
              <w:t>95</w:t>
            </w:r>
            <w:r>
              <w:rPr>
                <w:rStyle w:val="IndexLink"/>
                <w:rtl w:val="true"/>
              </w:rPr>
              <w:t xml:space="preserve">: </w:t>
            </w:r>
            <w:r>
              <w:rPr>
                <w:rStyle w:val="IndexLink"/>
                <w:rtl w:val="true"/>
              </w:rPr>
              <w:t>كيفيّة الاستبراء</w:t>
            </w:r>
            <w:r>
              <w:rPr>
                <w:rStyle w:val="IndexLink"/>
                <w:rtl w:val="true"/>
              </w:rPr>
              <w:tab/>
            </w:r>
            <w:r>
              <w:rPr>
                <w:rStyle w:val="IndexLink"/>
              </w:rPr>
              <w:t>101</w:t>
            </w:r>
          </w:hyperlink>
        </w:p>
        <w:p>
          <w:pPr>
            <w:pStyle w:val="Contents4"/>
            <w:tabs>
              <w:tab w:val="clear" w:pos="8176"/>
              <w:tab w:val="right" w:pos="9026" w:leader="dot"/>
            </w:tabs>
            <w:rPr/>
          </w:pPr>
          <w:hyperlink w:anchor="__RefHeading___Toc12561626_2142443653">
            <w:r>
              <w:rPr>
                <w:webHidden/>
                <w:rStyle w:val="IndexLink"/>
                <w:rtl w:val="true"/>
              </w:rPr>
              <w:t xml:space="preserve">المسألة </w:t>
            </w:r>
            <w:r>
              <w:rPr>
                <w:rStyle w:val="IndexLink"/>
              </w:rPr>
              <w:t>96</w:t>
            </w:r>
            <w:r>
              <w:rPr>
                <w:rStyle w:val="IndexLink"/>
                <w:rtl w:val="true"/>
              </w:rPr>
              <w:t xml:space="preserve">: </w:t>
            </w:r>
            <w:r>
              <w:rPr>
                <w:rStyle w:val="IndexLink"/>
                <w:rtl w:val="true"/>
              </w:rPr>
              <w:t>لا استبراء على النساء</w:t>
            </w:r>
            <w:r>
              <w:rPr>
                <w:rStyle w:val="IndexLink"/>
                <w:rtl w:val="true"/>
              </w:rPr>
              <w:tab/>
            </w:r>
            <w:r>
              <w:rPr>
                <w:rStyle w:val="IndexLink"/>
              </w:rPr>
              <w:t>105</w:t>
            </w:r>
          </w:hyperlink>
        </w:p>
        <w:p>
          <w:pPr>
            <w:pStyle w:val="Contents2"/>
            <w:tabs>
              <w:tab w:val="clear" w:pos="8743"/>
              <w:tab w:val="right" w:pos="9026" w:leader="dot"/>
            </w:tabs>
            <w:rPr/>
          </w:pPr>
          <w:hyperlink w:anchor="__RefHeading___Toc12561628_2142443653">
            <w:r>
              <w:rPr>
                <w:webHidden/>
                <w:rStyle w:val="IndexLink"/>
                <w:rtl w:val="true"/>
              </w:rPr>
              <w:t>فصل</w:t>
            </w:r>
            <w:r>
              <w:rPr>
                <w:rStyle w:val="IndexLink"/>
                <w:rtl w:val="true"/>
              </w:rPr>
              <w:t xml:space="preserve">: </w:t>
            </w:r>
            <w:r>
              <w:rPr>
                <w:rStyle w:val="IndexLink"/>
                <w:rtl w:val="true"/>
              </w:rPr>
              <w:t>في أحكام الوضوء</w:t>
            </w:r>
            <w:r>
              <w:rPr>
                <w:rStyle w:val="IndexLink"/>
                <w:rtl w:val="true"/>
              </w:rPr>
              <w:tab/>
            </w:r>
            <w:r>
              <w:rPr>
                <w:rStyle w:val="IndexLink"/>
              </w:rPr>
              <w:t>108</w:t>
            </w:r>
          </w:hyperlink>
        </w:p>
        <w:p>
          <w:pPr>
            <w:pStyle w:val="Contents3"/>
            <w:tabs>
              <w:tab w:val="clear" w:pos="8459"/>
              <w:tab w:val="right" w:pos="9026" w:leader="dot"/>
            </w:tabs>
            <w:rPr/>
          </w:pPr>
          <w:hyperlink w:anchor="__RefHeading___Toc12561630_2142443653">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2561632_2142443653">
            <w:r>
              <w:rPr>
                <w:webHidden/>
                <w:rStyle w:val="IndexLink"/>
                <w:rtl w:val="true"/>
              </w:rPr>
              <w:t>فصل</w:t>
            </w:r>
            <w:r>
              <w:rPr>
                <w:rStyle w:val="IndexLink"/>
                <w:rtl w:val="true"/>
              </w:rPr>
              <w:t xml:space="preserve">: </w:t>
            </w:r>
            <w:r>
              <w:rPr>
                <w:rStyle w:val="IndexLink"/>
                <w:rtl w:val="true"/>
              </w:rPr>
              <w:t>في أحكام الوضوء</w:t>
            </w:r>
            <w:r>
              <w:rPr>
                <w:rStyle w:val="IndexLink"/>
                <w:rtl w:val="true"/>
              </w:rPr>
              <w:tab/>
            </w:r>
            <w:r>
              <w:rPr>
                <w:rStyle w:val="IndexLink"/>
              </w:rPr>
              <w:t>110</w:t>
            </w:r>
          </w:hyperlink>
        </w:p>
        <w:p>
          <w:pPr>
            <w:pStyle w:val="Contents4"/>
            <w:tabs>
              <w:tab w:val="clear" w:pos="8176"/>
              <w:tab w:val="right" w:pos="9026" w:leader="dot"/>
            </w:tabs>
            <w:rPr/>
          </w:pPr>
          <w:hyperlink w:anchor="__RefHeading___Toc12561634_2142443653">
            <w:r>
              <w:rPr>
                <w:webHidden/>
                <w:rStyle w:val="IndexLink"/>
                <w:rtl w:val="true"/>
              </w:rPr>
              <w:t>في ما يجب له الوضوع الأول</w:t>
            </w:r>
            <w:r>
              <w:rPr>
                <w:rStyle w:val="IndexLink"/>
                <w:rtl w:val="true"/>
              </w:rPr>
              <w:t xml:space="preserve">: </w:t>
            </w:r>
            <w:r>
              <w:rPr>
                <w:rStyle w:val="IndexLink"/>
                <w:rtl w:val="true"/>
              </w:rPr>
              <w:t>الصلاة الواجبة</w:t>
            </w:r>
            <w:r>
              <w:rPr>
                <w:rStyle w:val="IndexLink"/>
                <w:rtl w:val="true"/>
              </w:rPr>
              <w:tab/>
            </w:r>
            <w:r>
              <w:rPr>
                <w:rStyle w:val="IndexLink"/>
              </w:rPr>
              <w:t>110</w:t>
            </w:r>
          </w:hyperlink>
        </w:p>
        <w:p>
          <w:pPr>
            <w:pStyle w:val="Contents4"/>
            <w:tabs>
              <w:tab w:val="clear" w:pos="8176"/>
              <w:tab w:val="right" w:pos="9026" w:leader="dot"/>
            </w:tabs>
            <w:rPr/>
          </w:pPr>
          <w:hyperlink w:anchor="__RefHeading___Toc12561636_2142443653">
            <w:r>
              <w:rPr>
                <w:webHidden/>
                <w:rStyle w:val="IndexLink"/>
                <w:rtl w:val="true"/>
              </w:rPr>
              <w:t>الثاني</w:t>
            </w:r>
            <w:r>
              <w:rPr>
                <w:rStyle w:val="IndexLink"/>
                <w:rtl w:val="true"/>
              </w:rPr>
              <w:t xml:space="preserve">: </w:t>
            </w:r>
            <w:r>
              <w:rPr>
                <w:rStyle w:val="IndexLink"/>
                <w:rtl w:val="true"/>
              </w:rPr>
              <w:t>الطواف</w:t>
            </w:r>
            <w:r>
              <w:rPr>
                <w:rStyle w:val="IndexLink"/>
                <w:rtl w:val="true"/>
              </w:rPr>
              <w:tab/>
            </w:r>
            <w:r>
              <w:rPr>
                <w:rStyle w:val="IndexLink"/>
              </w:rPr>
              <w:t>112</w:t>
            </w:r>
          </w:hyperlink>
        </w:p>
        <w:p>
          <w:pPr>
            <w:pStyle w:val="Contents4"/>
            <w:tabs>
              <w:tab w:val="clear" w:pos="8176"/>
              <w:tab w:val="right" w:pos="9026" w:leader="dot"/>
            </w:tabs>
            <w:rPr/>
          </w:pPr>
          <w:hyperlink w:anchor="__RefHeading___Toc12561638_2142443653">
            <w:r>
              <w:rPr>
                <w:webHidden/>
                <w:rStyle w:val="IndexLink"/>
                <w:rtl w:val="true"/>
              </w:rPr>
              <w:t>الثالث</w:t>
            </w:r>
            <w:r>
              <w:rPr>
                <w:rStyle w:val="IndexLink"/>
                <w:rtl w:val="true"/>
              </w:rPr>
              <w:t xml:space="preserve">: </w:t>
            </w:r>
            <w:r>
              <w:rPr>
                <w:rStyle w:val="IndexLink"/>
                <w:rtl w:val="true"/>
              </w:rPr>
              <w:t>مسّ كتابة القرآن</w:t>
            </w:r>
            <w:r>
              <w:rPr>
                <w:rStyle w:val="IndexLink"/>
                <w:rtl w:val="true"/>
              </w:rPr>
              <w:tab/>
            </w:r>
            <w:r>
              <w:rPr>
                <w:rStyle w:val="IndexLink"/>
              </w:rPr>
              <w:t>113</w:t>
            </w:r>
          </w:hyperlink>
        </w:p>
        <w:p>
          <w:pPr>
            <w:pStyle w:val="Contents4"/>
            <w:tabs>
              <w:tab w:val="clear" w:pos="8176"/>
              <w:tab w:val="right" w:pos="9026" w:leader="dot"/>
            </w:tabs>
            <w:rPr/>
          </w:pPr>
          <w:hyperlink w:anchor="__RefHeading___Toc12561640_2142443653">
            <w:r>
              <w:rPr>
                <w:webHidden/>
                <w:rStyle w:val="IndexLink"/>
                <w:rtl w:val="true"/>
              </w:rPr>
              <w:t>الرابع</w:t>
            </w:r>
            <w:r>
              <w:rPr>
                <w:rStyle w:val="IndexLink"/>
                <w:rtl w:val="true"/>
              </w:rPr>
              <w:t xml:space="preserve">: </w:t>
            </w:r>
            <w:r>
              <w:rPr>
                <w:rStyle w:val="IndexLink"/>
                <w:rtl w:val="true"/>
              </w:rPr>
              <w:t>النذر وشبهه</w:t>
            </w:r>
            <w:r>
              <w:rPr>
                <w:rStyle w:val="IndexLink"/>
                <w:rtl w:val="true"/>
              </w:rPr>
              <w:tab/>
            </w:r>
            <w:r>
              <w:rPr>
                <w:rStyle w:val="IndexLink"/>
              </w:rPr>
              <w:t>117</w:t>
            </w:r>
          </w:hyperlink>
        </w:p>
        <w:p>
          <w:pPr>
            <w:pStyle w:val="Contents3"/>
            <w:tabs>
              <w:tab w:val="clear" w:pos="8459"/>
              <w:tab w:val="right" w:pos="9026" w:leader="dot"/>
            </w:tabs>
            <w:rPr/>
          </w:pPr>
          <w:hyperlink w:anchor="__RefHeading___Toc12561642_2142443653">
            <w:r>
              <w:rPr>
                <w:webHidden/>
                <w:rStyle w:val="IndexLink"/>
                <w:rtl w:val="true"/>
              </w:rPr>
              <w:t>فصل</w:t>
            </w:r>
            <w:r>
              <w:rPr>
                <w:rStyle w:val="IndexLink"/>
                <w:rtl w:val="true"/>
              </w:rPr>
              <w:t xml:space="preserve">: </w:t>
            </w:r>
            <w:r>
              <w:rPr>
                <w:rStyle w:val="IndexLink"/>
                <w:rtl w:val="true"/>
              </w:rPr>
              <w:t>في موجبات الوضوء ومبطلاته</w:t>
            </w:r>
            <w:r>
              <w:rPr>
                <w:rStyle w:val="IndexLink"/>
                <w:rtl w:val="true"/>
              </w:rPr>
              <w:tab/>
            </w:r>
            <w:r>
              <w:rPr>
                <w:rStyle w:val="IndexLink"/>
              </w:rPr>
              <w:t>119</w:t>
            </w:r>
          </w:hyperlink>
        </w:p>
        <w:p>
          <w:pPr>
            <w:pStyle w:val="Contents4"/>
            <w:tabs>
              <w:tab w:val="clear" w:pos="8176"/>
              <w:tab w:val="right" w:pos="9026" w:leader="dot"/>
            </w:tabs>
            <w:rPr/>
          </w:pPr>
          <w:hyperlink w:anchor="__RefHeading___Toc12561644_2142443653">
            <w:r>
              <w:rPr>
                <w:webHidden/>
                <w:rStyle w:val="IndexLink"/>
                <w:rtl w:val="true"/>
              </w:rPr>
              <w:t>الأوّل</w:t>
            </w:r>
            <w:r>
              <w:rPr>
                <w:rStyle w:val="IndexLink"/>
                <w:rtl w:val="true"/>
              </w:rPr>
              <w:t xml:space="preserve">: </w:t>
            </w:r>
            <w:r>
              <w:rPr>
                <w:rStyle w:val="IndexLink"/>
                <w:rtl w:val="true"/>
              </w:rPr>
              <w:t>البول</w:t>
            </w:r>
            <w:r>
              <w:rPr>
                <w:rStyle w:val="IndexLink"/>
                <w:rtl w:val="true"/>
              </w:rPr>
              <w:tab/>
            </w:r>
            <w:r>
              <w:rPr>
                <w:rStyle w:val="IndexLink"/>
              </w:rPr>
              <w:t>119</w:t>
            </w:r>
          </w:hyperlink>
        </w:p>
        <w:p>
          <w:pPr>
            <w:pStyle w:val="Contents4"/>
            <w:tabs>
              <w:tab w:val="clear" w:pos="8176"/>
              <w:tab w:val="right" w:pos="9026" w:leader="dot"/>
            </w:tabs>
            <w:rPr/>
          </w:pPr>
          <w:hyperlink w:anchor="__RefHeading___Toc12561646_2142443653">
            <w:r>
              <w:rPr>
                <w:webHidden/>
                <w:rStyle w:val="IndexLink"/>
                <w:rtl w:val="true"/>
              </w:rPr>
              <w:t>الثاني والثالث</w:t>
            </w:r>
            <w:r>
              <w:rPr>
                <w:rStyle w:val="IndexLink"/>
                <w:rtl w:val="true"/>
              </w:rPr>
              <w:t xml:space="preserve">: </w:t>
            </w:r>
            <w:r>
              <w:rPr>
                <w:rStyle w:val="IndexLink"/>
                <w:rtl w:val="true"/>
              </w:rPr>
              <w:t>الغائط والريح</w:t>
            </w:r>
            <w:r>
              <w:rPr>
                <w:rStyle w:val="IndexLink"/>
                <w:rtl w:val="true"/>
              </w:rPr>
              <w:tab/>
            </w:r>
            <w:r>
              <w:rPr>
                <w:rStyle w:val="IndexLink"/>
              </w:rPr>
              <w:t>120</w:t>
            </w:r>
          </w:hyperlink>
        </w:p>
        <w:p>
          <w:pPr>
            <w:pStyle w:val="Contents4"/>
            <w:tabs>
              <w:tab w:val="clear" w:pos="8176"/>
              <w:tab w:val="right" w:pos="9026" w:leader="dot"/>
            </w:tabs>
            <w:rPr/>
          </w:pPr>
          <w:hyperlink w:anchor="__RefHeading___Toc12561648_2142443653">
            <w:r>
              <w:rPr>
                <w:webHidden/>
                <w:rStyle w:val="IndexLink"/>
                <w:rtl w:val="true"/>
              </w:rPr>
              <w:t>الرابع</w:t>
            </w:r>
            <w:r>
              <w:rPr>
                <w:rStyle w:val="IndexLink"/>
                <w:rtl w:val="true"/>
              </w:rPr>
              <w:t xml:space="preserve">: </w:t>
            </w:r>
            <w:r>
              <w:rPr>
                <w:rStyle w:val="IndexLink"/>
                <w:rtl w:val="true"/>
              </w:rPr>
              <w:t>النوم</w:t>
            </w:r>
            <w:r>
              <w:rPr>
                <w:rStyle w:val="IndexLink"/>
                <w:rtl w:val="true"/>
              </w:rPr>
              <w:tab/>
            </w:r>
            <w:r>
              <w:rPr>
                <w:rStyle w:val="IndexLink"/>
              </w:rPr>
              <w:t>121</w:t>
            </w:r>
          </w:hyperlink>
        </w:p>
        <w:p>
          <w:pPr>
            <w:pStyle w:val="Contents4"/>
            <w:tabs>
              <w:tab w:val="clear" w:pos="8176"/>
              <w:tab w:val="right" w:pos="9026" w:leader="dot"/>
            </w:tabs>
            <w:rPr/>
          </w:pPr>
          <w:hyperlink w:anchor="__RefHeading___Toc12561650_2142443653">
            <w:r>
              <w:rPr>
                <w:webHidden/>
                <w:rStyle w:val="IndexLink"/>
                <w:rtl w:val="true"/>
              </w:rPr>
              <w:t>الخامس و السادس والسابع</w:t>
            </w:r>
            <w:r>
              <w:rPr>
                <w:rStyle w:val="IndexLink"/>
                <w:rtl w:val="true"/>
              </w:rPr>
              <w:t xml:space="preserve">: </w:t>
            </w:r>
            <w:r>
              <w:rPr>
                <w:rStyle w:val="IndexLink"/>
                <w:rtl w:val="true"/>
              </w:rPr>
              <w:t>الجنون والإغماء والسكر</w:t>
            </w:r>
            <w:r>
              <w:rPr>
                <w:rStyle w:val="IndexLink"/>
                <w:rtl w:val="true"/>
              </w:rPr>
              <w:tab/>
            </w:r>
            <w:r>
              <w:rPr>
                <w:rStyle w:val="IndexLink"/>
              </w:rPr>
              <w:t>125</w:t>
            </w:r>
          </w:hyperlink>
        </w:p>
        <w:p>
          <w:pPr>
            <w:pStyle w:val="Contents4"/>
            <w:tabs>
              <w:tab w:val="clear" w:pos="8176"/>
              <w:tab w:val="right" w:pos="9026" w:leader="dot"/>
            </w:tabs>
            <w:rPr/>
          </w:pPr>
          <w:hyperlink w:anchor="__RefHeading___Toc12561652_2142443653">
            <w:r>
              <w:rPr>
                <w:webHidden/>
                <w:rStyle w:val="IndexLink"/>
                <w:rtl w:val="true"/>
              </w:rPr>
              <w:t>الثاني عشر</w:t>
            </w:r>
            <w:r>
              <w:rPr>
                <w:rStyle w:val="IndexLink"/>
                <w:rtl w:val="true"/>
              </w:rPr>
              <w:t xml:space="preserve">: </w:t>
            </w:r>
            <w:r>
              <w:rPr>
                <w:rStyle w:val="IndexLink"/>
                <w:rtl w:val="true"/>
              </w:rPr>
              <w:t>مسّ الميّت</w:t>
            </w:r>
            <w:r>
              <w:rPr>
                <w:rStyle w:val="IndexLink"/>
                <w:rtl w:val="true"/>
              </w:rPr>
              <w:tab/>
            </w:r>
            <w:r>
              <w:rPr>
                <w:rStyle w:val="IndexLink"/>
              </w:rPr>
              <w:t>126</w:t>
            </w:r>
          </w:hyperlink>
        </w:p>
        <w:p>
          <w:pPr>
            <w:pStyle w:val="Contents4"/>
            <w:tabs>
              <w:tab w:val="clear" w:pos="8176"/>
              <w:tab w:val="right" w:pos="9026" w:leader="dot"/>
            </w:tabs>
            <w:rPr/>
          </w:pPr>
          <w:hyperlink w:anchor="__RefHeading___Toc12561654_2142443653">
            <w:r>
              <w:rPr>
                <w:webHidden/>
                <w:rStyle w:val="IndexLink"/>
                <w:rtl w:val="true"/>
              </w:rPr>
              <w:t xml:space="preserve">المسألة </w:t>
            </w:r>
            <w:r>
              <w:rPr>
                <w:rStyle w:val="IndexLink"/>
              </w:rPr>
              <w:t>97</w:t>
            </w:r>
            <w:r>
              <w:rPr>
                <w:rStyle w:val="IndexLink"/>
                <w:rtl w:val="true"/>
              </w:rPr>
              <w:t xml:space="preserve">: </w:t>
            </w:r>
            <w:r>
              <w:rPr>
                <w:rStyle w:val="IndexLink"/>
                <w:rtl w:val="true"/>
              </w:rPr>
              <w:t>وجوب تقديم الوضوء في موارد الجمع</w:t>
            </w:r>
            <w:r>
              <w:rPr>
                <w:rStyle w:val="IndexLink"/>
                <w:rtl w:val="true"/>
              </w:rPr>
              <w:tab/>
            </w:r>
            <w:r>
              <w:rPr>
                <w:rStyle w:val="IndexLink"/>
              </w:rPr>
              <w:t>127</w:t>
            </w:r>
          </w:hyperlink>
        </w:p>
        <w:p>
          <w:pPr>
            <w:pStyle w:val="Contents4"/>
            <w:tabs>
              <w:tab w:val="clear" w:pos="8176"/>
              <w:tab w:val="right" w:pos="9026" w:leader="dot"/>
            </w:tabs>
            <w:rPr/>
          </w:pPr>
          <w:hyperlink w:anchor="__RefHeading___Toc12561656_2142443653">
            <w:r>
              <w:rPr>
                <w:webHidden/>
                <w:rStyle w:val="IndexLink"/>
                <w:rtl w:val="true"/>
              </w:rPr>
              <w:t xml:space="preserve">المسألة </w:t>
            </w:r>
            <w:r>
              <w:rPr>
                <w:rStyle w:val="IndexLink"/>
              </w:rPr>
              <w:t>98</w:t>
            </w:r>
            <w:r>
              <w:rPr>
                <w:rStyle w:val="IndexLink"/>
                <w:rtl w:val="true"/>
              </w:rPr>
              <w:t xml:space="preserve">: </w:t>
            </w:r>
            <w:r>
              <w:rPr>
                <w:rStyle w:val="IndexLink"/>
                <w:rtl w:val="true"/>
              </w:rPr>
              <w:t>المدار في حصول هذه النواقض</w:t>
            </w:r>
            <w:r>
              <w:rPr>
                <w:rStyle w:val="IndexLink"/>
                <w:rtl w:val="true"/>
              </w:rPr>
              <w:tab/>
            </w:r>
            <w:r>
              <w:rPr>
                <w:rStyle w:val="IndexLink"/>
              </w:rPr>
              <w:t>128</w:t>
            </w:r>
          </w:hyperlink>
        </w:p>
        <w:p>
          <w:pPr>
            <w:pStyle w:val="Contents3"/>
            <w:tabs>
              <w:tab w:val="clear" w:pos="8459"/>
              <w:tab w:val="right" w:pos="9026" w:leader="dot"/>
            </w:tabs>
            <w:rPr/>
          </w:pPr>
          <w:hyperlink w:anchor="__RefHeading___Toc12561658_2142443653">
            <w:r>
              <w:rPr>
                <w:webHidden/>
                <w:rStyle w:val="IndexLink"/>
                <w:rtl w:val="true"/>
              </w:rPr>
              <w:t>فصل</w:t>
            </w:r>
            <w:r>
              <w:rPr>
                <w:rStyle w:val="IndexLink"/>
                <w:rtl w:val="true"/>
              </w:rPr>
              <w:t xml:space="preserve">: </w:t>
            </w:r>
            <w:r>
              <w:rPr>
                <w:rStyle w:val="IndexLink"/>
                <w:rtl w:val="true"/>
              </w:rPr>
              <w:t>في حقيقة الوضوء</w:t>
            </w:r>
            <w:r>
              <w:rPr>
                <w:rStyle w:val="IndexLink"/>
                <w:rtl w:val="true"/>
              </w:rPr>
              <w:tab/>
            </w:r>
            <w:r>
              <w:rPr>
                <w:rStyle w:val="IndexLink"/>
              </w:rPr>
              <w:t>131</w:t>
            </w:r>
          </w:hyperlink>
        </w:p>
        <w:p>
          <w:pPr>
            <w:pStyle w:val="Contents4"/>
            <w:tabs>
              <w:tab w:val="clear" w:pos="8176"/>
              <w:tab w:val="right" w:pos="9026" w:leader="dot"/>
            </w:tabs>
            <w:rPr/>
          </w:pPr>
          <w:hyperlink w:anchor="__RefHeading___Toc12561660_2142443653">
            <w:r>
              <w:rPr>
                <w:webHidden/>
                <w:rStyle w:val="IndexLink"/>
                <w:rtl w:val="true"/>
              </w:rPr>
              <w:t>حقيقة الوضوء</w:t>
            </w:r>
            <w:r>
              <w:rPr>
                <w:rStyle w:val="IndexLink"/>
                <w:rtl w:val="true"/>
              </w:rPr>
              <w:tab/>
            </w:r>
            <w:r>
              <w:rPr>
                <w:rStyle w:val="IndexLink"/>
              </w:rPr>
              <w:t>131</w:t>
            </w:r>
          </w:hyperlink>
        </w:p>
        <w:p>
          <w:pPr>
            <w:pStyle w:val="Contents4"/>
            <w:tabs>
              <w:tab w:val="clear" w:pos="8176"/>
              <w:tab w:val="right" w:pos="9026" w:leader="dot"/>
            </w:tabs>
            <w:rPr/>
          </w:pPr>
          <w:hyperlink w:anchor="__RefHeading___Toc12561662_2142443653">
            <w:r>
              <w:rPr>
                <w:webHidden/>
                <w:rStyle w:val="IndexLink"/>
                <w:rtl w:val="true"/>
              </w:rPr>
              <w:t xml:space="preserve">المسألة </w:t>
            </w:r>
            <w:r>
              <w:rPr>
                <w:rStyle w:val="IndexLink"/>
              </w:rPr>
              <w:t>99</w:t>
            </w:r>
            <w:r>
              <w:rPr>
                <w:rStyle w:val="IndexLink"/>
                <w:rtl w:val="true"/>
              </w:rPr>
              <w:t xml:space="preserve">: </w:t>
            </w:r>
            <w:r>
              <w:rPr>
                <w:rStyle w:val="IndexLink"/>
                <w:rtl w:val="true"/>
              </w:rPr>
              <w:t>لو تعذّر المسح بباطن الكفّ</w:t>
            </w:r>
            <w:r>
              <w:rPr>
                <w:rStyle w:val="IndexLink"/>
                <w:rtl w:val="true"/>
              </w:rPr>
              <w:tab/>
            </w:r>
            <w:r>
              <w:rPr>
                <w:rStyle w:val="IndexLink"/>
              </w:rPr>
              <w:t>195</w:t>
            </w:r>
          </w:hyperlink>
        </w:p>
        <w:p>
          <w:pPr>
            <w:pStyle w:val="Contents4"/>
            <w:tabs>
              <w:tab w:val="clear" w:pos="8176"/>
              <w:tab w:val="right" w:pos="9026" w:leader="dot"/>
            </w:tabs>
            <w:rPr/>
          </w:pPr>
          <w:hyperlink w:anchor="__RefHeading___Toc12561664_2142443653">
            <w:r>
              <w:rPr>
                <w:webHidden/>
                <w:rStyle w:val="IndexLink"/>
                <w:rtl w:val="true"/>
              </w:rPr>
              <w:t xml:space="preserve">المسألة </w:t>
            </w:r>
            <w:r>
              <w:rPr>
                <w:rStyle w:val="IndexLink"/>
              </w:rPr>
              <w:t>100</w:t>
            </w:r>
            <w:r>
              <w:rPr>
                <w:rStyle w:val="IndexLink"/>
                <w:rtl w:val="true"/>
              </w:rPr>
              <w:t xml:space="preserve">: </w:t>
            </w:r>
            <w:r>
              <w:rPr>
                <w:rStyle w:val="IndexLink"/>
                <w:rtl w:val="true"/>
              </w:rPr>
              <w:t>لا يصحّ المسح على الخفّ</w:t>
            </w:r>
            <w:r>
              <w:rPr>
                <w:rStyle w:val="IndexLink"/>
                <w:rtl w:val="true"/>
              </w:rPr>
              <w:tab/>
            </w:r>
            <w:r>
              <w:rPr>
                <w:rStyle w:val="IndexLink"/>
              </w:rPr>
              <w:t>198</w:t>
            </w:r>
          </w:hyperlink>
        </w:p>
        <w:p>
          <w:pPr>
            <w:pStyle w:val="Contents4"/>
            <w:tabs>
              <w:tab w:val="clear" w:pos="8176"/>
              <w:tab w:val="right" w:pos="9026" w:leader="dot"/>
            </w:tabs>
            <w:rPr/>
          </w:pPr>
          <w:hyperlink w:anchor="__RefHeading___Toc12561666_2142443653">
            <w:r>
              <w:rPr>
                <w:webHidden/>
                <w:rStyle w:val="IndexLink"/>
                <w:rtl w:val="true"/>
              </w:rPr>
              <w:t xml:space="preserve">المسألة </w:t>
            </w:r>
            <w:r>
              <w:rPr>
                <w:rStyle w:val="IndexLink"/>
              </w:rPr>
              <w:t>101</w:t>
            </w:r>
            <w:r>
              <w:rPr>
                <w:rStyle w:val="IndexLink"/>
                <w:rtl w:val="true"/>
              </w:rPr>
              <w:t xml:space="preserve">: </w:t>
            </w:r>
            <w:r>
              <w:rPr>
                <w:rStyle w:val="IndexLink"/>
                <w:rtl w:val="true"/>
              </w:rPr>
              <w:t>اعتبار الجفاف في محل المسح</w:t>
            </w:r>
            <w:r>
              <w:rPr>
                <w:rStyle w:val="IndexLink"/>
                <w:rtl w:val="true"/>
              </w:rPr>
              <w:tab/>
            </w:r>
            <w:r>
              <w:rPr>
                <w:rStyle w:val="IndexLink"/>
              </w:rPr>
              <w:t>205</w:t>
            </w:r>
          </w:hyperlink>
        </w:p>
        <w:p>
          <w:pPr>
            <w:pStyle w:val="Contents4"/>
            <w:tabs>
              <w:tab w:val="clear" w:pos="8176"/>
              <w:tab w:val="right" w:pos="9026" w:leader="dot"/>
            </w:tabs>
            <w:rPr/>
          </w:pPr>
          <w:hyperlink w:anchor="__RefHeading___Toc12561668_2142443653">
            <w:r>
              <w:rPr>
                <w:webHidden/>
                <w:rStyle w:val="IndexLink"/>
                <w:rtl w:val="true"/>
              </w:rPr>
              <w:t xml:space="preserve">المسألة </w:t>
            </w:r>
            <w:r>
              <w:rPr>
                <w:rStyle w:val="IndexLink"/>
              </w:rPr>
              <w:t>102</w:t>
            </w:r>
            <w:r>
              <w:rPr>
                <w:rStyle w:val="IndexLink"/>
                <w:rtl w:val="true"/>
              </w:rPr>
              <w:t xml:space="preserve">: </w:t>
            </w:r>
            <w:r>
              <w:rPr>
                <w:rStyle w:val="IndexLink"/>
                <w:rtl w:val="true"/>
              </w:rPr>
              <w:t>الوضوء بغمس اليد في الماء</w:t>
            </w:r>
            <w:r>
              <w:rPr>
                <w:rStyle w:val="IndexLink"/>
                <w:rtl w:val="true"/>
              </w:rPr>
              <w:tab/>
            </w:r>
            <w:r>
              <w:rPr>
                <w:rStyle w:val="IndexLink"/>
              </w:rPr>
              <w:t>207</w:t>
            </w:r>
          </w:hyperlink>
        </w:p>
        <w:p>
          <w:pPr>
            <w:pStyle w:val="Contents4"/>
            <w:tabs>
              <w:tab w:val="clear" w:pos="8176"/>
              <w:tab w:val="right" w:pos="9026" w:leader="dot"/>
            </w:tabs>
            <w:rPr/>
          </w:pPr>
          <w:hyperlink w:anchor="__RefHeading___Toc12561670_2142443653">
            <w:r>
              <w:rPr>
                <w:webHidden/>
                <w:rStyle w:val="IndexLink"/>
                <w:rtl w:val="true"/>
              </w:rPr>
              <w:t xml:space="preserve">المسألة </w:t>
            </w:r>
            <w:r>
              <w:rPr>
                <w:rStyle w:val="IndexLink"/>
              </w:rPr>
              <w:t>103</w:t>
            </w:r>
            <w:r>
              <w:rPr>
                <w:rStyle w:val="IndexLink"/>
                <w:rtl w:val="true"/>
              </w:rPr>
              <w:t xml:space="preserve">: </w:t>
            </w:r>
            <w:r>
              <w:rPr>
                <w:rStyle w:val="IndexLink"/>
                <w:rtl w:val="true"/>
              </w:rPr>
              <w:t>إذا جفّ ما في اليد من بلّة ماء الوضوء</w:t>
            </w:r>
            <w:r>
              <w:rPr>
                <w:rStyle w:val="IndexLink"/>
                <w:rtl w:val="true"/>
              </w:rPr>
              <w:tab/>
            </w:r>
            <w:r>
              <w:rPr>
                <w:rStyle w:val="IndexLink"/>
              </w:rPr>
              <w:t>208</w:t>
            </w:r>
          </w:hyperlink>
        </w:p>
        <w:p>
          <w:pPr>
            <w:pStyle w:val="Contents4"/>
            <w:tabs>
              <w:tab w:val="clear" w:pos="8176"/>
              <w:tab w:val="right" w:pos="9026" w:leader="dot"/>
            </w:tabs>
            <w:rPr/>
          </w:pPr>
          <w:hyperlink w:anchor="__RefHeading___Toc12561672_2142443653">
            <w:r>
              <w:rPr>
                <w:webHidden/>
                <w:rStyle w:val="IndexLink"/>
                <w:rtl w:val="true"/>
              </w:rPr>
              <w:t xml:space="preserve">المسألة </w:t>
            </w:r>
            <w:r>
              <w:rPr>
                <w:rStyle w:val="IndexLink"/>
              </w:rPr>
              <w:t>104</w:t>
            </w:r>
            <w:r>
              <w:rPr>
                <w:rStyle w:val="IndexLink"/>
                <w:rtl w:val="true"/>
              </w:rPr>
              <w:t xml:space="preserve">: </w:t>
            </w:r>
            <w:r>
              <w:rPr>
                <w:rStyle w:val="IndexLink"/>
                <w:rtl w:val="true"/>
              </w:rPr>
              <w:t>إذا لم يمكن حفظ نداوة الماء</w:t>
            </w:r>
            <w:r>
              <w:rPr>
                <w:rStyle w:val="IndexLink"/>
                <w:rtl w:val="true"/>
              </w:rPr>
              <w:tab/>
            </w:r>
            <w:r>
              <w:rPr>
                <w:rStyle w:val="IndexLink"/>
              </w:rPr>
              <w:t>212</w:t>
            </w:r>
          </w:hyperlink>
        </w:p>
        <w:p>
          <w:pPr>
            <w:pStyle w:val="Contents4"/>
            <w:tabs>
              <w:tab w:val="clear" w:pos="8176"/>
              <w:tab w:val="right" w:pos="9026" w:leader="dot"/>
            </w:tabs>
            <w:rPr/>
          </w:pPr>
          <w:hyperlink w:anchor="__RefHeading___Toc12561674_2142443653">
            <w:r>
              <w:rPr>
                <w:webHidden/>
                <w:rStyle w:val="IndexLink"/>
                <w:rtl w:val="true"/>
              </w:rPr>
              <w:t xml:space="preserve">المسألة </w:t>
            </w:r>
            <w:r>
              <w:rPr>
                <w:rStyle w:val="IndexLink"/>
              </w:rPr>
              <w:t>105</w:t>
            </w:r>
            <w:r>
              <w:rPr>
                <w:rStyle w:val="IndexLink"/>
                <w:rtl w:val="true"/>
              </w:rPr>
              <w:t xml:space="preserve">: </w:t>
            </w:r>
            <w:r>
              <w:rPr>
                <w:rStyle w:val="IndexLink"/>
                <w:rtl w:val="true"/>
              </w:rPr>
              <w:t>لو وقف تحت المطر أو الميزاب للغسل أو الوضوء</w:t>
            </w:r>
            <w:r>
              <w:rPr>
                <w:rStyle w:val="IndexLink"/>
                <w:rtl w:val="true"/>
              </w:rPr>
              <w:tab/>
            </w:r>
            <w:r>
              <w:rPr>
                <w:rStyle w:val="IndexLink"/>
              </w:rPr>
              <w:t>235</w:t>
            </w:r>
          </w:hyperlink>
        </w:p>
        <w:p>
          <w:pPr>
            <w:pStyle w:val="Contents4"/>
            <w:tabs>
              <w:tab w:val="clear" w:pos="8176"/>
              <w:tab w:val="right" w:pos="9026" w:leader="dot"/>
            </w:tabs>
            <w:rPr/>
          </w:pPr>
          <w:hyperlink w:anchor="__RefHeading___Toc12561676_2142443653">
            <w:r>
              <w:rPr>
                <w:webHidden/>
                <w:rStyle w:val="IndexLink"/>
                <w:rtl w:val="true"/>
              </w:rPr>
              <w:t xml:space="preserve">المسألة </w:t>
            </w:r>
            <w:r>
              <w:rPr>
                <w:rStyle w:val="IndexLink"/>
              </w:rPr>
              <w:t>106</w:t>
            </w:r>
            <w:r>
              <w:rPr>
                <w:rStyle w:val="IndexLink"/>
                <w:rtl w:val="true"/>
              </w:rPr>
              <w:t xml:space="preserve">: </w:t>
            </w:r>
            <w:r>
              <w:rPr>
                <w:rStyle w:val="IndexLink"/>
                <w:rtl w:val="true"/>
              </w:rPr>
              <w:t>لو كرّر المسح لم يضرّ</w:t>
            </w:r>
            <w:r>
              <w:rPr>
                <w:rStyle w:val="IndexLink"/>
                <w:rtl w:val="true"/>
              </w:rPr>
              <w:tab/>
            </w:r>
            <w:r>
              <w:rPr>
                <w:rStyle w:val="IndexLink"/>
              </w:rPr>
              <w:t>235</w:t>
            </w:r>
          </w:hyperlink>
        </w:p>
        <w:p>
          <w:pPr>
            <w:pStyle w:val="Contents4"/>
            <w:tabs>
              <w:tab w:val="clear" w:pos="8176"/>
              <w:tab w:val="right" w:pos="9026" w:leader="dot"/>
            </w:tabs>
            <w:rPr/>
          </w:pPr>
          <w:hyperlink w:anchor="__RefHeading___Toc12561678_2142443653">
            <w:r>
              <w:rPr>
                <w:webHidden/>
                <w:rStyle w:val="IndexLink"/>
                <w:rtl w:val="true"/>
              </w:rPr>
              <w:t xml:space="preserve">المسألة </w:t>
            </w:r>
            <w:r>
              <w:rPr>
                <w:rStyle w:val="IndexLink"/>
              </w:rPr>
              <w:t>107</w:t>
            </w:r>
            <w:r>
              <w:rPr>
                <w:rStyle w:val="IndexLink"/>
                <w:rtl w:val="true"/>
              </w:rPr>
              <w:t xml:space="preserve">: </w:t>
            </w:r>
            <w:r>
              <w:rPr>
                <w:rStyle w:val="IndexLink"/>
                <w:rtl w:val="true"/>
              </w:rPr>
              <w:t>التبعيض في الوضوء</w:t>
            </w:r>
            <w:r>
              <w:rPr>
                <w:rStyle w:val="IndexLink"/>
                <w:rtl w:val="true"/>
              </w:rPr>
              <w:tab/>
            </w:r>
            <w:r>
              <w:rPr>
                <w:rStyle w:val="IndexLink"/>
              </w:rPr>
              <w:t>238</w:t>
            </w:r>
          </w:hyperlink>
        </w:p>
        <w:p>
          <w:pPr>
            <w:pStyle w:val="Contents4"/>
            <w:tabs>
              <w:tab w:val="clear" w:pos="8176"/>
              <w:tab w:val="right" w:pos="9026" w:leader="dot"/>
            </w:tabs>
            <w:rPr/>
          </w:pPr>
          <w:hyperlink w:anchor="__RefHeading___Toc12561680_2142443653">
            <w:r>
              <w:rPr>
                <w:webHidden/>
                <w:rStyle w:val="IndexLink"/>
                <w:rtl w:val="true"/>
              </w:rPr>
              <w:t xml:space="preserve">المسألة </w:t>
            </w:r>
            <w:r>
              <w:rPr>
                <w:rStyle w:val="IndexLink"/>
              </w:rPr>
              <w:t>108</w:t>
            </w:r>
            <w:r>
              <w:rPr>
                <w:rStyle w:val="IndexLink"/>
                <w:rtl w:val="true"/>
              </w:rPr>
              <w:t xml:space="preserve">: </w:t>
            </w:r>
            <w:r>
              <w:rPr>
                <w:rStyle w:val="IndexLink"/>
                <w:rtl w:val="true"/>
              </w:rPr>
              <w:t>جواز إتيان الصلاة الواجبة بالوضوء المستحبّ</w:t>
            </w:r>
            <w:r>
              <w:rPr>
                <w:rStyle w:val="IndexLink"/>
                <w:rtl w:val="true"/>
              </w:rPr>
              <w:tab/>
            </w:r>
            <w:r>
              <w:rPr>
                <w:rStyle w:val="IndexLink"/>
              </w:rPr>
              <w:t>238</w:t>
            </w:r>
          </w:hyperlink>
        </w:p>
        <w:p>
          <w:pPr>
            <w:pStyle w:val="Contents4"/>
            <w:tabs>
              <w:tab w:val="clear" w:pos="8176"/>
              <w:tab w:val="right" w:pos="9026" w:leader="dot"/>
            </w:tabs>
            <w:rPr/>
          </w:pPr>
          <w:hyperlink w:anchor="__RefHeading___Toc12561682_2142443653">
            <w:r>
              <w:rPr>
                <w:webHidden/>
                <w:rStyle w:val="IndexLink"/>
                <w:rtl w:val="true"/>
              </w:rPr>
              <w:t xml:space="preserve">المسألة </w:t>
            </w:r>
            <w:r>
              <w:rPr>
                <w:rStyle w:val="IndexLink"/>
              </w:rPr>
              <w:t>109</w:t>
            </w:r>
            <w:r>
              <w:rPr>
                <w:rStyle w:val="IndexLink"/>
                <w:rtl w:val="true"/>
              </w:rPr>
              <w:t xml:space="preserve">: </w:t>
            </w:r>
            <w:r>
              <w:rPr>
                <w:rStyle w:val="IndexLink"/>
                <w:rtl w:val="true"/>
              </w:rPr>
              <w:t>جواز الوضوء قبل الوقت</w:t>
            </w:r>
            <w:r>
              <w:rPr>
                <w:rStyle w:val="IndexLink"/>
                <w:rtl w:val="true"/>
              </w:rPr>
              <w:tab/>
            </w:r>
            <w:r>
              <w:rPr>
                <w:rStyle w:val="IndexLink"/>
              </w:rPr>
              <w:t>242</w:t>
            </w:r>
          </w:hyperlink>
        </w:p>
        <w:p>
          <w:pPr>
            <w:pStyle w:val="Contents3"/>
            <w:tabs>
              <w:tab w:val="clear" w:pos="8459"/>
              <w:tab w:val="right" w:pos="9026" w:leader="dot"/>
            </w:tabs>
            <w:rPr/>
          </w:pPr>
          <w:hyperlink w:anchor="__RefHeading___Toc12561684_2142443653">
            <w:r>
              <w:rPr>
                <w:webHidden/>
                <w:rStyle w:val="IndexLink"/>
                <w:rtl w:val="true"/>
              </w:rPr>
              <w:t>فصل</w:t>
            </w:r>
            <w:r>
              <w:rPr>
                <w:rStyle w:val="IndexLink"/>
                <w:rtl w:val="true"/>
              </w:rPr>
              <w:t xml:space="preserve">: </w:t>
            </w:r>
            <w:r>
              <w:rPr>
                <w:rStyle w:val="IndexLink"/>
                <w:rtl w:val="true"/>
              </w:rPr>
              <w:t>في شرائط الوضوء</w:t>
            </w:r>
            <w:r>
              <w:rPr>
                <w:rStyle w:val="IndexLink"/>
                <w:rtl w:val="true"/>
              </w:rPr>
              <w:tab/>
            </w:r>
            <w:r>
              <w:rPr>
                <w:rStyle w:val="IndexLink"/>
              </w:rPr>
              <w:t>244</w:t>
            </w:r>
          </w:hyperlink>
        </w:p>
        <w:p>
          <w:pPr>
            <w:pStyle w:val="Contents4"/>
            <w:tabs>
              <w:tab w:val="clear" w:pos="8176"/>
              <w:tab w:val="right" w:pos="9026" w:leader="dot"/>
            </w:tabs>
            <w:rPr/>
          </w:pPr>
          <w:hyperlink w:anchor="__RefHeading___Toc12561686_2142443653">
            <w:r>
              <w:rPr>
                <w:webHidden/>
                <w:rStyle w:val="IndexLink"/>
                <w:rtl w:val="true"/>
              </w:rPr>
              <w:t>الأمر الأوّل</w:t>
            </w:r>
            <w:r>
              <w:rPr>
                <w:rStyle w:val="IndexLink"/>
                <w:rtl w:val="true"/>
              </w:rPr>
              <w:t xml:space="preserve">: </w:t>
            </w:r>
            <w:r>
              <w:rPr>
                <w:rStyle w:val="IndexLink"/>
                <w:rtl w:val="true"/>
              </w:rPr>
              <w:t>النيّة</w:t>
            </w:r>
            <w:r>
              <w:rPr>
                <w:rStyle w:val="IndexLink"/>
                <w:rtl w:val="true"/>
              </w:rPr>
              <w:tab/>
            </w:r>
            <w:r>
              <w:rPr>
                <w:rStyle w:val="IndexLink"/>
              </w:rPr>
              <w:t>244</w:t>
            </w:r>
          </w:hyperlink>
        </w:p>
        <w:p>
          <w:pPr>
            <w:pStyle w:val="Contents4"/>
            <w:tabs>
              <w:tab w:val="clear" w:pos="8176"/>
              <w:tab w:val="right" w:pos="9026" w:leader="dot"/>
            </w:tabs>
            <w:rPr/>
          </w:pPr>
          <w:hyperlink w:anchor="__RefHeading___Toc12561688_2142443653">
            <w:r>
              <w:rPr>
                <w:webHidden/>
                <w:rStyle w:val="IndexLink"/>
                <w:rtl w:val="true"/>
              </w:rPr>
              <w:t>الأمر الثاني</w:t>
            </w:r>
            <w:r>
              <w:rPr>
                <w:rStyle w:val="IndexLink"/>
                <w:rtl w:val="true"/>
              </w:rPr>
              <w:t xml:space="preserve">: </w:t>
            </w:r>
            <w:r>
              <w:rPr>
                <w:rStyle w:val="IndexLink"/>
                <w:rtl w:val="true"/>
              </w:rPr>
              <w:t>الترتيب</w:t>
            </w:r>
            <w:r>
              <w:rPr>
                <w:rStyle w:val="IndexLink"/>
                <w:rtl w:val="true"/>
              </w:rPr>
              <w:tab/>
            </w:r>
            <w:r>
              <w:rPr>
                <w:rStyle w:val="IndexLink"/>
              </w:rPr>
              <w:t>253</w:t>
            </w:r>
          </w:hyperlink>
        </w:p>
        <w:p>
          <w:pPr>
            <w:pStyle w:val="Contents4"/>
            <w:tabs>
              <w:tab w:val="clear" w:pos="8176"/>
              <w:tab w:val="right" w:pos="9026" w:leader="dot"/>
            </w:tabs>
            <w:rPr/>
          </w:pPr>
          <w:hyperlink w:anchor="__RefHeading___Toc12561690_2142443653">
            <w:r>
              <w:rPr>
                <w:webHidden/>
                <w:rStyle w:val="IndexLink"/>
                <w:rtl w:val="true"/>
              </w:rPr>
              <w:t>الأمر الثالث</w:t>
            </w:r>
            <w:r>
              <w:rPr>
                <w:rStyle w:val="IndexLink"/>
                <w:rtl w:val="true"/>
              </w:rPr>
              <w:t xml:space="preserve">: </w:t>
            </w:r>
            <w:r>
              <w:rPr>
                <w:rStyle w:val="IndexLink"/>
                <w:rtl w:val="true"/>
              </w:rPr>
              <w:t>الموالاة</w:t>
            </w:r>
            <w:r>
              <w:rPr>
                <w:rStyle w:val="IndexLink"/>
                <w:rtl w:val="true"/>
              </w:rPr>
              <w:tab/>
            </w:r>
            <w:r>
              <w:rPr>
                <w:rStyle w:val="IndexLink"/>
              </w:rPr>
              <w:t>267</w:t>
            </w:r>
          </w:hyperlink>
        </w:p>
        <w:p>
          <w:pPr>
            <w:pStyle w:val="Contents4"/>
            <w:tabs>
              <w:tab w:val="clear" w:pos="8176"/>
              <w:tab w:val="right" w:pos="9026" w:leader="dot"/>
            </w:tabs>
            <w:rPr/>
          </w:pPr>
          <w:hyperlink w:anchor="__RefHeading___Toc12561692_2142443653">
            <w:r>
              <w:rPr>
                <w:webHidden/>
                <w:rStyle w:val="IndexLink"/>
                <w:rtl w:val="true"/>
              </w:rPr>
              <w:t xml:space="preserve">المسألة </w:t>
            </w:r>
            <w:r>
              <w:rPr>
                <w:rStyle w:val="IndexLink"/>
              </w:rPr>
              <w:t>110</w:t>
            </w:r>
            <w:r>
              <w:rPr>
                <w:rStyle w:val="IndexLink"/>
                <w:rtl w:val="true"/>
              </w:rPr>
              <w:t xml:space="preserve">: </w:t>
            </w:r>
            <w:r>
              <w:rPr>
                <w:rStyle w:val="IndexLink"/>
                <w:rtl w:val="true"/>
              </w:rPr>
              <w:t>لو جفّت اليد اليمنى قبل الشروع في اليسرى</w:t>
            </w:r>
            <w:r>
              <w:rPr>
                <w:rStyle w:val="IndexLink"/>
                <w:rtl w:val="true"/>
              </w:rPr>
              <w:tab/>
            </w:r>
            <w:r>
              <w:rPr>
                <w:rStyle w:val="IndexLink"/>
              </w:rPr>
              <w:t>276</w:t>
            </w:r>
          </w:hyperlink>
        </w:p>
        <w:p>
          <w:pPr>
            <w:pStyle w:val="Contents4"/>
            <w:tabs>
              <w:tab w:val="clear" w:pos="8176"/>
              <w:tab w:val="right" w:pos="9026" w:leader="dot"/>
            </w:tabs>
            <w:rPr/>
          </w:pPr>
          <w:hyperlink w:anchor="__RefHeading___Toc12561694_2142443653">
            <w:r>
              <w:rPr>
                <w:webHidden/>
                <w:rStyle w:val="IndexLink"/>
                <w:rtl w:val="true"/>
              </w:rPr>
              <w:t>الأمر الرابع</w:t>
            </w:r>
            <w:r>
              <w:rPr>
                <w:rStyle w:val="IndexLink"/>
                <w:rtl w:val="true"/>
              </w:rPr>
              <w:t xml:space="preserve">: </w:t>
            </w:r>
            <w:r>
              <w:rPr>
                <w:rStyle w:val="IndexLink"/>
                <w:rtl w:val="true"/>
              </w:rPr>
              <w:t>المباشرة مع الاختيار</w:t>
            </w:r>
            <w:r>
              <w:rPr>
                <w:rStyle w:val="IndexLink"/>
                <w:rtl w:val="true"/>
              </w:rPr>
              <w:tab/>
            </w:r>
            <w:r>
              <w:rPr>
                <w:rStyle w:val="IndexLink"/>
              </w:rPr>
              <w:t>276</w:t>
            </w:r>
          </w:hyperlink>
        </w:p>
        <w:p>
          <w:pPr>
            <w:pStyle w:val="Contents4"/>
            <w:tabs>
              <w:tab w:val="clear" w:pos="8176"/>
              <w:tab w:val="right" w:pos="9026" w:leader="dot"/>
            </w:tabs>
            <w:rPr/>
          </w:pPr>
          <w:hyperlink w:anchor="__RefHeading___Toc12561696_2142443653">
            <w:r>
              <w:rPr>
                <w:webHidden/>
                <w:rStyle w:val="IndexLink"/>
                <w:rtl w:val="true"/>
              </w:rPr>
              <w:t>الأمر الخامس</w:t>
            </w:r>
            <w:r>
              <w:rPr>
                <w:rStyle w:val="IndexLink"/>
                <w:rtl w:val="true"/>
              </w:rPr>
              <w:t xml:space="preserve">: </w:t>
            </w:r>
            <w:r>
              <w:rPr>
                <w:rStyle w:val="IndexLink"/>
                <w:rtl w:val="true"/>
              </w:rPr>
              <w:t>إطلاق الماء</w:t>
            </w:r>
            <w:r>
              <w:rPr>
                <w:rStyle w:val="IndexLink"/>
                <w:rtl w:val="true"/>
              </w:rPr>
              <w:tab/>
            </w:r>
            <w:r>
              <w:rPr>
                <w:rStyle w:val="IndexLink"/>
              </w:rPr>
              <w:t>284</w:t>
            </w:r>
          </w:hyperlink>
        </w:p>
        <w:p>
          <w:pPr>
            <w:pStyle w:val="Contents4"/>
            <w:tabs>
              <w:tab w:val="clear" w:pos="8176"/>
              <w:tab w:val="right" w:pos="9026" w:leader="dot"/>
            </w:tabs>
            <w:rPr/>
          </w:pPr>
          <w:hyperlink w:anchor="__RefHeading___Toc12561698_2142443653">
            <w:r>
              <w:rPr>
                <w:webHidden/>
                <w:rStyle w:val="IndexLink"/>
                <w:rtl w:val="true"/>
              </w:rPr>
              <w:t>الأمر السادس</w:t>
            </w:r>
            <w:r>
              <w:rPr>
                <w:rStyle w:val="IndexLink"/>
                <w:rtl w:val="true"/>
              </w:rPr>
              <w:t xml:space="preserve">: </w:t>
            </w:r>
            <w:r>
              <w:rPr>
                <w:rStyle w:val="IndexLink"/>
                <w:rtl w:val="true"/>
              </w:rPr>
              <w:t>إباحة الماء</w:t>
            </w:r>
            <w:r>
              <w:rPr>
                <w:rStyle w:val="IndexLink"/>
                <w:rtl w:val="true"/>
              </w:rPr>
              <w:tab/>
            </w:r>
            <w:r>
              <w:rPr>
                <w:rStyle w:val="IndexLink"/>
              </w:rPr>
              <w:t>291</w:t>
            </w:r>
          </w:hyperlink>
        </w:p>
        <w:p>
          <w:pPr>
            <w:pStyle w:val="Contents4"/>
            <w:tabs>
              <w:tab w:val="clear" w:pos="8176"/>
              <w:tab w:val="right" w:pos="9026" w:leader="dot"/>
            </w:tabs>
            <w:rPr/>
          </w:pPr>
          <w:hyperlink w:anchor="__RefHeading___Toc12561700_2142443653">
            <w:r>
              <w:rPr>
                <w:webHidden/>
                <w:rStyle w:val="IndexLink"/>
                <w:rtl w:val="true"/>
              </w:rPr>
              <w:t>الأمر السابع</w:t>
            </w:r>
            <w:r>
              <w:rPr>
                <w:rStyle w:val="IndexLink"/>
                <w:rtl w:val="true"/>
              </w:rPr>
              <w:t xml:space="preserve">: </w:t>
            </w:r>
            <w:r>
              <w:rPr>
                <w:rStyle w:val="IndexLink"/>
                <w:rtl w:val="true"/>
              </w:rPr>
              <w:t>طهارة الماء</w:t>
            </w:r>
            <w:r>
              <w:rPr>
                <w:rStyle w:val="IndexLink"/>
                <w:rtl w:val="true"/>
              </w:rPr>
              <w:tab/>
            </w:r>
            <w:r>
              <w:rPr>
                <w:rStyle w:val="IndexLink"/>
              </w:rPr>
              <w:t>302</w:t>
            </w:r>
          </w:hyperlink>
        </w:p>
        <w:p>
          <w:pPr>
            <w:pStyle w:val="Contents4"/>
            <w:tabs>
              <w:tab w:val="clear" w:pos="8176"/>
              <w:tab w:val="right" w:pos="9026" w:leader="dot"/>
            </w:tabs>
            <w:rPr/>
          </w:pPr>
          <w:hyperlink w:anchor="__RefHeading___Toc12561702_2142443653">
            <w:r>
              <w:rPr>
                <w:webHidden/>
                <w:rStyle w:val="IndexLink"/>
                <w:rtl w:val="true"/>
              </w:rPr>
              <w:t>الأمر الثامن</w:t>
            </w:r>
            <w:r>
              <w:rPr>
                <w:rStyle w:val="IndexLink"/>
                <w:rtl w:val="true"/>
              </w:rPr>
              <w:t xml:space="preserve">: </w:t>
            </w:r>
            <w:r>
              <w:rPr>
                <w:rStyle w:val="IndexLink"/>
                <w:rtl w:val="true"/>
              </w:rPr>
              <w:t>عدم الخوف من استعمال الماء</w:t>
            </w:r>
            <w:r>
              <w:rPr>
                <w:rStyle w:val="IndexLink"/>
                <w:rtl w:val="true"/>
              </w:rPr>
              <w:tab/>
            </w:r>
            <w:r>
              <w:rPr>
                <w:rStyle w:val="IndexLink"/>
              </w:rPr>
              <w:t>305</w:t>
            </w:r>
          </w:hyperlink>
        </w:p>
        <w:p>
          <w:pPr>
            <w:pStyle w:val="Contents4"/>
            <w:tabs>
              <w:tab w:val="clear" w:pos="8176"/>
              <w:tab w:val="right" w:pos="9026" w:leader="dot"/>
            </w:tabs>
            <w:rPr/>
          </w:pPr>
          <w:hyperlink w:anchor="__RefHeading___Toc12561704_2142443653">
            <w:r>
              <w:rPr>
                <w:webHidden/>
                <w:rStyle w:val="IndexLink"/>
                <w:rtl w:val="true"/>
              </w:rPr>
              <w:t xml:space="preserve">المسألة </w:t>
            </w:r>
            <w:r>
              <w:rPr>
                <w:rStyle w:val="IndexLink"/>
              </w:rPr>
              <w:t>111</w:t>
            </w:r>
            <w:r>
              <w:rPr>
                <w:rStyle w:val="IndexLink"/>
                <w:rtl w:val="true"/>
              </w:rPr>
              <w:t xml:space="preserve">: </w:t>
            </w:r>
            <w:r>
              <w:rPr>
                <w:rStyle w:val="IndexLink"/>
                <w:rtl w:val="true"/>
              </w:rPr>
              <w:t>كون الشرط الثامن والسادس من الشرائط العلمية</w:t>
            </w:r>
            <w:r>
              <w:rPr>
                <w:rStyle w:val="IndexLink"/>
                <w:rtl w:val="true"/>
              </w:rPr>
              <w:tab/>
            </w:r>
            <w:r>
              <w:rPr>
                <w:rStyle w:val="IndexLink"/>
              </w:rPr>
              <w:t>315</w:t>
            </w:r>
          </w:hyperlink>
        </w:p>
        <w:p>
          <w:pPr>
            <w:pStyle w:val="Contents4"/>
            <w:tabs>
              <w:tab w:val="clear" w:pos="8176"/>
              <w:tab w:val="right" w:pos="9026" w:leader="dot"/>
            </w:tabs>
            <w:rPr/>
          </w:pPr>
          <w:hyperlink w:anchor="__RefHeading___Toc12561706_2142443653">
            <w:r>
              <w:rPr>
                <w:webHidden/>
                <w:rStyle w:val="IndexLink"/>
                <w:rtl w:val="true"/>
              </w:rPr>
              <w:t>الأمر التاسع</w:t>
            </w:r>
            <w:r>
              <w:rPr>
                <w:rStyle w:val="IndexLink"/>
                <w:rtl w:val="true"/>
              </w:rPr>
              <w:t xml:space="preserve">: </w:t>
            </w:r>
            <w:r>
              <w:rPr>
                <w:rStyle w:val="IndexLink"/>
                <w:rtl w:val="true"/>
              </w:rPr>
              <w:t>أن لا يكون غسالة الاستنجاء</w:t>
            </w:r>
            <w:r>
              <w:rPr>
                <w:rStyle w:val="IndexLink"/>
                <w:rtl w:val="true"/>
              </w:rPr>
              <w:tab/>
            </w:r>
            <w:r>
              <w:rPr>
                <w:rStyle w:val="IndexLink"/>
              </w:rPr>
              <w:t>316</w:t>
            </w:r>
          </w:hyperlink>
        </w:p>
        <w:p>
          <w:pPr>
            <w:pStyle w:val="Contents4"/>
            <w:tabs>
              <w:tab w:val="clear" w:pos="8176"/>
              <w:tab w:val="right" w:pos="9026" w:leader="dot"/>
            </w:tabs>
            <w:rPr/>
          </w:pPr>
          <w:hyperlink w:anchor="__RefHeading___Toc12561708_2142443653">
            <w:r>
              <w:rPr>
                <w:webHidden/>
                <w:rStyle w:val="IndexLink"/>
                <w:rtl w:val="true"/>
              </w:rPr>
              <w:t>الأمر العاشر</w:t>
            </w:r>
            <w:r>
              <w:rPr>
                <w:rStyle w:val="IndexLink"/>
                <w:rtl w:val="true"/>
              </w:rPr>
              <w:t xml:space="preserve">: </w:t>
            </w:r>
            <w:r>
              <w:rPr>
                <w:rStyle w:val="IndexLink"/>
                <w:rtl w:val="true"/>
              </w:rPr>
              <w:t>أن لا يكون مشتبهاً بالنجس</w:t>
            </w:r>
            <w:r>
              <w:rPr>
                <w:rStyle w:val="IndexLink"/>
                <w:rtl w:val="true"/>
              </w:rPr>
              <w:tab/>
            </w:r>
            <w:r>
              <w:rPr>
                <w:rStyle w:val="IndexLink"/>
              </w:rPr>
              <w:t>316</w:t>
            </w:r>
          </w:hyperlink>
        </w:p>
        <w:p>
          <w:pPr>
            <w:pStyle w:val="Contents4"/>
            <w:tabs>
              <w:tab w:val="clear" w:pos="8176"/>
              <w:tab w:val="right" w:pos="9026" w:leader="dot"/>
            </w:tabs>
            <w:rPr/>
          </w:pPr>
          <w:hyperlink w:anchor="__RefHeading___Toc12561710_2142443653">
            <w:r>
              <w:rPr>
                <w:webHidden/>
                <w:rStyle w:val="IndexLink"/>
                <w:rtl w:val="true"/>
              </w:rPr>
              <w:t>الأمر الحادي عشر</w:t>
            </w:r>
            <w:r>
              <w:rPr>
                <w:rStyle w:val="IndexLink"/>
                <w:rtl w:val="true"/>
              </w:rPr>
              <w:t xml:space="preserve">: </w:t>
            </w:r>
            <w:r>
              <w:rPr>
                <w:rStyle w:val="IndexLink"/>
                <w:rtl w:val="true"/>
              </w:rPr>
              <w:t>طهارة مواضع الوضوء</w:t>
            </w:r>
            <w:r>
              <w:rPr>
                <w:rStyle w:val="IndexLink"/>
                <w:rtl w:val="true"/>
              </w:rPr>
              <w:tab/>
            </w:r>
            <w:r>
              <w:rPr>
                <w:rStyle w:val="IndexLink"/>
              </w:rPr>
              <w:t>327</w:t>
            </w:r>
          </w:hyperlink>
        </w:p>
        <w:p>
          <w:pPr>
            <w:pStyle w:val="Contents4"/>
            <w:tabs>
              <w:tab w:val="clear" w:pos="8176"/>
              <w:tab w:val="right" w:pos="9026" w:leader="dot"/>
            </w:tabs>
            <w:rPr/>
          </w:pPr>
          <w:hyperlink w:anchor="__RefHeading___Toc12561712_2142443653">
            <w:r>
              <w:rPr>
                <w:webHidden/>
                <w:rStyle w:val="IndexLink"/>
                <w:rtl w:val="true"/>
              </w:rPr>
              <w:t>الأمر الثاني عشر</w:t>
            </w:r>
            <w:r>
              <w:rPr>
                <w:rStyle w:val="IndexLink"/>
                <w:rtl w:val="true"/>
              </w:rPr>
              <w:t xml:space="preserve">: </w:t>
            </w:r>
            <w:r>
              <w:rPr>
                <w:rStyle w:val="IndexLink"/>
                <w:rtl w:val="true"/>
              </w:rPr>
              <w:t>إباحة مكان الوضوء</w:t>
            </w:r>
            <w:r>
              <w:rPr>
                <w:rStyle w:val="IndexLink"/>
                <w:rtl w:val="true"/>
              </w:rPr>
              <w:tab/>
            </w:r>
            <w:r>
              <w:rPr>
                <w:rStyle w:val="IndexLink"/>
              </w:rPr>
              <w:t>330</w:t>
            </w:r>
          </w:hyperlink>
        </w:p>
        <w:p>
          <w:pPr>
            <w:pStyle w:val="Contents4"/>
            <w:tabs>
              <w:tab w:val="clear" w:pos="8176"/>
              <w:tab w:val="right" w:pos="9026" w:leader="dot"/>
            </w:tabs>
            <w:rPr/>
          </w:pPr>
          <w:hyperlink w:anchor="__RefHeading___Toc12561714_2142443653">
            <w:r>
              <w:rPr>
                <w:webHidden/>
                <w:rStyle w:val="IndexLink"/>
                <w:rtl w:val="true"/>
              </w:rPr>
              <w:t>الأمر الثالث عشر</w:t>
            </w:r>
            <w:r>
              <w:rPr>
                <w:rStyle w:val="IndexLink"/>
                <w:rtl w:val="true"/>
              </w:rPr>
              <w:t xml:space="preserve">: </w:t>
            </w:r>
            <w:r>
              <w:rPr>
                <w:rStyle w:val="IndexLink"/>
                <w:rtl w:val="true"/>
              </w:rPr>
              <w:t>إباحة مصبّ ماء الوضوء</w:t>
            </w:r>
            <w:r>
              <w:rPr>
                <w:rStyle w:val="IndexLink"/>
                <w:rtl w:val="true"/>
              </w:rPr>
              <w:tab/>
            </w:r>
            <w:r>
              <w:rPr>
                <w:rStyle w:val="IndexLink"/>
              </w:rPr>
              <w:t>332</w:t>
            </w:r>
          </w:hyperlink>
        </w:p>
        <w:p>
          <w:pPr>
            <w:pStyle w:val="Contents4"/>
            <w:tabs>
              <w:tab w:val="clear" w:pos="8176"/>
              <w:tab w:val="right" w:pos="9026" w:leader="dot"/>
            </w:tabs>
            <w:rPr/>
          </w:pPr>
          <w:hyperlink w:anchor="__RefHeading___Toc12561716_2142443653">
            <w:r>
              <w:rPr>
                <w:webHidden/>
                <w:rStyle w:val="IndexLink"/>
                <w:rtl w:val="true"/>
              </w:rPr>
              <w:t xml:space="preserve">المسألة </w:t>
            </w:r>
            <w:r>
              <w:rPr>
                <w:rStyle w:val="IndexLink"/>
              </w:rPr>
              <w:t>112</w:t>
            </w:r>
            <w:r>
              <w:rPr>
                <w:rStyle w:val="IndexLink"/>
                <w:rtl w:val="true"/>
              </w:rPr>
              <w:t xml:space="preserve">: </w:t>
            </w:r>
            <w:r>
              <w:rPr>
                <w:rStyle w:val="IndexLink"/>
                <w:rtl w:val="true"/>
              </w:rPr>
              <w:t>لو كان محلّ المتوضّي مغصوباً وهواؤه مباحاً</w:t>
            </w:r>
            <w:r>
              <w:rPr>
                <w:rStyle w:val="IndexLink"/>
                <w:rtl w:val="true"/>
              </w:rPr>
              <w:tab/>
            </w:r>
            <w:r>
              <w:rPr>
                <w:rStyle w:val="IndexLink"/>
              </w:rPr>
              <w:t>333</w:t>
            </w:r>
          </w:hyperlink>
        </w:p>
        <w:p>
          <w:pPr>
            <w:pStyle w:val="Contents4"/>
            <w:tabs>
              <w:tab w:val="clear" w:pos="8176"/>
              <w:tab w:val="right" w:pos="9026" w:leader="dot"/>
            </w:tabs>
            <w:rPr/>
          </w:pPr>
          <w:hyperlink w:anchor="__RefHeading___Toc12561718_2142443653">
            <w:r>
              <w:rPr>
                <w:webHidden/>
                <w:rStyle w:val="IndexLink"/>
                <w:rtl w:val="true"/>
              </w:rPr>
              <w:t xml:space="preserve">المسألة </w:t>
            </w:r>
            <w:r>
              <w:rPr>
                <w:rStyle w:val="IndexLink"/>
              </w:rPr>
              <w:t>113</w:t>
            </w:r>
            <w:r>
              <w:rPr>
                <w:rStyle w:val="IndexLink"/>
                <w:rtl w:val="true"/>
              </w:rPr>
              <w:t xml:space="preserve">: </w:t>
            </w:r>
            <w:r>
              <w:rPr>
                <w:rStyle w:val="IndexLink"/>
                <w:rtl w:val="true"/>
              </w:rPr>
              <w:t>الغسل في الحمّام المغصوب</w:t>
            </w:r>
            <w:r>
              <w:rPr>
                <w:rStyle w:val="IndexLink"/>
                <w:rtl w:val="true"/>
              </w:rPr>
              <w:tab/>
            </w:r>
            <w:r>
              <w:rPr>
                <w:rStyle w:val="IndexLink"/>
              </w:rPr>
              <w:t>334</w:t>
            </w:r>
          </w:hyperlink>
        </w:p>
        <w:p>
          <w:pPr>
            <w:pStyle w:val="Contents4"/>
            <w:tabs>
              <w:tab w:val="clear" w:pos="8176"/>
              <w:tab w:val="right" w:pos="9026" w:leader="dot"/>
            </w:tabs>
            <w:rPr/>
          </w:pPr>
          <w:hyperlink w:anchor="__RefHeading___Toc12561720_2142443653">
            <w:r>
              <w:rPr>
                <w:webHidden/>
                <w:rStyle w:val="IndexLink"/>
                <w:rtl w:val="true"/>
              </w:rPr>
              <w:t xml:space="preserve">المسألة </w:t>
            </w:r>
            <w:r>
              <w:rPr>
                <w:rStyle w:val="IndexLink"/>
              </w:rPr>
              <w:t>114</w:t>
            </w:r>
            <w:r>
              <w:rPr>
                <w:rStyle w:val="IndexLink"/>
                <w:rtl w:val="true"/>
              </w:rPr>
              <w:t xml:space="preserve">: </w:t>
            </w:r>
            <w:r>
              <w:rPr>
                <w:rStyle w:val="IndexLink"/>
                <w:rtl w:val="true"/>
              </w:rPr>
              <w:t>فاقد الطهورين</w:t>
            </w:r>
            <w:r>
              <w:rPr>
                <w:rStyle w:val="IndexLink"/>
                <w:rtl w:val="true"/>
              </w:rPr>
              <w:tab/>
            </w:r>
            <w:r>
              <w:rPr>
                <w:rStyle w:val="IndexLink"/>
              </w:rPr>
              <w:t>335</w:t>
            </w:r>
          </w:hyperlink>
        </w:p>
        <w:p>
          <w:pPr>
            <w:pStyle w:val="Contents3"/>
            <w:tabs>
              <w:tab w:val="clear" w:pos="8459"/>
              <w:tab w:val="right" w:pos="9026" w:leader="dot"/>
            </w:tabs>
            <w:rPr/>
          </w:pPr>
          <w:hyperlink w:anchor="__RefHeading___Toc12561722_2142443653">
            <w:r>
              <w:rPr>
                <w:webHidden/>
                <w:rStyle w:val="IndexLink"/>
                <w:rtl w:val="true"/>
              </w:rPr>
              <w:t>فصل</w:t>
            </w:r>
            <w:r>
              <w:rPr>
                <w:rStyle w:val="IndexLink"/>
                <w:rtl w:val="true"/>
              </w:rPr>
              <w:t xml:space="preserve">: </w:t>
            </w:r>
            <w:r>
              <w:rPr>
                <w:rStyle w:val="IndexLink"/>
                <w:rtl w:val="true"/>
              </w:rPr>
              <w:t>في حكم صاحب الجبيرة</w:t>
            </w:r>
            <w:r>
              <w:rPr>
                <w:rStyle w:val="IndexLink"/>
                <w:rtl w:val="true"/>
              </w:rPr>
              <w:tab/>
            </w:r>
            <w:r>
              <w:rPr>
                <w:rStyle w:val="IndexLink"/>
              </w:rPr>
              <w:t>340</w:t>
            </w:r>
          </w:hyperlink>
        </w:p>
        <w:p>
          <w:pPr>
            <w:pStyle w:val="Contents4"/>
            <w:tabs>
              <w:tab w:val="clear" w:pos="8176"/>
              <w:tab w:val="right" w:pos="9026" w:leader="dot"/>
            </w:tabs>
            <w:rPr/>
          </w:pPr>
          <w:hyperlink w:anchor="__RefHeading___Toc12561724_2142443653">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2561726_2142443653">
            <w:r>
              <w:rPr>
                <w:webHidden/>
                <w:rStyle w:val="IndexLink"/>
                <w:rtl w:val="true"/>
              </w:rPr>
              <w:t xml:space="preserve">المسألة </w:t>
            </w:r>
            <w:r>
              <w:rPr>
                <w:rStyle w:val="IndexLink"/>
              </w:rPr>
              <w:t>115</w:t>
            </w:r>
            <w:r>
              <w:rPr>
                <w:rStyle w:val="IndexLink"/>
                <w:rtl w:val="true"/>
              </w:rPr>
              <w:t xml:space="preserve">: </w:t>
            </w:r>
            <w:r>
              <w:rPr>
                <w:rStyle w:val="IndexLink"/>
                <w:rtl w:val="true"/>
              </w:rPr>
              <w:t>لو كان في العضو جرح أو قرح مكشوف</w:t>
            </w:r>
            <w:r>
              <w:rPr>
                <w:rStyle w:val="IndexLink"/>
                <w:rtl w:val="true"/>
              </w:rPr>
              <w:tab/>
            </w:r>
            <w:r>
              <w:rPr>
                <w:rStyle w:val="IndexLink"/>
              </w:rPr>
              <w:t>350</w:t>
            </w:r>
          </w:hyperlink>
        </w:p>
        <w:p>
          <w:pPr>
            <w:pStyle w:val="Contents4"/>
            <w:tabs>
              <w:tab w:val="clear" w:pos="8176"/>
              <w:tab w:val="right" w:pos="9026" w:leader="dot"/>
            </w:tabs>
            <w:rPr/>
          </w:pPr>
          <w:hyperlink w:anchor="__RefHeading___Toc12561728_2142443653">
            <w:r>
              <w:rPr>
                <w:webHidden/>
                <w:rStyle w:val="IndexLink"/>
                <w:rtl w:val="true"/>
              </w:rPr>
              <w:t xml:space="preserve">المسألة </w:t>
            </w:r>
            <w:r>
              <w:rPr>
                <w:rStyle w:val="IndexLink"/>
              </w:rPr>
              <w:t>116</w:t>
            </w:r>
            <w:r>
              <w:rPr>
                <w:rStyle w:val="IndexLink"/>
                <w:rtl w:val="true"/>
              </w:rPr>
              <w:t xml:space="preserve">: </w:t>
            </w:r>
            <w:r>
              <w:rPr>
                <w:rStyle w:val="IndexLink"/>
                <w:rtl w:val="true"/>
              </w:rPr>
              <w:t>لو كانت الجبيرة نجسة</w:t>
            </w:r>
            <w:r>
              <w:rPr>
                <w:rStyle w:val="IndexLink"/>
                <w:rtl w:val="true"/>
              </w:rPr>
              <w:tab/>
            </w:r>
            <w:r>
              <w:rPr>
                <w:rStyle w:val="IndexLink"/>
              </w:rPr>
              <w:t>352</w:t>
            </w:r>
          </w:hyperlink>
        </w:p>
        <w:p>
          <w:pPr>
            <w:pStyle w:val="Contents4"/>
            <w:tabs>
              <w:tab w:val="clear" w:pos="8176"/>
              <w:tab w:val="right" w:pos="9026" w:leader="dot"/>
            </w:tabs>
            <w:rPr/>
          </w:pPr>
          <w:hyperlink w:anchor="__RefHeading___Toc12561730_2142443653">
            <w:r>
              <w:rPr>
                <w:webHidden/>
                <w:rStyle w:val="IndexLink"/>
                <w:rtl w:val="true"/>
              </w:rPr>
              <w:t xml:space="preserve">المسألة </w:t>
            </w:r>
            <w:r>
              <w:rPr>
                <w:rStyle w:val="IndexLink"/>
              </w:rPr>
              <w:t>117</w:t>
            </w:r>
            <w:r>
              <w:rPr>
                <w:rStyle w:val="IndexLink"/>
                <w:rtl w:val="true"/>
              </w:rPr>
              <w:t xml:space="preserve">: </w:t>
            </w:r>
            <w:r>
              <w:rPr>
                <w:rStyle w:val="IndexLink"/>
                <w:rtl w:val="true"/>
              </w:rPr>
              <w:t>لو كان مانع غير الجبيرة</w:t>
            </w:r>
            <w:r>
              <w:rPr>
                <w:rStyle w:val="IndexLink"/>
                <w:rtl w:val="true"/>
              </w:rPr>
              <w:tab/>
            </w:r>
            <w:r>
              <w:rPr>
                <w:rStyle w:val="IndexLink"/>
              </w:rPr>
              <w:t>353</w:t>
            </w:r>
          </w:hyperlink>
        </w:p>
        <w:p>
          <w:pPr>
            <w:pStyle w:val="Contents4"/>
            <w:tabs>
              <w:tab w:val="clear" w:pos="8176"/>
              <w:tab w:val="right" w:pos="9026" w:leader="dot"/>
            </w:tabs>
            <w:rPr/>
          </w:pPr>
          <w:hyperlink w:anchor="__RefHeading___Toc12561732_2142443653">
            <w:r>
              <w:rPr>
                <w:webHidden/>
                <w:rStyle w:val="IndexLink"/>
                <w:rtl w:val="true"/>
              </w:rPr>
              <w:t xml:space="preserve">المسألة </w:t>
            </w:r>
            <w:r>
              <w:rPr>
                <w:rStyle w:val="IndexLink"/>
              </w:rPr>
              <w:t>118</w:t>
            </w:r>
            <w:r>
              <w:rPr>
                <w:rStyle w:val="IndexLink"/>
                <w:rtl w:val="true"/>
              </w:rPr>
              <w:t xml:space="preserve">: </w:t>
            </w:r>
            <w:r>
              <w:rPr>
                <w:rStyle w:val="IndexLink"/>
                <w:rtl w:val="true"/>
              </w:rPr>
              <w:t>لو كانت الجبيرة على الماسح</w:t>
            </w:r>
            <w:r>
              <w:rPr>
                <w:rStyle w:val="IndexLink"/>
                <w:rtl w:val="true"/>
              </w:rPr>
              <w:tab/>
            </w:r>
            <w:r>
              <w:rPr>
                <w:rStyle w:val="IndexLink"/>
              </w:rPr>
              <w:t>353</w:t>
            </w:r>
          </w:hyperlink>
        </w:p>
        <w:p>
          <w:pPr>
            <w:pStyle w:val="Contents4"/>
            <w:tabs>
              <w:tab w:val="clear" w:pos="8176"/>
              <w:tab w:val="right" w:pos="9026" w:leader="dot"/>
            </w:tabs>
            <w:rPr/>
          </w:pPr>
          <w:hyperlink w:anchor="__RefHeading___Toc12561734_2142443653">
            <w:r>
              <w:rPr>
                <w:webHidden/>
                <w:rStyle w:val="IndexLink"/>
                <w:rtl w:val="true"/>
              </w:rPr>
              <w:t xml:space="preserve">المسألة </w:t>
            </w:r>
            <w:r>
              <w:rPr>
                <w:rStyle w:val="IndexLink"/>
              </w:rPr>
              <w:t>119</w:t>
            </w:r>
            <w:r>
              <w:rPr>
                <w:rStyle w:val="IndexLink"/>
                <w:rtl w:val="true"/>
              </w:rPr>
              <w:t xml:space="preserve">: </w:t>
            </w:r>
            <w:r>
              <w:rPr>
                <w:rStyle w:val="IndexLink"/>
                <w:rtl w:val="true"/>
              </w:rPr>
              <w:t>عدم الفرق بين كون الجبيرة في محلّ الغسل أو المسح</w:t>
            </w:r>
            <w:r>
              <w:rPr>
                <w:rStyle w:val="IndexLink"/>
                <w:rtl w:val="true"/>
              </w:rPr>
              <w:tab/>
            </w:r>
            <w:r>
              <w:rPr>
                <w:rStyle w:val="IndexLink"/>
              </w:rPr>
              <w:t>354</w:t>
            </w:r>
          </w:hyperlink>
        </w:p>
        <w:p>
          <w:pPr>
            <w:pStyle w:val="Contents4"/>
            <w:tabs>
              <w:tab w:val="clear" w:pos="8176"/>
              <w:tab w:val="right" w:pos="9026" w:leader="dot"/>
            </w:tabs>
            <w:rPr/>
          </w:pPr>
          <w:hyperlink w:anchor="__RefHeading___Toc12561736_2142443653">
            <w:r>
              <w:rPr>
                <w:webHidden/>
                <w:rStyle w:val="IndexLink"/>
                <w:rtl w:val="true"/>
              </w:rPr>
              <w:t xml:space="preserve">المسألة </w:t>
            </w:r>
            <w:r>
              <w:rPr>
                <w:rStyle w:val="IndexLink"/>
              </w:rPr>
              <w:t>120</w:t>
            </w:r>
            <w:r>
              <w:rPr>
                <w:rStyle w:val="IndexLink"/>
                <w:rtl w:val="true"/>
              </w:rPr>
              <w:t xml:space="preserve">: </w:t>
            </w:r>
            <w:r>
              <w:rPr>
                <w:rStyle w:val="IndexLink"/>
                <w:rtl w:val="true"/>
              </w:rPr>
              <w:t>لا بدّ من طهارة الجبيرة</w:t>
            </w:r>
            <w:r>
              <w:rPr>
                <w:rStyle w:val="IndexLink"/>
                <w:rtl w:val="true"/>
              </w:rPr>
              <w:tab/>
            </w:r>
            <w:r>
              <w:rPr>
                <w:rStyle w:val="IndexLink"/>
              </w:rPr>
              <w:t>355</w:t>
            </w:r>
          </w:hyperlink>
        </w:p>
        <w:p>
          <w:pPr>
            <w:pStyle w:val="Contents4"/>
            <w:tabs>
              <w:tab w:val="clear" w:pos="8176"/>
              <w:tab w:val="right" w:pos="9026" w:leader="dot"/>
            </w:tabs>
            <w:rPr/>
          </w:pPr>
          <w:hyperlink w:anchor="__RefHeading___Toc12561738_2142443653">
            <w:r>
              <w:rPr>
                <w:webHidden/>
                <w:rStyle w:val="IndexLink"/>
                <w:rtl w:val="true"/>
              </w:rPr>
              <w:t xml:space="preserve">المسألة </w:t>
            </w:r>
            <w:r>
              <w:rPr>
                <w:rStyle w:val="IndexLink"/>
              </w:rPr>
              <w:t>121</w:t>
            </w:r>
            <w:r>
              <w:rPr>
                <w:rStyle w:val="IndexLink"/>
                <w:rtl w:val="true"/>
              </w:rPr>
              <w:t xml:space="preserve">: </w:t>
            </w:r>
            <w:r>
              <w:rPr>
                <w:rStyle w:val="IndexLink"/>
                <w:rtl w:val="true"/>
              </w:rPr>
              <w:t>لا يعتبر في صحة الوضوء أن تكون الجبيرة ممّا تصحّ الصلاة فيه</w:t>
            </w:r>
            <w:r>
              <w:rPr>
                <w:rStyle w:val="IndexLink"/>
                <w:rtl w:val="true"/>
              </w:rPr>
              <w:tab/>
            </w:r>
            <w:r>
              <w:rPr>
                <w:rStyle w:val="IndexLink"/>
              </w:rPr>
              <w:t>355</w:t>
            </w:r>
          </w:hyperlink>
        </w:p>
        <w:p>
          <w:pPr>
            <w:pStyle w:val="Contents4"/>
            <w:tabs>
              <w:tab w:val="clear" w:pos="8176"/>
              <w:tab w:val="right" w:pos="9026" w:leader="dot"/>
            </w:tabs>
            <w:rPr/>
          </w:pPr>
          <w:hyperlink w:anchor="__RefHeading___Toc12561740_2142443653">
            <w:r>
              <w:rPr>
                <w:webHidden/>
                <w:rStyle w:val="IndexLink"/>
                <w:rtl w:val="true"/>
              </w:rPr>
              <w:t xml:space="preserve">المسألة </w:t>
            </w:r>
            <w:r>
              <w:rPr>
                <w:rStyle w:val="IndexLink"/>
              </w:rPr>
              <w:t>122</w:t>
            </w:r>
            <w:r>
              <w:rPr>
                <w:rStyle w:val="IndexLink"/>
                <w:rtl w:val="true"/>
              </w:rPr>
              <w:t xml:space="preserve">: </w:t>
            </w:r>
            <w:r>
              <w:rPr>
                <w:rStyle w:val="IndexLink"/>
                <w:rtl w:val="true"/>
              </w:rPr>
              <w:t>لو ارتفع عذر صاحب الجبيرة</w:t>
            </w:r>
            <w:r>
              <w:rPr>
                <w:rStyle w:val="IndexLink"/>
                <w:rtl w:val="true"/>
              </w:rPr>
              <w:tab/>
            </w:r>
            <w:r>
              <w:rPr>
                <w:rStyle w:val="IndexLink"/>
              </w:rPr>
              <w:t>356</w:t>
            </w:r>
          </w:hyperlink>
        </w:p>
        <w:p>
          <w:pPr>
            <w:pStyle w:val="Contents3"/>
            <w:tabs>
              <w:tab w:val="clear" w:pos="8459"/>
              <w:tab w:val="right" w:pos="9026" w:leader="dot"/>
            </w:tabs>
            <w:rPr/>
          </w:pPr>
          <w:hyperlink w:anchor="__RefHeading___Toc12561742_2142443653">
            <w:r>
              <w:rPr>
                <w:webHidden/>
                <w:rStyle w:val="IndexLink"/>
                <w:rtl w:val="true"/>
              </w:rPr>
              <w:t>فصل</w:t>
            </w:r>
            <w:r>
              <w:rPr>
                <w:rStyle w:val="IndexLink"/>
                <w:rtl w:val="true"/>
              </w:rPr>
              <w:t xml:space="preserve">: </w:t>
            </w:r>
            <w:r>
              <w:rPr>
                <w:rStyle w:val="IndexLink"/>
                <w:rtl w:val="true"/>
              </w:rPr>
              <w:t>في أحكام الشكوك المتعلقة بالوضوء</w:t>
            </w:r>
            <w:r>
              <w:rPr>
                <w:rStyle w:val="IndexLink"/>
                <w:rtl w:val="true"/>
              </w:rPr>
              <w:tab/>
            </w:r>
            <w:r>
              <w:rPr>
                <w:rStyle w:val="IndexLink"/>
              </w:rPr>
              <w:t>358</w:t>
            </w:r>
          </w:hyperlink>
        </w:p>
        <w:p>
          <w:pPr>
            <w:pStyle w:val="Contents4"/>
            <w:tabs>
              <w:tab w:val="clear" w:pos="8176"/>
              <w:tab w:val="right" w:pos="9026" w:leader="dot"/>
            </w:tabs>
            <w:rPr/>
          </w:pPr>
          <w:hyperlink w:anchor="__RefHeading___Toc12561744_2142443653">
            <w:r>
              <w:rPr>
                <w:webHidden/>
                <w:rStyle w:val="IndexLink"/>
                <w:rtl w:val="true"/>
              </w:rPr>
              <w:t xml:space="preserve">المسألة </w:t>
            </w:r>
            <w:r>
              <w:rPr>
                <w:rStyle w:val="IndexLink"/>
              </w:rPr>
              <w:t>123</w:t>
            </w:r>
            <w:r>
              <w:rPr>
                <w:rStyle w:val="IndexLink"/>
                <w:rtl w:val="true"/>
              </w:rPr>
              <w:t xml:space="preserve">: </w:t>
            </w:r>
            <w:r>
              <w:rPr>
                <w:rStyle w:val="IndexLink"/>
                <w:rtl w:val="true"/>
              </w:rPr>
              <w:t>من تيقن الحدث وشك في الوضوء</w:t>
            </w:r>
            <w:r>
              <w:rPr>
                <w:rStyle w:val="IndexLink"/>
                <w:rtl w:val="true"/>
              </w:rPr>
              <w:tab/>
            </w:r>
            <w:r>
              <w:rPr>
                <w:rStyle w:val="IndexLink"/>
              </w:rPr>
              <w:t>358</w:t>
            </w:r>
          </w:hyperlink>
        </w:p>
        <w:p>
          <w:pPr>
            <w:pStyle w:val="Contents4"/>
            <w:tabs>
              <w:tab w:val="clear" w:pos="8176"/>
              <w:tab w:val="right" w:pos="9026" w:leader="dot"/>
            </w:tabs>
            <w:rPr/>
          </w:pPr>
          <w:hyperlink w:anchor="__RefHeading___Toc12561746_2142443653">
            <w:r>
              <w:rPr>
                <w:webHidden/>
                <w:rStyle w:val="IndexLink"/>
                <w:rtl w:val="true"/>
              </w:rPr>
              <w:t xml:space="preserve">المسألة </w:t>
            </w:r>
            <w:r>
              <w:rPr>
                <w:rStyle w:val="IndexLink"/>
              </w:rPr>
              <w:t>124</w:t>
            </w:r>
            <w:r>
              <w:rPr>
                <w:rStyle w:val="IndexLink"/>
                <w:rtl w:val="true"/>
              </w:rPr>
              <w:t xml:space="preserve">: </w:t>
            </w:r>
            <w:r>
              <w:rPr>
                <w:rStyle w:val="IndexLink"/>
                <w:rtl w:val="true"/>
              </w:rPr>
              <w:t>من شكّ في الوضوء بعد الصلاة</w:t>
            </w:r>
            <w:r>
              <w:rPr>
                <w:rStyle w:val="IndexLink"/>
                <w:rtl w:val="true"/>
              </w:rPr>
              <w:tab/>
            </w:r>
            <w:r>
              <w:rPr>
                <w:rStyle w:val="IndexLink"/>
              </w:rPr>
              <w:t>359</w:t>
            </w:r>
          </w:hyperlink>
        </w:p>
        <w:p>
          <w:pPr>
            <w:pStyle w:val="Contents4"/>
            <w:tabs>
              <w:tab w:val="clear" w:pos="8176"/>
              <w:tab w:val="right" w:pos="9026" w:leader="dot"/>
            </w:tabs>
            <w:rPr/>
          </w:pPr>
          <w:hyperlink w:anchor="__RefHeading___Toc12561748_2142443653">
            <w:r>
              <w:rPr>
                <w:webHidden/>
                <w:rStyle w:val="IndexLink"/>
                <w:rtl w:val="true"/>
              </w:rPr>
              <w:t xml:space="preserve">المسألة </w:t>
            </w:r>
            <w:r>
              <w:rPr>
                <w:rStyle w:val="IndexLink"/>
              </w:rPr>
              <w:t>125</w:t>
            </w:r>
            <w:r>
              <w:rPr>
                <w:rStyle w:val="IndexLink"/>
                <w:rtl w:val="true"/>
              </w:rPr>
              <w:t xml:space="preserve">: </w:t>
            </w:r>
            <w:r>
              <w:rPr>
                <w:rStyle w:val="IndexLink"/>
                <w:rtl w:val="true"/>
              </w:rPr>
              <w:t>لو شكّ في الطهارة في أثناء الصلاة</w:t>
            </w:r>
            <w:r>
              <w:rPr>
                <w:rStyle w:val="IndexLink"/>
                <w:rtl w:val="true"/>
              </w:rPr>
              <w:tab/>
            </w:r>
            <w:r>
              <w:rPr>
                <w:rStyle w:val="IndexLink"/>
              </w:rPr>
              <w:t>360</w:t>
            </w:r>
          </w:hyperlink>
        </w:p>
        <w:p>
          <w:pPr>
            <w:pStyle w:val="Contents4"/>
            <w:tabs>
              <w:tab w:val="clear" w:pos="8176"/>
              <w:tab w:val="right" w:pos="9026" w:leader="dot"/>
            </w:tabs>
            <w:rPr/>
          </w:pPr>
          <w:hyperlink w:anchor="__RefHeading___Toc12561750_2142443653">
            <w:r>
              <w:rPr>
                <w:webHidden/>
                <w:rStyle w:val="IndexLink"/>
                <w:rtl w:val="true"/>
              </w:rPr>
              <w:t xml:space="preserve">المسألة </w:t>
            </w:r>
            <w:r>
              <w:rPr>
                <w:rStyle w:val="IndexLink"/>
              </w:rPr>
              <w:t>127</w:t>
            </w:r>
            <w:r>
              <w:rPr>
                <w:rStyle w:val="IndexLink"/>
                <w:rtl w:val="true"/>
              </w:rPr>
              <w:t xml:space="preserve">: </w:t>
            </w:r>
            <w:r>
              <w:rPr>
                <w:rStyle w:val="IndexLink"/>
                <w:rtl w:val="true"/>
              </w:rPr>
              <w:t>من شكّ في شيء من أجزاء الوضوء</w:t>
            </w:r>
            <w:r>
              <w:rPr>
                <w:rStyle w:val="IndexLink"/>
                <w:rtl w:val="true"/>
              </w:rPr>
              <w:tab/>
            </w:r>
            <w:r>
              <w:rPr>
                <w:rStyle w:val="IndexLink"/>
              </w:rPr>
              <w:t>360</w:t>
            </w:r>
          </w:hyperlink>
        </w:p>
        <w:p>
          <w:pPr>
            <w:pStyle w:val="Contents4"/>
            <w:tabs>
              <w:tab w:val="clear" w:pos="8176"/>
              <w:tab w:val="right" w:pos="9026" w:leader="dot"/>
            </w:tabs>
            <w:rPr/>
          </w:pPr>
          <w:hyperlink w:anchor="__RefHeading___Toc12561752_2142443653">
            <w:r>
              <w:rPr>
                <w:webHidden/>
                <w:rStyle w:val="IndexLink"/>
                <w:rtl w:val="true"/>
              </w:rPr>
              <w:t xml:space="preserve">المسألة </w:t>
            </w:r>
            <w:r>
              <w:rPr>
                <w:rStyle w:val="IndexLink"/>
              </w:rPr>
              <w:t>128</w:t>
            </w:r>
            <w:r>
              <w:rPr>
                <w:rStyle w:val="IndexLink"/>
                <w:rtl w:val="true"/>
              </w:rPr>
              <w:t xml:space="preserve">: </w:t>
            </w:r>
            <w:r>
              <w:rPr>
                <w:rStyle w:val="IndexLink"/>
                <w:rtl w:val="true"/>
              </w:rPr>
              <w:t>لو كان بعض مواضع وضوئه نجساً</w:t>
            </w:r>
            <w:r>
              <w:rPr>
                <w:rStyle w:val="IndexLink"/>
                <w:rtl w:val="true"/>
              </w:rPr>
              <w:tab/>
            </w:r>
            <w:r>
              <w:rPr>
                <w:rStyle w:val="IndexLink"/>
              </w:rPr>
              <w:t>364</w:t>
            </w:r>
          </w:hyperlink>
        </w:p>
        <w:p>
          <w:pPr>
            <w:pStyle w:val="Contents3"/>
            <w:tabs>
              <w:tab w:val="clear" w:pos="8459"/>
              <w:tab w:val="right" w:pos="9026" w:leader="dot"/>
            </w:tabs>
            <w:rPr/>
          </w:pPr>
          <w:hyperlink w:anchor="__RefHeading___Toc12561754_2142443653">
            <w:r>
              <w:rPr>
                <w:webHidden/>
                <w:rStyle w:val="IndexLink"/>
                <w:rtl w:val="true"/>
              </w:rPr>
              <w:t>فصل</w:t>
            </w:r>
            <w:r>
              <w:rPr>
                <w:rStyle w:val="IndexLink"/>
                <w:rtl w:val="true"/>
              </w:rPr>
              <w:t xml:space="preserve">: </w:t>
            </w:r>
            <w:r>
              <w:rPr>
                <w:rStyle w:val="IndexLink"/>
                <w:rtl w:val="true"/>
              </w:rPr>
              <w:t>في أحكام صاحب الحدث المستمر</w:t>
            </w:r>
            <w:r>
              <w:rPr>
                <w:rStyle w:val="IndexLink"/>
                <w:rtl w:val="true"/>
              </w:rPr>
              <w:tab/>
            </w:r>
            <w:r>
              <w:rPr>
                <w:rStyle w:val="IndexLink"/>
              </w:rPr>
              <w:t>367</w:t>
            </w:r>
          </w:hyperlink>
        </w:p>
        <w:p>
          <w:pPr>
            <w:pStyle w:val="Contents4"/>
            <w:tabs>
              <w:tab w:val="clear" w:pos="8176"/>
              <w:tab w:val="right" w:pos="9026" w:leader="dot"/>
            </w:tabs>
            <w:rPr/>
          </w:pPr>
          <w:hyperlink w:anchor="__RefHeading___Toc12561756_2142443653">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2561758_2142443653">
            <w:r>
              <w:rPr>
                <w:webHidden/>
                <w:rStyle w:val="IndexLink"/>
                <w:rtl w:val="true"/>
              </w:rPr>
              <w:t xml:space="preserve">المسألة </w:t>
            </w:r>
            <w:r>
              <w:rPr>
                <w:rStyle w:val="IndexLink"/>
              </w:rPr>
              <w:t>129</w:t>
            </w:r>
            <w:r>
              <w:rPr>
                <w:rStyle w:val="IndexLink"/>
                <w:rtl w:val="true"/>
              </w:rPr>
              <w:t xml:space="preserve">: </w:t>
            </w:r>
            <w:r>
              <w:rPr>
                <w:rStyle w:val="IndexLink"/>
                <w:rtl w:val="true"/>
              </w:rPr>
              <w:t>غير ما مرّ من النواقض ليس ناقضاً عندنا</w:t>
            </w:r>
            <w:r>
              <w:rPr>
                <w:rStyle w:val="IndexLink"/>
                <w:rtl w:val="true"/>
              </w:rPr>
              <w:tab/>
            </w:r>
            <w:r>
              <w:rPr>
                <w:rStyle w:val="IndexLink"/>
              </w:rPr>
              <w:t>373</w:t>
            </w:r>
          </w:hyperlink>
        </w:p>
        <w:p>
          <w:pPr>
            <w:pStyle w:val="Contents3"/>
            <w:tabs>
              <w:tab w:val="clear" w:pos="8459"/>
              <w:tab w:val="right" w:pos="9026" w:leader="dot"/>
            </w:tabs>
            <w:rPr/>
          </w:pPr>
          <w:hyperlink w:anchor="__RefHeading___Toc12561760_2142443653">
            <w:r>
              <w:rPr>
                <w:webHidden/>
                <w:rStyle w:val="IndexLink"/>
                <w:rtl w:val="true"/>
              </w:rPr>
              <w:t>فصل</w:t>
            </w:r>
            <w:r>
              <w:rPr>
                <w:rStyle w:val="IndexLink"/>
                <w:rtl w:val="true"/>
              </w:rPr>
              <w:t xml:space="preserve">: </w:t>
            </w:r>
            <w:r>
              <w:rPr>
                <w:rStyle w:val="IndexLink"/>
                <w:rtl w:val="true"/>
              </w:rPr>
              <w:t>في سنن الوضوء وآدابه</w:t>
            </w:r>
            <w:r>
              <w:rPr>
                <w:rStyle w:val="IndexLink"/>
                <w:rtl w:val="true"/>
              </w:rPr>
              <w:tab/>
            </w:r>
            <w:r>
              <w:rPr>
                <w:rStyle w:val="IndexLink"/>
              </w:rPr>
              <w:t>377</w:t>
            </w:r>
          </w:hyperlink>
        </w:p>
        <w:p>
          <w:pPr>
            <w:pStyle w:val="Contents2"/>
            <w:tabs>
              <w:tab w:val="clear" w:pos="8743"/>
              <w:tab w:val="right" w:pos="9026" w:leader="dot"/>
            </w:tabs>
            <w:rPr/>
          </w:pPr>
          <w:hyperlink w:anchor="__RefHeading___Toc12561762_2142443653">
            <w:r>
              <w:rPr>
                <w:webHidden/>
                <w:rStyle w:val="IndexLink"/>
                <w:rtl w:val="true"/>
              </w:rPr>
              <w:t>فصل</w:t>
            </w:r>
            <w:r>
              <w:rPr>
                <w:rStyle w:val="IndexLink"/>
                <w:rtl w:val="true"/>
              </w:rPr>
              <w:t xml:space="preserve">: </w:t>
            </w:r>
            <w:r>
              <w:rPr>
                <w:rStyle w:val="IndexLink"/>
                <w:rtl w:val="true"/>
              </w:rPr>
              <w:t>في الأغسال</w:t>
            </w:r>
            <w:r>
              <w:rPr>
                <w:rStyle w:val="IndexLink"/>
                <w:rtl w:val="true"/>
              </w:rPr>
              <w:tab/>
            </w:r>
            <w:r>
              <w:rPr>
                <w:rStyle w:val="IndexLink"/>
              </w:rPr>
              <w:t>384</w:t>
            </w:r>
          </w:hyperlink>
        </w:p>
        <w:p>
          <w:pPr>
            <w:pStyle w:val="Contents3"/>
            <w:tabs>
              <w:tab w:val="clear" w:pos="8459"/>
              <w:tab w:val="right" w:pos="9026" w:leader="dot"/>
            </w:tabs>
            <w:rPr/>
          </w:pPr>
          <w:hyperlink w:anchor="__RefHeading___Toc12561764_2142443653">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12561766_2142443653">
            <w:r>
              <w:rPr>
                <w:webHidden/>
                <w:rStyle w:val="IndexLink"/>
                <w:rtl w:val="true"/>
              </w:rPr>
              <w:t>فصل</w:t>
            </w:r>
            <w:r>
              <w:rPr>
                <w:rStyle w:val="IndexLink"/>
                <w:rtl w:val="true"/>
              </w:rPr>
              <w:t xml:space="preserve">: </w:t>
            </w:r>
            <w:r>
              <w:rPr>
                <w:rStyle w:val="IndexLink"/>
                <w:rtl w:val="true"/>
              </w:rPr>
              <w:t>في الأغسال</w:t>
            </w:r>
            <w:r>
              <w:rPr>
                <w:rStyle w:val="IndexLink"/>
                <w:rtl w:val="true"/>
              </w:rPr>
              <w:tab/>
            </w:r>
            <w:r>
              <w:rPr>
                <w:rStyle w:val="IndexLink"/>
              </w:rPr>
              <w:t>386</w:t>
            </w:r>
          </w:hyperlink>
        </w:p>
        <w:p>
          <w:pPr>
            <w:pStyle w:val="Contents4"/>
            <w:tabs>
              <w:tab w:val="clear" w:pos="8176"/>
              <w:tab w:val="right" w:pos="9026" w:leader="dot"/>
            </w:tabs>
            <w:rPr/>
          </w:pPr>
          <w:hyperlink w:anchor="__RefHeading___Toc12561768_2142443653">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12561770_2142443653">
            <w:r>
              <w:rPr>
                <w:webHidden/>
                <w:rStyle w:val="IndexLink"/>
                <w:rtl w:val="true"/>
              </w:rPr>
              <w:t xml:space="preserve">المسألة </w:t>
            </w:r>
            <w:r>
              <w:rPr>
                <w:rStyle w:val="IndexLink"/>
              </w:rPr>
              <w:t>130</w:t>
            </w:r>
            <w:r>
              <w:rPr>
                <w:rStyle w:val="IndexLink"/>
                <w:rtl w:val="true"/>
              </w:rPr>
              <w:t xml:space="preserve">: </w:t>
            </w:r>
            <w:r>
              <w:rPr>
                <w:rStyle w:val="IndexLink"/>
                <w:rtl w:val="true"/>
              </w:rPr>
              <w:t>كيفيّة تشخيص المني واوصافه</w:t>
            </w:r>
            <w:r>
              <w:rPr>
                <w:rStyle w:val="IndexLink"/>
                <w:rtl w:val="true"/>
              </w:rPr>
              <w:tab/>
            </w:r>
            <w:r>
              <w:rPr>
                <w:rStyle w:val="IndexLink"/>
              </w:rPr>
              <w:t>399</w:t>
            </w:r>
          </w:hyperlink>
        </w:p>
        <w:p>
          <w:pPr>
            <w:pStyle w:val="Contents4"/>
            <w:tabs>
              <w:tab w:val="clear" w:pos="8176"/>
              <w:tab w:val="right" w:pos="9026" w:leader="dot"/>
            </w:tabs>
            <w:rPr/>
          </w:pPr>
          <w:hyperlink w:anchor="__RefHeading___Toc12561772_2142443653">
            <w:r>
              <w:rPr>
                <w:webHidden/>
                <w:rStyle w:val="IndexLink"/>
                <w:rtl w:val="true"/>
              </w:rPr>
              <w:t xml:space="preserve">المسألة </w:t>
            </w:r>
            <w:r>
              <w:rPr>
                <w:rStyle w:val="IndexLink"/>
              </w:rPr>
              <w:t>131</w:t>
            </w:r>
            <w:r>
              <w:rPr>
                <w:rStyle w:val="IndexLink"/>
                <w:rtl w:val="true"/>
              </w:rPr>
              <w:t xml:space="preserve">: </w:t>
            </w:r>
            <w:r>
              <w:rPr>
                <w:rStyle w:val="IndexLink"/>
                <w:rtl w:val="true"/>
              </w:rPr>
              <w:t>احتلام المرأة وأحكامها</w:t>
            </w:r>
            <w:r>
              <w:rPr>
                <w:rStyle w:val="IndexLink"/>
                <w:rtl w:val="true"/>
              </w:rPr>
              <w:tab/>
            </w:r>
            <w:r>
              <w:rPr>
                <w:rStyle w:val="IndexLink"/>
              </w:rPr>
              <w:t>404</w:t>
            </w:r>
          </w:hyperlink>
        </w:p>
        <w:p>
          <w:pPr>
            <w:pStyle w:val="Contents4"/>
            <w:tabs>
              <w:tab w:val="clear" w:pos="8176"/>
              <w:tab w:val="right" w:pos="9026" w:leader="dot"/>
            </w:tabs>
            <w:rPr/>
          </w:pPr>
          <w:hyperlink w:anchor="__RefHeading___Toc12561774_2142443653">
            <w:r>
              <w:rPr>
                <w:webHidden/>
                <w:rStyle w:val="IndexLink"/>
                <w:rtl w:val="true"/>
              </w:rPr>
              <w:t xml:space="preserve">المسألة </w:t>
            </w:r>
            <w:r>
              <w:rPr>
                <w:rStyle w:val="IndexLink"/>
              </w:rPr>
              <w:t>132</w:t>
            </w:r>
            <w:r>
              <w:rPr>
                <w:rStyle w:val="IndexLink"/>
                <w:rtl w:val="true"/>
              </w:rPr>
              <w:t xml:space="preserve">: </w:t>
            </w:r>
            <w:r>
              <w:rPr>
                <w:rStyle w:val="IndexLink"/>
                <w:rtl w:val="true"/>
              </w:rPr>
              <w:t>لا يجب الغسل بمجرّد حركة المني</w:t>
            </w:r>
            <w:r>
              <w:rPr>
                <w:rStyle w:val="IndexLink"/>
                <w:rtl w:val="true"/>
              </w:rPr>
              <w:tab/>
            </w:r>
            <w:r>
              <w:rPr>
                <w:rStyle w:val="IndexLink"/>
              </w:rPr>
              <w:t>404</w:t>
            </w:r>
          </w:hyperlink>
        </w:p>
        <w:p>
          <w:pPr>
            <w:pStyle w:val="Contents4"/>
            <w:tabs>
              <w:tab w:val="clear" w:pos="8176"/>
              <w:tab w:val="right" w:pos="9026" w:leader="dot"/>
            </w:tabs>
            <w:rPr/>
          </w:pPr>
          <w:hyperlink w:anchor="__RefHeading___Toc12561776_2142443653">
            <w:r>
              <w:rPr>
                <w:webHidden/>
                <w:rStyle w:val="IndexLink"/>
                <w:rtl w:val="true"/>
              </w:rPr>
              <w:t xml:space="preserve">المسألة </w:t>
            </w:r>
            <w:r>
              <w:rPr>
                <w:rStyle w:val="IndexLink"/>
              </w:rPr>
              <w:t>133</w:t>
            </w:r>
            <w:r>
              <w:rPr>
                <w:rStyle w:val="IndexLink"/>
                <w:rtl w:val="true"/>
              </w:rPr>
              <w:t xml:space="preserve">: </w:t>
            </w:r>
            <w:r>
              <w:rPr>
                <w:rStyle w:val="IndexLink"/>
                <w:rtl w:val="true"/>
              </w:rPr>
              <w:t>الاستمناء</w:t>
            </w:r>
            <w:r>
              <w:rPr>
                <w:rStyle w:val="IndexLink"/>
                <w:rtl w:val="true"/>
              </w:rPr>
              <w:tab/>
            </w:r>
            <w:r>
              <w:rPr>
                <w:rStyle w:val="IndexLink"/>
              </w:rPr>
              <w:t>405</w:t>
            </w:r>
          </w:hyperlink>
        </w:p>
        <w:p>
          <w:pPr>
            <w:pStyle w:val="Contents4"/>
            <w:tabs>
              <w:tab w:val="clear" w:pos="8176"/>
              <w:tab w:val="right" w:pos="9026" w:leader="dot"/>
            </w:tabs>
            <w:rPr/>
          </w:pPr>
          <w:hyperlink w:anchor="__RefHeading___Toc12561778_2142443653">
            <w:r>
              <w:rPr>
                <w:webHidden/>
                <w:rStyle w:val="IndexLink"/>
                <w:rtl w:val="true"/>
              </w:rPr>
              <w:t xml:space="preserve">المسألة </w:t>
            </w:r>
            <w:r>
              <w:rPr>
                <w:rStyle w:val="IndexLink"/>
              </w:rPr>
              <w:t>134</w:t>
            </w:r>
            <w:r>
              <w:rPr>
                <w:rStyle w:val="IndexLink"/>
                <w:rtl w:val="true"/>
              </w:rPr>
              <w:t xml:space="preserve">: </w:t>
            </w:r>
            <w:r>
              <w:rPr>
                <w:rStyle w:val="IndexLink"/>
                <w:rtl w:val="true"/>
              </w:rPr>
              <w:t>لو شكّ في خروج المني</w:t>
            </w:r>
            <w:r>
              <w:rPr>
                <w:rStyle w:val="IndexLink"/>
                <w:rtl w:val="true"/>
              </w:rPr>
              <w:tab/>
            </w:r>
            <w:r>
              <w:rPr>
                <w:rStyle w:val="IndexLink"/>
              </w:rPr>
              <w:t>407</w:t>
            </w:r>
          </w:hyperlink>
        </w:p>
        <w:p>
          <w:pPr>
            <w:pStyle w:val="Contents4"/>
            <w:tabs>
              <w:tab w:val="clear" w:pos="8176"/>
              <w:tab w:val="right" w:pos="9026" w:leader="dot"/>
            </w:tabs>
            <w:rPr/>
          </w:pPr>
          <w:hyperlink w:anchor="__RefHeading___Toc12561780_2142443653">
            <w:r>
              <w:rPr>
                <w:webHidden/>
                <w:rStyle w:val="IndexLink"/>
                <w:rtl w:val="true"/>
              </w:rPr>
              <w:t xml:space="preserve">المسألة </w:t>
            </w:r>
            <w:r>
              <w:rPr>
                <w:rStyle w:val="IndexLink"/>
              </w:rPr>
              <w:t>135</w:t>
            </w:r>
            <w:r>
              <w:rPr>
                <w:rStyle w:val="IndexLink"/>
                <w:rtl w:val="true"/>
              </w:rPr>
              <w:t xml:space="preserve">: </w:t>
            </w:r>
            <w:r>
              <w:rPr>
                <w:rStyle w:val="IndexLink"/>
                <w:rtl w:val="true"/>
              </w:rPr>
              <w:t>لو خرج مني الرجل من المرأة</w:t>
            </w:r>
            <w:r>
              <w:rPr>
                <w:rStyle w:val="IndexLink"/>
                <w:rtl w:val="true"/>
              </w:rPr>
              <w:tab/>
            </w:r>
            <w:r>
              <w:rPr>
                <w:rStyle w:val="IndexLink"/>
              </w:rPr>
              <w:t>408</w:t>
            </w:r>
          </w:hyperlink>
        </w:p>
        <w:p>
          <w:pPr>
            <w:pStyle w:val="Contents4"/>
            <w:tabs>
              <w:tab w:val="clear" w:pos="8176"/>
              <w:tab w:val="right" w:pos="9026" w:leader="dot"/>
            </w:tabs>
            <w:rPr/>
          </w:pPr>
          <w:hyperlink w:anchor="__RefHeading___Toc12561782_2142443653">
            <w:r>
              <w:rPr>
                <w:webHidden/>
                <w:rStyle w:val="IndexLink"/>
                <w:rtl w:val="true"/>
              </w:rPr>
              <w:t xml:space="preserve">المسألة </w:t>
            </w:r>
            <w:r>
              <w:rPr>
                <w:rStyle w:val="IndexLink"/>
              </w:rPr>
              <w:t>136</w:t>
            </w:r>
            <w:r>
              <w:rPr>
                <w:rStyle w:val="IndexLink"/>
                <w:rtl w:val="true"/>
              </w:rPr>
              <w:t xml:space="preserve">: </w:t>
            </w:r>
            <w:r>
              <w:rPr>
                <w:rStyle w:val="IndexLink"/>
                <w:rtl w:val="true"/>
              </w:rPr>
              <w:t>خروج مني الرجل من المرأة مخلوطاً</w:t>
            </w:r>
            <w:r>
              <w:rPr>
                <w:rStyle w:val="IndexLink"/>
                <w:rtl w:val="true"/>
              </w:rPr>
              <w:tab/>
            </w:r>
            <w:r>
              <w:rPr>
                <w:rStyle w:val="IndexLink"/>
              </w:rPr>
              <w:t>409</w:t>
            </w:r>
          </w:hyperlink>
        </w:p>
        <w:p>
          <w:pPr>
            <w:pStyle w:val="Contents4"/>
            <w:tabs>
              <w:tab w:val="clear" w:pos="8176"/>
              <w:tab w:val="right" w:pos="9026" w:leader="dot"/>
            </w:tabs>
            <w:rPr/>
          </w:pPr>
          <w:hyperlink w:anchor="__RefHeading___Toc12561784_2142443653">
            <w:r>
              <w:rPr>
                <w:webHidden/>
                <w:rStyle w:val="IndexLink"/>
                <w:rtl w:val="true"/>
              </w:rPr>
              <w:t xml:space="preserve">المسألة </w:t>
            </w:r>
            <w:r>
              <w:rPr>
                <w:rStyle w:val="IndexLink"/>
              </w:rPr>
              <w:t>137</w:t>
            </w:r>
            <w:r>
              <w:rPr>
                <w:rStyle w:val="IndexLink"/>
                <w:rtl w:val="true"/>
              </w:rPr>
              <w:t xml:space="preserve">: </w:t>
            </w:r>
            <w:r>
              <w:rPr>
                <w:rStyle w:val="IndexLink"/>
                <w:rtl w:val="true"/>
              </w:rPr>
              <w:t>لو وجد منياً في ثوبه</w:t>
            </w:r>
            <w:r>
              <w:rPr>
                <w:rStyle w:val="IndexLink"/>
                <w:rtl w:val="true"/>
              </w:rPr>
              <w:tab/>
            </w:r>
            <w:r>
              <w:rPr>
                <w:rStyle w:val="IndexLink"/>
              </w:rPr>
              <w:t>409</w:t>
            </w:r>
          </w:hyperlink>
        </w:p>
        <w:p>
          <w:pPr>
            <w:pStyle w:val="Contents3"/>
            <w:tabs>
              <w:tab w:val="clear" w:pos="8459"/>
              <w:tab w:val="right" w:pos="9026" w:leader="dot"/>
            </w:tabs>
            <w:rPr/>
          </w:pPr>
          <w:hyperlink w:anchor="__RefHeading___Toc12561786_2142443653">
            <w:r>
              <w:rPr>
                <w:webHidden/>
                <w:rStyle w:val="IndexLink"/>
                <w:rtl w:val="true"/>
              </w:rPr>
              <w:t>فصل</w:t>
            </w:r>
            <w:r>
              <w:rPr>
                <w:rStyle w:val="IndexLink"/>
                <w:rtl w:val="true"/>
              </w:rPr>
              <w:t xml:space="preserve">: </w:t>
            </w:r>
            <w:r>
              <w:rPr>
                <w:rStyle w:val="IndexLink"/>
                <w:rtl w:val="true"/>
              </w:rPr>
              <w:t>فيما يشترط بالغسل</w:t>
            </w:r>
            <w:r>
              <w:rPr>
                <w:rStyle w:val="IndexLink"/>
                <w:rtl w:val="true"/>
              </w:rPr>
              <w:tab/>
            </w:r>
            <w:r>
              <w:rPr>
                <w:rStyle w:val="IndexLink"/>
              </w:rPr>
              <w:t>411</w:t>
            </w:r>
          </w:hyperlink>
        </w:p>
        <w:p>
          <w:pPr>
            <w:pStyle w:val="Contents3"/>
            <w:tabs>
              <w:tab w:val="clear" w:pos="8459"/>
              <w:tab w:val="right" w:pos="9026" w:leader="dot"/>
            </w:tabs>
            <w:rPr/>
          </w:pPr>
          <w:hyperlink w:anchor="__RefHeading___Toc12561788_2142443653">
            <w:r>
              <w:rPr>
                <w:webHidden/>
                <w:rStyle w:val="IndexLink"/>
                <w:rtl w:val="true"/>
              </w:rPr>
              <w:t>فصل</w:t>
            </w:r>
            <w:r>
              <w:rPr>
                <w:rStyle w:val="IndexLink"/>
                <w:rtl w:val="true"/>
              </w:rPr>
              <w:t xml:space="preserve">: </w:t>
            </w:r>
            <w:r>
              <w:rPr>
                <w:rStyle w:val="IndexLink"/>
                <w:rtl w:val="true"/>
              </w:rPr>
              <w:t>فيما يكره للجنب</w:t>
            </w:r>
            <w:r>
              <w:rPr>
                <w:rStyle w:val="IndexLink"/>
                <w:rtl w:val="true"/>
              </w:rPr>
              <w:tab/>
            </w:r>
            <w:r>
              <w:rPr>
                <w:rStyle w:val="IndexLink"/>
              </w:rPr>
              <w:t>427</w:t>
            </w:r>
          </w:hyperlink>
        </w:p>
        <w:p>
          <w:pPr>
            <w:pStyle w:val="Contents3"/>
            <w:tabs>
              <w:tab w:val="clear" w:pos="8459"/>
              <w:tab w:val="right" w:pos="9026" w:leader="dot"/>
            </w:tabs>
            <w:rPr/>
          </w:pPr>
          <w:hyperlink w:anchor="__RefHeading___Toc12561790_2142443653">
            <w:r>
              <w:rPr>
                <w:webHidden/>
                <w:rStyle w:val="IndexLink"/>
                <w:rtl w:val="true"/>
              </w:rPr>
              <w:t>فصل</w:t>
            </w:r>
            <w:r>
              <w:rPr>
                <w:rStyle w:val="IndexLink"/>
                <w:rtl w:val="true"/>
              </w:rPr>
              <w:t xml:space="preserve">: </w:t>
            </w:r>
            <w:r>
              <w:rPr>
                <w:rStyle w:val="IndexLink"/>
                <w:rtl w:val="true"/>
              </w:rPr>
              <w:t>فيما ينبغي عند الاغتسال</w:t>
            </w:r>
            <w:r>
              <w:rPr>
                <w:rStyle w:val="IndexLink"/>
                <w:rtl w:val="true"/>
              </w:rPr>
              <w:tab/>
            </w:r>
            <w:r>
              <w:rPr>
                <w:rStyle w:val="IndexLink"/>
              </w:rPr>
              <w:t>430</w:t>
            </w:r>
          </w:hyperlink>
        </w:p>
        <w:p>
          <w:pPr>
            <w:pStyle w:val="Contents4"/>
            <w:tabs>
              <w:tab w:val="clear" w:pos="8176"/>
              <w:tab w:val="right" w:pos="9026" w:leader="dot"/>
            </w:tabs>
            <w:rPr/>
          </w:pPr>
          <w:hyperlink w:anchor="__RefHeading___Toc12561792_2142443653">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12561794_2142443653">
            <w:r>
              <w:rPr>
                <w:webHidden/>
                <w:rStyle w:val="IndexLink"/>
                <w:rtl w:val="true"/>
              </w:rPr>
              <w:t xml:space="preserve">المسألة </w:t>
            </w:r>
            <w:r>
              <w:rPr>
                <w:rStyle w:val="IndexLink"/>
              </w:rPr>
              <w:t>138</w:t>
            </w:r>
            <w:r>
              <w:rPr>
                <w:rStyle w:val="IndexLink"/>
                <w:rtl w:val="true"/>
              </w:rPr>
              <w:t xml:space="preserve">: </w:t>
            </w:r>
            <w:r>
              <w:rPr>
                <w:rStyle w:val="IndexLink"/>
                <w:rtl w:val="true"/>
              </w:rPr>
              <w:t>غسل الجنابة يجزي عن الوضوء</w:t>
            </w:r>
            <w:r>
              <w:rPr>
                <w:rStyle w:val="IndexLink"/>
                <w:rtl w:val="true"/>
              </w:rPr>
              <w:tab/>
            </w:r>
            <w:r>
              <w:rPr>
                <w:rStyle w:val="IndexLink"/>
              </w:rPr>
              <w:t>433</w:t>
            </w:r>
          </w:hyperlink>
        </w:p>
        <w:p>
          <w:pPr>
            <w:pStyle w:val="Contents4"/>
            <w:tabs>
              <w:tab w:val="clear" w:pos="8176"/>
              <w:tab w:val="right" w:pos="9026" w:leader="dot"/>
            </w:tabs>
            <w:rPr/>
          </w:pPr>
          <w:hyperlink w:anchor="__RefHeading___Toc12561796_2142443653">
            <w:r>
              <w:rPr>
                <w:webHidden/>
                <w:rStyle w:val="IndexLink"/>
                <w:rtl w:val="true"/>
              </w:rPr>
              <w:t xml:space="preserve">المسألة </w:t>
            </w:r>
            <w:r>
              <w:rPr>
                <w:rStyle w:val="IndexLink"/>
              </w:rPr>
              <w:t>139</w:t>
            </w:r>
            <w:r>
              <w:rPr>
                <w:rStyle w:val="IndexLink"/>
                <w:rtl w:val="true"/>
              </w:rPr>
              <w:t xml:space="preserve">: </w:t>
            </w:r>
            <w:r>
              <w:rPr>
                <w:rStyle w:val="IndexLink"/>
                <w:rtl w:val="true"/>
              </w:rPr>
              <w:t>لو أحدث في أثناء الغسل</w:t>
            </w:r>
            <w:r>
              <w:rPr>
                <w:rStyle w:val="IndexLink"/>
                <w:rtl w:val="true"/>
              </w:rPr>
              <w:tab/>
            </w:r>
            <w:r>
              <w:rPr>
                <w:rStyle w:val="IndexLink"/>
              </w:rPr>
              <w:t>434</w:t>
            </w:r>
          </w:hyperlink>
        </w:p>
        <w:p>
          <w:pPr>
            <w:pStyle w:val="Contents3"/>
            <w:tabs>
              <w:tab w:val="clear" w:pos="8459"/>
              <w:tab w:val="right" w:pos="9026" w:leader="dot"/>
            </w:tabs>
            <w:rPr/>
          </w:pPr>
          <w:hyperlink w:anchor="__RefHeading___Toc12561798_2142443653">
            <w:r>
              <w:rPr>
                <w:webHidden/>
                <w:rStyle w:val="IndexLink"/>
                <w:rtl w:val="true"/>
              </w:rPr>
              <w:t>فصل</w:t>
            </w:r>
            <w:r>
              <w:rPr>
                <w:rStyle w:val="IndexLink"/>
                <w:rtl w:val="true"/>
              </w:rPr>
              <w:t xml:space="preserve">: </w:t>
            </w:r>
            <w:r>
              <w:rPr>
                <w:rStyle w:val="IndexLink"/>
                <w:rtl w:val="true"/>
              </w:rPr>
              <w:t>في كيفية غسل الجنابة</w:t>
            </w:r>
            <w:r>
              <w:rPr>
                <w:rStyle w:val="IndexLink"/>
                <w:rtl w:val="true"/>
              </w:rPr>
              <w:tab/>
            </w:r>
            <w:r>
              <w:rPr>
                <w:rStyle w:val="IndexLink"/>
              </w:rPr>
              <w:t>437</w:t>
            </w:r>
          </w:hyperlink>
        </w:p>
        <w:p>
          <w:pPr>
            <w:pStyle w:val="Contents4"/>
            <w:tabs>
              <w:tab w:val="clear" w:pos="8176"/>
              <w:tab w:val="right" w:pos="9026" w:leader="dot"/>
            </w:tabs>
            <w:rPr/>
          </w:pPr>
          <w:hyperlink w:anchor="__RefHeading___Toc12561800_2142443653">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2561802_2142443653">
            <w:r>
              <w:rPr>
                <w:webHidden/>
                <w:rStyle w:val="IndexLink"/>
                <w:rtl w:val="true"/>
              </w:rPr>
              <w:t xml:space="preserve">المسألة </w:t>
            </w:r>
            <w:r>
              <w:rPr>
                <w:rStyle w:val="IndexLink"/>
              </w:rPr>
              <w:t>140</w:t>
            </w:r>
            <w:r>
              <w:rPr>
                <w:rStyle w:val="IndexLink"/>
                <w:rtl w:val="true"/>
              </w:rPr>
              <w:t xml:space="preserve">: </w:t>
            </w:r>
            <w:r>
              <w:rPr>
                <w:rStyle w:val="IndexLink"/>
                <w:rtl w:val="true"/>
              </w:rPr>
              <w:t>إيصال الماء إلى البدن في الغسل</w:t>
            </w:r>
            <w:r>
              <w:rPr>
                <w:rStyle w:val="IndexLink"/>
                <w:rtl w:val="true"/>
              </w:rPr>
              <w:tab/>
            </w:r>
            <w:r>
              <w:rPr>
                <w:rStyle w:val="IndexLink"/>
              </w:rPr>
              <w:t>441</w:t>
            </w:r>
          </w:hyperlink>
        </w:p>
        <w:p>
          <w:pPr>
            <w:pStyle w:val="Contents4"/>
            <w:tabs>
              <w:tab w:val="clear" w:pos="8176"/>
              <w:tab w:val="right" w:pos="9026" w:leader="dot"/>
            </w:tabs>
            <w:rPr/>
          </w:pPr>
          <w:hyperlink w:anchor="__RefHeading___Toc12561804_2142443653">
            <w:r>
              <w:rPr>
                <w:webHidden/>
                <w:rStyle w:val="IndexLink"/>
                <w:rtl w:val="true"/>
              </w:rPr>
              <w:t xml:space="preserve">المسألة </w:t>
            </w:r>
            <w:r>
              <w:rPr>
                <w:rStyle w:val="IndexLink"/>
              </w:rPr>
              <w:t>142</w:t>
            </w:r>
            <w:r>
              <w:rPr>
                <w:rStyle w:val="IndexLink"/>
                <w:rtl w:val="true"/>
              </w:rPr>
              <w:t xml:space="preserve">: </w:t>
            </w:r>
            <w:r>
              <w:rPr>
                <w:rStyle w:val="IndexLink"/>
                <w:rtl w:val="true"/>
              </w:rPr>
              <w:t>كيفية الغسل في الماء</w:t>
            </w:r>
            <w:r>
              <w:rPr>
                <w:rStyle w:val="IndexLink"/>
                <w:rtl w:val="true"/>
              </w:rPr>
              <w:tab/>
            </w:r>
            <w:r>
              <w:rPr>
                <w:rStyle w:val="IndexLink"/>
              </w:rPr>
              <w:t>441</w:t>
            </w:r>
          </w:hyperlink>
        </w:p>
        <w:p>
          <w:pPr>
            <w:pStyle w:val="Contents3"/>
            <w:tabs>
              <w:tab w:val="clear" w:pos="8459"/>
              <w:tab w:val="right" w:pos="9026" w:leader="dot"/>
            </w:tabs>
            <w:rPr/>
          </w:pPr>
          <w:hyperlink w:anchor="__RefHeading___Toc12561806_2142443653">
            <w:r>
              <w:rPr>
                <w:webHidden/>
                <w:rStyle w:val="IndexLink"/>
                <w:rtl w:val="true"/>
              </w:rPr>
              <w:t>فصل</w:t>
            </w:r>
            <w:r>
              <w:rPr>
                <w:rStyle w:val="IndexLink"/>
                <w:rtl w:val="true"/>
              </w:rPr>
              <w:t xml:space="preserve">: </w:t>
            </w:r>
            <w:r>
              <w:rPr>
                <w:rStyle w:val="IndexLink"/>
                <w:rtl w:val="true"/>
              </w:rPr>
              <w:t>فيما يعتبر في الغسل</w:t>
            </w:r>
            <w:r>
              <w:rPr>
                <w:rStyle w:val="IndexLink"/>
                <w:rtl w:val="true"/>
              </w:rPr>
              <w:tab/>
            </w:r>
            <w:r>
              <w:rPr>
                <w:rStyle w:val="IndexLink"/>
              </w:rPr>
              <w:t>445</w:t>
            </w:r>
          </w:hyperlink>
        </w:p>
        <w:p>
          <w:pPr>
            <w:pStyle w:val="Contents3"/>
            <w:tabs>
              <w:tab w:val="clear" w:pos="8459"/>
              <w:tab w:val="right" w:pos="9026" w:leader="dot"/>
            </w:tabs>
            <w:rPr/>
          </w:pPr>
          <w:hyperlink w:anchor="__RefHeading___Toc12561808_2142443653">
            <w:r>
              <w:rPr>
                <w:webHidden/>
                <w:rStyle w:val="IndexLink"/>
                <w:rtl w:val="true"/>
              </w:rPr>
              <w:t>فصل</w:t>
            </w:r>
            <w:r>
              <w:rPr>
                <w:rStyle w:val="IndexLink"/>
                <w:rtl w:val="true"/>
              </w:rPr>
              <w:t xml:space="preserve">: </w:t>
            </w:r>
            <w:r>
              <w:rPr>
                <w:rStyle w:val="IndexLink"/>
                <w:rtl w:val="true"/>
              </w:rPr>
              <w:t>في الأغسال المندوبة</w:t>
            </w:r>
            <w:r>
              <w:rPr>
                <w:rStyle w:val="IndexLink"/>
                <w:rtl w:val="true"/>
              </w:rPr>
              <w:tab/>
            </w:r>
            <w:r>
              <w:rPr>
                <w:rStyle w:val="IndexLink"/>
              </w:rPr>
              <w:t>452</w:t>
            </w:r>
          </w:hyperlink>
        </w:p>
        <w:p>
          <w:pPr>
            <w:pStyle w:val="Contents3"/>
            <w:tabs>
              <w:tab w:val="clear" w:pos="8459"/>
              <w:tab w:val="right" w:pos="9026" w:leader="dot"/>
            </w:tabs>
            <w:rPr/>
          </w:pPr>
          <w:hyperlink w:anchor="__RefHeading___Toc12561810_2142443653">
            <w:r>
              <w:rPr>
                <w:webHidden/>
                <w:rStyle w:val="IndexLink"/>
                <w:rtl w:val="true"/>
              </w:rPr>
              <w:t>فصل</w:t>
            </w:r>
            <w:r>
              <w:rPr>
                <w:rStyle w:val="IndexLink"/>
                <w:rtl w:val="true"/>
              </w:rPr>
              <w:t xml:space="preserve">: </w:t>
            </w:r>
            <w:r>
              <w:rPr>
                <w:rStyle w:val="IndexLink"/>
                <w:rtl w:val="true"/>
              </w:rPr>
              <w:t>الغسل بعد حصول بعض الأفعال</w:t>
            </w:r>
            <w:r>
              <w:rPr>
                <w:rStyle w:val="IndexLink"/>
                <w:rtl w:val="true"/>
              </w:rPr>
              <w:tab/>
            </w:r>
            <w:r>
              <w:rPr>
                <w:rStyle w:val="IndexLink"/>
              </w:rPr>
              <w:t>469</w:t>
            </w:r>
          </w:hyperlink>
        </w:p>
        <w:p>
          <w:pPr>
            <w:pStyle w:val="Contents4"/>
            <w:tabs>
              <w:tab w:val="clear" w:pos="8176"/>
              <w:tab w:val="right" w:pos="9026" w:leader="dot"/>
            </w:tabs>
            <w:rPr/>
          </w:pPr>
          <w:hyperlink w:anchor="__RefHeading___Toc12561812_2142443653">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12561814_2142443653">
            <w:r>
              <w:rPr>
                <w:webHidden/>
                <w:rStyle w:val="IndexLink"/>
                <w:rtl w:val="true"/>
              </w:rPr>
              <w:t xml:space="preserve">المسألة </w:t>
            </w:r>
            <w:r>
              <w:rPr>
                <w:rStyle w:val="IndexLink"/>
              </w:rPr>
              <w:t>143</w:t>
            </w:r>
            <w:r>
              <w:rPr>
                <w:rStyle w:val="IndexLink"/>
                <w:rtl w:val="true"/>
              </w:rPr>
              <w:t xml:space="preserve">: </w:t>
            </w:r>
            <w:r>
              <w:rPr>
                <w:rStyle w:val="IndexLink"/>
                <w:rtl w:val="true"/>
              </w:rPr>
              <w:t>كفاية الغسل أول النهار لذلك اليوم وأول الليل لتلك الليلة في بعض الأعمال</w:t>
            </w:r>
            <w:r>
              <w:rPr>
                <w:rStyle w:val="IndexLink"/>
                <w:rtl w:val="true"/>
              </w:rPr>
              <w:tab/>
            </w:r>
            <w:r>
              <w:rPr>
                <w:rStyle w:val="IndexLink"/>
              </w:rPr>
              <w:t>470</w:t>
            </w:r>
          </w:hyperlink>
        </w:p>
        <w:p>
          <w:pPr>
            <w:pStyle w:val="Contents3"/>
            <w:tabs>
              <w:tab w:val="clear" w:pos="8459"/>
              <w:tab w:val="right" w:pos="9026" w:leader="dot"/>
            </w:tabs>
            <w:rPr/>
          </w:pPr>
          <w:hyperlink w:anchor="__RefHeading___Toc12561816_2142443653">
            <w:r>
              <w:rPr>
                <w:webHidden/>
                <w:rStyle w:val="IndexLink"/>
                <w:rtl w:val="true"/>
              </w:rPr>
              <w:t>فصل</w:t>
            </w:r>
            <w:r>
              <w:rPr>
                <w:rStyle w:val="IndexLink"/>
                <w:rtl w:val="true"/>
              </w:rPr>
              <w:t xml:space="preserve">: </w:t>
            </w:r>
            <w:r>
              <w:rPr>
                <w:rStyle w:val="IndexLink"/>
                <w:rtl w:val="true"/>
              </w:rPr>
              <w:t>في الحيض</w:t>
            </w:r>
            <w:r>
              <w:rPr>
                <w:rStyle w:val="IndexLink"/>
                <w:rtl w:val="true"/>
              </w:rPr>
              <w:tab/>
            </w:r>
            <w:r>
              <w:rPr>
                <w:rStyle w:val="IndexLink"/>
              </w:rPr>
              <w:t>471</w:t>
            </w:r>
          </w:hyperlink>
        </w:p>
        <w:p>
          <w:pPr>
            <w:pStyle w:val="Contents2"/>
            <w:tabs>
              <w:tab w:val="clear" w:pos="8743"/>
              <w:tab w:val="right" w:pos="9026" w:leader="dot"/>
            </w:tabs>
            <w:rPr/>
          </w:pPr>
          <w:hyperlink w:anchor="__RefHeading___Toc12561818_2142443653">
            <w:r>
              <w:rPr>
                <w:webHidden/>
                <w:rStyle w:val="IndexLink"/>
                <w:rtl w:val="true"/>
              </w:rPr>
              <w:t>فهرس المحتويات</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37_151384"/>
      <w:bookmarkStart w:id="1" w:name="pg15737_151384"/>
      <w:bookmarkEnd w:id="1"/>
    </w:p>
    <w:p>
      <w:pPr>
        <w:pStyle w:val="Heading2"/>
        <w:numPr>
          <w:ilvl w:val="1"/>
          <w:numId w:val="1"/>
        </w:numPr>
        <w:rPr/>
      </w:pPr>
      <w:bookmarkStart w:id="2" w:name="pg15737_151384"/>
      <w:bookmarkStart w:id="3" w:name="__RefHeading___Toc12561564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تعليقة علی كتاب الدلائل</w:t>
      </w:r>
    </w:p>
    <w:p>
      <w:pPr>
        <w:pStyle w:val="BookText"/>
        <w:rPr/>
      </w:pPr>
      <w:r>
        <w:rPr>
          <w:rFonts w:ascii="IRNazanin" w:hAnsi="IRNazanin" w:eastAsia="IRNazanin"/>
          <w:color w:val="111111"/>
          <w:sz w:val="28"/>
          <w:sz w:val="28"/>
          <w:szCs w:val="28"/>
          <w:rtl w:val="true"/>
          <w:lang w:bidi="fa-IR"/>
        </w:rPr>
        <w:t xml:space="preserve">لآية اللّه العظمی السيّد تقي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6156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37_151388"/>
      <w:bookmarkStart w:id="8" w:name="pg15737_151388"/>
      <w:bookmarkEnd w:id="8"/>
    </w:p>
    <w:p>
      <w:pPr>
        <w:pStyle w:val="Heading2"/>
        <w:numPr>
          <w:ilvl w:val="1"/>
          <w:numId w:val="1"/>
        </w:numPr>
        <w:rPr/>
      </w:pPr>
      <w:bookmarkStart w:id="9" w:name="pg15737_151388"/>
      <w:bookmarkStart w:id="10" w:name="__RefHeading___Toc12561568_2142443653"/>
      <w:bookmarkStart w:id="11" w:name="_Toc3"/>
      <w:bookmarkEnd w:id="9"/>
      <w:bookmarkEnd w:id="10"/>
      <w:r>
        <w:rPr>
          <w:rtl w:val="true"/>
        </w:rPr>
        <w:t>فصل</w:t>
      </w:r>
      <w:r>
        <w:rPr>
          <w:rtl w:val="true"/>
        </w:rPr>
        <w:t xml:space="preserve">: </w:t>
      </w:r>
      <w:r>
        <w:rPr>
          <w:rtl w:val="true"/>
        </w:rPr>
        <w:t>في أحكام التخلي</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2561570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737_151390"/>
      <w:bookmarkStart w:id="15" w:name="pg15737_151390"/>
      <w:bookmarkEnd w:id="15"/>
    </w:p>
    <w:p>
      <w:pPr>
        <w:pStyle w:val="Heading3"/>
        <w:numPr>
          <w:ilvl w:val="2"/>
          <w:numId w:val="1"/>
        </w:numPr>
        <w:rPr/>
      </w:pPr>
      <w:bookmarkStart w:id="16" w:name="pg15737_151390"/>
      <w:bookmarkStart w:id="17" w:name="__RefHeading___Toc12561572_2142443653"/>
      <w:bookmarkStart w:id="18" w:name="_Toc5"/>
      <w:bookmarkEnd w:id="16"/>
      <w:bookmarkEnd w:id="17"/>
      <w:r>
        <w:rPr>
          <w:rtl w:val="true"/>
        </w:rPr>
        <w:t>فصل</w:t>
      </w:r>
      <w:r>
        <w:rPr>
          <w:rtl w:val="true"/>
        </w:rPr>
        <w:t xml:space="preserve">: </w:t>
      </w:r>
      <w:r>
        <w:rPr>
          <w:rtl w:val="true"/>
        </w:rPr>
        <w:t>في أحكام التخلي</w:t>
      </w:r>
      <w:bookmarkEnd w:id="18"/>
    </w:p>
    <w:p>
      <w:pPr>
        <w:pStyle w:val="Heading4"/>
        <w:numPr>
          <w:ilvl w:val="3"/>
          <w:numId w:val="1"/>
        </w:numPr>
        <w:rPr/>
      </w:pPr>
      <w:bookmarkStart w:id="19" w:name="__RefHeading___Toc12561574_2142443653"/>
      <w:bookmarkStart w:id="20" w:name="_Toc6"/>
      <w:bookmarkEnd w:id="19"/>
      <w:r>
        <w:rPr>
          <w:rtl w:val="true"/>
        </w:rPr>
        <w:t>ستر العورة</w:t>
      </w:r>
      <w:bookmarkEnd w:id="20"/>
    </w:p>
    <w:p>
      <w:pPr>
        <w:pStyle w:val="BookText"/>
        <w:rPr/>
      </w:pPr>
      <w:r>
        <w:rPr>
          <w:rFonts w:ascii="Amiri" w:hAnsi="Amiri" w:eastAsia="Amiri" w:cs="Amiri"/>
          <w:color w:val="111111"/>
          <w:sz w:val="28"/>
          <w:sz w:val="28"/>
          <w:szCs w:val="28"/>
          <w:rtl w:val="true"/>
          <w:lang w:bidi="ar-SA"/>
        </w:rPr>
        <w:t>يجب في حال التخلّي، بل في جميع الأحوال ستر بشرة العورة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ناظر محترم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المعتبر أنّ إجماع علماء الإسلام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عليه جملة من 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زيد،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 أحدكم في فضاء من الأرض فليحاذر على عورته،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يدخلنّ أحدكم الحمّام إلاّ بمئزر، ونهى أن ينظر الرجل إلى عورة أخيه المسلم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بشرة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هو ستر العورة عرفاً، وهو يتحقق بستر البشرة والحجم معاً، إلاّ أن الماتن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مراتبه، وعلى كلٍ، فما ذكرناه لا ينافي ما ذكره الماتن؛ لأن ما ذكره بعض جزئيات كلي ستر العورة، وليس المراد الجلد فقط، فلو قلع جلده وجب ستر اللحم، فالمراد بالبشرة الذات، أي ظاهرها لا خصوص الجلد فقط</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صحيحة، والشاهد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فليحاذر على عورته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بمئزر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كتاب اللّه من ذكر حفظ الفرج فهو من الزنا إلاّ في هذا الموضع فإنّه للحفظ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ينظر إليه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حرمة النظر غير وجوب الستر؛ ولذا لا يجب على الرجل ستر صدره ويحرم على المرأة النظر إليه،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بالملازمة العرفية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 في أحكام النظر من كتاب النكاح</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إعانة على الإثم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الإعانة بواسطة الفاعل المختار، أو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حرمة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 نظر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فيه بحث مراسيل الشيخ الصدوق من الأقوال الثلاثة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يؤيده؛ إذ الآية الكريمة في سياق محرمات النظر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تفسير النعماني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لا ينظر أحدكم إلى فرج أخيه المؤمن أو يمكنّه من النظر إلى فرجه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حنّان بن سدير،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أنا وأبي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على المؤمن حرام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عورة المؤمن على المؤمن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سفليه،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هو إذاعة سرّه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في طريقها علي بن حمزة، وفي وثاقته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ذهب السيد العم</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كل رواية رويت عنه فإنما هي في حال استقامته،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يحتاج إلى معرفة الراوي عنه؛ إذ لعله واقفي مثله، فتأمل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الرواية 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المستفاد من هذه الرواية أنّ المراد فيها حرمة إذاعة السرّ، وليس فيها تعرّض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ينافيها ما رواه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أيتجّرد الرجل عند صبّ الماء ترى عورته، أو يصبّ عليه الماء أو يرى هو عورة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ذلك من كلّ أحد</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الكراهة 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الكراهة المصطلحة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 جوابه وأجاب بما هو أهم أو يحتاج إليه السائل، ومثل 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في الفقه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يُنفِقُونَ قُلْ مَا أَنفَقْتُم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فالسائل قد يسأل عن شيء إلاّ أن المجيب لا يجيبه، بل يعطف إلى ما هو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خلاف الظاهر، لكن لا بد من الحمل على ذلك للضرورة جمعاً بين الأخبار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على كراهة يجوز فعلها حتى تعارض الأخبار المتقدمة، بل مطلق المبغوضية، ومطلق المبغوضية وإن لم يدل على الحرمة إلاّ أنه تكفي الأخبار المتقدمة لإثبات الحرمة، بل الضرورة وحدها كافية، ولو </w:t>
      </w:r>
    </w:p>
    <w:p>
      <w:pPr>
        <w:pStyle w:val="BookText"/>
        <w:rPr/>
      </w:pPr>
      <w:r>
        <w:rPr>
          <w:rFonts w:ascii="Amiri" w:hAnsi="Amiri" w:eastAsia="Amiri" w:cs="Amiri"/>
          <w:color w:val="111111"/>
          <w:sz w:val="28"/>
          <w:sz w:val="28"/>
          <w:szCs w:val="28"/>
          <w:rtl w:val="true"/>
          <w:lang w:bidi="ar-SA"/>
        </w:rPr>
        <w:t>مسلماً كان أو كافراً، عاقلاً كان أو غير عاقل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مكلفاً كان أو طفلاً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ظهورها في المعنى المصطلح لا بدّ من رفع اليد عنها بصراحة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حنّان في الحرمة،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لإطلاق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تقدّم، وإطلاق ما في تحف العقول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إيّاك ودخول الحمّام بغير</w:t>
      </w:r>
    </w:p>
    <w:p>
      <w:pPr>
        <w:pStyle w:val="BookText"/>
        <w:rPr/>
      </w:pPr>
      <w:r>
        <w:rPr>
          <w:rFonts w:ascii="Amiri" w:hAnsi="Amiri" w:eastAsia="Amiri" w:cs="Amiri"/>
          <w:color w:val="111111"/>
          <w:sz w:val="28"/>
          <w:sz w:val="28"/>
          <w:szCs w:val="28"/>
          <w:rtl w:val="true"/>
          <w:lang w:bidi="ar-SA"/>
        </w:rPr>
        <w:t>شككنا في أنه أريد بالكراهة معناها اللغوي أو المتشرعي استصحب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استعملت الكراهة في القرآن الكريم في غير الكراهة المصطلحة ظاهراً،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كَرِهَ اللّهُ انبِعَاثَهُمْ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تمييزه؛ وذلك لانصراف الأدلَّة ظاهراً عن غير المميز، فوزانه وزان الطفل غير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صراحة؛ لأن الحرام يستخدم في المكروه، أو في المعنى الأعم، إلاّ أن يجاب بأظهرية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على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ويكفي كلّ ما يحصل به الستر، وإن كان بطلي الطين أو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مئزر، ملعون ملعون الناظر والمنظور إليه</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في هذه المطلقات ما يعتمد عليه من حيث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 المشهور بها على فرض تحقّقه لا يجبر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الأدلَّة حرمة الكشف ولزوم الستر بلا 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قبل قليل،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فوزانه وزان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المبنى نظر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أن العرف يفهم منه الطريقية لا الموضوعية، إذ 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يستر في الحمام غير المئزر، وإلاّ فلو ستر نفسه بالخشب أو بقماش غير المئزر كفى بلا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والأحوط عدم كشف بعض مراتب الحجم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الأولى ستر ما بين السرّة والركبة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الاحتياط، فإنّ الساتر لو كان بحيث يكون مانعاً عن تميّز اللون لا يصدق عليه الكشف، ولا يطلق عليه النظر إلى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القاضي أنّ العورة في ما بين السرّة والركبة، ويدلّ عليه ما رواه بشير النبّال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بإسخان الماء ثمّ دخل فاتّزر بإزار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ستر ما يكون كشفه خلاف ارتكاز المتشرعة، أو مستلزماً لعدم انطباق العناوين المأخوذة في الروايات الشريفة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فليحاذر على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تكونان داخلتين في المستور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 فيما لو كان حاكياً عن الحجم الدقيق، فإنه مستبشع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ذكروه في لبس المرأة ثوباً يحكي حجم تقاطيع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يصدق معه العناوين المأخوذة في الروايات ظاهراً،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فليحاذر على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يشمل لونها وحجمها،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 من اللون والبشرة فالظاهر أنه لا دليل عليه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فغطّى ركبتيه وسرّته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أمته فلا ينظرنّ إلى عورتها والعورة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السرّة والركبة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 عن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للرجل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الوجوب، ولا خصوصية للحمام عرفاً، إلاّ أن الرواية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قوى سندها،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القدر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نفس السرة والركبة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بمضمونها مطلقاً، إلاّ أنها معرض عنها، والسيرة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نرجع علمها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الشارح</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لا للاستغراق أو الجنس، أي عورة الأمة المزوجة، أو على الأقل أن سبق ذكرها يصلح للقرينية للصرف عن الإطلاق، فيكون الحكم خاصاً بالأمة المزوجة، وهذا هو الأظهر في بادئ النظر، وعليه فلا وجه لتوقف الشارح</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ضعيفة أيضاً، وهي أخص من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يكشف ثيابه عن فخذه ويجلس بين قوم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الروايتين الأوليين ضعيفتان، فإنّ في سند الأولى إسماعيل بن يسار وهو غير موثّق، وفي سند الثانية حسين بن علوان وهو غير موثّق أيضاً،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صرّح في رواية محمد بن حكيم قال الميثمي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رآه متجرداً وعلى عورته 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الفخذ ليست من العورة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المراجعة الأخيرة ظهر أنّ الحسين بن علوان موثّق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فالسند تامّ لكن لا مجال للعمل بهذه الطائفة، فإنّ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على عدم الستر بالنحو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كل الروايات من الطرفين ضعيفة السند غير رواية ابن علوان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ضعف الرواية في التنقيح</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القدماء ويعتمد على توثيقه، وإن كان زيدياً ظاهراً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سيرة المتدينين في الحمامات العامّة، وفي أيام الحج حالة الإحرام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وأولى منه الستر إلى نصف الساق</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الجميع ستر جميع البدن حال التخلّي بحيث لا يراه أحد وإن كان بالتباعد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الناظر المحترم غير الزوج</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ظهر أنّه يمكن أن يستفاد هذا الحكم من أدلَّة دخول الحمّام بمئزر، لكن قد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ضعيف السند، وعلم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أنّ وجوب المئزر لستر العورة وكون العورة ما ذكر أوّل الكلام، مضافاً إلى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حرمة الكشف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بول ولا غائط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يستره الإزار، إذ الرواية احتوت ذلك، وقد يغطي الإزار نصف الساق أو أقل أو أكثر حسب اختلاف منطقة الشّد، واختلاف الأفراد في الطول والقصر، ولعله لاختلاف أنواع الإزار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الفقيه كافية،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لا يُرى حين التخلي، والستر ليس ملاكاً، فإنّ ما ذكر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رأسه أو يده مثلاً مكشوفاً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الماتن مضطربة؛ إذ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تغطية الرأس أمر آخر سيأتي التعرض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فالوجوب مطلق، أي في حدّ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التي مر ذكرها وللارتكاز</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يرى شخصه حين ذلك، كأن يجلس الإنسان </w:t>
      </w:r>
    </w:p>
    <w:p>
      <w:pPr>
        <w:pStyle w:val="BookText"/>
        <w:rPr/>
      </w:pPr>
      <w:r>
        <w:rPr>
          <w:rFonts w:ascii="Amiri" w:hAnsi="Amiri" w:eastAsia="Amiri" w:cs="Amiri"/>
          <w:color w:val="111111"/>
          <w:sz w:val="28"/>
          <w:sz w:val="28"/>
          <w:szCs w:val="28"/>
          <w:rtl w:val="true"/>
          <w:lang w:bidi="ar-SA"/>
        </w:rPr>
        <w:t>والزوجة بالنسبة إلى الآخر، وغير الأمّة بالنسبة إلى مولاها فيجوز لكلّ منهما النظر إلى عورة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يشترط في الأمّة أن لا تكون مزوّجة أو في حكمها كالمطلّقة الرجعية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جواز النظر يفهم من جواز الوطء بالأولوية العرفية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دلّت عليه رواية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إلى فرج امرأته وهو يجامعها؟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من غير شائبة وكذا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الوطء فالإطلاقات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مضافاً</w:t>
      </w:r>
    </w:p>
    <w:p>
      <w:pPr>
        <w:pStyle w:val="BookText"/>
        <w:rPr/>
      </w:pPr>
      <w:r>
        <w:rPr>
          <w:rFonts w:ascii="Amiri" w:hAnsi="Amiri" w:eastAsia="Amiri" w:cs="Amiri"/>
          <w:color w:val="111111"/>
          <w:sz w:val="28"/>
          <w:sz w:val="28"/>
          <w:szCs w:val="28"/>
          <w:rtl w:val="true"/>
          <w:lang w:bidi="ar-SA"/>
        </w:rPr>
        <w:t>خلف جدار قصير بحيث يرى أنه في الحالة الكذائية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ثابتة، والتشكيك لا يصغى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إلغاء 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ادعاء للضرورة الدينية أو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الأول منتفٍ، وأما الوضوح فلا وضوح أيضاً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ينظر الرجل إلى عورة أخيه المسلم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21" w:name="pg15737_151401"/>
    </w:p>
    <w:p>
      <w:pPr>
        <w:pStyle w:val="Heading4"/>
        <w:numPr>
          <w:ilvl w:val="3"/>
          <w:numId w:val="1"/>
        </w:numPr>
        <w:rPr/>
      </w:pPr>
      <w:bookmarkStart w:id="22" w:name="__RefHeading___Toc12561576_2142443653"/>
      <w:bookmarkStart w:id="23" w:name="_Toc7"/>
      <w:bookmarkEnd w:id="21"/>
      <w:bookmarkEnd w:id="22"/>
      <w:r>
        <w:rPr>
          <w:rtl w:val="true"/>
        </w:rPr>
        <w:t xml:space="preserve">المسألة </w:t>
      </w:r>
      <w:r>
        <w:rPr/>
        <w:t>73</w:t>
      </w:r>
      <w:r>
        <w:rPr>
          <w:rtl w:val="true"/>
        </w:rPr>
        <w:t xml:space="preserve">: </w:t>
      </w:r>
      <w:r>
        <w:rPr>
          <w:rtl w:val="true"/>
        </w:rPr>
        <w:t>حرمة النظر إلى عورة الغير</w:t>
      </w:r>
      <w:bookmarkEnd w:id="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كلّ مكلّف النظر إلى عورة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الغير مكلّفاً بالستر كالمجنون ونحوه، بل والطفل المميّز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النهي الوارد في رواية حسين بن علوان المتقدّمة وغيرها المذكور في الباب المشار إليه، فراجع، بل مقتضى ما ذكرنا إلحاق كلّ معتدّة بالمزوّجة للإطلاقات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عدم جواز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بعض الكلمات، والظاهر أنّ الحكم في الجملة ممّا لا شبهة فيه، ويدلّ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بعض ما تقدّم، وما رواه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الرجل إلى عورة أخيه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ولا يخفى أنّ ما كان معتبراً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قيد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بعض الفروض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الأولوية والوضوح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تدل عليه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لّلْمُؤْمِنِينَ يَغُضّوا مِنْ أَبْصَارِهِمْ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ملاحظة أنّه هل ورد تخصيص أو لا؟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بالمؤمن أو الأخ، فلا يشمل النظر إلى عورة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مطلقاً غير نقي السند فلا يعتمد عليه، مضافاً إلى أنّه دلّ بعض الروايات على جواز النظر إلى عورة غير المسلم؛ لاحظ ما رواه ابن أبي عمير، عن غير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عورة من ليس بمسلم مثل نظرك إلى عورة الحمار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صاحب الوسائل الذهاب إلى عدم الحرمة، ونقل عن الصدوق عدم الحرمة،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المخالف فالظاهر وجود إطلاق يشمله، كالآية الكريمة ومثل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عورة غير أهله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مضافاً إلى إمكان ادعاء الارتكاز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 لغةً على الاثنين، وأما وجه الاعتبار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مراسيل ابن أبي عمير حجة كمسانيده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يبعد اجتماع ثلاثة من مشايخه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ممكن كما لو قال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ثلاثة أشخاص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اشتباههم أو كذبهم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ذكر البعض وجهاً للتصحيح، وأن احتمال الاجتماع على الكذب ضعيف جداً، بحيث لا يعتنى به عند العقلاء،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بأس بالنظر إلى عورة غير المميّز من حيث مجرّد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بالجواز وعدم حرمة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الدليل عنه وعدم صدق الأخ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عليه لعدم تميزه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ضعف سند الرواية،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القطعي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منكر في أذهان المتشرعة،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صدق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فإن أولاد المسلمين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ملحقون بآبائهم، كما أن أولاد المشركين ملحقون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الفرق في صدق الأخ بين المميز وغير المميز ؟</w:t>
      </w:r>
    </w:p>
    <w:p>
      <w:pPr>
        <w:pStyle w:val="BookText"/>
        <w:rPr/>
      </w:pPr>
      <w:r>
        <w:rPr>
          <w:rFonts w:ascii="Amiri" w:hAnsi="Amiri" w:eastAsia="Amiri" w:cs="Amiri"/>
          <w:color w:val="111111"/>
          <w:sz w:val="28"/>
          <w:sz w:val="28"/>
          <w:szCs w:val="28"/>
          <w:rtl w:val="true"/>
          <w:lang w:bidi="ar-SA"/>
        </w:rPr>
        <w:t>والأولى الاستدلال بالسيرة، فإنها جارية على النظر، وبها تخصص المطلقات كآية الغض</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النظر من قبل الأم، أو من يتولى شؤون الأطفال، وأن الطفل وإن كان مميزاً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يطهرونهم عند التخلي، والنظر واللمس طبيعيان في هذه الحالة، وكذا يغسلونهم في الحمام ويبعد عدم النظر، إلاّ أن اتصال هذه السيرة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وإن كان ضعيفاً، ولذا قيدنا المتن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 فتأمل</w:t>
      </w:r>
      <w:r>
        <w:rPr>
          <w:rFonts w:eastAsia="IRNazanin" w:cs="IRNazanin"/>
          <w:color w:val="111111"/>
          <w:sz w:val="28"/>
          <w:szCs w:val="28"/>
          <w:rtl w:val="true"/>
          <w:lang w:bidi="fa-IR"/>
        </w:rPr>
        <w:t xml:space="preserve">. </w:t>
      </w:r>
      <w:bookmarkStart w:id="24" w:name="pg15737_151404"/>
    </w:p>
    <w:p>
      <w:pPr>
        <w:pStyle w:val="Heading4"/>
        <w:numPr>
          <w:ilvl w:val="3"/>
          <w:numId w:val="1"/>
        </w:numPr>
        <w:rPr/>
      </w:pPr>
      <w:bookmarkStart w:id="25" w:name="__RefHeading___Toc12561578_2142443653"/>
      <w:bookmarkStart w:id="26" w:name="_Toc8"/>
      <w:bookmarkEnd w:id="24"/>
      <w:bookmarkEnd w:id="25"/>
      <w:r>
        <w:rPr>
          <w:rtl w:val="true"/>
        </w:rPr>
        <w:t xml:space="preserve">المسألة </w:t>
      </w:r>
      <w:r>
        <w:rPr/>
        <w:t>74</w:t>
      </w:r>
      <w:r>
        <w:rPr>
          <w:rtl w:val="true"/>
        </w:rPr>
        <w:t xml:space="preserve">: </w:t>
      </w:r>
      <w:r>
        <w:rPr>
          <w:rtl w:val="true"/>
        </w:rPr>
        <w:t>ما هي العورة</w:t>
      </w:r>
      <w:bookmarkEnd w:id="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في الرجل الذكر والدبر والبيضتان، وفي المرأة الفرج والدبر وما سوى ذلك ليس من العورة حتى الاليتين والعانة والعجان والشعر النابت حول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القدر المتيقّن مضافاً إلى ما في رواية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قريباً،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العورة عورتان القبل والدبر</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وهذا هو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عن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الكلام أنّ لفظ العورة لو كان ظاهراً في القبل والدبر فالحكم واضح، ولو كان مجملاً يكون من موارد دوران الأمر بين الأقل والأكثر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زاد على المتيقن يرجع إلى الأصل ومقتضاه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ذيل رواية الحسين بن علوان ما له نفع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مرسلة، إلاّ أن تجبر بالشهرة العملية أو الفتوائية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ما بين السرة والركبة عورة دخل فيه العجان بالتضمن، فالمراد بالمدعى مدعى الكركي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الارتباطين، والبراءة جارية فيه ولو فرض القول بعدم جريانها في الارتباطين</w:t>
      </w:r>
      <w:r>
        <w:rPr>
          <w:rFonts w:eastAsia="Amiri" w:cs="Amiri" w:ascii="Amiri" w:hAnsi="Amiri"/>
          <w:color w:val="111111"/>
          <w:sz w:val="28"/>
          <w:szCs w:val="28"/>
          <w:rtl w:val="true"/>
          <w:lang w:bidi="ar-SA"/>
        </w:rPr>
        <w:t xml:space="preserve">. </w:t>
      </w:r>
      <w:bookmarkStart w:id="27" w:name="pg15737_151405"/>
    </w:p>
    <w:p>
      <w:pPr>
        <w:pStyle w:val="Heading4"/>
        <w:numPr>
          <w:ilvl w:val="3"/>
          <w:numId w:val="1"/>
        </w:numPr>
        <w:rPr/>
      </w:pPr>
      <w:bookmarkStart w:id="28" w:name="__RefHeading___Toc12561580_2142443653"/>
      <w:bookmarkStart w:id="29" w:name="_Toc9"/>
      <w:bookmarkEnd w:id="27"/>
      <w:bookmarkEnd w:id="28"/>
      <w:r>
        <w:rPr>
          <w:rtl w:val="true"/>
        </w:rPr>
        <w:t xml:space="preserve">المسألة </w:t>
      </w:r>
      <w:r>
        <w:rPr/>
        <w:t>75</w:t>
      </w:r>
      <w:r>
        <w:rPr>
          <w:rtl w:val="true"/>
        </w:rPr>
        <w:t xml:space="preserve">: </w:t>
      </w:r>
      <w:r>
        <w:rPr>
          <w:rtl w:val="true"/>
        </w:rPr>
        <w:t>حرمة استقبال القبلة</w:t>
      </w:r>
      <w:bookmarkEnd w:id="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في حال التخلي استقبال القبلة واستدبارها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بينهم، بل نقل عن السرائر أنّه من المذهب، وعن الخلاف الإجماع عليه، ويدل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رفعه عليّ بن ابراهيم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حنيفة من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أفنية المساجد وشطوط الأنهار ومساقط الثمار، ومنازل النزّال ولا تستقبل القبلة بغائط ولا بول، وارفع ثوبك وضع حيث شئت</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الأولى</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استقبال القبلة ببول أو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الثانية</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استقبال القبلة واستدبارها بالغائط، فينتفي استدبار القبلة بالبول، ولا بد من ملاحظة سائر الروايات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 كناية عن الموضع المنخفض،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مّنكُم مّن الْغَآئِطِ</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لكن هجران المعنى الأول غير معلوم، فيكون مشتركاً، فلا ينهض لإثبات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رجعنا عن هذا المسلك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والحرمة من المداليل اللفظية، ولكن مع ذلك لا وجه لرفع اليد عن الظهور للسياق؛ إذ لا 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الإشكال فيها من جهة سندها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فيها ما يعتمد عليه من حيث السند، وعمل المشهور لا يجبر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من الواضحات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والمسلّمات فلا تصل النوبة إلى هذه المناقشات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الكلمة نفسها أقوى من ظهور السياق، وإن أمكن للسياق أن يكون ظهوراً، ونحن نرى أن الخطباء يحشرون الواجبات مع المستحبات في سياق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 أو إنها مروية في الكافي</w:t>
      </w:r>
      <w:r>
        <w:rPr>
          <w:rStyle w:val="FootnoteAnchor"/>
          <w:rtl w:val="true"/>
        </w:rPr>
        <w:footnoteReference w:id="39"/>
      </w:r>
      <w:r>
        <w:rPr>
          <w:rFonts w:ascii="Amiri" w:hAnsi="Amiri" w:eastAsia="Amiri" w:cs="Amiri"/>
          <w:color w:val="111111"/>
          <w:sz w:val="28"/>
          <w:sz w:val="28"/>
          <w:szCs w:val="28"/>
          <w:rtl w:val="true"/>
          <w:lang w:bidi="ar-SA"/>
        </w:rPr>
        <w:t>والفقيه</w:t>
      </w:r>
      <w:r>
        <w:rPr>
          <w:rStyle w:val="FootnoteAnchor"/>
          <w:rtl w:val="true"/>
        </w:rPr>
        <w:footnoteReference w:id="40"/>
      </w:r>
      <w:r>
        <w:rPr>
          <w:rFonts w:ascii="Amiri" w:hAnsi="Amiri" w:eastAsia="Amiri" w:cs="Amiri"/>
          <w:color w:val="111111"/>
          <w:sz w:val="28"/>
          <w:sz w:val="28"/>
          <w:szCs w:val="28"/>
          <w:rtl w:val="true"/>
          <w:lang w:bidi="ar-SA"/>
        </w:rPr>
        <w:t>وقد ضمنا كتابيهما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المبنى نظر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يرتضه جماعة، كالشيخ ابن الجنيد والمحقق الأردبيلي</w:t>
      </w:r>
      <w:r>
        <w:rPr>
          <w:rStyle w:val="FootnoteAnchor"/>
          <w:rtl w:val="true"/>
        </w:rPr>
        <w:footnoteReference w:id="42"/>
      </w:r>
      <w:r>
        <w:rPr>
          <w:rFonts w:ascii="Amiri" w:hAnsi="Amiri" w:eastAsia="Amiri" w:cs="Amiri"/>
          <w:color w:val="111111"/>
          <w:sz w:val="28"/>
          <w:sz w:val="28"/>
          <w:szCs w:val="28"/>
          <w:rtl w:val="true"/>
          <w:lang w:bidi="ar-SA"/>
        </w:rPr>
        <w:t>والسيد صاحب المدارك</w:t>
      </w:r>
      <w:r>
        <w:rPr>
          <w:rStyle w:val="FootnoteAnchor"/>
          <w:rtl w:val="true"/>
        </w:rPr>
        <w:footnoteReference w:id="43"/>
      </w:r>
      <w:r>
        <w:rPr>
          <w:rFonts w:ascii="Amiri" w:hAnsi="Amiri" w:eastAsia="Amiri" w:cs="Amiri"/>
          <w:color w:val="111111"/>
          <w:sz w:val="28"/>
          <w:sz w:val="28"/>
          <w:szCs w:val="28"/>
          <w:rtl w:val="true"/>
          <w:lang w:bidi="ar-SA"/>
        </w:rPr>
        <w:t>والشيخ الكاشاني</w:t>
      </w:r>
      <w:r>
        <w:rPr>
          <w:rFonts w:eastAsia="Amiri" w:cs="Amiri" w:ascii="Amiri" w:hAnsi="Amiri"/>
          <w:color w:val="111111"/>
          <w:sz w:val="28"/>
          <w:szCs w:val="28"/>
          <w:rtl w:val="true"/>
          <w:lang w:bidi="ar-SA"/>
        </w:rPr>
        <w:t xml:space="preserve">. </w:t>
      </w:r>
      <w:bookmarkStart w:id="30" w:name="pg15737_151407"/>
    </w:p>
    <w:p>
      <w:pPr>
        <w:pStyle w:val="BookText"/>
        <w:rPr/>
      </w:pPr>
      <w:bookmarkEnd w:id="30"/>
      <w:r>
        <w:rPr>
          <w:rFonts w:ascii="Amiri" w:hAnsi="Amiri" w:eastAsia="Amiri" w:cs="Amiri"/>
          <w:color w:val="111111"/>
          <w:sz w:val="28"/>
          <w:sz w:val="28"/>
          <w:szCs w:val="28"/>
          <w:rtl w:val="true"/>
          <w:lang w:bidi="ar-SA"/>
        </w:rPr>
        <w:t>من غير فرق في ذلك بين الأبنية والصحاري</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2561582_2142443653"/>
      <w:bookmarkStart w:id="32" w:name="_Toc10"/>
      <w:bookmarkEnd w:id="31"/>
      <w:r>
        <w:rPr>
          <w:rtl w:val="true"/>
        </w:rPr>
        <w:t xml:space="preserve">المسألة </w:t>
      </w:r>
      <w:r>
        <w:rPr/>
        <w:t>76</w:t>
      </w:r>
      <w:r>
        <w:rPr>
          <w:rtl w:val="true"/>
        </w:rPr>
        <w:t xml:space="preserve">: </w:t>
      </w:r>
      <w:r>
        <w:rPr>
          <w:rtl w:val="true"/>
        </w:rPr>
        <w:t>وجوب غسل محل البول</w:t>
      </w:r>
      <w:bookmarkEnd w:id="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مخرج البول بالماء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الرواية في الجواز لا ينكر؛ إذ لو لم يكن جائزاً كيف يمكن أن يكون الكنيف في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إلاّ أنّ سندها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إلاّ بطهور، ويجزيك من الاستنجاء ثلاثة أحجار، جرت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البول فإنّه لا بدّ من 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أن يستدلّ على المطلوب بما ورد فيما يتنجّس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بالبول من لزوم صبّ الماء عليه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لما يشترط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الكنيف كان في البيت الذي قدمه المأمون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خصوص الماء، بل مطلق الغسل، على الخلاف المذكور في أول كتاب الطهارة حول مفهوم الغسل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الموضع بالعموم أو الإطلاق، والانصراف بدوي، ولو فرض فالعرف يلغي الخصوصية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مرّتين إذا تجاوز البول المحل المعتاد، وإلاّ فعلى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مطهريّة 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النزاع بينهم في حصول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بالمضاف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الرواية</w:t>
      </w:r>
      <w:r>
        <w:rPr>
          <w:rStyle w:val="FootnoteAnchor"/>
          <w:rtl w:val="true"/>
        </w:rPr>
        <w:footnoteReference w:id="45"/>
      </w:r>
      <w:r>
        <w:rPr>
          <w:rFonts w:ascii="Amiri" w:hAnsi="Amiri" w:eastAsia="Amiri" w:cs="Amiri"/>
          <w:color w:val="111111"/>
          <w:sz w:val="28"/>
          <w:sz w:val="28"/>
          <w:szCs w:val="28"/>
          <w:rtl w:val="true"/>
          <w:lang w:bidi="ar-SA"/>
        </w:rPr>
        <w:t>وأمثالها من 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تنجيس المتنجّس، ولا دلالة على حصول الطهارة بالمسح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بكفاية المرّة في خصوص المخرج لانصراف أدلَّة التعدّد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النفس شيء بحيث يصعب الوثوق بالإطلاق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لكفاية المرّة بما رواه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الذي افترضه اللّه على العباد لمن جاء من الغائط أو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ويذهب الغائط ثمّ يتوضأ مرّتين مرّتين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على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البول، وإلاّ ففي البول ورد التصريح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أظهر الأفراد، والمثبتان لا يقيد أحدهما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كونها مجملة، فلا تنهض بإثبات المطلوب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إلغاء الخصوصية عرفاً على فرض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بدعوى أنّ 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التعدّد أولى من تقييد الغسل بالمرّتين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التساوي يتساقط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الدليلان فتصل النوبة إلى الأصل، ومقتضاه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بعد تعارض استصحاب النجاسة بأصالة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يهوّن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فإنّما هو ماء</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لزوم التعدّد فالأقوى لزوم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نشيط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ظاهرة في كفاية المرّة لو كان الماء مثلي ما على الحشفة، لكن لا يعتمد عليها لضعفها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عرفي مطلقاً، كما سيأتي في كلام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يعمل بالمرجحات، ومقتضاها ترجيح المرتين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النجاسة على المبنى، والتعارض غير 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يهون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الانصراف السابق</w:t>
      </w:r>
      <w:r>
        <w:rPr>
          <w:rStyle w:val="FootnoteAnchor"/>
          <w:rtl w:val="true"/>
        </w:rPr>
        <w:footnoteReference w:id="48"/>
      </w:r>
      <w:r>
        <w:rPr>
          <w:rFonts w:ascii="Amiri" w:hAnsi="Amiri" w:eastAsia="Amiri" w:cs="Amiri"/>
          <w:color w:val="111111"/>
          <w:sz w:val="28"/>
          <w:sz w:val="28"/>
          <w:szCs w:val="28"/>
          <w:rtl w:val="true"/>
          <w:lang w:bidi="ar-SA"/>
        </w:rPr>
        <w:t>آتٍ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الأحدثية ليست مرجحة على المشهور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كناية عن المرتين إلاّ أنه خلاف </w:t>
      </w:r>
    </w:p>
    <w:p>
      <w:pPr>
        <w:pStyle w:val="BookText"/>
        <w:rPr/>
      </w:pPr>
      <w:r>
        <w:rPr>
          <w:rFonts w:ascii="Amiri" w:hAnsi="Amiri" w:eastAsia="Amiri" w:cs="Amiri"/>
          <w:color w:val="111111"/>
          <w:sz w:val="28"/>
          <w:sz w:val="28"/>
          <w:szCs w:val="28"/>
          <w:rtl w:val="true"/>
          <w:lang w:bidi="ar-SA"/>
        </w:rPr>
        <w:t>والأولى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الماء على وجه يستهلك فيه رطوبة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ذلك كلّه بين الرجل والاُنثى والخنثى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يستنجي من البول ثلاث مرّات ومن الغائط بالمدر والخرق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ضمير كان راجع إلى المعصوم، وظاهر الجملة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مستمراً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الأفضلية، وأمّا اللزوم فلا؛ لأنّ الفعل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الوجه في هذا القيد توقّف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الغسل عليه، فإنّه لو لم يكن الماء غالباً لا يصدق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وبتقييد بعض بالبعض يفيد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مثلين بشرط المرتين،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مثبتان ولا يقيد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مرّ من التقييد في المركبات والوضعيات،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عظم مقام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لو فعله مرّة واحدة لم يدل على الأفضلية، وفيه تأمل، 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 xml:space="preserve">. </w:t>
      </w:r>
      <w:bookmarkStart w:id="33" w:name="pg15737_151411"/>
    </w:p>
    <w:p>
      <w:pPr>
        <w:pStyle w:val="Heading4"/>
        <w:numPr>
          <w:ilvl w:val="3"/>
          <w:numId w:val="1"/>
        </w:numPr>
        <w:rPr/>
      </w:pPr>
      <w:bookmarkStart w:id="34" w:name="__RefHeading___Toc12561584_2142443653"/>
      <w:bookmarkStart w:id="35" w:name="_Toc11"/>
      <w:bookmarkEnd w:id="33"/>
      <w:bookmarkEnd w:id="34"/>
      <w:r>
        <w:rPr>
          <w:rtl w:val="true"/>
        </w:rPr>
        <w:t xml:space="preserve">المسألة </w:t>
      </w:r>
      <w:r>
        <w:rPr/>
        <w:t>77</w:t>
      </w:r>
      <w:r>
        <w:rPr>
          <w:rtl w:val="true"/>
        </w:rPr>
        <w:t xml:space="preserve">: </w:t>
      </w:r>
      <w:r>
        <w:rPr>
          <w:rtl w:val="true"/>
        </w:rPr>
        <w:t>كيفيّة غسل الأغلف</w:t>
      </w:r>
      <w:bookmarkEnd w:id="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الأغلف بغسل غلفته وإن تمكّن من إخراج حشفته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تتصوّر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الحشفة،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تظهر، أمّا على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لعدم تنجّسه ما دام لم تظهر؛ لعدم دليل على كون النجاسات مؤثّرة ما لم تكن بارزة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الجزم بما ذكر مشكل، فإنّ مقتضى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التنجيس عدم الفرق بين الداخل والخارج، وعليه يلزم تطهير الحشفة ولو مع عدم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الثانية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الباطن ينجس فيلزم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إذا اشترط طهارته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مراده فعلية الظهور والعدم، أو مراده الإمكان؟ ظاهر العبارة الأول، إلاّ أنه لا ينطبق مع المتن؛ إذ المأخوذ فيه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لامست البول إلاّ أن البول لا ينجس ما دام في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النجاسة عن باطن الإنسان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وهل أنه ينجس وطهره بالزوال، أو لا ينجس؟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العرف لا يفهم من أدلَّة التنجيس نجاسة الباطن، وإلاّ لكانت العروق التي يجري فيها الدم نجسة كلها دائماً، وكان الإنسان يصلي دائماً مع النجاسة الباطنية، فتأمل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الملاقاة كانت في الباطن لكن الحشفة ظاهرة </w:t>
      </w:r>
      <w:bookmarkStart w:id="36" w:name="pg15737_151412"/>
    </w:p>
    <w:p>
      <w:pPr>
        <w:pStyle w:val="Heading4"/>
        <w:numPr>
          <w:ilvl w:val="3"/>
          <w:numId w:val="1"/>
        </w:numPr>
        <w:rPr/>
      </w:pPr>
      <w:bookmarkStart w:id="37" w:name="__RefHeading___Toc12561586_2142443653"/>
      <w:bookmarkStart w:id="38" w:name="_Toc12"/>
      <w:bookmarkEnd w:id="36"/>
      <w:bookmarkEnd w:id="37"/>
      <w:r>
        <w:rPr>
          <w:rtl w:val="true"/>
        </w:rPr>
        <w:t xml:space="preserve">المسألة </w:t>
      </w:r>
      <w:r>
        <w:rPr/>
        <w:t>78</w:t>
      </w:r>
      <w:r>
        <w:rPr>
          <w:rtl w:val="true"/>
        </w:rPr>
        <w:t xml:space="preserve">: </w:t>
      </w:r>
      <w:r>
        <w:rPr>
          <w:rtl w:val="true"/>
        </w:rPr>
        <w:t>تطهير مخرج الغائط</w:t>
      </w:r>
      <w:bookmarkEnd w:id="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مخرج الغائط إذا لم يتعدّ المحلّ المعتاد</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بين غسله بالماء</w:t>
      </w:r>
      <w:r>
        <w:rPr>
          <w:rFonts w:eastAsia="Amiri" w:cs="Amiri" w:ascii="Amiri" w:hAnsi="Amiri"/>
          <w:i/>
          <w:iCs/>
          <w:color w:val="111111"/>
          <w:sz w:val="28"/>
          <w:szCs w:val="28"/>
          <w:rtl w:val="true"/>
          <w:lang w:bidi="ar-SA"/>
        </w:rPr>
        <w:t>(</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ومسحه بما يزيل النجاسة من خرقة، أو حجر أو عود أو غير ذلك</w:t>
      </w:r>
      <w:r>
        <w:rPr>
          <w:rFonts w:eastAsia="Amiri" w:cs="Amiri" w:ascii="Amiri" w:hAnsi="Amiri"/>
          <w:b/>
          <w:bCs/>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الاستنجاء، إذ التخيير بين الماء وغيره من الحجر والمدر مخصوص بالاستنجاء، فلا بدّ من صدق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 وليس عليها بول، ويظهر النظر فيما ذكره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شموله لكل قالع ولو من الأصابع تأمل</w:t>
      </w:r>
      <w:r>
        <w:rPr>
          <w:rStyle w:val="FootnoteAnchor"/>
          <w:rtl w:val="true"/>
        </w:rPr>
        <w:footnoteReference w:id="51"/>
      </w:r>
      <w:r>
        <w:rPr>
          <w:rFonts w:ascii="Amiri" w:hAnsi="Amiri" w:eastAsia="Amiri" w:cs="Amiri"/>
          <w:color w:val="111111"/>
          <w:sz w:val="28"/>
          <w:sz w:val="28"/>
          <w:szCs w:val="28"/>
          <w:rtl w:val="true"/>
          <w:lang w:bidi="ar-SA"/>
        </w:rPr>
        <w:t>، وإن كان ذلك مقتضى إطلاق أدلَّة الإذهاب، ولو تم الإشكال فينبغي تقييد المتن بما كان من القوالع الخارجية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وإن كان ذلك، لأن الروايات واردة في الاستنجاء، إلاّ أن الرواية المروية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تدل على أن الملاك تجاوز محل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الرواية ضعيفة،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بجبرها بالشهرة، وعلى فرض عدم الجبر ينبغي تقييد المتن بالمحل المعتاد بحيث يصدق عليه الاستنجاء، والظاهر أنه إذا لم يتعد المحل المعتاد يصدق عليه الاستنجاء قطعاً، إذا لوحظ المتعارف للمتعارف، لا لفرد شاذ، وعليه فلا موقع لحاشية الشارح، إلاّ أن يكون مقصوده إخراج الأفراد الشاذين، الذين يكون متعارفهم خلاف المتعارف،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شبهة ولا ريب، ويشهد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يونس المتقدّم، فإنّ المعيار المستفاد منه إذهاب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 الأصحاب في إجزاء الأحجار ونحوها مع عدم التعدّي، ويدلّ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إجزاء غير الماء 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التمسّح بالأحجار،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بثلاثة أحجار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البديهيات الفقهية، بل الضروريات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الماء أيضاً،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لأنه في بيان الوضوء لا كيفية إزالة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القدر 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ارتكاز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فقط</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المنقولة هنا في الأحجار فقط، فالتمسك للإطلاق إنما هو بسائر الروايات، مثل ما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الكرسف والمدر والخرق</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ومعها لا يحتمل أن تكون للأحجار خصوصية</w:t>
      </w:r>
      <w:r>
        <w:rPr>
          <w:rStyle w:val="FootnoteAnchor"/>
          <w:rtl w:val="true"/>
        </w:rPr>
        <w:footnoteReference w:id="55"/>
      </w:r>
      <w:r>
        <w:rPr>
          <w:rFonts w:ascii="Amiri" w:hAnsi="Amiri" w:eastAsia="Amiri" w:cs="Amiri"/>
          <w:color w:val="111111"/>
          <w:sz w:val="28"/>
          <w:sz w:val="28"/>
          <w:szCs w:val="28"/>
          <w:rtl w:val="true"/>
          <w:lang w:bidi="ar-SA"/>
        </w:rPr>
        <w:t>، أو بما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الإذهاب، مثل حسنة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للاستنجاء حدّ؟ قال لا ينقى ماثمة</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ويبعد تقييدها بالأحجار أو بالإجماع المنقول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الغسل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تعدّى المحل المعتاد 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بالماء ولا يجزي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كشف اللثام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الحكم، ويدل عليه ما رواه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يستنجون بالكرسف والأحجار ثمّ أحدث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خلق كريم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الغنية والانتصار وغيرهما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بما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أنّكم كنتم تبعرون بعراً وأنتم اليوم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الأحجار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كما في الشرائع</w:t>
      </w:r>
      <w:r>
        <w:rPr>
          <w:rStyle w:val="FootnoteAnchor"/>
          <w:rtl w:val="true"/>
        </w:rPr>
        <w:footnoteReference w:id="59"/>
      </w:r>
      <w:r>
        <w:rPr>
          <w:rFonts w:ascii="Amiri" w:hAnsi="Amiri" w:eastAsia="Amiri" w:cs="Amiri"/>
          <w:color w:val="111111"/>
          <w:sz w:val="28"/>
          <w:sz w:val="28"/>
          <w:szCs w:val="28"/>
          <w:rtl w:val="true"/>
          <w:lang w:bidi="ar-SA"/>
        </w:rPr>
        <w:t>وغيره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المحل المعتاد، وأما فيه فيتخير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الفقيه الواحد كافية في الفتوى بالأفضلية، فكيف بالإجماع المنقول؟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استخدام للوضوء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تثلطون ثلطاً، فاتبعوا الماء الأحجار</w:t>
      </w:r>
      <w:r>
        <w:rPr>
          <w:rFonts w:eastAsia="IRNazanin" w:cs="IRNazanin"/>
          <w:color w:val="111111"/>
          <w:sz w:val="28"/>
          <w:szCs w:val="28"/>
          <w:rtl w:val="true"/>
          <w:lang w:bidi="fa-IR"/>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الغائط المسح بالأحجار إذا لم يتجاوز محلّ العادة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ضعيفتان من حيث السند، ولا يجبر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ضعفهما عمل المشهور لو سلم عملهم بهما،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المستفاد من الأولى وجوب الجمع بين الأمرين الذي لم يلتزموا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تعدّى عن المحلّ المعتاد بحيث لم يصدق عليه الاستنجاء ففي نفس المحلّ يخيّر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الزائد فيلزم غسله بالماء لعدم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البدلية، بل وربما يختلج بالبال كفاية المسح في الغائط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المبنى نظر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بعض المدلول في الرواية لا يوجب سقوط الباقي، كما قرر في الأصول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يصعب عملياً التفكيك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مشمول لأدلَّة وجوب التطهير بالماء، وأدلَّة الاستنجاء لا تشمله، لفرض عدم صدق الاستنجاء عليه عرفاً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تعدى</w:t>
      </w:r>
      <w:r>
        <w:rPr>
          <w:rFonts w:eastAsia="Amiri" w:cs="Amiri" w:ascii="Amiri" w:hAnsi="Amiri"/>
          <w:color w:val="111111"/>
          <w:sz w:val="28"/>
          <w:szCs w:val="28"/>
          <w:rtl w:val="true"/>
          <w:lang w:bidi="ar-SA"/>
        </w:rPr>
        <w:t xml:space="preserve">. </w:t>
      </w:r>
      <w:bookmarkStart w:id="39" w:name="pg15737_151416"/>
    </w:p>
    <w:p>
      <w:pPr>
        <w:pStyle w:val="Heading4"/>
        <w:numPr>
          <w:ilvl w:val="3"/>
          <w:numId w:val="1"/>
        </w:numPr>
        <w:rPr/>
      </w:pPr>
      <w:bookmarkStart w:id="40" w:name="__RefHeading___Toc12561588_2142443653"/>
      <w:bookmarkStart w:id="41" w:name="_Toc13"/>
      <w:bookmarkEnd w:id="39"/>
      <w:bookmarkEnd w:id="40"/>
      <w:r>
        <w:rPr>
          <w:rtl w:val="true"/>
        </w:rPr>
        <w:t xml:space="preserve">المسألة </w:t>
      </w:r>
      <w:r>
        <w:rPr/>
        <w:t>79</w:t>
      </w:r>
      <w:r>
        <w:rPr>
          <w:rtl w:val="true"/>
        </w:rPr>
        <w:t xml:space="preserve">: </w:t>
      </w:r>
      <w:r>
        <w:rPr>
          <w:rtl w:val="true"/>
        </w:rPr>
        <w:t>حدّ غسل الغائط</w:t>
      </w:r>
      <w:bookmarkEnd w:id="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في غسل الغائط وإنّما اللازم نقاء المحلّ عن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ذلك خلاف الإجماع، بل المتسالم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بل 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مختصّ بالمورد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الخلاف وغيره الإجماع عليه، ويدلّ عليه رواية يونس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جعل فيها المعيار الإذهاب، ويدلّ عليه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التسالم فوق الإجماع، ولعله باعتبار أن الإجماع مجرد اتفاق، وأما التسالم فهو أخذ القضية مسلّمة ومفروغاً منها، أي كأنها بديهية 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باعتبار أنه القدر المتيقن في مقام التخاطب، ويمكن الاستدلال بفهم الفقهاء أيضاً، وبالتعارف الخارجي، حيث يكون المسح في مثل ذلك بالأرض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المسح بالأرض لا مطلقاً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أنها ليست في مقام البيان من هذه الجهة</w:t>
      </w:r>
      <w:r>
        <w:rPr>
          <w:rStyle w:val="FootnoteAnchor"/>
          <w:rtl w:val="true"/>
        </w:rPr>
        <w:footnoteReference w:id="64"/>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بأس ببقاء الريح، بل واللون إذا فرض بقاؤه بدون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التعدّي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إبراهيم بن أبي محمود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بغسل ما ظهر من الشرج، ومثلهما غيرهما في الدلالة على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وإلاّ فبالدقة العقلية العين باقية؛ لاستحالة انتقال العرض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w:t>
      </w:r>
      <w:r>
        <w:rPr>
          <w:rStyle w:val="FootnoteAnchor"/>
          <w:rtl w:val="true"/>
        </w:rPr>
        <w:footnoteReference w:id="65"/>
      </w:r>
      <w:r>
        <w:rPr>
          <w:rFonts w:ascii="Amiri" w:hAnsi="Amiri" w:eastAsia="Amiri" w:cs="Amiri"/>
          <w:color w:val="111111"/>
          <w:sz w:val="28"/>
          <w:sz w:val="28"/>
          <w:szCs w:val="28"/>
          <w:rtl w:val="true"/>
          <w:lang w:bidi="ar-SA"/>
        </w:rPr>
        <w:t>ليست في مقام بيان الغسل، بل إن الظاهر يجب غسله في قبال الباطن،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بالقرآن الكريم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طَهُورا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ونحوه مما سبق في أوائل بحث الطهارة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مبناهم من الدقة العقلية، وعدم قبول المسامحات العرفية، وله نظائر مثل الأصل المثبت والواسطة الخفية، وإخفات آخر الكلمة في الجهريات، وارتفاع موضع 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مسحه بالحجر وغيره فاللازم فيه التثليث وإن حصل النقاء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الأثر لا يصدق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العذرة، ويدلّ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رواه ابن المغيرة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ينقى ماثمة،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ينقى ماثمة ويبقى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ويدلّ عليه ما رواه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 أقلّ المجزئ في الاستنجاء بدل الماء 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هذه اللفظة تطلق على المجموع من الذرات، والمفروض أن الذرات باقية،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تطلق عليها بقيد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يغسله دقة،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ازله، ويذهب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يذهبه، فتأمل، وكذا ينقّي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الريح لا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إزالة الريح أمر خلاف المتعارف خاصة مع شحة المياه في العصور القديمة، فلو كان واجباً لزم التدقيق الكثير، ولو كان لازماً لبان واشتهر؛ لكونه أمراً على خلاف المتعارف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وإلاّ فعقلاً يستفاد أنه مجزٍ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أحجار، فلا يرد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ما في بعض الكلمات من أنّ اقتران الحكم بالسنّة يمنع عن ظهوره في الوجوب، مضافاً</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يمكن أن يكون إطلاق السنّة عليه من جهة نسبته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ما فرضه اللّه، ويؤيّده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 روي عن سلمان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نستنجي بأقلّ من ثلاثة أحجار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يستدلّ له بما في رواية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يغسل ذكره ويذهب الغائط</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إطلاقه كفاية الأقلّ لو تحقق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في المقام الاكتفاء بأحد أمرين من الاستنجاء بثلاثة أحجار ومن حصول النقاء؛ وذلك لأنّ النسبة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بمعنى الطريقة والأُسلوب فلا تدل على الاستحباب،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فلا تحمل عليه الروايات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يعد دليلاً نجبره بالشهرة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ليس في مقام البيان من هذه الجهة، فلا إطلاق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يونس ورواية زرارة ليس العموم المطلق، بل النسبة بينهما عموم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بارتكازه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دليل الثلاثة أنّ الثلاثة إنّما تجزي لو حصل النقاء بها لا مطلقاً، وعليه يكون دليل الثلاثة أخصّ مطلق من دليل كفاية النقاء ويقيّده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رواية يونس في الإذهاب، سواء كان بحجرين أم بثلاثة، ورواية زرارة حول الأحجار الثلاثة، سواء أذهبت أم لم تذهب، فمحل اجتماعهما الإذهاب بالثلاثة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تعارض بينهما؛ لأنهما يتفقان في الإذهاب بالثلاثة، وينفرد كل منهما بفرد لا يعارضه فيه الآخر، فمقتضى القاعدة إجزاء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 متعين</w:t>
      </w:r>
      <w:r>
        <w:rPr>
          <w:rStyle w:val="FootnoteAnchor"/>
          <w:rtl w:val="true"/>
        </w:rPr>
        <w:footnoteReference w:id="70"/>
      </w:r>
      <w:r>
        <w:rPr>
          <w:rFonts w:ascii="Amiri" w:hAnsi="Amiri" w:eastAsia="Amiri" w:cs="Amiri"/>
          <w:color w:val="111111"/>
          <w:sz w:val="28"/>
          <w:sz w:val="28"/>
          <w:szCs w:val="28"/>
          <w:rtl w:val="true"/>
          <w:lang w:bidi="ar-SA"/>
        </w:rPr>
        <w:t>، إلاّ أنه يرفع اليد عن هذا الظاهر بخصوصية كل منهما، أي أن الإذهاب له خصوصية وموضوعية وكذلك الثلاثة، وإلاّ لكان ما ذكره لغواً لو كان الآخر ملاكاً أو كلاهما ملاكاً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بارتكازه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 والمتشرعي؛ إذ الثلاثة بلا إذهاب لا تنفع، لبقاء النجاسة، بل هو من البديهيات في أذهان المتشرعة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ذكرت الثلاثة للغلبة،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غالباً يحصل التطهير بها، وإلاّ فلا موضوعية للثلاثة بما هي ثلاثة، لكنه خلاف ظاهر الألفاظ؛ إذ ظاهرها الموضوعية، فيكون لكليهما موضوعية، أما الإذهاب ففي الماء، وأما الثلاثة ففي الأحجار، الذي يلازم الإذهاب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لو لم يحصل بالثلاثة لزم الإكثار إلى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فيه زوال العين وإن بقي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عليه عدم الخلاف</w:t>
      </w:r>
      <w:r>
        <w:rPr>
          <w:rStyle w:val="FootnoteAnchor"/>
          <w:rtl w:val="true"/>
        </w:rPr>
        <w:footnoteReference w:id="71"/>
      </w:r>
      <w:r>
        <w:rPr>
          <w:rFonts w:ascii="Amiri" w:hAnsi="Amiri" w:eastAsia="Amiri" w:cs="Amiri"/>
          <w:color w:val="111111"/>
          <w:sz w:val="28"/>
          <w:sz w:val="28"/>
          <w:szCs w:val="28"/>
          <w:rtl w:val="true"/>
          <w:lang w:bidi="ar-SA"/>
        </w:rPr>
        <w:t>، بل ادّعى عليه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خبر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لدعوى أنّ مقتضى إطلاق ما دلّ على كفاية الثلاثة حصول الطهارة ولو مع بقاء شيء؛ لأنّ هذه الدعوى خلاف مرتكز العرف، فإنّه لا يفهم من هذه الأدلَّة 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والرائحة كما فسّره بعض بالأول فلا إشكال في عدم لزوم رفعه، وأمّا لو كان المراد من الأثر الأجزاء الصغار التي لا ترى فالوجه في عدم لزوم إزالته إطلاق الأدلَّة، فإنّ إزالته تحتاج إلى عناية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ومبالغة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البديهيات الفقهية، أو من الضروريات،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التأمل في إطلاقه،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العفو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يزول بالمسح بالأحجار عادة، من اللون والرائحة والأجزاء الصغار التي لا تُرى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عناية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هنالك عذرة ومسحت بالحجر ونحوه، ثم وضعت اليد عليه لرأيت أن هنالك ذرات صغاراً، بل في الغسل </w:t>
      </w:r>
      <w:bookmarkStart w:id="42" w:name="pg15737_151422"/>
    </w:p>
    <w:p>
      <w:pPr>
        <w:pStyle w:val="Heading4"/>
        <w:numPr>
          <w:ilvl w:val="3"/>
          <w:numId w:val="1"/>
        </w:numPr>
        <w:rPr/>
      </w:pPr>
      <w:bookmarkStart w:id="43" w:name="__RefHeading___Toc12561590_2142443653"/>
      <w:bookmarkStart w:id="44" w:name="_Toc14"/>
      <w:bookmarkEnd w:id="42"/>
      <w:bookmarkEnd w:id="43"/>
      <w:r>
        <w:rPr>
          <w:rtl w:val="true"/>
        </w:rPr>
        <w:t xml:space="preserve">المسألة </w:t>
      </w:r>
      <w:r>
        <w:rPr/>
        <w:t>80</w:t>
      </w:r>
      <w:r>
        <w:rPr>
          <w:rtl w:val="true"/>
        </w:rPr>
        <w:t xml:space="preserve">: </w:t>
      </w:r>
      <w:r>
        <w:rPr>
          <w:rtl w:val="true"/>
        </w:rPr>
        <w:t>يعتبر في مسح موضع الغائط أن يكون بثلاثة اشياء</w:t>
      </w:r>
      <w:bookmarkEnd w:id="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المسح أن يكون بثلاثة أشياء، فلا يكفي المسح بأطراف شيء واحد على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طاهرة فلا يكفي بالأعيان النجسة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كجلد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كثيرة خارجة عن المتعارف، بل يكون حرجاً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الفرق بين المسح بالمنفصلات وبين المسح ثلاثاً بالشيء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منشأ لهذا القطع، ومناط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غير معلوم لدينا، فالحقّ ما أفاده في المتن عملاً بظاهر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بالماء يستغرق زوال الذرات الصغيرة الملموسة باليد وقتاً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المتنجسة، ولعل مراده النجسة بالمعنى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الحرج شخصي لا نوعي، بل ناقش البعض في رفعه للأحكام الوضعية</w:t>
      </w:r>
      <w:r>
        <w:rPr>
          <w:rStyle w:val="FootnoteAnchor"/>
          <w:rtl w:val="true"/>
        </w:rPr>
        <w:footnoteReference w:id="72"/>
      </w:r>
      <w:r>
        <w:rPr>
          <w:rFonts w:ascii="Amiri" w:hAnsi="Amiri" w:eastAsia="Amiri" w:cs="Amiri"/>
          <w:color w:val="111111"/>
          <w:sz w:val="28"/>
          <w:sz w:val="28"/>
          <w:szCs w:val="28"/>
          <w:rtl w:val="true"/>
          <w:lang w:bidi="ar-SA"/>
        </w:rPr>
        <w:t>، كالنجاسة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مناسبة الحكم والموضوع تقتضي عدم الفرق، وهذا فهم عرفي من الدليل، واحتمال الموضوعية غير مألوف للعرف، وإنما ذكرت الأحجار الثلاثة في الروايات لأنها الطريقة المتعارفة للإزالة، وأما الحجر ذو الجهات ففيه صعوبة ومظنة للتلويث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ذكر في مستند هذا الشرط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أحمد المتقدّمة آنفاً فإنّه اشترط فيها أن تكون الأحجار أبكاراً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البكر أن لا يكون مستعملاً في استنجاء آخر، ولذا استدلّ بها في مقام اشتراط عدم سبقها باستنجاء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قاصرة من حيث السند فلا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أنّ العرف حيث إنّ الراسخ في ذهنه بالنسبة إلى المطهّرات الخارجية اشتراطها بهذا الشرط، فبحسب طبعه الأوّلي يستفيد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كونها مشروطة به مادام لم يردعهم عن هذا الارتكاز 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يستنجي به لو كان نجساً أو متنجساً يوجب انفعال المحلّ به، فيلزم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تطهيره بالماء خاصّة</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يذكرونه في سائر المقامات في مناسبات الحكم والموضوع جارٍ في المقام أيضاً،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الارتكاز العرفي يقتضي أن البكارة إنما هي لعدم التنجس، والنجاسة موجودة بشكل أقوى في الأعيان النجسة، لا أقل من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البكارة قد يكون للأمن من التلويث لا للنجاسة،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مجبور بالشهرة أو بالعمل،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تنصرف عن النجاسات والمتنجسات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الاستنجاء بالأحجار أو الجلد مثلاً</w:t>
      </w:r>
      <w:r>
        <w:rPr>
          <w:rFonts w:eastAsia="Amiri" w:cs="Amiri" w:ascii="Amiri" w:hAnsi="Amiri"/>
          <w:color w:val="111111"/>
          <w:sz w:val="28"/>
          <w:szCs w:val="28"/>
          <w:rtl w:val="true"/>
          <w:lang w:bidi="ar-SA"/>
        </w:rPr>
        <w:t xml:space="preserve">. </w:t>
      </w:r>
      <w:bookmarkStart w:id="45" w:name="pg15737_151424"/>
    </w:p>
    <w:p>
      <w:pPr>
        <w:pStyle w:val="Heading4"/>
        <w:numPr>
          <w:ilvl w:val="3"/>
          <w:numId w:val="1"/>
        </w:numPr>
        <w:rPr/>
      </w:pPr>
      <w:bookmarkStart w:id="46" w:name="__RefHeading___Toc12561592_2142443653"/>
      <w:bookmarkStart w:id="47" w:name="_Toc15"/>
      <w:bookmarkEnd w:id="45"/>
      <w:bookmarkEnd w:id="46"/>
      <w:r>
        <w:rPr>
          <w:rtl w:val="true"/>
        </w:rPr>
        <w:t xml:space="preserve">المسألة </w:t>
      </w:r>
      <w:r>
        <w:rPr/>
        <w:t>81</w:t>
      </w:r>
      <w:r>
        <w:rPr>
          <w:rtl w:val="true"/>
        </w:rPr>
        <w:t xml:space="preserve">: </w:t>
      </w:r>
      <w:r>
        <w:rPr>
          <w:rtl w:val="true"/>
        </w:rPr>
        <w:t>كفايه كل جسم قالع في المسح</w:t>
      </w:r>
      <w:bookmarkEnd w:id="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المسح كلّ جسم قالع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w:t>
      </w:r>
    </w:p>
    <w:p>
      <w:pPr>
        <w:pStyle w:val="BookText"/>
        <w:rPr/>
      </w:pPr>
      <w:r>
        <w:rPr>
          <w:rFonts w:ascii="Amiri" w:hAnsi="Amiri" w:eastAsia="Amiri" w:cs="Amiri"/>
          <w:color w:val="111111"/>
          <w:sz w:val="28"/>
          <w:sz w:val="28"/>
          <w:szCs w:val="28"/>
          <w:rtl w:val="true"/>
          <w:lang w:bidi="ar-SA"/>
        </w:rPr>
        <w:t>لعدم الدليل على مطهّرية الأحجار مع انفعال المحلّ بالنجاسة الخارجية، وادّعاء الإطلاق في الأدلَّة من هذه الجهة مدفوع بعدم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نقل عن المنتهى دعوى الإجماع عليه، فإنّ تمت بحيث يكشف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فللمناقشة في هذه الأدلَّة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استفادة الإطلاق لكلّ جسم من مجموع الأخبار الواردة في الباب ففي بعضها عبّر بالأحجار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الآخر عبّر بالمدر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جسم قالع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الاقتصار على المنصوصات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في مقام البيان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الأُصول أنه لا يبعد كون الإجماع دليلاً</w:t>
      </w:r>
      <w:r>
        <w:rPr>
          <w:rStyle w:val="FootnoteAnchor"/>
          <w:rtl w:val="true"/>
        </w:rPr>
        <w:footnoteReference w:id="73"/>
      </w:r>
      <w:r>
        <w:rPr>
          <w:rFonts w:ascii="Amiri" w:hAnsi="Amiri" w:eastAsia="Amiri" w:cs="Amiri"/>
          <w:color w:val="111111"/>
          <w:sz w:val="28"/>
          <w:sz w:val="28"/>
          <w:szCs w:val="28"/>
          <w:rtl w:val="true"/>
          <w:lang w:bidi="ar-SA"/>
        </w:rPr>
        <w:t>في حد ذاته، لبناء العقلاء على منجزيته ومعذريته في الطاعة والمعصية، وللأدلَّة اللفظية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وَيَتّبِعْ</w:t>
      </w:r>
    </w:p>
    <w:p>
      <w:pPr>
        <w:pStyle w:val="BookText"/>
        <w:rPr/>
      </w:pPr>
      <w:r>
        <w:rPr>
          <w:rFonts w:ascii="Amiri" w:hAnsi="Amiri" w:eastAsia="Amiri" w:cs="Amiri"/>
          <w:color w:val="111111"/>
          <w:sz w:val="28"/>
          <w:sz w:val="28"/>
          <w:szCs w:val="28"/>
          <w:rtl w:val="true"/>
          <w:lang w:bidi="ar-SA"/>
        </w:rPr>
        <w:t>غَيْرَ سَبِيلِ الْمُؤْمِنِينَ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العلك الذي لا رمل فيه</w:t>
      </w:r>
      <w:r>
        <w:rPr>
          <w:rStyle w:val="FootnoteAnchor"/>
          <w:rtl w:val="true"/>
        </w:rPr>
        <w:footnoteReference w:id="75"/>
      </w:r>
      <w:r>
        <w:rPr>
          <w:rFonts w:ascii="Amiri" w:hAnsi="Amiri" w:eastAsia="Amiri" w:cs="Amiri"/>
          <w:color w:val="111111"/>
          <w:sz w:val="28"/>
          <w:sz w:val="28"/>
          <w:szCs w:val="28"/>
          <w:rtl w:val="true"/>
          <w:lang w:bidi="ar-SA"/>
        </w:rPr>
        <w:t>، والعلك الذي يعلق باليد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فيستفاد من مجموع الروايات أنّ كلّ جسم قالع للنجاسة موضوع لهذا الحكم، والإنصاف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النقاش في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القاعدة تقتضي الاقتصار بالموارد المنصوصة وفي غيرها يحكم ببقاء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يونس، حيث جعل المطهر فيه الإذهاب كما عن بعض فيرد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صحيح في حد ذاته، إلاّ أن تعدد العناوين المذكورة في الروايات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المدر، والخرق، العود، 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يبعد عرفاً احتمال الخصوصية، لكن رواية العود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المشهور، بل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الإذهاب في بعض الروايات حدّاً، والتصريح في بعضها بأنه لا حدّ له الإ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مما يقرب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للاستصحاب، لأن الشبهة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لإطلاق أدلَّة النجاسة، وما علم من الضرورة أن النجاسة لا تزول إلاّ بمزيل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المناقشة فيه، والأولى الاستدلال بأنه لا حد له، فإن تحديد المزيل نوع من الحد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العظم والروث فإنّه 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الطهارة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الإطلاق 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التقييد كيف يؤخذ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أن يستنجي الرجل بالروث والرمّة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كلّها مخدوشة من حيث السند، وعمل المشهور بها على فرض تحققّه لا يجبر ضعفها على مسلكنا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فالعمدة الإجماع، فإن قام بحيث يكشف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فلا وجه للاستثناء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الباب ذلك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أو في لزومه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تقييداً عرفاً، بل هو بيان لبعض المصاديق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بلي من العظام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مسلكنا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مسلكنا فيجبر، والظاهر اشتهار الفتوى بذلك، فالشهرة فتوائية وأما العملية فتحتاج إلى مراجعة،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يكشف لاحتمال الاستناد، فتأمل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يدل على </w:t>
      </w:r>
    </w:p>
    <w:p>
      <w:pPr>
        <w:pStyle w:val="BookText"/>
        <w:rPr/>
      </w:pPr>
      <w:r>
        <w:rPr>
          <w:rFonts w:ascii="Amiri" w:hAnsi="Amiri" w:eastAsia="Amiri" w:cs="Amiri"/>
          <w:color w:val="111111"/>
          <w:sz w:val="28"/>
          <w:sz w:val="28"/>
          <w:szCs w:val="28"/>
          <w:rtl w:val="true"/>
          <w:lang w:bidi="ar-SA"/>
        </w:rPr>
        <w:t>وكذا لا يجوز استعمال الأجسام المحترمة كتربة المشاهد المشرّفة وأوراق الكتب الشرعية، والقطعة من ثوب الكعبة المعظّمة وأمثال ذلك، بل قد يوجب في بعض صوره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يستنجي بالتربة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معانداً لمشرّفها، فإنّا ذكرنا في بحث نجاسة الكافر أن المستفاد من الأدلَّة أنّ المعاند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الطهارة بكل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بالجبر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يعلم ذهاب المشهور إلى الحرمة الوضعية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الناصب لهم؟ </w:t>
      </w:r>
      <w:bookmarkStart w:id="48" w:name="pg15737_151428"/>
    </w:p>
    <w:p>
      <w:pPr>
        <w:pStyle w:val="Heading3"/>
        <w:numPr>
          <w:ilvl w:val="2"/>
          <w:numId w:val="1"/>
        </w:numPr>
        <w:rPr/>
      </w:pPr>
      <w:bookmarkStart w:id="49" w:name="__RefHeading___Toc12561594_2142443653"/>
      <w:bookmarkStart w:id="50" w:name="_Toc16"/>
      <w:bookmarkEnd w:id="48"/>
      <w:bookmarkEnd w:id="49"/>
      <w:r>
        <w:rPr>
          <w:rtl w:val="true"/>
        </w:rPr>
        <w:t>آداب التخلي</w:t>
      </w:r>
      <w:bookmarkEnd w:id="50"/>
    </w:p>
    <w:p>
      <w:pPr>
        <w:pStyle w:val="Heading4"/>
        <w:numPr>
          <w:ilvl w:val="3"/>
          <w:numId w:val="1"/>
        </w:numPr>
        <w:rPr/>
      </w:pPr>
      <w:bookmarkStart w:id="51" w:name="__RefHeading___Toc12561596_2142443653"/>
      <w:bookmarkStart w:id="52" w:name="_Toc17"/>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يؤتى به من آداب التخلّي ولو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الرجل اليسرى عند الدخول واليمنى عند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ما ورد منها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لكن نقل عن الصدوق في الفقيه أنّه ذكره في جملة الآداب، وباب الرجاء 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الإتيان بها بعنوان الاستحباب أيضاً، بناءً على أن قاعدة التسامح تفيد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والخروج، إذ ظاهر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تحققهما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الفقيه كافية في الاستحباب، وعن الغنية</w:t>
      </w:r>
      <w:r>
        <w:rPr>
          <w:rStyle w:val="FootnoteAnchor"/>
          <w:rtl w:val="true"/>
        </w:rPr>
        <w:footnoteReference w:id="82"/>
      </w:r>
      <w:r>
        <w:rPr>
          <w:rFonts w:ascii="Amiri" w:hAnsi="Amiri" w:eastAsia="Amiri" w:cs="Amiri"/>
          <w:color w:val="111111"/>
          <w:sz w:val="28"/>
          <w:sz w:val="28"/>
          <w:szCs w:val="28"/>
          <w:rtl w:val="true"/>
          <w:lang w:bidi="ar-SA"/>
        </w:rPr>
        <w:t>الإجماع عليه، بل أفتى به في المقنع</w:t>
      </w:r>
      <w:r>
        <w:rPr>
          <w:rStyle w:val="FootnoteAnchor"/>
          <w:rtl w:val="true"/>
        </w:rPr>
        <w:footnoteReference w:id="83"/>
      </w:r>
      <w:r>
        <w:rPr>
          <w:rFonts w:ascii="Amiri" w:hAnsi="Amiri" w:eastAsia="Amiri" w:cs="Amiri"/>
          <w:color w:val="111111"/>
          <w:sz w:val="28"/>
          <w:sz w:val="28"/>
          <w:szCs w:val="28"/>
          <w:rtl w:val="true"/>
          <w:lang w:bidi="ar-SA"/>
        </w:rPr>
        <w:t>، الذي هو متون الروايات، وقد ضمن الفقيه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وتغطية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لإحراز</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مطلوب قطعاً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جملة من الأخبار عنوان التقنّع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كان يعمله إذا دخل الكنيف يقنّع رأسه ويقول سرّاً في نفسه بسم اللّه وباللّه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وتغطية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هو التقنع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أن ظاهر روايات المستحبات تعدد المطلوب</w:t>
      </w:r>
      <w:r>
        <w:rPr>
          <w:rStyle w:val="FootnoteAnchor"/>
          <w:rtl w:val="true"/>
        </w:rPr>
        <w:footnoteReference w:id="85"/>
      </w:r>
      <w:r>
        <w:rPr>
          <w:rFonts w:ascii="Amiri" w:hAnsi="Amiri" w:eastAsia="Amiri" w:cs="Amiri"/>
          <w:color w:val="111111"/>
          <w:sz w:val="28"/>
          <w:sz w:val="28"/>
          <w:szCs w:val="28"/>
          <w:rtl w:val="true"/>
          <w:lang w:bidi="ar-SA"/>
        </w:rPr>
        <w:t>وإن لم يقبل ذلك فيشكل قول المصنف، بل يكون المتعين في الاستحباب الخاص الاقتصار على نفس الصيغة الواردة، إلاّ أن تكون هنالك فتاوى مطلقة أثبتت الاستحباب المطلق، فتأمل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التقنع أشمل من تغطية الرأس، ولذا 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يتقنع ويجزي عن ستر الرأس</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لكن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ستر كل الرأس، أما التقنع فهو ستر غالب الرأس</w:t>
      </w:r>
      <w:r>
        <w:rPr>
          <w:rStyle w:val="FootnoteAnchor"/>
          <w:rtl w:val="true"/>
        </w:rPr>
        <w:footnoteReference w:id="87"/>
      </w:r>
      <w:r>
        <w:rPr>
          <w:rFonts w:ascii="Amiri" w:hAnsi="Amiri" w:eastAsia="Amiri" w:cs="Amiri"/>
          <w:color w:val="111111"/>
          <w:sz w:val="28"/>
          <w:sz w:val="28"/>
          <w:szCs w:val="28"/>
          <w:rtl w:val="true"/>
          <w:lang w:bidi="ar-SA"/>
        </w:rPr>
        <w:t>لكنه خلاف الظاهر، بل تغطية الرأس تتم بمثل وضع المنديل أو ما أشبه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 ما تغطي به المرأة رأسها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التخلّي في الشوارع والمشارع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ومساقط الثمار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المشهور كما في بعض الكلمات، ونقل عن الاستبصار الوجوب، والظاهر أنّ المدرك لهذا الحكم ما ورد في كيفيّة</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استحباب التقنع نقل الشيخ المفيد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الشوارع والمشارع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النافذة، وأما غير النافذة ففيه إشكال، لكونها ملكاً لأربابها على المشهور، وسبب ذلك الإضرار بالآخرين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المشارع فهي الطريق إلى الماء، والرواية المذكورة</w:t>
      </w:r>
      <w:r>
        <w:rPr>
          <w:rStyle w:val="FootnoteAnchor"/>
          <w:rtl w:val="true"/>
        </w:rPr>
        <w:footnoteReference w:id="90"/>
      </w:r>
      <w:r>
        <w:rPr>
          <w:rFonts w:ascii="Amiri" w:hAnsi="Amiri" w:eastAsia="Amiri" w:cs="Amiri"/>
          <w:color w:val="111111"/>
          <w:sz w:val="28"/>
          <w:sz w:val="28"/>
          <w:szCs w:val="28"/>
          <w:rtl w:val="true"/>
          <w:lang w:bidi="ar-SA"/>
        </w:rPr>
        <w:t xml:space="preserve">هنا دلت على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شطوط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شفير بئر ماء يستعذب منها</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التعميم للمناط أو غيره، وتكفي فتوى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ومساقط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الشارح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الأشجار 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وورد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ومساقط</w:t>
      </w:r>
    </w:p>
    <w:p>
      <w:pPr>
        <w:pStyle w:val="BookText"/>
        <w:rPr/>
      </w:pPr>
      <w:r>
        <w:rPr>
          <w:rFonts w:ascii="IRNazanin" w:hAnsi="IRNazanin" w:eastAsia="IRNazanin"/>
          <w:color w:val="111111"/>
          <w:sz w:val="28"/>
          <w:sz w:val="28"/>
          <w:szCs w:val="28"/>
          <w:rtl w:val="true"/>
          <w:lang w:bidi="fa-IR"/>
        </w:rPr>
        <w:t>الثمار</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بين العنوانين عموماً من وجه، فقد يكون تحت شجرة مثمرة ولا تسقط فيه الثمار، كما لو وضع كيس على الشجرة، وقد يكون العكس، </w:t>
      </w:r>
    </w:p>
    <w:p>
      <w:pPr>
        <w:pStyle w:val="BookText"/>
        <w:rPr/>
      </w:pPr>
      <w:r>
        <w:rPr>
          <w:rFonts w:ascii="IRNazanin" w:hAnsi="IRNazanin" w:eastAsia="IRNazanin"/>
          <w:color w:val="111111"/>
          <w:sz w:val="28"/>
          <w:sz w:val="28"/>
          <w:szCs w:val="28"/>
          <w:rtl w:val="true"/>
          <w:lang w:bidi="fa-IR"/>
        </w:rPr>
        <w:t>ومحال نزول القوافل</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الاستبراء من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ففي 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رجل بال ولم يكن معه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أصل ذكره إلى طرفه ثلاث عصرات وينتر طرفه، فإن خرج بعد ذلك شيء فليس من البول ولكنّه من الحبائل</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لا يستفاد من هذه الرواية وشبهها الوجوب النفسي، بل يستفاد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الإرشاد إلى أنّ هذا العمل يوجب الحكم بعدم بولية ما يخرج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ذهب خارج ظلها لكن الثمرة تسقط إليها،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منازل النزّال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منازل 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 النزال على شكل قوافل، بل يصدق ولو كانوا فرادى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جملة خبرية، ولاحظ رأي الكفاية</w:t>
      </w:r>
      <w:r>
        <w:rPr>
          <w:rStyle w:val="FootnoteAnchor"/>
          <w:rtl w:val="true"/>
        </w:rPr>
        <w:footnoteReference w:id="94"/>
      </w:r>
      <w:r>
        <w:rPr>
          <w:rFonts w:ascii="Amiri" w:hAnsi="Amiri" w:eastAsia="Amiri" w:cs="Amiri"/>
          <w:color w:val="111111"/>
          <w:sz w:val="28"/>
          <w:sz w:val="28"/>
          <w:szCs w:val="28"/>
          <w:rtl w:val="true"/>
          <w:lang w:bidi="ar-SA"/>
        </w:rPr>
        <w:t>في قبال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شبهة وهي أنه لو فعل ذلك وخرج منه شيء لاقى المحل المتنجس فيتنجس، فلا ينفع الاستبراء شيئاً، فتأمل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أنه عرفاً تعليل لا تفريع، وكذا غيرها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سال حتى يبلغ السوق فلا يبالي</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وأبواب الدور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والمواضع التي يلعن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واستقبال الشمس والقمر بالفرج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رواية عاصم بن حميد من ذكرهما، فإنّ ذكر الدور من باب المثال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البول، بالإضافة إلى أنه لو كان واجباً لبان واشتهر وكثرت عنه الأسئلة،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وأبواب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يلعن فيها المُحدث؛ وذلك لأن الظاهر من الرواية</w:t>
      </w:r>
      <w:r>
        <w:rPr>
          <w:rStyle w:val="FootnoteAnchor"/>
          <w:rtl w:val="true"/>
        </w:rPr>
        <w:footnoteReference w:id="96"/>
      </w:r>
      <w:r>
        <w:rPr>
          <w:rFonts w:ascii="Amiri" w:hAnsi="Amiri" w:eastAsia="Amiri" w:cs="Amiri"/>
          <w:color w:val="111111"/>
          <w:sz w:val="28"/>
          <w:sz w:val="28"/>
          <w:szCs w:val="28"/>
          <w:rtl w:val="true"/>
          <w:lang w:bidi="ar-SA"/>
        </w:rPr>
        <w:t xml:space="preserve">كون اللعن علة للحكم، فيدور مدارها الحكم وجوداً وعدماً، فلو كان باب دار لا يلعن فيها، بل يفرحون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أشجارهم غير المثمرة تحتاج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منصرف عنه، ومن هنا عمّم الحكم لكل مواضع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وأبواب الدور إن كان فيها حريم الدار كان محرماً بدون رضا أربابها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يشمل القبل والدبر، راجع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وَيَحْفَظُوا</w:t>
      </w:r>
    </w:p>
    <w:p>
      <w:pPr>
        <w:pStyle w:val="BookText"/>
        <w:rPr/>
      </w:pPr>
      <w:r>
        <w:rPr>
          <w:rFonts w:ascii="Amiri" w:hAnsi="Amiri" w:eastAsia="Amiri" w:cs="Amiri"/>
          <w:color w:val="111111"/>
          <w:sz w:val="28"/>
          <w:sz w:val="28"/>
          <w:szCs w:val="28"/>
          <w:rtl w:val="true"/>
          <w:lang w:bidi="ar-SA"/>
        </w:rPr>
        <w:t>فُرُوجَهُمْ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اللعن علة كما سبق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يحتمل كون اللعن حكمة، فتعم كل الدور، وكون أبواب الدور حصراً لا مثالاً، إلاّ أنه بعيد عن الفهم العرفي،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يكون بادئاً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حديث المناهي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أن يبول الرجل وفرجه بادٍ للشمس أو القمر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بادئاً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كراهة استقبال الشمس والقمر بالبدن مطلقاً، وكراهة استقبال الشمس والقمر بالفرج حين البول، وكراهة أن يكون فرجه بادياً للشمس أو القمر حين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وجهه مما تقدم في الروايات، إلاّ أن يعمم الحكم بضميمة فتوى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الروايات تقيد الأخيرين بالرجلِ، ولعله يعمم لعدم فهم الخصوصية أو لاشتراك الأحكام،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تفسير الماتن الاستقبال بالفرج بالبدو محل تأمل؛ إذ هما عنوانان مستقلان،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الاستقبال بالفرج الظاهر منه بالذكر، وأما بموضع الغائط ففيه غموض،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الروايات،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استقبال الشمس والقمر بالبول أو الغائط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فرجه بادياً للشمس أو القمر حين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الشمس والقمر بفرجه وهو يبول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الشمس والقمر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واستقبال الريح بالبول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والبول في الأرض الصلبة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مرفوعة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ولا تستدبرها ولا تستقبل الريح ولا تستدبرها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استقبال الشمس والقمر حين البول أو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استقبال الشمس والقمر بالفرج حين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أن يكون فرجه بادياً للشمس أو القمر حين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وبالغائط أيضاً، وفي حكم الاستقبال الاستدبار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دليلاً على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 الرواية</w:t>
      </w:r>
      <w:r>
        <w:rPr>
          <w:rStyle w:val="FootnoteAnchor"/>
          <w:rtl w:val="true"/>
        </w:rPr>
        <w:footnoteReference w:id="101"/>
      </w:r>
      <w:r>
        <w:rPr>
          <w:rFonts w:ascii="Amiri" w:hAnsi="Amiri" w:eastAsia="Amiri" w:cs="Amiri"/>
          <w:color w:val="111111"/>
          <w:sz w:val="28"/>
          <w:sz w:val="28"/>
          <w:szCs w:val="28"/>
          <w:rtl w:val="true"/>
          <w:lang w:bidi="ar-SA"/>
        </w:rPr>
        <w:t>مطلوبية التوقي من ترشح البول، إلاّ أن باب التسامح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هو النضح والترشح، لا كونها أرضاً أو لا، وصلبة أو 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لا ترتبط بالبول، بل بالغائط، إلاّ أن </w:t>
      </w:r>
    </w:p>
    <w:p>
      <w:pPr>
        <w:pStyle w:val="BookText"/>
        <w:rPr/>
      </w:pPr>
      <w:r>
        <w:rPr>
          <w:rFonts w:ascii="Amiri" w:hAnsi="Amiri" w:eastAsia="Amiri" w:cs="Amiri"/>
          <w:color w:val="111111"/>
          <w:sz w:val="28"/>
          <w:sz w:val="28"/>
          <w:szCs w:val="28"/>
          <w:rtl w:val="true"/>
          <w:lang w:bidi="ar-SA"/>
        </w:rPr>
        <w:t>وثقوب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الماء جارياً كان أو راكداً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الناس توقّياً عن البول، كان إذا أراد البول يعمد إلى مكان مرتفع من الأرض أو إلى مكان من الأمكنة يكون فيه التراب الكثير كراهية أن ينضح عليه البول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 نهى أن يبال في الجحر</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نهى أن يبول الرجل في الماء الجاري إلاّ من ضرورة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للماء أهلاً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أرسله</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بالغائط الموضع المنخفض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حالة التخلي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للانصراف فعلاً إلى التغوط،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النقل عن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لو شك في أصل النقل لا فيما إذا علم به وجهل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تبولن في نفق</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هذا التعليل عمومية الحكم للراكد أيضاً، والتخصيص بالجاري في الصدر</w:t>
      </w:r>
      <w:r>
        <w:rPr>
          <w:rStyle w:val="FootnoteAnchor"/>
          <w:rtl w:val="true"/>
        </w:rPr>
        <w:footnoteReference w:id="105"/>
      </w:r>
      <w:r>
        <w:rPr>
          <w:rFonts w:ascii="Amiri" w:hAnsi="Amiri" w:eastAsia="Amiri" w:cs="Amiri"/>
          <w:color w:val="111111"/>
          <w:sz w:val="28"/>
          <w:sz w:val="28"/>
          <w:szCs w:val="28"/>
          <w:rtl w:val="true"/>
          <w:lang w:bidi="ar-SA"/>
        </w:rPr>
        <w:t>لعله للمورد لا لخصوصية فيه، أو لمزيد الكراهة، وعلى كلٍ ففي الرواية التالية</w:t>
      </w:r>
      <w:r>
        <w:rPr>
          <w:rStyle w:val="FootnoteAnchor"/>
          <w:rtl w:val="true"/>
        </w:rPr>
        <w:footnoteReference w:id="106"/>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الأكل والشرب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جالساً للتخلّي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 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البول في الماء الراكد يورث النسيان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أرسله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فوجد لقمة خبز في القذر فأخذها وغسلها ودفعها إلى مملوك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معك لآكلها إذا خرجت،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أكلتها يا 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ما استقرّت في جوف أحد إلاّ وجبت له الجنّة، فاذهب فأنت حرّ، فإنّي أكره أن استخدم رجلاً من أهل الجنّة</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أنّه لو لم يكن الأكل حين التخلّي مكروهاً لكان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لاستفادة المناط أو لدليل لم يصل إلينا، وإلاّ فالرواية</w:t>
      </w:r>
      <w:r>
        <w:rPr>
          <w:rStyle w:val="FootnoteAnchor"/>
          <w:rtl w:val="true"/>
        </w:rPr>
        <w:footnoteReference w:id="109"/>
      </w:r>
      <w:r>
        <w:rPr>
          <w:rFonts w:ascii="Amiri" w:hAnsi="Amiri" w:eastAsia="Amiri" w:cs="Amiri"/>
          <w:color w:val="111111"/>
          <w:sz w:val="28"/>
          <w:sz w:val="28"/>
          <w:szCs w:val="28"/>
          <w:rtl w:val="true"/>
          <w:lang w:bidi="ar-SA"/>
        </w:rPr>
        <w:t>في خصوص الأكل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بيت الخلاء مطلقاً؛ لأن الرواية</w:t>
      </w:r>
      <w:r>
        <w:rPr>
          <w:rStyle w:val="FootnoteAnchor"/>
          <w:rtl w:val="true"/>
        </w:rPr>
        <w:footnoteReference w:id="110"/>
      </w:r>
      <w:r>
        <w:rPr>
          <w:rFonts w:ascii="Amiri" w:hAnsi="Amiri" w:eastAsia="Amiri" w:cs="Amiri"/>
          <w:color w:val="111111"/>
          <w:sz w:val="28"/>
          <w:sz w:val="28"/>
          <w:szCs w:val="28"/>
          <w:rtl w:val="true"/>
          <w:lang w:bidi="ar-SA"/>
        </w:rPr>
        <w:t>لم تدل على حالة التخلي فقط، بل الأعم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بحث عام وهو أن أمثال هذه الروايات التي ذكرت آثاراً وضعية هل تفيد حكماً شرعياً أو أنها مجرد إرشاد؟ الظاهر الأول، إذ كل شيء فيه ملاك، والأحكام تابعة للملاكات، والمولى يريد صلاح عبده، ويؤيده فهم الفقهاء، لكن يرى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الإرشادية</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والسواك في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والاستنجاء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وباليسار إذا كان فيها خاتم عليه اسم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المناسب أن لا يؤخر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أكلها مع شدّة اهتمامه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يستنجي الرجل بيمينه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أبي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يكره الدخول معه في بيت الخلاء مطلقاً؛ إذ الرواية</w:t>
      </w:r>
      <w:r>
        <w:rPr>
          <w:rStyle w:val="FootnoteAnchor"/>
          <w:rtl w:val="true"/>
        </w:rPr>
        <w:footnoteReference w:id="113"/>
      </w:r>
      <w:r>
        <w:rPr>
          <w:rFonts w:ascii="Amiri" w:hAnsi="Amiri" w:eastAsia="Amiri" w:cs="Amiri"/>
          <w:color w:val="111111"/>
          <w:sz w:val="28"/>
          <w:sz w:val="28"/>
          <w:szCs w:val="28"/>
          <w:rtl w:val="true"/>
          <w:lang w:bidi="ar-SA"/>
        </w:rPr>
        <w:t>لم تخص الكراهة بحالة التخلي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المذكورة في المقام دلالة على الحرمة، والشارح لا يعتني بالشهرة والإجماع فلماذا لم يفتِ بالحرمة؟ أما نحن فنرى فهم المشهور حجة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w:t>
      </w:r>
      <w:r>
        <w:rPr>
          <w:rStyle w:val="FootnoteAnchor"/>
          <w:rtl w:val="true"/>
        </w:rPr>
        <w:footnoteReference w:id="116"/>
      </w:r>
      <w:r>
        <w:rPr>
          <w:rFonts w:ascii="Amiri" w:hAnsi="Amiri" w:eastAsia="Amiri" w:cs="Amiri"/>
          <w:color w:val="111111"/>
          <w:sz w:val="28"/>
          <w:sz w:val="28"/>
          <w:szCs w:val="28"/>
          <w:rtl w:val="true"/>
          <w:lang w:bidi="ar-SA"/>
        </w:rPr>
        <w:t xml:space="preserve">تعم اليمين واليسار فتدل على ما نحن </w:t>
      </w:r>
    </w:p>
    <w:p>
      <w:pPr>
        <w:pStyle w:val="BookText"/>
        <w:rPr/>
      </w:pPr>
      <w:r>
        <w:rPr>
          <w:rFonts w:ascii="Amiri" w:hAnsi="Amiri" w:eastAsia="Amiri" w:cs="Amiri"/>
          <w:color w:val="111111"/>
          <w:sz w:val="28"/>
          <w:sz w:val="28"/>
          <w:szCs w:val="28"/>
          <w:rtl w:val="true"/>
          <w:lang w:bidi="ar-SA"/>
        </w:rPr>
        <w:t>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بذكر اللّه تعالى أو آية الكرسي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الخلاء وفي يدي خاتم فيه أسماء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تجامع فيه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ضمناً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حكاية الأذان، وآية الحمد لله رب العالمين، وقد تضمنت بعض الروايات حكاية الآذان وآية، كما في خبر عمر بن يزيد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الوالد رد هذا الخبر في الفقه</w:t>
      </w:r>
      <w:r>
        <w:rPr>
          <w:rStyle w:val="FootnoteAnchor"/>
          <w:rtl w:val="true"/>
        </w:rPr>
        <w:footnoteReference w:id="119"/>
      </w:r>
      <w:r>
        <w:rPr>
          <w:rFonts w:ascii="Amiri" w:hAnsi="Amiri" w:eastAsia="Amiri" w:cs="Amiri"/>
          <w:color w:val="111111"/>
          <w:sz w:val="28"/>
          <w:sz w:val="28"/>
          <w:szCs w:val="28"/>
          <w:rtl w:val="true"/>
          <w:lang w:bidi="ar-SA"/>
        </w:rPr>
        <w:t>، لكنه غير واضح،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w:t>
      </w:r>
      <w:r>
        <w:rPr>
          <w:rStyle w:val="FootnoteAnchor"/>
          <w:rtl w:val="true"/>
        </w:rPr>
        <w:footnoteReference w:id="120"/>
      </w:r>
      <w:r>
        <w:rPr>
          <w:rFonts w:ascii="Amiri" w:hAnsi="Amiri" w:eastAsia="Amiri" w:cs="Amiri"/>
          <w:color w:val="111111"/>
          <w:sz w:val="28"/>
          <w:sz w:val="28"/>
          <w:szCs w:val="28"/>
          <w:rtl w:val="true"/>
          <w:lang w:bidi="ar-SA"/>
        </w:rPr>
        <w:t>يراد به مطلق الذكر؛ لبعد إرادة خصوص الحمد المصطلح من مطلقات الأدلَّة، ثم إن الحمد يطلق على مطلق الذكر؛ لأنه نوع حمد،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تسميت العاطس فالظاهر أن المراد أنه لو عطس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خلاف ظاهر فتوى العروة</w:t>
      </w:r>
      <w:r>
        <w:rPr>
          <w:rStyle w:val="FootnoteAnchor"/>
          <w:rtl w:val="true"/>
        </w:rPr>
        <w:footnoteReference w:id="122"/>
      </w:r>
      <w:r>
        <w:rPr>
          <w:rFonts w:ascii="IRNazanin" w:hAnsi="IRNazanin" w:eastAsia="IRNazanin"/>
          <w:color w:val="111111"/>
          <w:sz w:val="28"/>
          <w:sz w:val="28"/>
          <w:szCs w:val="28"/>
          <w:rtl w:val="true"/>
          <w:lang w:bidi="fa-IR"/>
        </w:rPr>
        <w:t>، إلاّ أن الوالد</w:t>
      </w:r>
      <w:r>
        <w:rPr>
          <w:rStyle w:val="FootnoteAnchor"/>
          <w:rtl w:val="true"/>
        </w:rPr>
        <w:footnoteReference w:id="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عليه دليلاً خاصاً، وعللّه بالمناط في خبر مسعدة أو لكونه داخلاً في مطلق الذكر، </w:t>
      </w:r>
    </w:p>
    <w:p>
      <w:pPr>
        <w:pStyle w:val="BookText"/>
        <w:rPr/>
      </w:pPr>
      <w:r>
        <w:rPr>
          <w:rFonts w:ascii="Amiri" w:hAnsi="Amiri" w:eastAsia="Amiri" w:cs="Amiri"/>
          <w:color w:val="111111"/>
          <w:sz w:val="28"/>
          <w:sz w:val="28"/>
          <w:szCs w:val="28"/>
          <w:rtl w:val="true"/>
          <w:lang w:bidi="ar-SA"/>
        </w:rPr>
        <w:t>والتطميح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بالبول، والبول من موضع عال، والتخلّي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عن</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يجيب الرجل آخر، وهو على الغائط أو يكلّمه حتّى يفرغ</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والتطميح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الكلمة الارتفاع بالبول، أي البول إلى جهة الفوق</w:t>
      </w:r>
      <w:r>
        <w:rPr>
          <w:rStyle w:val="FootnoteAnchor"/>
          <w:rtl w:val="true"/>
        </w:rPr>
        <w:footnoteReference w:id="125"/>
      </w:r>
      <w:r>
        <w:rPr>
          <w:rFonts w:ascii="Amiri" w:hAnsi="Amiri" w:eastAsia="Amiri" w:cs="Amiri"/>
          <w:color w:val="111111"/>
          <w:sz w:val="28"/>
          <w:sz w:val="28"/>
          <w:szCs w:val="28"/>
          <w:rtl w:val="true"/>
          <w:lang w:bidi="ar-SA"/>
        </w:rPr>
        <w:t>، لكن ظاهر الروايات المروية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من الشيء المرتفع</w:t>
      </w:r>
      <w:r>
        <w:rPr>
          <w:rStyle w:val="FootnoteAnchor"/>
          <w:rtl w:val="true"/>
        </w:rPr>
        <w:footnoteReference w:id="126"/>
      </w:r>
      <w:r>
        <w:rPr>
          <w:rFonts w:ascii="Amiri" w:hAnsi="Amiri" w:eastAsia="Amiri" w:cs="Amiri"/>
          <w:color w:val="111111"/>
          <w:sz w:val="28"/>
          <w:sz w:val="28"/>
          <w:szCs w:val="28"/>
          <w:rtl w:val="true"/>
          <w:lang w:bidi="ar-SA"/>
        </w:rPr>
        <w:t>وفتوى الفقيه كافية في الاستحباب، كما أن التعليل بأن للهواء أهلاً</w:t>
      </w:r>
      <w:r>
        <w:rPr>
          <w:rStyle w:val="FootnoteAnchor"/>
          <w:rtl w:val="true"/>
        </w:rPr>
        <w:footnoteReference w:id="127"/>
      </w:r>
      <w:r>
        <w:rPr>
          <w:rFonts w:ascii="Amiri" w:hAnsi="Amiri" w:eastAsia="Amiri" w:cs="Amiri"/>
          <w:color w:val="111111"/>
          <w:sz w:val="28"/>
          <w:sz w:val="28"/>
          <w:szCs w:val="28"/>
          <w:rtl w:val="true"/>
          <w:lang w:bidi="ar-SA"/>
        </w:rPr>
        <w:t>يشمل كلا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Style w:val="FootnoteAnchor"/>
          <w:rtl w:val="true"/>
        </w:rPr>
        <w:footnoteReference w:id="128"/>
      </w:r>
      <w:r>
        <w:rPr>
          <w:rFonts w:ascii="Amiri" w:hAnsi="Amiri" w:eastAsia="Amiri" w:cs="Amiri"/>
          <w:color w:val="111111"/>
          <w:sz w:val="28"/>
          <w:sz w:val="28"/>
          <w:szCs w:val="28"/>
          <w:rtl w:val="true"/>
          <w:lang w:bidi="ar-SA"/>
        </w:rPr>
        <w:t>المنقولة تدل على كراهة الجواب والتكليم، ولا تدل على كراهة مطلق الكلام ولو مع نفسه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الرواية القادمة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يرخص</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تدل على الكراهة مطلقاً، وكذا روايات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القبر وبين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الدرهم الأبيض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مصروراً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تخلّى على قبر، أو بال قائماً، أو بال في ماء 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مشى في حذاء واحد أو شرب قائماً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خلا في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القبر وبين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هتكاً وإلا كان محرماً، وكذا لو كان المكان مملوكاً أو حريماً للملوك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لا ينافي استحباب البول من الموضع المرتفع؛ إذ المستحب الارتفاع اليسير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الوجه كتابة اسم اللّه عليه، كما كان متعارفاً في زمن صدور الرواية</w:t>
      </w:r>
      <w:r>
        <w:rPr>
          <w:rStyle w:val="FootnoteAnchor"/>
          <w:rtl w:val="true"/>
        </w:rPr>
        <w:footnoteReference w:id="131"/>
      </w:r>
      <w:r>
        <w:rPr>
          <w:rFonts w:ascii="Amiri" w:hAnsi="Amiri" w:eastAsia="Amiri" w:cs="Amiri"/>
          <w:color w:val="111111"/>
          <w:sz w:val="28"/>
          <w:sz w:val="28"/>
          <w:szCs w:val="28"/>
          <w:rtl w:val="true"/>
          <w:lang w:bidi="ar-SA"/>
        </w:rPr>
        <w:t>، لكن ظاهر الرواية</w:t>
      </w:r>
      <w:r>
        <w:rPr>
          <w:rStyle w:val="FootnoteAnchor"/>
          <w:rtl w:val="true"/>
        </w:rPr>
        <w:footnoteReference w:id="132"/>
      </w:r>
      <w:r>
        <w:rPr>
          <w:rFonts w:ascii="Amiri" w:hAnsi="Amiri" w:eastAsia="Amiri" w:cs="Amiri"/>
          <w:color w:val="111111"/>
          <w:sz w:val="28"/>
          <w:sz w:val="28"/>
          <w:szCs w:val="28"/>
          <w:rtl w:val="true"/>
          <w:lang w:bidi="ar-SA"/>
        </w:rPr>
        <w:t>الإطلاق، والأصل في القضية أن تكون حقيقية لا خارجية،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أَظْلَمَ عَلَيْهِمْ قَامُواْ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w:t>
      </w:r>
      <w:r>
        <w:rPr>
          <w:rStyle w:val="FootnoteAnchor"/>
          <w:rtl w:val="true"/>
        </w:rPr>
        <w:footnoteReference w:id="134"/>
      </w:r>
      <w:r>
        <w:rPr>
          <w:rFonts w:ascii="Amiri" w:hAnsi="Amiri" w:eastAsia="Amiri" w:cs="Amiri"/>
          <w:color w:val="111111"/>
          <w:sz w:val="28"/>
          <w:sz w:val="28"/>
          <w:szCs w:val="28"/>
          <w:rtl w:val="true"/>
          <w:lang w:bidi="ar-SA"/>
        </w:rPr>
        <w:t>التفصيل بين الليل والنهار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الحجرة</w:t>
      </w:r>
      <w:r>
        <w:rPr>
          <w:rFonts w:eastAsia="Amiri" w:cs="Amiri" w:ascii="Amiri" w:hAnsi="Amiri"/>
          <w:color w:val="111111"/>
          <w:sz w:val="28"/>
          <w:szCs w:val="28"/>
          <w:rtl w:val="true"/>
          <w:lang w:bidi="ar-SA"/>
        </w:rPr>
        <w:t xml:space="preserve">. </w:t>
      </w:r>
      <w:bookmarkStart w:id="53" w:name="pg15737_151441"/>
    </w:p>
    <w:p>
      <w:pPr>
        <w:pStyle w:val="Heading4"/>
        <w:numPr>
          <w:ilvl w:val="3"/>
          <w:numId w:val="1"/>
        </w:numPr>
        <w:rPr/>
      </w:pPr>
      <w:bookmarkStart w:id="54" w:name="__RefHeading___Toc12561598_2142443653"/>
      <w:bookmarkStart w:id="55" w:name="_Toc18"/>
      <w:bookmarkEnd w:id="53"/>
      <w:bookmarkEnd w:id="54"/>
      <w:r>
        <w:rPr>
          <w:rtl w:val="true"/>
        </w:rPr>
        <w:t xml:space="preserve">المسألة </w:t>
      </w:r>
      <w:r>
        <w:rPr/>
        <w:t>82</w:t>
      </w:r>
      <w:r>
        <w:rPr>
          <w:rtl w:val="true"/>
        </w:rPr>
        <w:t xml:space="preserve">: </w:t>
      </w:r>
      <w:r>
        <w:rPr>
          <w:rtl w:val="true"/>
        </w:rPr>
        <w:t>ماء الاستنجاء طاهر</w:t>
      </w:r>
      <w:bookmarkEnd w:id="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الاستنجاء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غمر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شيء من الشيطان لم يدعه إلاّ أن يشاء اللّه</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يتخوّف منها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القبور والمشي في خفّ واحد والرجل ينام وحده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في المقام، فذهب بعضهم إلى كونه نجساً، كما هو مقتضى القاعدة الأوّلية، بناء على انفعال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هذا المقام ما رواه يونس بن عبد الرحمن عن رجل، عن العيزار، عن الأحول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الدسومة في اليد أو الفم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نهت عنه فقط، فلا يشمل البول بين القبور إلاّ أن يستفاد المناط، أو يستدل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تبولوا بين ظهراني القبور</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وفسره في الفقه</w:t>
      </w:r>
      <w:r>
        <w:rPr>
          <w:rStyle w:val="FootnoteAnchor"/>
          <w:rtl w:val="true"/>
        </w:rPr>
        <w:footnoteReference w:id="139"/>
      </w:r>
      <w:r>
        <w:rPr>
          <w:rFonts w:ascii="Amiri" w:hAnsi="Amiri" w:eastAsia="Amiri" w:cs="Amiri"/>
          <w:color w:val="111111"/>
          <w:sz w:val="28"/>
          <w:sz w:val="28"/>
          <w:szCs w:val="28"/>
          <w:rtl w:val="true"/>
          <w:lang w:bidi="ar-SA"/>
        </w:rPr>
        <w:t>أي قرب القبور، ويكفي في الإطلاق فتوى الفقيه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 ثلاثة، كما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مطلقاً والنجاسة مطلقاً، والتفصيل بين رفع الحدث والخبث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يستنجي فيقع ثوبه في الماء الذي استنجى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صار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طهارة ماء الاستنجاء وعدم انفعاله من النجاسة لو كان أكثر من القذر وغالباً عليه، والإشكال بأنّ الرواية مجملة من حيث الدلالة لأنّه لا مصداق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إلاّ موردها؛ إذ المستفاد من مفاهيم أدلّة الكرّ انفعال القليل مطلقاً، وكون الانفعال دائراً مدار التغيير، مخصوص بالماء العاصم من الكرّ والجاري غيرهما فلا مجال للعمل بظاهر الرواية فيكون مجملاً، يمكن 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الذي ذكر في وجه الإشكال أوّل الكلام وأنّا لا نسلم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استفادة طهارة الماء وعدم البأس به، وهذا المقدار ممّا لا شبهة فيه، والمطلوب في المقام ليس إلاّ ذلك، فمن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التعليل، ومعنى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فهم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أنها في الماء القليل، خصوصاً وأنه في العهود القديمة لم توجد أنابيب المياه الحالية، ولا يوجد عندنا ماء قليل لا ينفعل بالملاقاة،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دفعه بأنه حكمة 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ذكر حكمة تختص بموردها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سقوط بعض الرواية لا يسقط باقيها، فكيف بالإجمال؟ </w:t>
      </w:r>
    </w:p>
    <w:p>
      <w:pPr>
        <w:pStyle w:val="BookText"/>
        <w:rPr/>
      </w:pPr>
      <w:r>
        <w:rPr>
          <w:rFonts w:ascii="Amiri" w:hAnsi="Amiri" w:eastAsia="Amiri" w:cs="Amiri"/>
          <w:color w:val="111111"/>
          <w:sz w:val="28"/>
          <w:sz w:val="28"/>
          <w:szCs w:val="28"/>
          <w:rtl w:val="true"/>
          <w:lang w:bidi="ar-SA"/>
        </w:rPr>
        <w:t>حيث الدلالة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السند فيشكل الاعتماد عليها لإرسالها،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فيها يونس بن عبد الرحمن وهو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الاعتماد على هذا الإجماع فإنّه اختلف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بأجمعها لا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إلا على عدم انفعال ما يلاقي الماء المستنجى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طهارة نفس الماء فليس فيها تعرّض لها ولا تنافي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الماء نجساً وبين كونه غير مؤثر في التنجيس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الرواية أو المروي، والمختار عدم دلالتها إلاّ على صدق رواتها، 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مجبورة بالشهرة،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تقريبان 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العرفية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الثوب لا زال رطباً وأراد أن يصلي فيه فهل يستطيع مع وجود عين الماء فيه؟ مقتضى الإطلاق الجواز، وهذا ملازم عرفاً لطهارة الماء، وإن لم يكن ملازماً عقلاً،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وجه ثالث وهو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الأحول</w:t>
      </w:r>
      <w:r>
        <w:rPr>
          <w:rStyle w:val="FootnoteAnchor"/>
          <w:rtl w:val="true"/>
        </w:rPr>
        <w:footnoteReference w:id="142"/>
      </w:r>
      <w:r>
        <w:rPr>
          <w:rFonts w:ascii="Amiri" w:hAnsi="Amiri" w:eastAsia="Amiri" w:cs="Amiri"/>
          <w:color w:val="111111"/>
          <w:sz w:val="28"/>
          <w:sz w:val="28"/>
          <w:szCs w:val="28"/>
          <w:rtl w:val="true"/>
          <w:lang w:bidi="ar-SA"/>
        </w:rPr>
        <w:t>مجبورة بالشهرة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النجاسة الواقعة في الماء الكر ونحوه، فإنها نجسة غير مؤثرة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عموم انفعال القليل نجاسة الماء كذلك عموم تنجيس المتنجّس يقتضي الحكم بطهارة الماء؛ إذ مقتضى عمومه وعدم تخصيصه أنّ طهارة الملاقي من جهة عدم المقتضي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الأخذ بالعموم أو الإطلاق هو أنّ يشكّ في شمول الحكم لفرد بعد إحراز فرديته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للأخذ بالعموم لإثبات أنّ خروج الفرد المعلوم خروجه موضوعي، ويترتّب عليه أثاره، فإنّه لم يثبت من العقلاء ذلك، والمقام من القسم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قليل لاقى نجاسة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متنجس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بد أن ينجس ماء الاستنجاء الثوب، وحيث إنه لا ينجس قطعاً يدور الأمر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متنجساً، فتبقى القاعدة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متنجس لكنه لا ينجّس، فينخرم عموم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أصالة العموم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ليس متنجساً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شمول الحكم مع العلم بالفردية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نفس الفردية، ومجرى أصالة العموم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عدم انفعال الملاقي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والشكّ في أنّ المنشأ في طهارته عدم المقتضي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للتأثير أو من جهة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عدم تأثير ماء الاستنجاء في التنجيس معلوم ووجهه غير معلوم، فلا مجال لإجراء أصالة العموم وعدم التخصيص لإثبات طهارة الماء، فالمتعيّن الأخذ بدليل انفعال القليل والحكم بنجاسته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يقرب لطهارة الماء تقريب أخر، وهو أنّه يستفاد من دليل طهارة الملاقي بالفهم العرفي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العرفية أنّ نفس الماء أيضاً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ماء الاستنجاء نجساً، فيكون خروجه موضوعياً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ماء نجس لكنه لا 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نظائر كثيرة في الفقه، وقد تعرضوا لها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الواضح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نعلم أن خروج بشير 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عالم لا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ليس عالماً، بل بقالاً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تجري أصالة العموم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عالماً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يفهم العرف التفكيك، ويدل عليه فهم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الطهارة فيمكن أن يكون الوجه فيه عدم تأثير الملاقاة لقصور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النجس، أو لمانع في الملاقي أو وجه آخر مجهول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مجال للاعتماد على هذه الإجماعات المنقولة، فإنّ مدركها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أو مقطوع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أنّه على القول بطهارته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تنطبق تلك الكبرى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ملازمة</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محل نظر؛ إذ ليس المدّعى الملازمة العقلية، بل العرفية وهي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السبب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قصور المقتضي، أو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أمر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فقدان الشرط، ولعله هو الوجه المجهول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الكر، فإنّ النجس مع كونه نجساً لا يؤثر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في محلّه أن ذلك لا يضرّ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الإجماع إنما هو باعتبار نجاسة مزيل الخبث، أو يحتمل كونه لذلك، وحيث إن ماء الاستنجاء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تنطبق تلك الكبرى عليه،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المزيل النجس لا يرفع به الحدث، وهذه الكبرى لا تنطبق على ماء الاستنجاء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سواء كان من البول أو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إزالة النجاسة به، إلاّ أنّه لا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المستفاد منه أنّ المانع إزالة 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الثوب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من حيث الدلالة لا قصور فيها، وأمّا من حيث السند فلا يعتمد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استنجاء الغائط حيث إنّه لا ينفك عن استنجاء البول غالباً فعدم التفصيل في الجواب يدلّ على عموم الحكم، وهذا الوجه أيضاً ساقط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يكن اللفظ شاملاً للاستنجاء عن البول لا وجه للتعميم، والغلبة الخارجية لا توجب إسراء 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البول وما أشبه مما يقع على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مجبورة بالشهرة، فتأمل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فإنه لو فرض أن استنجاء الغائط ملازم لاستنجاء البول غالباً، وفرض أن غسالة البول نجسة إذن يلغو هذا الحكم غالباً، ولزم لمن يريد الطهارة أن يصنع حفرة خاصة لاستنجاء البول وحفرة خاصة لاستنجاء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يستنجي فيقع ثوبه فيه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خصوصاً مع مبنى المصنف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بالغائط أو يحتمل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ويعتبر في الحكم بطهارته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متغيّراً بالنجاسة في أحد أوصافها الثلاثة، وإن كان فيه أجزاء غير متميّزة من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إلى موضوع آخر</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بما أنّ في أدلة الانفعال بالتغيّر ما يكون عمومه بالوضع، مثل رواية حريز يقدّم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ماء الاستنجاء؛ لأنّ شموله لمورد التغيّر بالإطلاق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في محلّه أنّ الوضعي مقدّم على العموم الإطلاقي، لكن رجعنا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المسلك المذكور وقلنا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تلاقي الثوب ونحوه برطوبة مسرية، وإلا كانت منجسة له، وأدلَّة الاستنجاء لا تشمل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نفس الموضوع لا موضوع آخر، بقرينة ما ذكرناه من الغلبة واللغوية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بعض روايات الاستنجاء فيها عموم أيضاً مثل رواية الأحول</w:t>
      </w:r>
      <w:r>
        <w:rPr>
          <w:rStyle w:val="FootnoteAnchor"/>
          <w:rtl w:val="true"/>
        </w:rPr>
        <w:footnoteReference w:id="145"/>
      </w:r>
      <w:r>
        <w:rPr>
          <w:rFonts w:ascii="Amiri" w:hAnsi="Amiri" w:eastAsia="Amiri" w:cs="Amiri"/>
          <w:color w:val="111111"/>
          <w:sz w:val="28"/>
          <w:sz w:val="28"/>
          <w:szCs w:val="28"/>
          <w:rtl w:val="true"/>
          <w:lang w:bidi="ar-SA"/>
        </w:rPr>
        <w:t>، لأن فيها تعليلاً والتعليل من أقوى ما يفيد العموم، لكن مضى الإشكال في التعليل، فتأمل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يصبها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من خارج، ومنه التعدّي عن المحل المتعارف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ما لا يكون من حقيقة الغائط كالدم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والاستنجاء بالأعيان النجسة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وأمّا لو قلنا بأنّ المستفاد من الأدلّة ليس إلاّ عدم انفعال ما يلاقي ماء الاستنجاء بلا تعرّض لطهارته، فالقاعدة تقتضي عدم الفرق بين صورتي التغيّر وعدمه لإطلاق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لتعارض في العالم الفاسق، ولا يقدم الأول؛ إذ لا فرق بين العام والمطلق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يصدق عليه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كالدم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فيما تعارف خروجه كالدم، لأن خروج الدم كثير، وكثير من الأفراد مبتلى بالبواسير، ولم ينبه على ذلك،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الرطوبة المسرية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يضر في الشرط المزبور؛ إذ المرتكز في أذهان المتشرعة أن التغير مانع عن الحكم بالطهارة مطلقاً، ولذا لو تغير حتى ماء دجلة حكم عليه بالنجاسة، فدليل التغير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يتعارض الدليلان ويتساقطان والمرجع أصالة الطهارة، أو استصحاب الطهارة لو قلنا إنها تجري في الشبهات الحكمية، وفي تقديم أصل الطهارة أو الاستصحاب بحث طويل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دليل التغير حاكم بقرينة ما سبق قبل قليل</w:t>
      </w:r>
      <w:r>
        <w:rPr>
          <w:rFonts w:eastAsia="Amiri" w:cs="Amiri" w:ascii="Amiri" w:hAnsi="Amiri"/>
          <w:color w:val="111111"/>
          <w:sz w:val="28"/>
          <w:szCs w:val="28"/>
          <w:rtl w:val="true"/>
          <w:lang w:bidi="ar-SA"/>
        </w:rPr>
        <w:t xml:space="preserve">. </w:t>
      </w:r>
      <w:bookmarkStart w:id="56" w:name="pg15737_151450"/>
    </w:p>
    <w:p>
      <w:pPr>
        <w:pStyle w:val="Heading4"/>
        <w:numPr>
          <w:ilvl w:val="3"/>
          <w:numId w:val="1"/>
        </w:numPr>
        <w:rPr/>
      </w:pPr>
      <w:bookmarkStart w:id="57" w:name="__RefHeading___Toc12561600_2142443653"/>
      <w:bookmarkStart w:id="58" w:name="_Toc19"/>
      <w:bookmarkEnd w:id="56"/>
      <w:bookmarkEnd w:id="57"/>
      <w:r>
        <w:rPr>
          <w:rtl w:val="true"/>
        </w:rPr>
        <w:t xml:space="preserve">المسألة </w:t>
      </w:r>
      <w:r>
        <w:rPr/>
        <w:t>83</w:t>
      </w:r>
      <w:r>
        <w:rPr>
          <w:rtl w:val="true"/>
        </w:rPr>
        <w:t xml:space="preserve">: </w:t>
      </w:r>
      <w:r>
        <w:rPr>
          <w:rtl w:val="true"/>
        </w:rPr>
        <w:t>تعدّي الغائط عن المحلّ</w:t>
      </w:r>
      <w:bookmarkEnd w:id="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يتعدّ الغائط عن المحلّ المتعارف بنفسه لكنّه تعدّى عند المسح بالأحجار أو غيرها، فالمقدار الذي يستلزمه المسح بالأحجار مثلا نوعاً لا بأس به، وفي الزائد من ذلك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2561602_2142443653"/>
      <w:bookmarkStart w:id="60" w:name="_Toc20"/>
      <w:bookmarkEnd w:id="59"/>
      <w:r>
        <w:rPr>
          <w:rtl w:val="true"/>
        </w:rPr>
        <w:t xml:space="preserve">المسألة </w:t>
      </w:r>
      <w:r>
        <w:rPr/>
        <w:t>84</w:t>
      </w:r>
      <w:r>
        <w:rPr>
          <w:rtl w:val="true"/>
        </w:rPr>
        <w:t xml:space="preserve">: </w:t>
      </w:r>
      <w:r>
        <w:rPr>
          <w:rtl w:val="true"/>
        </w:rPr>
        <w:t>إذا اشتبه ماء طاهر بماء نجس</w:t>
      </w:r>
      <w:bookmarkEnd w:id="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ماء طاهر بماء نجس فإن كانت الشبهة محصورة فلا يرفع حدثاً ولا خبثاً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يغسل الخبث بكلّ واحد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الإجمالي المنجز على ما هو المقرّر في محلّه عند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يقطع بحصول الطهارة في زمان، كما أنّه يقطع بوجود نجاسة في زمان آخر مع القطع بارتفاع النجاسة الأوّلية إمّا بالغسل الأوّل، وإمّا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يصدق عليه الاستنجاء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ذلك في جميع الصور في رفع الخبث، لكن هنالك شبهة طرحت، وسيأتي بيانها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النص في مقام توهم الحظر فلا يفيد اللزوم،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الحدث فهو يرتفع في كل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لم نقل بتنجيز العلم الإجمالي يحكم بعدم الرفع، وذلك لاستصحاب البقاء، فما يظهر من الشارح من ابتنائه على مبنى القوم محل نظر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نجاسة أولى وهي مرتفعة قطعاً، إما بالماء الأول أو الثاني، وهنالك نجاسة وطهارة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الماءين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يعلم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 منهما والمتأخر يستصحب كلاهما ويتساقطان، أو لا يجري أي منهما وتجري أصالة الطهارة في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سيأتي</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النجاسة الثانية غير معلوم، لأنه إن كان الماء الأول نجساً فالبدن لا يتنجس لأنه تحصيل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فالنجاسة الأولى مرتفعة قطعاً، والنجاسة الثانية غير معلوم وجودها أصلاً، فتستصحب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بأحد الماءين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يورد عليه بأنه لا يعلم اتصال زمان الشك باليقين على ما ذكره صاحب الكفاية</w:t>
      </w:r>
      <w:r>
        <w:rPr>
          <w:rStyle w:val="FootnoteAnchor"/>
          <w:rtl w:val="true"/>
        </w:rPr>
        <w:footnoteReference w:id="147"/>
      </w:r>
      <w:r>
        <w:rPr>
          <w:rFonts w:ascii="Amiri" w:hAnsi="Amiri" w:eastAsia="Amiri" w:cs="Amiri"/>
          <w:color w:val="111111"/>
          <w:sz w:val="28"/>
          <w:sz w:val="28"/>
          <w:szCs w:val="28"/>
          <w:rtl w:val="true"/>
          <w:lang w:bidi="ar-SA"/>
        </w:rPr>
        <w:t>، فيكون المرجع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سيرد أن استصحاب النجاسة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بالنجاسة حتى يورد عليه بما ذكر، بل بالعلم بالنجاسة حين ورود الماء النجس، فالماء الأول إن كان نجساً فلا ينجس، لكن المحل نجس بالنجاسة السابقة، وإن كان الماء الثاني نجساً فهو منجس للمحل، فهنالك علم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من المصدري واسم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فنستصحب تلك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عليه لا وجه لهذا التفصيل المذكور في المتن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يرد عليه بأنه هنالك علم بطهارةٍ ما حين ورود الماء الطاهر، فإن الماء الأول إن كان طاهراً طهر المحل من النجاسة السابقة، وإن كان الماء </w:t>
      </w:r>
    </w:p>
    <w:p>
      <w:pPr>
        <w:pStyle w:val="BookText"/>
        <w:rPr/>
      </w:pPr>
      <w:r>
        <w:rPr>
          <w:rFonts w:ascii="Amiri" w:hAnsi="Amiri" w:eastAsia="Amiri" w:cs="Amiri"/>
          <w:color w:val="111111"/>
          <w:sz w:val="28"/>
          <w:sz w:val="28"/>
          <w:szCs w:val="28"/>
          <w:rtl w:val="true"/>
          <w:lang w:bidi="ar-SA"/>
        </w:rPr>
        <w:t>لكنّه قد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بابتلائه حينئذ بنجاسة أُخرى إلاّ فيما لو كان الماء الثاني كرّاً وكانت النجاسة ممّا لا يحتاج إلى التعدّد</w:t>
      </w:r>
    </w:p>
    <w:p>
      <w:pPr>
        <w:pStyle w:val="BookText"/>
        <w:rPr/>
      </w:pPr>
      <w:r>
        <w:rPr>
          <w:rFonts w:ascii="Amiri" w:hAnsi="Amiri" w:eastAsia="Amiri" w:cs="Amiri"/>
          <w:color w:val="111111"/>
          <w:sz w:val="28"/>
          <w:sz w:val="28"/>
          <w:szCs w:val="28"/>
          <w:rtl w:val="true"/>
          <w:lang w:bidi="ar-SA"/>
        </w:rPr>
        <w:t>الثاني طاهراً طهر المحل من النجاستين، فتستصحب الطهارة ويقع التعارض والتساقط، ويكون المرجع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التنجس فهو باطل، وإن كان المراد العلم بنجاسةٍ ما فهو معارض بالعلم بطهارةٍ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النجاسة الثانية أشد من النجاسة الأولى فحدوثها متيقن، لكنه أجنبي عن محل الكلام؛ لأن الكلام في الماءين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تقريران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وصول الماء الثاني للبدن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لحظة المماسة وقبل 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بنجاسة البدن، إما لأن الماء الأول كان نجساً ولم يطرأ عليه المطهر، لأن المطهر يكون بصدق الغسل، وبصرف المماسة لا يصدق الغسل، أو لأن الثاني نجس فنستصحب تلك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التقرير لا يجري فيها لو كان الماء الثاني كراً، والنجاسة لا تحتاج إلى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كالبول في الكر 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نعلم أنه في لحظة الملاقاة للكر كان البدن نجساً؛ لأنه في لحظة الملاقاة لو كان الماء الأول نجساً يطهر البدن بمجرد ملاقاة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الثاني غير كرّ، فالحكم هو النجاسة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الثاني كر ويحتاج للتعدد، فالحكم هو النجاسة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الثاني كر ولا يحتاج للتعدد، فالحكم 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نكتة النجاسة إنما هي العلم بوجود النجاسة حين المماسة للماء الثاني، وهذه النكتة غير موجودة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وصول الماء الثاني للبدن لا يصل إليه دفعة، لأن المفروض أن الأعضاء متنجسة ولم يعلم ارتفاع نجاستها بالماء الأول، بل يصل إليه تدريجياً، ولو كان الغمس بالكر، وحينئذ نفرض أنه أدخل كفه في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هذه اللحظة يعلم أن كفه 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ماء الحوض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ذراعه 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الماء الأول نجساً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علماً إجمالياً بنجاسة بعض أجزاء بدنه، فيستصحب تلك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التقرير لا يفرق بين أن يكون الثاني كراً أو لا، محتاجاً للتعدد أو لا، ولكن تبقى هنالك شبهة وهي أن استصحاب الطهارة لا مانع منه فيتعارضان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علمنا بنجاسة في الساعة الثانية عشرة، وعلمنا بطهارة إما في الساعة الحادية عشرة أو في الساعة الواحدة، فطهارة الساعة الحادية عشرة وإن كانت مقطوعة الارتفاع على فرض وجودها، وطهارة الساعة الواحدة مشكوكة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متيقنة البقاء على فرض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طبيعي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الوجود مشكوك الارتفاع فيُستصحب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يمكن حينئذ رفع الخبث به، بل والحدث بالتكرير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بنجاسة أخرى العلم بالنجاسة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وصول الماء النجس بالمحلّ المتنجّس، ففي هذا الفرض لا يفرق بين كون النجاسة ممّا يحتاج في زوالها إلى التعدّد، وبين ما لايكون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رفع الخبث والحدث به، هذا حسب ما تقتضيه القواعد الأوّلية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الصلاة عن طهارة من الخبث والحدث وذلك بأن يصلي بعد غسل يديه والوضوء، وإعادة الصلاة</w:t>
      </w:r>
    </w:p>
    <w:p>
      <w:pPr>
        <w:pStyle w:val="BookText"/>
        <w:rPr/>
      </w:pPr>
      <w:r>
        <w:rPr>
          <w:rFonts w:ascii="Amiri" w:hAnsi="Amiri" w:eastAsia="Amiri" w:cs="Amiri"/>
          <w:color w:val="111111"/>
          <w:sz w:val="28"/>
          <w:sz w:val="28"/>
          <w:szCs w:val="28"/>
          <w:rtl w:val="true"/>
          <w:lang w:bidi="ar-SA"/>
        </w:rPr>
        <w:t>وكذا الأمر فيما نحن فيه، فإن الطهارة متيقنة إما قبل زمان النجاسة أو بعدها فتستصحب، ويتعارض الاستصحابان ويتساقطان والمرجع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لا يتمشى على مبنى صاحب الكفاية</w:t>
      </w:r>
      <w:r>
        <w:rPr>
          <w:rStyle w:val="FootnoteAnchor"/>
          <w:rtl w:val="true"/>
        </w:rPr>
        <w:footnoteReference w:id="149"/>
      </w:r>
      <w:r>
        <w:rPr>
          <w:rFonts w:ascii="Amiri" w:hAnsi="Amiri" w:eastAsia="Amiri" w:cs="Amiri"/>
          <w:color w:val="111111"/>
          <w:sz w:val="28"/>
          <w:sz w:val="28"/>
          <w:szCs w:val="28"/>
          <w:rtl w:val="true"/>
          <w:lang w:bidi="ar-SA"/>
        </w:rPr>
        <w:t>من لزوم إحراز اتصال زمان اليقين بالشك،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الحاصلة من قبل، وليس المراد حصول التنجس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تقتضيه القواعد الأولية موافق لما في النص</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اللازم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محذور خارجي كنجاسة البدن للصلوات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النص رفع وجوب ذلك</w:t>
      </w:r>
      <w:r>
        <w:rPr>
          <w:rFonts w:eastAsia="Amiri" w:cs="Amiri" w:ascii="Amiri" w:hAnsi="Amiri"/>
          <w:color w:val="111111"/>
          <w:sz w:val="28"/>
          <w:szCs w:val="28"/>
          <w:rtl w:val="true"/>
          <w:lang w:bidi="ar-SA"/>
        </w:rPr>
        <w:t xml:space="preserve">. </w:t>
      </w:r>
      <w:bookmarkStart w:id="61" w:name="pg15737_151455"/>
    </w:p>
    <w:p>
      <w:pPr>
        <w:pStyle w:val="Heading4"/>
        <w:numPr>
          <w:ilvl w:val="3"/>
          <w:numId w:val="1"/>
        </w:numPr>
        <w:rPr/>
      </w:pPr>
      <w:bookmarkStart w:id="62" w:name="__RefHeading___Toc12561604_2142443653"/>
      <w:bookmarkStart w:id="63" w:name="_Toc21"/>
      <w:bookmarkEnd w:id="61"/>
      <w:bookmarkEnd w:id="62"/>
      <w:r>
        <w:rPr>
          <w:rtl w:val="true"/>
        </w:rPr>
        <w:t xml:space="preserve">المسألة </w:t>
      </w:r>
      <w:r>
        <w:rPr/>
        <w:t>85</w:t>
      </w:r>
      <w:r>
        <w:rPr>
          <w:rtl w:val="true"/>
        </w:rPr>
        <w:t xml:space="preserve">: </w:t>
      </w:r>
      <w:r>
        <w:rPr>
          <w:rtl w:val="true"/>
        </w:rPr>
        <w:t>إذا اشتبه ماء مطلق بماء مضاف</w:t>
      </w:r>
      <w:bookmarkEnd w:id="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ماء مطلق بماء مضاف فلا يرفع الخبث إلاّ بالغسل بكلّ واحد منهما، وكذا في رفع الحدث، إلاّ أنّ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فيه على صورة الانحصار</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2561606_2142443653"/>
      <w:bookmarkStart w:id="65" w:name="_Toc22"/>
      <w:bookmarkEnd w:id="64"/>
      <w:r>
        <w:rPr>
          <w:rtl w:val="true"/>
        </w:rPr>
        <w:t xml:space="preserve">المسألة </w:t>
      </w:r>
      <w:r>
        <w:rPr/>
        <w:t>86</w:t>
      </w:r>
      <w:r>
        <w:rPr>
          <w:rtl w:val="true"/>
        </w:rPr>
        <w:t xml:space="preserve">: </w:t>
      </w:r>
      <w:r>
        <w:rPr>
          <w:rtl w:val="true"/>
        </w:rPr>
        <w:t>إذا اشتبه الماء المباح بالمغصوب</w:t>
      </w:r>
      <w:bookmarkEnd w:id="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الماء المباح بالغصبي لم يجز استعمال أحدهما في الشبهة المحصورة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الغسل والوضوء الثاني</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الخروج عن مقتضى القاعدة بهذه الرواية؛ وحيث إنّ المستفاد منها على خلاف القاعدة لا بدّ من الاقتصار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نفرض الأمر كذلك ولكن يمكن إحراز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كلامنا، وهو أنّ المكلّف أولاً يطهر بدنه بالماء الأوّل ويتوضأ، أو يغتسل ويصلّي ثمّ يطهّر أعضاءه بالماء الثاني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بالحرمة وعدم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ترجيح أحد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مقتضى القاعدة فلا وجه للاقتصار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إحراز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كما سبق، للنص، ولعل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العسر أو الحرج، وأنه عادة يترشح فيلزم تنجيس سائر البدن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شبهتان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الطرفين، بل ما قوّيناه في هذا البحث من الأصول، ولعلّه أشرنا إليه في بعض مباحث هذا الشرح، من جواز استعمال أحد الأطراف بشرط ترك الآخر إلى الأبد، لا يجري في المقام؛ لأنّ أصالة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ما يوجب جواز التصرّف من الملك وغيره جارٍ في كلّ من الطرفين؛ إذ لا يلزم من جريان هذا الأصل في الطرفين إلاّ المخالفة الالتزامية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مانعاً من جريان الأصل لزوم المخالفة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 علماً بالحرمة، كذا هنا علم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يعلم بوجوب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ملاك الحرمة أهم من ملاك الوجوب، لما علم من الشارع من الاهتمام جداً بقضية الغصب،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العدل والإنصاف، فإنها تقتضي أنه يحق له أن يأخذ أحدهما لنفسه، وكذا التجنب عن الاثنين ضرري، فتأمل</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هنالك أصل منقح للموضوع في كل منهما، وهو أن كل جواز تصرف مسبوق بمسوغ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كالحيازة والشراء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حيازة هذا وذاك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العملية أيضاً في بعض الصور، كصورة الانحصار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جوازها بحث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فراجع ورجح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جوازها</w:t>
      </w:r>
      <w:r>
        <w:rPr>
          <w:rFonts w:eastAsia="Amiri" w:cs="Amiri" w:ascii="Amiri" w:hAnsi="Amiri"/>
          <w:color w:val="111111"/>
          <w:sz w:val="28"/>
          <w:szCs w:val="28"/>
          <w:rtl w:val="true"/>
          <w:lang w:bidi="ar-SA"/>
        </w:rPr>
        <w:t xml:space="preserve">. </w:t>
      </w:r>
      <w:bookmarkStart w:id="66" w:name="pg15737_151457"/>
    </w:p>
    <w:p>
      <w:pPr>
        <w:pStyle w:val="Heading4"/>
        <w:numPr>
          <w:ilvl w:val="3"/>
          <w:numId w:val="1"/>
        </w:numPr>
        <w:rPr/>
      </w:pPr>
      <w:bookmarkStart w:id="67" w:name="__RefHeading___Toc12561608_2142443653"/>
      <w:bookmarkStart w:id="68" w:name="_Toc23"/>
      <w:bookmarkEnd w:id="66"/>
      <w:bookmarkEnd w:id="67"/>
      <w:r>
        <w:rPr>
          <w:rtl w:val="true"/>
        </w:rPr>
        <w:t xml:space="preserve">المسألة </w:t>
      </w:r>
      <w:r>
        <w:rPr/>
        <w:t>87</w:t>
      </w:r>
      <w:r>
        <w:rPr>
          <w:rtl w:val="true"/>
        </w:rPr>
        <w:t xml:space="preserve">: </w:t>
      </w:r>
      <w:r>
        <w:rPr>
          <w:rtl w:val="true"/>
        </w:rPr>
        <w:t>لا يلزم في غسل مخرج البول مسح الموضع باليد</w:t>
      </w:r>
      <w:bookmarkEnd w:id="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غسل مخرج البول مسح الموضع باليد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توقّف إزالة البول على المسح أو خرج معه وذي أو 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 ذلك في صورة الشكّ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2561610_2142443653"/>
      <w:bookmarkStart w:id="70" w:name="_Toc24"/>
      <w:bookmarkEnd w:id="69"/>
      <w:r>
        <w:rPr>
          <w:rtl w:val="true"/>
        </w:rPr>
        <w:t xml:space="preserve">المسألة </w:t>
      </w:r>
      <w:r>
        <w:rPr/>
        <w:t>88</w:t>
      </w:r>
      <w:r>
        <w:rPr>
          <w:rtl w:val="true"/>
        </w:rPr>
        <w:t xml:space="preserve">: </w:t>
      </w:r>
      <w:r>
        <w:rPr>
          <w:rtl w:val="true"/>
        </w:rPr>
        <w:t>نجاسة الماء القليل بمجرّد الملاقاة</w:t>
      </w:r>
      <w:bookmarkEnd w:id="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الماء القليل بمجرّد ملاقاة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أن يستدلّ به على الانفعال عدّة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عاصمية الماء إذا كان كراً، ففي رواية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وسئل عن الماء تبول فيه الدواب وتلغ فيه الكلاب ويغتسل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ودي، مع التوقف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بالتوقف أو الشك فيه، لكن قد يشكل ذلك بأن من المتعارف خروجهما ولم ينبه في الأدلَّة على لزوم المسح، مع أنه مما يغفل عنه العامّة،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 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وفي النجاسة بملاقاة المتنجس الثاني تأمل لرواية حنان بن سدير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وإطلاقات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المضمون غيره، فإنّه يدلّ بالمفهوم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الماء إذا لم يبلغ قدر كرّ ينجّسه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هذه الروايات على انفعال الماء بملاقاة النجاسة في الجملة ممّا لا شبهة فيه، وليس دلالتها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انفعال الماء ولو مع عدم التغيّر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أقوى المفاهيم؛ لأنه مفهوم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شيء على الخلاف في أنَّ مفهومه منطقي أو عرفي؟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يبق فرق بين الكر وغيره لو كان الملاك التغير، وأما سائر الروايات فلا مانع من تقييدها بالتغير ولا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مانع من حمل هذه الروايات على الأفضلية للجمع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أدلَّة المانعين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يمكن حمله على الاستحباب، والنجاسة لا مانع من حملها على القذارة المغلظة غير البالغة إلى درجة التحريم، ونظير ذلك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في كسب الحجام</w:t>
      </w:r>
      <w:r>
        <w:rPr>
          <w:rStyle w:val="FootnoteAnchor"/>
          <w:rtl w:val="true"/>
        </w:rPr>
        <w:footnoteReference w:id="157"/>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 ونجسة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هل استعملت في المكروه ونحوه؟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إضافي، والجمع يقتضي أن كلاً من التغير والقلة علة، فهو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أو إذا خفيت الجدران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مفهوم روايات الكرّ؛ لأنّ المفهوم فيها موجبة جزئية، فإنّ نقيض السالبة الكلّية موجبة جزئية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نضايق عن الالتزام بانفعال القليل ببعض الأشياء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هذه الأخبار 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فالتغير علة وملاقاة القليل علة، وهذا أولى عرفاً من التقييد،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كل ذلك أن المقتضي للنجاسة موجود، إنما الشأن في المانع، وسيأتي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يدعى أنه عرفاً بمعنى ينجّسه كل شيء،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كالولوغ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يكفئ الإناء عند الملاقاة، سواء الإناء المتغير أم غير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غلب الماء فتوضأ، سواء الإناء غير المتغير أم الكر غير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الاجتماع الإناء غير المتغيّر؛ إذ لا يكون إلا قليلاً عادة، فتأمل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على ما ادعاه المصنف</w:t>
      </w:r>
      <w:r>
        <w:rPr>
          <w:rStyle w:val="FootnoteAnchor"/>
          <w:rtl w:val="true"/>
        </w:rPr>
        <w:footnoteReference w:id="158"/>
      </w:r>
      <w:r>
        <w:rPr>
          <w:rFonts w:ascii="Amiri" w:hAnsi="Amiri" w:eastAsia="Amiri" w:cs="Amiri"/>
          <w:color w:val="111111"/>
          <w:sz w:val="28"/>
          <w:sz w:val="28"/>
          <w:szCs w:val="28"/>
          <w:rtl w:val="true"/>
          <w:lang w:bidi="ar-SA"/>
        </w:rPr>
        <w:t xml:space="preserve">من أن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يكفئ الإناء</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غير قابلة للتقييد بالتغير يكون المتعين تقديم تلك في مورد التعارض، لكن مضى الإشكال في كلامه،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انفعال الماء القليل فترفع اليد عن الإطلاق ويؤخذ بما دلّ على 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الجنب ينتهي إلى الماء القليل في الطريق ويريد أن يغتسل منه وليس معه إناء يغرف به ويداه قذرتان،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ثمّ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يغتسل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بهذه الرواية على المدّعى أنّ الموضوع في السؤال هو القليل ومقتضى الجواب عدم انفعاله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تلك الروايات آبٍ عن حملها على صورة التغير،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إناء أصابته قطرة من الدم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فإنه من الواضح أنه لا يتغير كله عادة،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يده في الإناء وهي قذرة</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w:t>
      </w:r>
    </w:p>
    <w:p>
      <w:pPr>
        <w:pStyle w:val="BookText"/>
        <w:rPr/>
      </w:pPr>
      <w:r>
        <w:rPr>
          <w:rFonts w:ascii="Amiri" w:hAnsi="Amiri" w:eastAsia="Amiri" w:cs="Amiri"/>
          <w:color w:val="111111"/>
          <w:sz w:val="28"/>
          <w:sz w:val="28"/>
          <w:szCs w:val="28"/>
          <w:rtl w:val="true"/>
          <w:lang w:bidi="ar-SA"/>
        </w:rPr>
        <w:t>منه الكلب أو الخنزير</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وإن كان يمكن القول بخروج الأخير بالإجماع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التخصيص 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اعتصام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المستدل قبل قليل، وهي سائر الروايات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يغسل يده القذرة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نصّاً ولا ظاهراً فيما دون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 يكون من شعر الخنزير يستقى به الماء من البئر هل يتوضّأ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 على المدّعى أنّ الحبل الذي يستقى به الماء يتقاطر منه الماء في الدلو فحكمه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البأس بالوضوء منه يدلّ على عدم انفعال ما في الدلو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الوجه في السؤال استعمال الحبل من حيث كونه جزءاً للخنزير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يراد بالقليل القليل بالنسبة إلى مياه البحار والأنهار، كحفرة ماء فيها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الظاهر،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التنقيح</w:t>
      </w:r>
      <w:r>
        <w:rPr>
          <w:rStyle w:val="FootnoteAnchor"/>
          <w:rtl w:val="true"/>
        </w:rPr>
        <w:footnoteReference w:id="166"/>
      </w:r>
      <w:r>
        <w:rPr>
          <w:rFonts w:ascii="Amiri" w:hAnsi="Amiri" w:eastAsia="Amiri" w:cs="Amiri"/>
          <w:color w:val="111111"/>
          <w:sz w:val="28"/>
          <w:sz w:val="28"/>
          <w:szCs w:val="28"/>
          <w:rtl w:val="true"/>
          <w:lang w:bidi="ar-SA"/>
        </w:rPr>
        <w:t>أن ذلك قد يكون تقية لذهاب بعض العامّة إلى نجاسة الماء في غسالة الجنابة،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اصطلاح فقهائي، ولم يثبت كونه كذلك في زمن الشارع</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إذ لا ينقدح مثل هذا الاحتمال في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من ماء سقطت فيها فأرة أو جرذ أو صعوة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فلا تشرب من مائها ولا تتوضّأ وصبّها، وإن كان غير متفسّخ فاشرب منه وتوضّأ واطرح الميّتة إذا أخرجتها طرية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بالرواية على المدّعى ظاهر لا يحتاج إلى البيان، لكنّ الرواية ضعيفة من حيث السند، فإنّ عليّ بن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الأذهان عادةً، خاصة من مثل زرارة،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التنقيح تقريب لذلك فلاحظ</w:t>
      </w:r>
      <w:r>
        <w:rPr>
          <w:rStyle w:val="FootnoteAnchor"/>
          <w:rtl w:val="true"/>
        </w:rPr>
        <w:footnoteReference w:id="169"/>
      </w:r>
      <w:r>
        <w:rPr>
          <w:rFonts w:ascii="Amiri" w:hAnsi="Amiri" w:eastAsia="Amiri" w:cs="Amiri"/>
          <w:color w:val="111111"/>
          <w:sz w:val="28"/>
          <w:sz w:val="28"/>
          <w:szCs w:val="28"/>
          <w:rtl w:val="true"/>
          <w:lang w:bidi="ar-SA"/>
        </w:rPr>
        <w:t xml:space="preserve">، مع أنه لو فرض أن الجواب حيثي لكن حيث إنه عادة يتقاطر في الدلو فاللازم أن تبين حيثية النجاسة، وإلاّ لزم حمل الجواب على الفرد النادر، بل غير الموجود، إذ لا ينفك الدلو من التقاطر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وأجاب في التنقيح</w:t>
      </w:r>
      <w:r>
        <w:rPr>
          <w:rStyle w:val="FootnoteAnchor"/>
          <w:rtl w:val="true"/>
        </w:rPr>
        <w:footnoteReference w:id="170"/>
      </w:r>
      <w:r>
        <w:rPr>
          <w:rFonts w:ascii="Amiri" w:hAnsi="Amiri" w:eastAsia="Amiri" w:cs="Amiri"/>
          <w:color w:val="111111"/>
          <w:sz w:val="28"/>
          <w:sz w:val="28"/>
          <w:szCs w:val="28"/>
          <w:rtl w:val="true"/>
          <w:lang w:bidi="ar-SA"/>
        </w:rPr>
        <w:t>بأن الرواية شاذة فلا تعارض الروايات المشهورة، وبجواز دلالتها على طهارة شعر الخنزير،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التفسخ طريقي لا موضوعي، فالملاك التغير الحاصل بالتفسخ ويبعد كونه موضوعياً،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 به أحد فيما نعلم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من مشايخ الثقات، فيتعارض الجرح </w:t>
      </w:r>
    </w:p>
    <w:p>
      <w:pPr>
        <w:pStyle w:val="BookText"/>
        <w:rPr/>
      </w:pPr>
      <w:r>
        <w:rPr>
          <w:rFonts w:ascii="Amiri" w:hAnsi="Amiri" w:eastAsia="Amiri" w:cs="Amiri"/>
          <w:color w:val="111111"/>
          <w:sz w:val="28"/>
          <w:sz w:val="28"/>
          <w:szCs w:val="28"/>
          <w:rtl w:val="true"/>
          <w:lang w:bidi="ar-SA"/>
        </w:rPr>
        <w:t>سندها وهو غير موثّق، بل مضعّف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هل يكون وجه للتفصيل بين المتنجّس بعين النجس وبين المتنجّس بالمتنجّس بأن خصّص الانفعال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وعدمه في الثاني، كما يظهر من بعض آخر أو لا وجه لهذا التفصيل أيضاً؟</w:t>
      </w:r>
    </w:p>
    <w:p>
      <w:pPr>
        <w:pStyle w:val="BookText"/>
        <w:rPr/>
      </w:pPr>
      <w:r>
        <w:rPr>
          <w:rFonts w:ascii="Amiri" w:hAnsi="Amiri" w:eastAsia="Amiri" w:cs="Amiri"/>
          <w:color w:val="111111"/>
          <w:sz w:val="28"/>
          <w:sz w:val="28"/>
          <w:szCs w:val="28"/>
          <w:rtl w:val="true"/>
          <w:lang w:bidi="ar-SA"/>
        </w:rPr>
        <w:t>الظاهر أنّه لا وجه للتفصيل مطلقاً، وحيث إنّ القائل بالتفصيل الأوّل، وكذلك الثاني إنّما ذهب إليه من باب عدم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فالازم علينا بيان ما يقتضي الانفعال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أصاب يده فأدخل يده في الماء قبل أن يفرغ على كفّيه فليهرق الماء كلّه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يقتضي انفعال الماء ولو لم يكن عين المني موجوداً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والتعديل، وننتهي للتوقف وقد بنينا على أن مشايخ الثقات ثقات في مسانيدهم لا مراسيلهم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انفعال الأشياء به، لا انفعاله وإلاّ رجع للبحث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النجاسة أمر حادث وتحتاج للدليل، فعدم الدليل كافٍ في عدمها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لو لوحظ أنه عند إصابة المني يحك الإنسان المني بيده عادة، ولا يبقى المني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رواه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يحمل الركوة أو التور فيدخل اصبعه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يده قذرة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فأهرقه، وإن كان لم يصبها قذر فليغتسل منه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التفصيل الثاني فيردّه ما تقدّم في رواية ابن أبي نصر من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يده في الإناء وهي قذرة،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يكفئ الإناء</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فإنّ القذارة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القذارة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القذارة الشرعية هي ما يستقذر شرعاً، وهذه اليد وإن زالت العين تستقذر شرعاً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رواية أُخرى تدل على المطلوب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كلّ ما أصابه ذلك الماء</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شبهة،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من الروايات التي ذكرها المصنف</w:t>
      </w:r>
      <w:r>
        <w:rPr>
          <w:rStyle w:val="FootnoteAnchor"/>
          <w:rtl w:val="true"/>
        </w:rPr>
        <w:footnoteReference w:id="176"/>
      </w:r>
      <w:r>
        <w:rPr>
          <w:rFonts w:ascii="Amiri" w:hAnsi="Amiri" w:eastAsia="Amiri" w:cs="Amiri"/>
          <w:color w:val="111111"/>
          <w:sz w:val="28"/>
          <w:sz w:val="28"/>
          <w:szCs w:val="28"/>
          <w:rtl w:val="true"/>
          <w:lang w:bidi="ar-SA"/>
        </w:rPr>
        <w:t>صورة وجود المني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يدفعه، والقدر المتيقن الخارجي لا ينحل بالإطلاق، ولا قدر متيقن في مقام التخاطب، بل لا يقدح وجوده، فتأمل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كلمات المصنف رجوعاً إلى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ما يستقذر منه، ومن الظاهر أنّه لا فرق في إطلاق القذر على ما يستقذر منه بين أن يكون مستقذراً من نفس القذارة، أو يكون مستقذراً منها بالواسطة، فلو أدخل أحد إبهامه في أنفه ومسحه بخرقة فيلاقي بالرطوبة قبل غسله إبهامه يكون الإبهام قذراً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 إذ اليد تارة يكون عليها المني، وتارة يمسح المني عنها، وفي الحالتين ينفعل الماء بها؛ لأنها قذرة، وليس الكلام في ذلك؛ إذ قد فرغ منه في المقام الأول، بل الكلام أن هذا الماء لو لاقى ماءً آخر فهل ينجس بذلك؟</w:t>
      </w:r>
    </w:p>
    <w:p>
      <w:pPr>
        <w:pStyle w:val="BookText"/>
        <w:rPr/>
      </w:pPr>
      <w:r>
        <w:rPr>
          <w:rFonts w:ascii="Amiri" w:hAnsi="Amiri" w:eastAsia="Amiri" w:cs="Amiri"/>
          <w:color w:val="111111"/>
          <w:sz w:val="28"/>
          <w:sz w:val="28"/>
          <w:szCs w:val="28"/>
          <w:rtl w:val="true"/>
          <w:lang w:bidi="ar-SA"/>
        </w:rPr>
        <w:t>ويمكن توجيه كلام المصنف بأنه لا شك أن الماء الأول قذر، فلو لاقى الماء الثاني شمله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التطبيق على الرواية</w:t>
      </w:r>
      <w:r>
        <w:rPr>
          <w:rStyle w:val="FootnoteAnchor"/>
          <w:rtl w:val="true"/>
        </w:rPr>
        <w:footnoteReference w:id="177"/>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دم وقعت في ماء، ثم غمس يده في الماء، فلا شك في نجاسة الماء واليد، لأن اليد لاقت المتنجس، وحينئذ تكون قذرة، فإذا غمس يده في اللبن انطبق الحديث، فيكفئ إناء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يدي قذرة وإن زالت العين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قذراً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مسح عنه أخلاط الأنف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شهادة الشيخ يؤخذ بها إلاّ فيما علم بخلافه، لكن رجعنا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المقالة،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بدّ من رفع اليد عن ظهور هذه الأدلّة بروايات أُخرى تدلّ على عدم تنجيس المتنجّس في الواسطة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الروايات ما رواه حنّان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بلت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تمسك بالعام في الشبهة المصداقية،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رواة ثقات، وهنالك أفراد ثبت ضعفهم، فنحتمل أن الرجل المجهول هو من أولئك الضعاف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بحث مفصل في علم الرجال، والمختار أن مراسيلهم غير حجة، أما مسانيدهم فهي حجة، تُثبتُ وثاقة المروي عنه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الرد يشمل الروايتين، ولا وجه لجعله رداً على الثانية فقط</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المتنجس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أما المتنجس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ينجس الثوب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بأن مسح الذكر مسح نفس موضع البول وغيره، فيقيد بالأدلَّة الدالة على نجاسة الملاقي للبول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أقدر على الماء ويشتدّ ذلك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وتمسحّت فامسح ذكرك بريقك فإن وجدت شيئاً فقل هذا من ذاك</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إنّه وقع في بعض الكلمات الإشكال في الرواية من جهة المتن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الوجه في الاشتداد أنّه مع عدم الماء وإحساس رطوبة يعلم بكونها من البول، فيقع في المشقّة من جهة تنجّس بدنه ولباسه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ما ذهب إليه بما رواه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رعف فامتخط فصار بعض ذلك الدم قطراً صغاراً فأصاب إناءه هل يصلح له الوضوء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يستبين في الماء فلا بأس، وإن</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عموم من وجه، فيتعارضان في موضع الاجتماع، والمرجع أصالة الطهارة،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خصوص البول والتخلي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عرفاً، خاصة وأن البول أشد النجاسات، وفيه تأمل؛ إذ الكلب أشد نجاسة،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أن يكون وجه الاشتداد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بكونه بولاً وجدانياً، أو العلم بكونه بولاً تعبدياً محكوماً بالبولية لعدم الاستبراء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النظرة الأولية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التعبير </w:t>
      </w:r>
    </w:p>
    <w:p>
      <w:pPr>
        <w:pStyle w:val="BookText"/>
        <w:rPr/>
      </w:pPr>
      <w:r>
        <w:rPr>
          <w:rFonts w:ascii="Amiri" w:hAnsi="Amiri" w:eastAsia="Amiri" w:cs="Amiri"/>
          <w:color w:val="111111"/>
          <w:sz w:val="28"/>
          <w:sz w:val="28"/>
          <w:szCs w:val="28"/>
          <w:rtl w:val="true"/>
          <w:lang w:bidi="ar-SA"/>
        </w:rPr>
        <w:t>كان شيئاً بيّناً فلا يتوضّأ منه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الإناء في الماء يحتاج إلى قرينة وهي مفقودة في المقام، فالظاهر من الرواية أنّ الدم أصاب نفس الإناء، وأمّا إصابته لنفس الماء فمشكوك فيها فلا وجه لانفعاله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بأنّه لو قلنا بانفعاله ولو كان وارداً لما أمكن تطهير شيء إلاّ بإيراد كرّ عليه، وذلك يوجب المشقّة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 الماء لا ينفعل فيما كان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غير تامّ، فإنّه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أخصّ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بانفعال القليل بملاقاة المتنجّس وتطهّره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يوهم أن هنالك دماً لكنه ليس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لم يكن الدم المتساقط بيناً في الماء مع إصابته الإناء،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شبهة 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السيرة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التفصيل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غير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المطهر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ووزانه وزان القذارات العرفية، فإن الماء يحمل القذر ويطهر المحل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مفهوم أدلّة اعتصام الكرّ فليس فيه عموم أفرادي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الأحوالي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غيره من الأدلّة فموردها صورة ورود النجاسة على الماء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الارتكاز يفهم من مجموع الأدلّة أنّ ملاقاة النجاسة للماء القليل توجب انفعاله بلا خصوصية لورود النجاسة على الماء أو وروده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يفصل بين ملاقاة الماء للنجاسة واستقراره معها فيلتزم بانفعاله، وبين ملاقاته لها وعدم استقراره معها فيلتزم بعدم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الدم والبول والولوغ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الوارد والمورود، بل هو موجبة جزئية،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الشق الثاني</w:t>
      </w:r>
      <w:r>
        <w:rPr>
          <w:rStyle w:val="FootnoteAnchor"/>
          <w:rtl w:val="true"/>
        </w:rPr>
        <w:footnoteReference w:id="183"/>
      </w:r>
      <w:r>
        <w:rPr>
          <w:rFonts w:ascii="Amiri" w:hAnsi="Amiri" w:eastAsia="Amiri" w:cs="Amiri"/>
          <w:color w:val="111111"/>
          <w:sz w:val="28"/>
          <w:sz w:val="28"/>
          <w:szCs w:val="28"/>
          <w:rtl w:val="true"/>
          <w:lang w:bidi="ar-SA"/>
        </w:rPr>
        <w:t>، وظاهره تسليم الشق الأول من الاستدلال،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العموم الأحوالي</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القذارات العرفية،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لاقى الماء ميكروباً فحكمه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الوارد والمورود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وقع الميكروب في الماء فلا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يفهم خصوصية للورود، فالمورد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وارداً على النجاسة بقوّة ودفع، فلا ينجس الجزء غير الملاقي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للنجاسة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الانفعال؟ يستدلّ عليه بما رواه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اغتسل في مغتسل يبال فيه ويغتسل من الجنابة، فيقع في الإناء ما ينزو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إن تمّت دلالتها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فلا يعتمد عليها من حيث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لقوّته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لا يتأثّر من ملاقاة النجاسة كما هو الحال في تأثّر القذارات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غير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الملاقاة عرفاً لا عقلاً، ففوق موضع الملاقاة بإبرة ليس ملاقياً عقلاً لكنه ملاقٍ عرفاً،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المكان من مصاديق ما تعاقب عليه الطاهر والنجس،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أشبه بالمصادرة وتكرار للمدّعى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العناوين المأخوذة في الروايات لا تشمله،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الذي تبول فيه الدواب، وتلغ فيه الكلاب، ويغتسل فيه الجنب</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يده في الإناء</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فلو فرضنا أن ماءً ينزل من فوق الجبل بقوة، وبالت دابة في أسفله فلا يصدق على الأعلى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bookmarkStart w:id="71" w:name="pg15737_151471"/>
    </w:p>
    <w:p>
      <w:pPr>
        <w:pStyle w:val="Heading4"/>
        <w:numPr>
          <w:ilvl w:val="3"/>
          <w:numId w:val="1"/>
        </w:numPr>
        <w:rPr/>
      </w:pPr>
      <w:bookmarkStart w:id="72" w:name="__RefHeading___Toc12561612_2142443653"/>
      <w:bookmarkStart w:id="73" w:name="_Toc25"/>
      <w:bookmarkEnd w:id="71"/>
      <w:bookmarkEnd w:id="72"/>
      <w:r>
        <w:rPr>
          <w:rtl w:val="true"/>
        </w:rPr>
        <w:t xml:space="preserve">المسألة </w:t>
      </w:r>
      <w:r>
        <w:rPr/>
        <w:t>89</w:t>
      </w:r>
      <w:r>
        <w:rPr>
          <w:rtl w:val="true"/>
        </w:rPr>
        <w:t xml:space="preserve">: </w:t>
      </w:r>
      <w:r>
        <w:rPr>
          <w:rtl w:val="true"/>
        </w:rPr>
        <w:t>اعتصام الماء الكرّ</w:t>
      </w:r>
      <w:bookmarkEnd w:id="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الكرّ لا ينجس مطلقاً إلاّ إذا 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دليل في الكرّ يدلّ على انفعاله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 فيه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منصرفة عن مثل ذلك، كما هو الحال في القذارات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المصنف يريد أنه لا دليل على النجاسة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النقيع</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فالنقيع أعم من الكر والقليل، فتكون النسبة بينه وروايات الكر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الماء قدر كر لم ينجسه شيء، سواء لم يتغير أم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والماء النقيع إن تغيّر فلا تتوضأ منه، سواء كان كراّ أم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الاجتماع الكر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فيتعارضان في الكر المتغير ويتساقطان، والمرجع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الرواية الثانية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لسان أدلَّة التغير لسان الحكومة، مع أن الارتكاز المتشرعي يقتضي النجاسة بالتغير ولو كان مثل دجلة، بالإضافة إلى الإجماع وفهم الفقهاء وأدلَّة البئر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لونه أو طعمه أو رائحته</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يستدلّ على المدّعى بالإجماع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أنّ الحكم مسلّم بينهم،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 إن لم يكن مقطوعاً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عليه أيضاً بما دلّ على انفعال ماء البئر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بالتغيّر مع كونه عاصماً، فيفهم أنّ التغيّر يوجب الانفعال وإن كان الماء عاصماً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الانفعال بالتغيّر باللون فيمكن أن يستدلّ عليه بما مرّ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شبهة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التغير مطلقة، فتشمل التغير في سائر الأوصاف، كالحرارة والبرودة والرقة والغلظة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رواية ابن بزيع</w:t>
      </w:r>
      <w:r>
        <w:rPr>
          <w:rStyle w:val="FootnoteAnchor"/>
          <w:rtl w:val="true"/>
        </w:rPr>
        <w:footnoteReference w:id="191"/>
      </w:r>
      <w:r>
        <w:rPr>
          <w:rFonts w:ascii="Amiri" w:hAnsi="Amiri" w:eastAsia="Amiri" w:cs="Amiri"/>
          <w:color w:val="111111"/>
          <w:sz w:val="28"/>
          <w:sz w:val="28"/>
          <w:szCs w:val="28"/>
          <w:rtl w:val="true"/>
          <w:lang w:bidi="ar-SA"/>
        </w:rPr>
        <w:t>الحصر، فلا ينجس الماء بأي تغير، وخرج التغير اللوني بالنصوص، هذا مضافاً إلى فهم الفقهاء والتسالم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يترقى فيستدل بالتسالم، وقد قبله المصنف في غيرها، وظاهر المصنف أنه فوق الإجماع</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ذلك غير قادح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إلغاء الخصوصية، بل قد تدعى الأولوية؛ لأن له مادة، ومع ذلك ينجس بالتغير، فكيف بالكر الذي لا مادة له؟ </w:t>
      </w:r>
    </w:p>
    <w:p>
      <w:pPr>
        <w:pStyle w:val="BookText"/>
        <w:rPr/>
      </w:pPr>
      <w:r>
        <w:rPr>
          <w:rFonts w:ascii="Amiri" w:hAnsi="Amiri" w:eastAsia="Amiri" w:cs="Amiri"/>
          <w:color w:val="111111"/>
          <w:sz w:val="28"/>
          <w:sz w:val="28"/>
          <w:szCs w:val="28"/>
          <w:rtl w:val="true"/>
          <w:lang w:bidi="ar-SA"/>
        </w:rPr>
        <w:t>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الظاهر من التغيّر بالدم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التغيّر اللوني، ولا أقلّ من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مقتضى إطلاقه انفعال الماء لو تغيّر لونه من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العبارة أنّه لابدّ في الانفعال أن يتغيّر الماء ويتصّف بوصف النجس، وأمّا لو تغيّر من النجاسة وحدث فيه وصف ثالث لا ينفعل، فيرد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لهذا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الإطلاق يقيد بالحصر الموجود في رواية ابن بزيع</w:t>
      </w:r>
      <w:r>
        <w:rPr>
          <w:rStyle w:val="FootnoteAnchor"/>
          <w:rtl w:val="true"/>
        </w:rPr>
        <w:footnoteReference w:id="193"/>
      </w:r>
      <w:r>
        <w:rPr>
          <w:rFonts w:ascii="Amiri" w:hAnsi="Amiri" w:eastAsia="Amiri" w:cs="Amiri"/>
          <w:color w:val="111111"/>
          <w:sz w:val="28"/>
          <w:sz w:val="28"/>
          <w:szCs w:val="28"/>
          <w:rtl w:val="true"/>
          <w:lang w:bidi="ar-SA"/>
        </w:rPr>
        <w:t>، لكن بقرينة ما نص فيه على التغير اللوني يحمل الحصر فيه على الإضافي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بعيد جداً، بل مراده قبال التغير بالمتنجس، كالتغير برائحة العطر المتنجس مثلاً، كما سيأتي في المتن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يلزم أن لا يتنجس شيء بالدم مثلاً؛ إذ لونه أحمر مع أن اللون الذي ينشره في الماء هو الأصفر،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بواسطة المتنجس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إطلاق بعض الروايات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ما يتغيّر بالمتنجّس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فإنّ مقتضى إطلاق الحديث انفعال الماء بالتغيّر الحاصل من المتنجّس ولو بوصفه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المتنجّسات فيلتزم بالانفعال فيما يكون المتنجّس كريه الرائحة أو خبيث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الجمع بين هذا الكلام وبين الالتزام بأنّ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Style w:val="FootnoteAnchor"/>
          <w:rtl w:val="true"/>
        </w:rPr>
        <w:footnoteReference w:id="196"/>
      </w:r>
      <w:r>
        <w:rPr>
          <w:rFonts w:ascii="Amiri" w:hAnsi="Amiri" w:eastAsia="Amiri" w:cs="Amiri"/>
          <w:color w:val="111111"/>
          <w:sz w:val="28"/>
          <w:sz w:val="28"/>
          <w:szCs w:val="28"/>
          <w:rtl w:val="true"/>
          <w:lang w:bidi="ar-SA"/>
        </w:rPr>
        <w:t xml:space="preserve">ليس المراد منه مطلق الشيء، بل الشيء الذي يقتضي فساد ما يلاقيه لولا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المتنجس يقتضي فساد ما يلاقيه؛ إذ لو أُلقي في القليل غيره فهو لا يفسد البئر إلاّ أن يغيرها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عن مثل العطر، وكذلك فهم الفقهاء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لو ساعده الدليل، والإجماع المركب لو تمثل في عدم القول بالفصل ليس بحجة</w:t>
      </w:r>
      <w:r>
        <w:rPr>
          <w:rFonts w:eastAsia="Amiri" w:cs="Amiri" w:ascii="Amiri" w:hAnsi="Amiri"/>
          <w:color w:val="111111"/>
          <w:sz w:val="28"/>
          <w:szCs w:val="28"/>
          <w:rtl w:val="true"/>
          <w:lang w:bidi="ar-SA"/>
        </w:rPr>
        <w:t xml:space="preserve">. </w:t>
      </w:r>
      <w:bookmarkStart w:id="74" w:name="pg15737_151475"/>
    </w:p>
    <w:p>
      <w:pPr>
        <w:pStyle w:val="Heading4"/>
        <w:numPr>
          <w:ilvl w:val="3"/>
          <w:numId w:val="1"/>
        </w:numPr>
        <w:rPr/>
      </w:pPr>
      <w:bookmarkStart w:id="75" w:name="__RefHeading___Toc12561614_2142443653"/>
      <w:bookmarkStart w:id="76" w:name="_Toc26"/>
      <w:bookmarkEnd w:id="74"/>
      <w:bookmarkEnd w:id="75"/>
      <w:r>
        <w:rPr>
          <w:rtl w:val="true"/>
        </w:rPr>
        <w:t xml:space="preserve">المسألة </w:t>
      </w:r>
      <w:r>
        <w:rPr/>
        <w:t>90</w:t>
      </w:r>
      <w:r>
        <w:rPr>
          <w:rtl w:val="true"/>
        </w:rPr>
        <w:t xml:space="preserve">: </w:t>
      </w:r>
      <w:r>
        <w:rPr>
          <w:rtl w:val="true"/>
        </w:rPr>
        <w:t>عدم وجوب الاستبراء</w:t>
      </w:r>
      <w:bookmarkEnd w:id="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الاستبراء بعد البول أو المني، بل ينبغي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عدم الاستبراء لو خرجت رطوبة مشتبهة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بالبول فهي محكومة بالبولية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فرق في الحكمين بين من تخرج</w:t>
      </w:r>
    </w:p>
    <w:p>
      <w:pPr>
        <w:pStyle w:val="BookText"/>
        <w:rPr/>
      </w:pPr>
      <w:r>
        <w:rPr>
          <w:rFonts w:ascii="Amiri" w:hAnsi="Amiri" w:eastAsia="Amiri" w:cs="Amiri"/>
          <w:color w:val="111111"/>
          <w:sz w:val="28"/>
          <w:sz w:val="28"/>
          <w:szCs w:val="28"/>
          <w:rtl w:val="true"/>
          <w:lang w:bidi="ar-SA"/>
        </w:rPr>
        <w:t>النجاسة لو غيّرت الماء بوصف ثالث ينفعل كما مرّ منّا آنفاً،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النجس لو غيّر الماء يلتزم بالانفعال لإطلاق الروايات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ما أفاده في المقام إشارة إلى ما مرّ في آداب التخلّي من ذكره في عدادها، ونقلنا القول بالوجوب عن بعض، وحيث إنّه ذهب إلى وجوبه ينبغي أن لا يترك بأن يأتي به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الملك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الرجل يبول ثمّ يستنجي ثمّ يجد بعد ذلك بللاً،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للاشتباه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أنه بول أو من الحبائل أو 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أنه 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يعلم أن البول مخلوط به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التغير لو استند إلى نفس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بوصف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بخلاف ما لو استند إلى وصف المتنجس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بنية الاستحباب لا مانع منه للتسامح</w:t>
      </w:r>
      <w:r>
        <w:rPr>
          <w:rFonts w:eastAsia="Amiri" w:cs="Amiri" w:ascii="Amiri" w:hAnsi="Amiri"/>
          <w:color w:val="111111"/>
          <w:sz w:val="28"/>
          <w:szCs w:val="28"/>
          <w:rtl w:val="true"/>
          <w:lang w:bidi="ar-SA"/>
        </w:rPr>
        <w:t xml:space="preserve">. </w:t>
      </w:r>
      <w:bookmarkStart w:id="77" w:name="pg15737_151476"/>
    </w:p>
    <w:p>
      <w:pPr>
        <w:pStyle w:val="BookText"/>
        <w:rPr/>
      </w:pPr>
      <w:bookmarkEnd w:id="77"/>
      <w:r>
        <w:rPr>
          <w:rFonts w:ascii="Amiri" w:hAnsi="Amiri" w:eastAsia="Amiri" w:cs="Amiri"/>
          <w:color w:val="111111"/>
          <w:sz w:val="28"/>
          <w:sz w:val="28"/>
          <w:szCs w:val="28"/>
          <w:rtl w:val="true"/>
          <w:lang w:bidi="ar-SA"/>
        </w:rPr>
        <w:t>منه تلك الرطوبة وغيره، وبين الملتفت إلى خروجها وغير الملتفت لجنون أو نوم أو نحو ذلك</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2561616_2142443653"/>
      <w:bookmarkStart w:id="79" w:name="_Toc27"/>
      <w:bookmarkEnd w:id="78"/>
      <w:r>
        <w:rPr>
          <w:rtl w:val="true"/>
        </w:rPr>
        <w:t xml:space="preserve">المسألة </w:t>
      </w:r>
      <w:r>
        <w:rPr/>
        <w:t>91</w:t>
      </w:r>
      <w:r>
        <w:rPr>
          <w:rtl w:val="true"/>
        </w:rPr>
        <w:t xml:space="preserve">: </w:t>
      </w:r>
      <w:r>
        <w:rPr>
          <w:rtl w:val="true"/>
        </w:rPr>
        <w:t>لو لم يستبرئ وقطع بعدم بقاء البول</w:t>
      </w:r>
      <w:bookmarkEnd w:id="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يستبرئ لكنّه قطع بعدم بقاء شيء من البول في المجرى، فقد يقال بسقوط الاستبراء وطهارة الرطوبة المشتبهة منه</w:t>
      </w:r>
    </w:p>
    <w:p>
      <w:pPr>
        <w:pStyle w:val="BookText"/>
        <w:rPr/>
      </w:pPr>
      <w:r>
        <w:rPr>
          <w:rFonts w:ascii="Amiri" w:hAnsi="Amiri" w:eastAsia="Amiri" w:cs="Amiri"/>
          <w:color w:val="111111"/>
          <w:sz w:val="28"/>
          <w:sz w:val="28"/>
          <w:szCs w:val="28"/>
          <w:rtl w:val="true"/>
          <w:lang w:bidi="ar-SA"/>
        </w:rPr>
        <w:t>بال فخرط ما بين المقعدة والأنثيين ثلاث مرّات وغمز ما بينهما ثمّ استنجى، فإن سال حتّى يبلغ السوق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يبالي</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فإنّه بمفهومه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يلزم الموالاة</w:t>
      </w:r>
      <w:r>
        <w:rPr>
          <w:rStyle w:val="FootnoteAnchor"/>
          <w:rtl w:val="true"/>
        </w:rPr>
        <w:footnoteReference w:id="198"/>
      </w:r>
      <w:r>
        <w:rPr>
          <w:rFonts w:ascii="IRNazanin" w:hAnsi="IRNazanin" w:eastAsia="IRNazanin"/>
          <w:color w:val="111111"/>
          <w:sz w:val="28"/>
          <w:sz w:val="28"/>
          <w:szCs w:val="28"/>
          <w:rtl w:val="true"/>
          <w:lang w:bidi="fa-IR"/>
        </w:rPr>
        <w:t>لو خرج البلل قبل الخلط</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وحيث إنّه حكم وضعي لا يفرق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بين المختار وغيره وهذا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جمع ساق، أو المراد به سوق البيع والشراء، ولعل الأول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الفهم العرفي، فلا يفرق بين الحالات المذكورة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يرفع تمام الآثار، حتى الوضعية منها، إلاّ ما خرج بإجماع أو ضرورة، فتأمل</w:t>
      </w:r>
      <w:r>
        <w:rPr>
          <w:rFonts w:eastAsia="Amiri" w:cs="Amiri" w:ascii="Amiri" w:hAnsi="Amiri"/>
          <w:color w:val="111111"/>
          <w:sz w:val="28"/>
          <w:szCs w:val="28"/>
          <w:rtl w:val="true"/>
          <w:lang w:bidi="ar-SA"/>
        </w:rPr>
        <w:t xml:space="preserve">. </w:t>
      </w:r>
      <w:bookmarkStart w:id="80" w:name="pg15737_151477"/>
    </w:p>
    <w:p>
      <w:pPr>
        <w:pStyle w:val="BookText"/>
        <w:rPr/>
      </w:pPr>
      <w:bookmarkEnd w:id="80"/>
      <w:r>
        <w:rPr>
          <w:rFonts w:ascii="Amiri" w:hAnsi="Amiri" w:eastAsia="Amiri" w:cs="Amiri"/>
          <w:color w:val="111111"/>
          <w:sz w:val="28"/>
          <w:sz w:val="28"/>
          <w:szCs w:val="28"/>
          <w:rtl w:val="true"/>
          <w:lang w:bidi="ar-SA"/>
        </w:rPr>
        <w:t>لكنّه محلّ إشكال</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2561618_2142443653"/>
      <w:bookmarkStart w:id="82" w:name="_Toc28"/>
      <w:bookmarkEnd w:id="81"/>
      <w:r>
        <w:rPr>
          <w:rtl w:val="true"/>
        </w:rPr>
        <w:t xml:space="preserve">المسألة </w:t>
      </w:r>
      <w:r>
        <w:rPr/>
        <w:t>92</w:t>
      </w:r>
      <w:r>
        <w:rPr>
          <w:rtl w:val="true"/>
        </w:rPr>
        <w:t xml:space="preserve">: </w:t>
      </w:r>
      <w:r>
        <w:rPr>
          <w:rtl w:val="true"/>
        </w:rPr>
        <w:t>حكم الاستبراء مع قطع الذكر أو الحشفة</w:t>
      </w:r>
      <w:bookmarkEnd w:id="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الاستبراء وحكمه مع قطع الذكر أو الحشفة، بل يأتي بما يمكن من الاستبراء ويعصر موضع القطع بدل الحشفة، ويترتّب عليه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الواردة في المقام أنّ الميزان نقاء المحلّ من البول، فلو نقى بغير السبب المنصوص يحكم بطهارة البلل الخارج المشتبه، ولكنّه يشكل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بذلك، ولا يمكن رفع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دلّ على نجاسة الخارج قبل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بين الصحيح وبين من قطع ذكره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فالاستبراء طريقي لا 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 الموضوعية، 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قريب جداً عرفاً، خاصة مع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البول ولكنه من الحبائل</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لكن مع لحاظ أن ملاكات الشارع مجهولة لدينا يشكل القطع بذلك،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للإطلاق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ولا ينافي هذا ما سبق في الهامش السابق</w:t>
      </w:r>
      <w:r>
        <w:rPr>
          <w:rStyle w:val="FootnoteAnchor"/>
          <w:rtl w:val="true"/>
        </w:rPr>
        <w:footnoteReference w:id="201"/>
      </w:r>
      <w:r>
        <w:rPr>
          <w:rFonts w:ascii="Amiri" w:hAnsi="Amiri" w:eastAsia="Amiri" w:cs="Amiri"/>
          <w:color w:val="111111"/>
          <w:sz w:val="28"/>
          <w:sz w:val="28"/>
          <w:szCs w:val="28"/>
          <w:rtl w:val="true"/>
          <w:lang w:bidi="ar-SA"/>
        </w:rPr>
        <w:t>من الموضوعية؛ إذ ليس الملاك نقاء المحل، بل أي ملاك فرض فهو يتحقق في السليم والمقطوع على حد سواء، فتأمل</w:t>
      </w:r>
      <w:r>
        <w:rPr>
          <w:rFonts w:eastAsia="Amiri" w:cs="Amiri" w:ascii="Amiri" w:hAnsi="Amiri"/>
          <w:color w:val="111111"/>
          <w:sz w:val="28"/>
          <w:szCs w:val="28"/>
          <w:rtl w:val="true"/>
          <w:lang w:bidi="ar-SA"/>
        </w:rPr>
        <w:t xml:space="preserve">. </w:t>
      </w:r>
      <w:bookmarkStart w:id="83" w:name="pg15737_151478"/>
    </w:p>
    <w:p>
      <w:pPr>
        <w:pStyle w:val="Heading4"/>
        <w:numPr>
          <w:ilvl w:val="3"/>
          <w:numId w:val="1"/>
        </w:numPr>
        <w:rPr/>
      </w:pPr>
      <w:bookmarkStart w:id="84" w:name="__RefHeading___Toc12561620_2142443653"/>
      <w:bookmarkStart w:id="85" w:name="_Toc29"/>
      <w:bookmarkEnd w:id="83"/>
      <w:bookmarkEnd w:id="84"/>
      <w:r>
        <w:rPr>
          <w:rtl w:val="true"/>
        </w:rPr>
        <w:t xml:space="preserve">المسألة </w:t>
      </w:r>
      <w:r>
        <w:rPr/>
        <w:t>93</w:t>
      </w:r>
      <w:r>
        <w:rPr>
          <w:rtl w:val="true"/>
        </w:rPr>
        <w:t xml:space="preserve">: </w:t>
      </w:r>
      <w:r>
        <w:rPr>
          <w:rtl w:val="true"/>
        </w:rPr>
        <w:t>حكم المباشرة في الاستبراء</w:t>
      </w:r>
      <w:bookmarkEnd w:id="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الاستبراء المباشرة فيحصل بمباشرة الزوجة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حشفته فيأتي بما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يقطع بذلك واحتمل الفرق يشكل الحكم بالطهارة،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الأوّلية تقتضي طهارة البلل الخارج المشتبه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أنّ هذا العمل يلزم إجراؤه بأيّ نحو كان، ولا خصوصيّة للشخص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بل يدل عليه فهم الفقهاء</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فإن الروايات بينت الحكم الوضعي، وعجز هذا عن ذلك لا يرفع الحكم الوضعي، كما هو مبناهم في الفقه في أبواب مختلفة، فهو كمثل مَنْ قدر على بعض الخرطات دون بعض، فإن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له، إلاّ أن السبب لم يتحقق فيحكم بنجاسة الخارج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نختار أن أدلَّة الاستبراء شاملة له، إلاّ أنه عاجز عن تحقيق السبب، فيبقى الحكم الوضعي، راجع بحث أن العجز والقدرة ليسا قيدين في التكاليف مطلقاً، أو خصوص الوضعية منها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فالعمدة القطع العرفي بعدم الفرق وتحقق الملاك، بضميمة فهم الفقهاء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bookmarkStart w:id="86" w:name="pg15737_151479"/>
    </w:p>
    <w:p>
      <w:pPr>
        <w:pStyle w:val="Heading4"/>
        <w:numPr>
          <w:ilvl w:val="3"/>
          <w:numId w:val="1"/>
        </w:numPr>
        <w:rPr/>
      </w:pPr>
      <w:bookmarkStart w:id="87" w:name="__RefHeading___Toc12561622_2142443653"/>
      <w:bookmarkStart w:id="88" w:name="_Toc30"/>
      <w:bookmarkEnd w:id="86"/>
      <w:bookmarkEnd w:id="87"/>
      <w:r>
        <w:rPr>
          <w:rtl w:val="true"/>
        </w:rPr>
        <w:t xml:space="preserve">المسألة </w:t>
      </w:r>
      <w:r>
        <w:rPr/>
        <w:t>94</w:t>
      </w:r>
      <w:r>
        <w:rPr>
          <w:rtl w:val="true"/>
        </w:rPr>
        <w:t xml:space="preserve">: </w:t>
      </w:r>
      <w:r>
        <w:rPr>
          <w:rtl w:val="true"/>
        </w:rPr>
        <w:t>الشكّ في الاستبراء</w:t>
      </w:r>
      <w:bookmarkEnd w:id="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الاستبراء يحكم بعدمه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خرجت رطوبة حينئذ ولو بعد الوضوء أو في حال الصلاة يحكم بنجاستها وناقضيتها، فيلزم قطع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وإعادة الوضوء</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2561624_2142443653"/>
      <w:bookmarkStart w:id="90" w:name="_Toc31"/>
      <w:bookmarkEnd w:id="89"/>
      <w:r>
        <w:rPr>
          <w:rtl w:val="true"/>
        </w:rPr>
        <w:t xml:space="preserve">المسألة </w:t>
      </w:r>
      <w:r>
        <w:rPr/>
        <w:t>95</w:t>
      </w:r>
      <w:r>
        <w:rPr>
          <w:rtl w:val="true"/>
        </w:rPr>
        <w:t xml:space="preserve">: </w:t>
      </w:r>
      <w:r>
        <w:rPr>
          <w:rtl w:val="true"/>
        </w:rPr>
        <w:t>كيفيّة الاستبراء</w:t>
      </w:r>
      <w:bookmarkEnd w:id="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الاستبراء أن يمسح من المقعدة إلى أصل القضيب ثلاثاً، ثمّ يضع إبهامه على العانة واصبعه الوسطى تحت الذكر ويمسح بقوّة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آثار عدم الاستبراء وهو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تجاوز محلّه المعتاد، فإنه يحكم بتحققه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تنقطع بنفسها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بعض الكيفيات، مثل وضع الإبهام على العانة والإصبع الوسطى تحت الذكر، وإلاّ فأصل المسحات التسع لازم على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العلم الوجداني بعدم الاستبراء والعلم التعبدي ولو بأدنى مراتبه، راجع مبحث قيام الأُصول مقام القطع الطريقي</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شمولها للمحل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الأصل أو واردة عليه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أن المقدار اللازم في العصر والنتر هو ما يفعله الإنسان حين يريد إفراغ البلاستيك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شيء فيه، </w:t>
      </w:r>
    </w:p>
    <w:p>
      <w:pPr>
        <w:pStyle w:val="BookText"/>
        <w:rPr/>
      </w:pPr>
      <w:r>
        <w:rPr>
          <w:rFonts w:ascii="Amiri" w:hAnsi="Amiri" w:eastAsia="Amiri" w:cs="Amiri"/>
          <w:color w:val="111111"/>
          <w:sz w:val="28"/>
          <w:sz w:val="28"/>
          <w:szCs w:val="28"/>
          <w:rtl w:val="true"/>
          <w:lang w:bidi="ar-SA"/>
        </w:rPr>
        <w:t>إلى رأس القضيب ثلاثاً، ثمّ يعصر الحشفة كالحالب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كيفيّة الاستبراء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كالحليب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فيها خرط ما بين المقعدة والانثيين ثلاث مرات وغمز ما بينهما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استظهره المصنف من المعنى فيه نظر؛ إذ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الذكر، أي ما بين الانثيين،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يعود للأقرب،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يؤيده فهم الفقهاء، وكذا أنه ليس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 وغمز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خرط فقط،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مع الغمز، أي مسح غمزي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السند مجبور بعمل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ينتره ثلاثاً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استظهره المصنف من رجوع الضمير إلى الذكر فيه نظر، بل الظاهر عود الضمير إلى البول، أي يجذب البول بقوة، ولذلك نظائر في اللغة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المدلول عليه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فالضمير يعود للبول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تكون الرواية مجملة ومفسرة بسائر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يعصر أصل ذكره إلى طرفه ثلاث عصرات وينتر طرفه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الجمع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الثانية مجملة وحينئذ تبقى الرواية الأولى والثالثة،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الخرط مستحب والعصر لأصل الذكر واجب، وكونها على مرحلتين مستحبة، بل يحق له أن يخرط الذكر كله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بين الأولى والثالثة فإما يخرط ثم يغمز، أو يعصر وينتر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نقيد الرواية الثانية بالثالثة، فينتر ذكره ثم ينتر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 المصنف لضمير ينتره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فيتخير بين ذلك وبين الرواية الأولى، وهو أن يعصر المقعدة إلى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القاعدة الكلية من أنه إذا ورد سببان اُكتفي بأحدهما في حصول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الإشكالات التفسيرية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اعتباراً؛ إذ لو خرط من المقعدة إلى الأُنثيين انجذب البول إلى الأعلى فصار أقرب للخروج والتنجيس، وهو نقض للغرض</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الجمع بين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الأولى والثانية والثالثة على 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ما قالوا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من أنّه إذا ورد سببان لشيء يُكتفى بأحدهما في حصول المسبّب، كالاكتفاء في القصر بأحد الأمرين من خفاء الأذان وخفاء الجدران، أن يكتفي بأحد الأمرين في المقام من المسح من المقعدة إلى الأنثيين، ومن عصر الذكر من أصله إلى طرفه ونتر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المقام ألزموا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مسلكنا من أنّ القاعدة تقتضي الجمع فالأمر ظاهر، فإنّ الأمر دائر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رفع اليد عن ظهور كلّ شرطية في الانحصار ويكتفي ومن ناحية</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نطرح حديث عبد الملك فيلزم نتر الذكر ثم نتر الطرف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فالأمر يتوقف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نفسر الروايات فقهياً؟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رواية عبد الملك معتبرة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روائياً ودرائياً وأُصولياً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يجمع بين الشرطيتين أُصولياً؟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يختاره المصنف</w:t>
      </w:r>
      <w:r>
        <w:rPr>
          <w:rStyle w:val="FootnoteAnchor"/>
          <w:rtl w:val="true"/>
        </w:rPr>
        <w:footnoteReference w:id="212"/>
      </w:r>
      <w:r>
        <w:rPr>
          <w:rFonts w:ascii="Amiri" w:hAnsi="Amiri" w:eastAsia="Amiri" w:cs="Amiri"/>
          <w:color w:val="111111"/>
          <w:sz w:val="28"/>
          <w:sz w:val="28"/>
          <w:szCs w:val="28"/>
          <w:rtl w:val="true"/>
          <w:lang w:bidi="ar-SA"/>
        </w:rPr>
        <w:t>وهو المختار، والظهور العرفي يساعده، مثل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فكفّر، وإن حنثت فكفّر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 وإن أهداك هدية فاكرمه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بعد التخيير كما سبق في أوائل هذه الصفحة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للجملة الشرطية ظهوران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في الانحصار، وأنه لا علة غيرها، وهذا هو الإطلاق الأوي</w:t>
      </w:r>
      <w:r>
        <w:rPr>
          <w:rFonts w:eastAsia="Amiri" w:cs="Amiri" w:ascii="Amiri" w:hAnsi="Amiri"/>
          <w:color w:val="111111"/>
          <w:sz w:val="28"/>
          <w:szCs w:val="28"/>
          <w:rtl w:val="true"/>
          <w:lang w:bidi="ar-SA"/>
        </w:rPr>
        <w:t xml:space="preserve">. </w:t>
      </w:r>
      <w:bookmarkStart w:id="91" w:name="pg15737_151483"/>
    </w:p>
    <w:p>
      <w:pPr>
        <w:pStyle w:val="Heading4"/>
        <w:numPr>
          <w:ilvl w:val="3"/>
          <w:numId w:val="1"/>
        </w:numPr>
        <w:rPr/>
      </w:pPr>
      <w:bookmarkStart w:id="92" w:name="__RefHeading___Toc12561626_2142443653"/>
      <w:bookmarkStart w:id="93" w:name="_Toc32"/>
      <w:bookmarkEnd w:id="91"/>
      <w:bookmarkEnd w:id="92"/>
      <w:r>
        <w:rPr>
          <w:rtl w:val="true"/>
        </w:rPr>
        <w:t xml:space="preserve">المسألة </w:t>
      </w:r>
      <w:r>
        <w:rPr/>
        <w:t>96</w:t>
      </w:r>
      <w:r>
        <w:rPr>
          <w:rtl w:val="true"/>
        </w:rPr>
        <w:t xml:space="preserve">: </w:t>
      </w:r>
      <w:r>
        <w:rPr>
          <w:rtl w:val="true"/>
        </w:rPr>
        <w:t>لا استبراء على النساء</w:t>
      </w:r>
      <w:bookmarkEnd w:id="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استبراء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الصبر بعد البول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والتنحنح وعصر الفرج عرضاً، والبلل</w:t>
      </w:r>
    </w:p>
    <w:p>
      <w:pPr>
        <w:pStyle w:val="BookText"/>
        <w:rPr/>
      </w:pPr>
      <w:r>
        <w:rPr>
          <w:rFonts w:ascii="Amiri" w:hAnsi="Amiri" w:eastAsia="Amiri" w:cs="Amiri"/>
          <w:color w:val="111111"/>
          <w:sz w:val="28"/>
          <w:sz w:val="28"/>
          <w:szCs w:val="28"/>
          <w:rtl w:val="true"/>
          <w:lang w:bidi="ar-SA"/>
        </w:rPr>
        <w:t>أُخرى قد ذكرنا في محلّه بأنّ مقتضى الصناعة 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المفهومين بمنطوق الآخر، والنتيجة الاكتفاء بأحد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في الاستقلال، وأنها علة تامة لا جزء علة، وهذا هو الإطلاق الواوي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وردت جملتان شرطيتان تعارض الظهوران، فإما أن نرفع اليد عن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علة تامة، أو نرفع اليد عن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 جزء علة فيلزم اجتماعهما، وحيث لا مرجح لأحدهما يصبح الكلام مجملاً، فلا نقطع بوجوب القصر إلاّ بخفاء الأذان والجدران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بناءً على إثبات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وشموله لفتوى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بمقدار تنقطع دريرة البول وذراته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فقصر، فمفهومه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يخف الأذان فلا تقصر، فنقيده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إذا خفيت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تخفَ الجدران فلا تقصر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فنقيده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خفي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الظاهر عرفاً، إذ الظاهر أنَّ كلاً منهما علة تامة للحكم كما سبق مثاله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المقام 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المشتبه الخارج منهنّ طاهر مطلقاً ولو مع ترك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بأحد الأمرين، وبين أن ترفع اليد عن استقلال كلّ من السببين ويلتزم باجتماع كلا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قلت؛ كيف يؤخذ بقاعدة الطهارة والحال أنّ الرطوبة التي تخرج تلاقي البول في المجرى فيحكم عليها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كلّية لهذه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الاستبراء أنّ الرطوبة الخارجة لا تنفعل بالملاقاة مع البول في الداخل، ولولا ذلك لم يكن فرق بين الاستبراء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يبول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أصل ذكره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يرى أن الرجل يشمل المرأة ظاهراً، أو نقول بالاشتراك في التكاليف كما في سائر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فهم الفقهاء والسيرة ولو كان 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المجرى فلا ينجس بالملاقاة؛ لأنه ملاقاة باطني لباطني، بل يحتمل أن البول ليس نجساً في الباطن، فيكون هذا جواباً ثالثاً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لاحتمال أن ذلك في خصوص المستبرئ</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5737_151486"/>
      <w:bookmarkStart w:id="95" w:name="pg15737_151486"/>
      <w:bookmarkEnd w:id="95"/>
    </w:p>
    <w:p>
      <w:pPr>
        <w:pStyle w:val="Heading2"/>
        <w:numPr>
          <w:ilvl w:val="1"/>
          <w:numId w:val="1"/>
        </w:numPr>
        <w:rPr/>
      </w:pPr>
      <w:bookmarkStart w:id="96" w:name="pg15737_151486"/>
      <w:bookmarkStart w:id="97" w:name="__RefHeading___Toc12561628_2142443653"/>
      <w:bookmarkStart w:id="98" w:name="_Toc33"/>
      <w:bookmarkEnd w:id="96"/>
      <w:bookmarkEnd w:id="97"/>
      <w:r>
        <w:rPr>
          <w:rtl w:val="true"/>
        </w:rPr>
        <w:t>فصل</w:t>
      </w:r>
      <w:r>
        <w:rPr>
          <w:rtl w:val="true"/>
        </w:rPr>
        <w:t xml:space="preserve">: </w:t>
      </w:r>
      <w:r>
        <w:rPr>
          <w:rtl w:val="true"/>
        </w:rPr>
        <w:t>في أحكام الوضوء</w:t>
      </w:r>
      <w:bookmarkEnd w:id="9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2561630_2142443653"/>
      <w:bookmarkStart w:id="100" w:name="_Toc34"/>
      <w:bookmarkEnd w:id="99"/>
      <w:r>
        <w:rPr>
          <w:rtl w:val="true"/>
        </w:rPr>
        <w:t>اشارة</w:t>
      </w:r>
      <w:bookmarkEnd w:id="10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5737_151488"/>
      <w:bookmarkStart w:id="102" w:name="pg15737_151488"/>
      <w:bookmarkEnd w:id="102"/>
    </w:p>
    <w:p>
      <w:pPr>
        <w:pStyle w:val="Heading3"/>
        <w:numPr>
          <w:ilvl w:val="2"/>
          <w:numId w:val="1"/>
        </w:numPr>
        <w:rPr/>
      </w:pPr>
      <w:bookmarkStart w:id="103" w:name="pg15737_151488"/>
      <w:bookmarkStart w:id="104" w:name="__RefHeading___Toc12561632_2142443653"/>
      <w:bookmarkStart w:id="105" w:name="_Toc35"/>
      <w:bookmarkEnd w:id="103"/>
      <w:bookmarkEnd w:id="104"/>
      <w:r>
        <w:rPr>
          <w:rtl w:val="true"/>
        </w:rPr>
        <w:t>فصل</w:t>
      </w:r>
      <w:r>
        <w:rPr>
          <w:rtl w:val="true"/>
        </w:rPr>
        <w:t xml:space="preserve">: </w:t>
      </w:r>
      <w:r>
        <w:rPr>
          <w:rtl w:val="true"/>
        </w:rPr>
        <w:t>في أحكام الوضوء</w:t>
      </w:r>
      <w:bookmarkEnd w:id="105"/>
    </w:p>
    <w:p>
      <w:pPr>
        <w:pStyle w:val="Heading4"/>
        <w:numPr>
          <w:ilvl w:val="3"/>
          <w:numId w:val="1"/>
        </w:numPr>
        <w:rPr/>
      </w:pPr>
      <w:bookmarkStart w:id="106" w:name="__RefHeading___Toc12561634_2142443653"/>
      <w:bookmarkStart w:id="107" w:name="_Toc36"/>
      <w:bookmarkEnd w:id="106"/>
      <w:r>
        <w:rPr>
          <w:rtl w:val="true"/>
        </w:rPr>
        <w:t>في ما يجب له الوضوع الأول</w:t>
      </w:r>
      <w:r>
        <w:rPr>
          <w:rtl w:val="true"/>
        </w:rPr>
        <w:t xml:space="preserve">: </w:t>
      </w:r>
      <w:r>
        <w:rPr>
          <w:rtl w:val="true"/>
        </w:rPr>
        <w:t>الصلاة الواجبة</w:t>
      </w:r>
      <w:bookmarkEnd w:id="107"/>
    </w:p>
    <w:p>
      <w:pPr>
        <w:pStyle w:val="BookText"/>
        <w:rPr/>
      </w:pPr>
      <w:r>
        <w:rPr>
          <w:rFonts w:ascii="Amiri" w:hAnsi="Amiri" w:eastAsia="Amiri" w:cs="Amiri"/>
          <w:color w:val="111111"/>
          <w:sz w:val="28"/>
          <w:sz w:val="28"/>
          <w:szCs w:val="28"/>
          <w:rtl w:val="true"/>
          <w:lang w:bidi="ar-SA"/>
        </w:rPr>
        <w:t>في ما يجب له الوضوء وهو أربعة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كما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عليه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وجملة من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كذلك، لوضوحه في أذهان عامة المسلمين، ولو فرض أنه ليس من الضروريات الدينية فهو من الضروريات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فسرت في الرواية بالقيام من النوم</w:t>
      </w:r>
      <w:r>
        <w:rPr>
          <w:rStyle w:val="FootnoteAnchor"/>
          <w:rtl w:val="true"/>
        </w:rPr>
        <w:footnoteReference w:id="219"/>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المصداق، ولعدم القول بالفصل،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المتتبع في مختلف الأحكام المرتبطة بالطهارة يجد عشرات الروايات في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معناه الطهارة الحدثية أو أنه 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حكمها الأجزاء المنسيّة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وسجود السهو على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والصلوات الاحتياطية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الحكم إجماعي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يستدلّ عليه بما دلّ على شرطية الطهارة في الصلاة، حيث إنّ الصلاة عبارة عن الأجزاء، فالمشروط بالطهارة نفس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أنّه يمكن النقاش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بأنّ الصلاة لا تصدق على 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واستدلّ عليه تارة بأنّهما جابرتان للصلاة التي مشروطة بطهارة، وأخرى بأنّ دليل وجوبهما منصرف إلى المشروط بالطهارة، وثالثاً بأنّه موافق للاحتياط، وظاهر أنّ شيئاً من هذه الوجوة لا يرجع إلى محصل صحيح، أمّا كونهما جابرتين فلا يلازم اشتراطهما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به دليلاً، إلاّ أن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يناقش في الإجماعات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منصرفة عن الجزء الخارج، بل هي تشمل الأجزاء الداخلية فقط، إلاّ أن يمنع الانصراف، فتأمل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لَمْ تجب الطهارة في التكبير؛ لأنه لا يصدق عليه الصلاة، وهكذا كل جزء جزء</w:t>
      </w:r>
      <w:r>
        <w:rPr>
          <w:rFonts w:eastAsia="Amiri" w:cs="Amiri" w:ascii="Amiri" w:hAnsi="Amiri"/>
          <w:color w:val="111111"/>
          <w:sz w:val="28"/>
          <w:szCs w:val="28"/>
          <w:rtl w:val="true"/>
          <w:lang w:bidi="ar-SA"/>
        </w:rPr>
        <w:t xml:space="preserve">. </w:t>
      </w:r>
      <w:bookmarkStart w:id="108" w:name="pg15737_151490"/>
    </w:p>
    <w:p>
      <w:pPr>
        <w:pStyle w:val="Heading4"/>
        <w:numPr>
          <w:ilvl w:val="3"/>
          <w:numId w:val="1"/>
        </w:numPr>
        <w:rPr/>
      </w:pPr>
      <w:bookmarkStart w:id="109" w:name="__RefHeading___Toc12561636_2142443653"/>
      <w:bookmarkStart w:id="110" w:name="_Toc37"/>
      <w:bookmarkEnd w:id="108"/>
      <w:bookmarkEnd w:id="109"/>
      <w:r>
        <w:rPr>
          <w:rtl w:val="true"/>
        </w:rPr>
        <w:t>الثاني</w:t>
      </w:r>
      <w:r>
        <w:rPr>
          <w:rtl w:val="true"/>
        </w:rPr>
        <w:t xml:space="preserve">: </w:t>
      </w:r>
      <w:r>
        <w:rPr>
          <w:rtl w:val="true"/>
        </w:rPr>
        <w:t>الطواف</w:t>
      </w:r>
      <w:bookmarkEnd w:id="11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الوضوء شرط في صحّة هذين الأمرين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بما يشترط به المنجبر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الانصراف فلا وجه له، وأمّا الاحتياط فحسن لكنّه غير لازم مع وجود المعذر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عليه الإجماع، ويدلّ عليه ما رواه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يقضي المناسك كلّها على غير وضوء إلاّ الطواف، فإنّ فيه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أفضل</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لسان أدلّتهما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لنا قاعدة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جابر في حكم المنجبر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غموض؛ إذ يحتمل أنه شرع الوضوء لأجل الصلاة لا لذاته، فيمكن أن يطوف ثم يتوضأ ثم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حكمة لا علة،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الاستدلال بغيرها من الروايات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في المركبات ظاهرة في الوضع، وراجع سائر الأدلَّة التي تتناول أحكام من لم يتوضأ وصلى أو أحدث في أثناء الصلاة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11" w:name="pg15737_151491"/>
    </w:p>
    <w:p>
      <w:pPr>
        <w:pStyle w:val="BookText"/>
        <w:rPr/>
      </w:pPr>
      <w:bookmarkEnd w:id="111"/>
      <w:r>
        <w:rPr>
          <w:rFonts w:ascii="Amiri" w:hAnsi="Amiri" w:eastAsia="Amiri" w:cs="Amiri"/>
          <w:color w:val="111111"/>
          <w:sz w:val="28"/>
          <w:sz w:val="28"/>
          <w:szCs w:val="28"/>
          <w:rtl w:val="true"/>
          <w:lang w:bidi="ar-SA"/>
        </w:rPr>
        <w:t>وفي صحّة الصلوات المستحبّة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2561638_2142443653"/>
      <w:bookmarkStart w:id="113" w:name="_Toc38"/>
      <w:bookmarkEnd w:id="112"/>
      <w:r>
        <w:rPr>
          <w:rtl w:val="true"/>
        </w:rPr>
        <w:t>الثالث</w:t>
      </w:r>
      <w:r>
        <w:rPr>
          <w:rtl w:val="true"/>
        </w:rPr>
        <w:t xml:space="preserve">: </w:t>
      </w:r>
      <w:r>
        <w:rPr>
          <w:rtl w:val="true"/>
        </w:rPr>
        <w:t>مسّ كتابة القرآن</w:t>
      </w:r>
      <w:bookmarkEnd w:id="11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شرطية الطهارة في الصلاة، مضافاً إلى أنّه لا خلاف على الظاهر بينهم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لمسّ كتابة القرآن فيما 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مسّها يتوقّف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مسّ المحدث لها، فلا بدّ من تنقيح ذلك أوّلاً،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يستدلّ على حرمة المسّ في حال الحدث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بناء على كون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ومن المطهّرين المطهّرين من الحدث، ولكن حيث إنّه يحتمل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ومن المطهّرين الطهارة من الشرك أو غيره من رذائل النفس، لا يمكن الاستشهاد بها على المدّعى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المعنى ما رواه في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لمّا استخلف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يجب الوضوء لعدم وجوب المس،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وجوب مقدمي للوضوء لعدم وجوب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يتوقف؛ لأن بعض الأدلَّة في خصوص الوضوء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لا ينال معانيه العالية أو بركاته إلاّ الطاهرون </w:t>
      </w:r>
    </w:p>
    <w:p>
      <w:pPr>
        <w:pStyle w:val="BookText"/>
        <w:rPr/>
      </w:pPr>
      <w:r>
        <w:rPr>
          <w:rFonts w:ascii="Amiri" w:hAnsi="Amiri" w:eastAsia="Amiri" w:cs="Amiri"/>
          <w:color w:val="111111"/>
          <w:sz w:val="28"/>
          <w:sz w:val="28"/>
          <w:szCs w:val="28"/>
          <w:rtl w:val="true"/>
          <w:lang w:bidi="ar-SA"/>
        </w:rPr>
        <w:t xml:space="preserve">عمر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إليهم القرآن فيحرفوه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المطهّرون والأوصياء من ولدي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قرأ في المصحف وهو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يمسّ الكتاب</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لا يعتمد عليها لأنّ في سندها أبا بصير، وهو مشترك بين الصحيح والضعيف، ولكن الإشكال في غير محلّه؛ إذ أبو بصير منصرف إلى 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إسماعيل بن أبي عبد اللّه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اقرأ المصحف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على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الكتابة ومسّ الورق فاقرأه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الرذائل</w:t>
      </w:r>
      <w:r>
        <w:rPr>
          <w:rStyle w:val="FootnoteAnchor"/>
          <w:rtl w:val="true"/>
        </w:rPr>
        <w:footnoteReference w:id="228"/>
      </w:r>
      <w:r>
        <w:rPr>
          <w:rFonts w:ascii="Amiri" w:hAnsi="Amiri" w:eastAsia="Amiri" w:cs="Amiri"/>
          <w:color w:val="111111"/>
          <w:sz w:val="28"/>
          <w:sz w:val="28"/>
          <w:szCs w:val="28"/>
          <w:rtl w:val="true"/>
          <w:lang w:bidi="ar-SA"/>
        </w:rPr>
        <w:t xml:space="preserve">، لكن هذا المعنى خلاف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فإنه مرادف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غايتهم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إليه، لا أنه لا يلمس كتابته،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شخصان، لكن المنصرف إليه أحدهما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في الكتابة ثبت المطلوب، </w:t>
      </w:r>
    </w:p>
    <w:p>
      <w:pPr>
        <w:pStyle w:val="BookText"/>
        <w:rPr/>
      </w:pPr>
      <w:r>
        <w:rPr>
          <w:rFonts w:ascii="Amiri" w:hAnsi="Amiri" w:eastAsia="Amiri" w:cs="Amiri"/>
          <w:color w:val="111111"/>
          <w:sz w:val="28"/>
          <w:sz w:val="28"/>
          <w:szCs w:val="28"/>
          <w:rtl w:val="true"/>
          <w:lang w:bidi="ar-SA"/>
        </w:rPr>
        <w:t>واسم الجلالة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وأسمائه</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سأله عن الرجل أيحلّ له أن يكتب القرآن في الألواح والصحيفة وهو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تدلّ على عدم كتابة القرآن على غير وضوء، والمدّعى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 أنّه لا دليل على الحرمة، ولكن مع ذلك لا يمكن الجزم بالجواز، ولا يرضى الفقيه أن يفتي به، فلا بدّ من الاحتياط، ولا يخفى أنّ حديث أبي بصير يكفي لكونه مستنداً للحكم لتمامية 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بفحوى ما دلّ على حرمة مسّ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فلا مجال لهذه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 ثبت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 وكذا في الصفات والأسماء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يتمسك بالأولوية، لكن الحرمة غير ثابتة في موردها فكيف يتعدى عنها؟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الروايات الضعيفة لو قيل إنها مجبورة بالشهرة، وكذا الآية الكريمة</w:t>
      </w:r>
      <w:r>
        <w:rPr>
          <w:rStyle w:val="FootnoteAnchor"/>
          <w:rtl w:val="true"/>
        </w:rPr>
        <w:footnoteReference w:id="230"/>
      </w:r>
      <w:r>
        <w:rPr>
          <w:rFonts w:ascii="Amiri" w:hAnsi="Amiri" w:eastAsia="Amiri" w:cs="Amiri"/>
          <w:color w:val="111111"/>
          <w:sz w:val="28"/>
          <w:sz w:val="28"/>
          <w:szCs w:val="28"/>
          <w:rtl w:val="true"/>
          <w:lang w:bidi="ar-SA"/>
        </w:rPr>
        <w:t>بناءً على الظهور في اللمس المادي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لو ثبت حكم لكلمات اللّه فالأولى أن </w:t>
      </w:r>
    </w:p>
    <w:p>
      <w:pPr>
        <w:pStyle w:val="BookText"/>
        <w:rPr/>
      </w:pPr>
      <w:r>
        <w:rPr>
          <w:rFonts w:ascii="Amiri" w:hAnsi="Amiri" w:eastAsia="Amiri" w:cs="Amiri"/>
          <w:color w:val="111111"/>
          <w:sz w:val="28"/>
          <w:sz w:val="28"/>
          <w:szCs w:val="28"/>
          <w:rtl w:val="true"/>
          <w:lang w:bidi="ar-SA"/>
        </w:rPr>
        <w:t>الخاصّة إذا 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مسّها للإخراج من يد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مزبلة، أو 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أسماء الأنبياء وسيّدة النساء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انطبق على المسّ عنوان راجح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بأنّ متعلّق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أن يكون راجحاً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يثبت لأسمائه تعالى، وهذه الأولوية عرفية،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القيد حتى يثبت الوجوب المقدمي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بوجوبه، أو كان وجوده هتكاً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ينبغي تركه، وكذا فيما بعده</w:t>
      </w:r>
      <w:r>
        <w:rPr>
          <w:rStyle w:val="FootnoteAnchor"/>
          <w:rtl w:val="true"/>
        </w:rPr>
        <w:footnoteReference w:id="231"/>
      </w:r>
      <w:r>
        <w:rPr>
          <w:rFonts w:ascii="Amiri" w:hAnsi="Amiri" w:eastAsia="Amiri" w:cs="Amiri"/>
          <w:color w:val="111111"/>
          <w:sz w:val="28"/>
          <w:sz w:val="28"/>
          <w:szCs w:val="28"/>
          <w:rtl w:val="true"/>
          <w:lang w:bidi="ar-SA"/>
        </w:rPr>
        <w:t>، وأما الملاك فهو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بحث وهو هل أن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أم القرآن؟ ولو قيل بأفضليتهم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يلازم أفضلية أسمائهم،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مس الكتابة راجح في نفسه أو لا؟ لا بد من مراجعة روايات استحباب ذلك؟</w:t>
      </w:r>
    </w:p>
    <w:p>
      <w:pPr>
        <w:pStyle w:val="BookText"/>
        <w:rPr/>
      </w:pPr>
      <w:r>
        <w:rPr>
          <w:rFonts w:ascii="Amiri" w:hAnsi="Amiri" w:eastAsia="Amiri" w:cs="Amiri"/>
          <w:color w:val="111111"/>
          <w:sz w:val="28"/>
          <w:sz w:val="28"/>
          <w:szCs w:val="28"/>
          <w:rtl w:val="true"/>
          <w:lang w:bidi="ar-SA"/>
        </w:rPr>
        <w:t>وأما العنوان الراجح فهو كلمس الأعمى ليقرأ، فتأمل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اشتباه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متعلق النذر فلا بد أن يكون راجحاً في نفسه</w:t>
      </w:r>
      <w:r>
        <w:rPr>
          <w:rFonts w:eastAsia="Amiri" w:cs="Amiri" w:ascii="Amiri" w:hAnsi="Amiri"/>
          <w:color w:val="111111"/>
          <w:sz w:val="28"/>
          <w:szCs w:val="28"/>
          <w:rtl w:val="true"/>
          <w:lang w:bidi="ar-SA"/>
        </w:rPr>
        <w:t xml:space="preserve">. </w:t>
      </w:r>
      <w:bookmarkStart w:id="114" w:name="pg15737_151495"/>
    </w:p>
    <w:p>
      <w:pPr>
        <w:pStyle w:val="Heading4"/>
        <w:numPr>
          <w:ilvl w:val="3"/>
          <w:numId w:val="1"/>
        </w:numPr>
        <w:rPr/>
      </w:pPr>
      <w:bookmarkStart w:id="115" w:name="__RefHeading___Toc12561640_2142443653"/>
      <w:bookmarkStart w:id="116" w:name="_Toc39"/>
      <w:bookmarkEnd w:id="114"/>
      <w:bookmarkEnd w:id="115"/>
      <w:r>
        <w:rPr>
          <w:rtl w:val="true"/>
        </w:rPr>
        <w:t>الرابع</w:t>
      </w:r>
      <w:r>
        <w:rPr>
          <w:rtl w:val="true"/>
        </w:rPr>
        <w:t xml:space="preserve">: </w:t>
      </w:r>
      <w:r>
        <w:rPr>
          <w:rtl w:val="true"/>
        </w:rPr>
        <w:t>النذر وشبهه</w:t>
      </w:r>
      <w:bookmarkEnd w:id="11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والعهد واليمين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يجعل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 في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مطلوب نفساً فلا بدّ من أن يتعلّق النذر أو شبهه بما يكون مشروطاً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يجب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 كالشرط في ضمن العقد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فالغاية هي المحرك الذي يبعث على العمل لتحقيقه، والنذر والعهد وغيرهما سابقة على الوضوء، فلا تكون غاية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الغاية هي الوفاء بالنذر، وهذا بخلاف الوضوء للصلاة، فإنّ الغاية من الوضوء الإتيان بالصلاة التي أمر بها المولى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فالغاية مشروعية المس لا نفس المس؛ إذ نفس المس لا يتوقف على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إذ الغاية هي المس المشروع، كالطواف المشروع، وإلا فنفس الطواف تكويناً لا يتوقف على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جعل الثالث</w:t>
      </w:r>
      <w:r>
        <w:rPr>
          <w:rStyle w:val="FootnoteAnchor"/>
          <w:rtl w:val="true"/>
        </w:rPr>
        <w:footnoteReference w:id="232"/>
      </w:r>
      <w:r>
        <w:rPr>
          <w:rFonts w:ascii="Amiri" w:hAnsi="Amiri" w:eastAsia="Amiri" w:cs="Amiri"/>
          <w:color w:val="111111"/>
          <w:sz w:val="28"/>
          <w:sz w:val="28"/>
          <w:szCs w:val="28"/>
          <w:rtl w:val="true"/>
          <w:lang w:bidi="ar-SA"/>
        </w:rPr>
        <w:t>غاية، كما لا مانع من جعل الغاية في الرابع</w:t>
      </w:r>
      <w:r>
        <w:rPr>
          <w:rStyle w:val="FootnoteAnchor"/>
          <w:rtl w:val="true"/>
        </w:rPr>
        <w:footnoteReference w:id="233"/>
      </w:r>
      <w:r>
        <w:rPr>
          <w:rFonts w:ascii="Amiri" w:hAnsi="Amiri" w:eastAsia="Amiri" w:cs="Amiri"/>
          <w:color w:val="111111"/>
          <w:sz w:val="28"/>
          <w:sz w:val="28"/>
          <w:szCs w:val="28"/>
          <w:rtl w:val="true"/>
          <w:lang w:bidi="ar-SA"/>
        </w:rPr>
        <w:t>الوفاء بالنذر وأخويه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المنذور الحركات الخاصة، بل عبادة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يختلج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بالبال في هذه العجالة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العبادية تتحقّق بالإضافة إلى المولى، إنّما الإشكال في تحقّق النذر كما تقدّم منّا آنفاً، فإنّ الوضوء لو كان راجحاً في نفسه يتحقّق النذر المتعلّق به، وفي الفرض يكفي لتحقّق القربية أن ينوي المكلّف الأمر النذري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العبادات، وحيث إنه ليس واجباً ولا مستحباً نفسياً فليس عبادة، فعباديته تتوقف على قصد غاية مرجحة له، فينذر الوضوء للصلاة، أو الوضوء للكون على الطهارة،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ما يحتمل كونه وجهاً 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فيتوضأ امتثالاً للأمر النذري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لله بقولك</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17" w:name="pg15737_151497"/>
    </w:p>
    <w:p>
      <w:pPr>
        <w:pStyle w:val="Heading3"/>
        <w:numPr>
          <w:ilvl w:val="2"/>
          <w:numId w:val="1"/>
        </w:numPr>
        <w:rPr/>
      </w:pPr>
      <w:bookmarkStart w:id="118" w:name="__RefHeading___Toc12561642_2142443653"/>
      <w:bookmarkStart w:id="119" w:name="_Toc40"/>
      <w:bookmarkEnd w:id="117"/>
      <w:bookmarkEnd w:id="118"/>
      <w:r>
        <w:rPr>
          <w:rtl w:val="true"/>
        </w:rPr>
        <w:t>فصل</w:t>
      </w:r>
      <w:r>
        <w:rPr>
          <w:rtl w:val="true"/>
        </w:rPr>
        <w:t xml:space="preserve">: </w:t>
      </w:r>
      <w:r>
        <w:rPr>
          <w:rtl w:val="true"/>
        </w:rPr>
        <w:t>في موجبات الوضوء ومبطلاته</w:t>
      </w:r>
      <w:bookmarkEnd w:id="119"/>
    </w:p>
    <w:p>
      <w:pPr>
        <w:pStyle w:val="Heading4"/>
        <w:numPr>
          <w:ilvl w:val="3"/>
          <w:numId w:val="1"/>
        </w:numPr>
        <w:rPr/>
      </w:pPr>
      <w:bookmarkStart w:id="120" w:name="__RefHeading___Toc12561644_2142443653"/>
      <w:bookmarkStart w:id="121" w:name="_Toc41"/>
      <w:bookmarkEnd w:id="120"/>
      <w:r>
        <w:rPr>
          <w:rtl w:val="true"/>
        </w:rPr>
        <w:t>الأوّل</w:t>
      </w:r>
      <w:r>
        <w:rPr>
          <w:rtl w:val="true"/>
        </w:rPr>
        <w:t xml:space="preserve">: </w:t>
      </w:r>
      <w:r>
        <w:rPr>
          <w:rtl w:val="true"/>
        </w:rPr>
        <w:t>البول</w:t>
      </w:r>
      <w:bookmarkEnd w:id="121"/>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الوضوء ومبطلاته، وهي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الحكم من المسلّمات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وأبي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طرفيك الأسفلين من الذكر والدبر، من الغائط والبول أو مني أو ريح والنوم حتّى يذهب العقل، وكلّ النوم يكره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تسمع الصوت</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الوضوء ممّا خرج من الطرفين خاصّة، ومن النوم دون سائر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تدعى الضرورة الدينية أو الفقهية على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مبغوض باعتباره ناقضاً، أو المبغوضية الوضعية، إلاّ لو سمع الصوت فإنه لا ينقض</w:t>
      </w:r>
      <w:r>
        <w:rPr>
          <w:rFonts w:eastAsia="Amiri" w:cs="Amiri" w:ascii="Amiri" w:hAnsi="Amiri"/>
          <w:color w:val="111111"/>
          <w:sz w:val="28"/>
          <w:szCs w:val="28"/>
          <w:rtl w:val="true"/>
          <w:lang w:bidi="ar-SA"/>
        </w:rPr>
        <w:t xml:space="preserve">. </w:t>
      </w:r>
      <w:bookmarkStart w:id="122" w:name="pg15737_151498"/>
    </w:p>
    <w:p>
      <w:pPr>
        <w:pStyle w:val="Heading4"/>
        <w:numPr>
          <w:ilvl w:val="3"/>
          <w:numId w:val="1"/>
        </w:numPr>
        <w:rPr/>
      </w:pPr>
      <w:bookmarkStart w:id="123" w:name="__RefHeading___Toc12561646_2142443653"/>
      <w:bookmarkStart w:id="124" w:name="_Toc42"/>
      <w:bookmarkEnd w:id="122"/>
      <w:bookmarkEnd w:id="123"/>
      <w:r>
        <w:rPr>
          <w:rtl w:val="true"/>
        </w:rPr>
        <w:t>الثاني والثالث</w:t>
      </w:r>
      <w:r>
        <w:rPr>
          <w:rtl w:val="true"/>
        </w:rPr>
        <w:t xml:space="preserve">: </w:t>
      </w:r>
      <w:r>
        <w:rPr>
          <w:rtl w:val="true"/>
        </w:rPr>
        <w:t>الغائط والريح</w:t>
      </w:r>
      <w:bookmarkEnd w:id="12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سواء كان له صوت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بما يخرج من قبل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الطرفين هما طريق النجاسة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إجماعي أيضاً،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بين المسلمين، ويدلّ عليه ما رواه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الوضوء إلاّ من غائط أو بول أو ضرطة تسمع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أو فسوة تجد ريحها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الضرطة والفسوة على ما يخرج من قبلها، ولا دليل على ناقضية غيرهما، فإنّ الحصر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جملة من الروايات المتقدّم بعضها يقتضي عدم ناقضية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إضافي مقابل ما تقوله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مقابل الشكوك أو نفخ الشيطان، فالقيد قيد محقق للموضوع، لا أنه احترازي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يكون الطبيعي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الطبيعي فيما نحن فيه قسم واحد، والقرينة فهم الفقهاء والإجماع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الشك، وهو كافٍ في استصحاب الطهارة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يكن حصر لثبت المدعى؛ إذ استصحاب الطهارة جارٍ، وأما استصحاب عدم الناقضية فهو مثبت، فتأمل</w:t>
      </w:r>
      <w:r>
        <w:rPr>
          <w:rFonts w:eastAsia="Amiri" w:cs="Amiri" w:ascii="Amiri" w:hAnsi="Amiri"/>
          <w:color w:val="111111"/>
          <w:sz w:val="28"/>
          <w:szCs w:val="28"/>
          <w:rtl w:val="true"/>
          <w:lang w:bidi="ar-SA"/>
        </w:rPr>
        <w:t xml:space="preserve">. </w:t>
      </w:r>
      <w:bookmarkStart w:id="125" w:name="pg15737_151499"/>
    </w:p>
    <w:p>
      <w:pPr>
        <w:pStyle w:val="Heading4"/>
        <w:numPr>
          <w:ilvl w:val="3"/>
          <w:numId w:val="1"/>
        </w:numPr>
        <w:rPr/>
      </w:pPr>
      <w:bookmarkStart w:id="126" w:name="__RefHeading___Toc12561648_2142443653"/>
      <w:bookmarkStart w:id="127" w:name="_Toc43"/>
      <w:bookmarkEnd w:id="125"/>
      <w:bookmarkEnd w:id="126"/>
      <w:r>
        <w:rPr>
          <w:rtl w:val="true"/>
        </w:rPr>
        <w:t>الرابع</w:t>
      </w:r>
      <w:r>
        <w:rPr>
          <w:rtl w:val="true"/>
        </w:rPr>
        <w:t xml:space="preserve">: </w:t>
      </w:r>
      <w:r>
        <w:rPr>
          <w:rtl w:val="true"/>
        </w:rPr>
        <w:t>النوم</w:t>
      </w:r>
      <w:bookmarkEnd w:id="12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الغالب على السمع والبصر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النوم غير الغالب عليهما لا يصدق عليه النوم فالقيد توضيحي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بأنّه يصدق على غير الغالب عليهما فالقيد احترازي، فإنّ المستفاد من نصوص الباب أنّ النوم ينقض إذا غلب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المروي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الرجل ينام على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النوم بالعقل فليعد الوضوء</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 ما يدلّ على ناقضية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هذه الرواية أنّ النوم بما هو نوم لا يكون ناقضاً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فمن نام وعينه تنظر أو أُذنه تسمع لا يقال إنه نام عرفاً، فهاتان علامتان على تحقق حقيقة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النوم بالعقل</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ولا يبعد التلازم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روايات صريحة في المدعى، فراجع</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احتمالان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تلك الروايات، بل التصريح في بعضها بناقضية النوم، وجعله ناقضاً في قبال ما خرج من الطرفين، كما في رواية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ما خرج من طرفيك أو النوم</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للعمل بإشعار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فهم الفقهاء والضرورة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الأول ملازم للنوم الواقعي دائماً، فعبر بأحد المتلازمين وأُريد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والشق الثاني ملازم لعدم النوم، وإلاّ فكيف يتيقن أنه لم يحدث؟ إلاّ أن يكون بإخبار ولي، مثلاً، وهي حالة نادرة لا يحمل عليها الحديث</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رواية</w:t>
      </w:r>
      <w:r>
        <w:rPr>
          <w:rStyle w:val="FootnoteAnchor"/>
          <w:rtl w:val="true"/>
        </w:rPr>
        <w:footnoteReference w:id="243"/>
      </w:r>
      <w:r>
        <w:rPr>
          <w:rFonts w:ascii="Amiri" w:hAnsi="Amiri" w:eastAsia="Amiri" w:cs="Amiri"/>
          <w:color w:val="111111"/>
          <w:sz w:val="28"/>
          <w:sz w:val="28"/>
          <w:szCs w:val="28"/>
          <w:rtl w:val="true"/>
          <w:lang w:bidi="ar-SA"/>
        </w:rPr>
        <w:t>مجملة لا تصلح للتعارض مع الروايات الصريحة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رواية الكناني المتقدّمة كما هو الظاهر، مضافاً إلى أن ناقضية النوم في الشرع الأقدس غير قابلة للخدش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يعارض تلك الأخبار الدالّة على كون النوم ناقضاً بمضمرة 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الرجل يخفق رأسه وهو في الصلاة قائماً أو راكعاً،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فإنّ الخفقة 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النوم، فيقيّد 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أنّ النوم الغالب على القلب 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أنّه لا اعتبار بمضمرات سماعة فإنّه واقفي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أريد الجمود على القواعد الأصولية فمقتضاها تقييد النوم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يحفظ حدثاً</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ضرورة 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الخفقة مباينة للنوم، فهي من مقدمات النوم، لكن الظاهر الأعمّية، فإنها قد تجامع النوم، ولذا استصحبت الطهارة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المثبتان لا يقيد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لظهور الأدلَّة في المقام في التقييد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ذلك؛ إذ لم يعتقد بإمامة 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يحتمل نقله عنه، فالأولى جعل الملاك جلالة الرواي بحيث لا يروي عن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ولا يخفى أنّه لا يعتمد على هاتين الروايتين؛ لإرسال الأولى وعمل مرسلها بها على 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لا يكون جابراً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ما رواه عمران بن حمران على هذا التفصيل، فإنّه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سمع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وهو جالس لا يتعمّد النوم فلا وضوء عليه</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عمران بن حمران الراوي لهذه الرواية غير موثّق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التفصيل المستفاد من رواية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الرجل هل ينقض وضوءه إذا نام وهو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الجمعة في المسجد فلا وضوء عليه وذلك أنّه في</w:t>
      </w:r>
    </w:p>
    <w:p>
      <w:pPr>
        <w:pStyle w:val="BookText"/>
        <w:rPr/>
      </w:pPr>
      <w:r>
        <w:rPr>
          <w:rFonts w:ascii="Amiri" w:hAnsi="Amiri" w:eastAsia="Amiri" w:cs="Amiri"/>
          <w:color w:val="111111"/>
          <w:sz w:val="28"/>
          <w:sz w:val="28"/>
          <w:szCs w:val="28"/>
          <w:rtl w:val="true"/>
          <w:lang w:bidi="ar-SA"/>
        </w:rPr>
        <w:t>وهل مقصود المصنف احتمال روايته عن رؤساء الوقف الضالين الذين لا يعتمد عليهم؟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ذلك؛ وذلك لضمانه ما روي في الفقيه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معرض عنها، والظاهر أنها صدرت تقية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وليس الراوي من الجلالة بحيث لا يروي إلاّ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28" w:name="pg15737_151503"/>
    </w:p>
    <w:p>
      <w:pPr>
        <w:pStyle w:val="Heading4"/>
        <w:numPr>
          <w:ilvl w:val="3"/>
          <w:numId w:val="1"/>
        </w:numPr>
        <w:rPr/>
      </w:pPr>
      <w:bookmarkStart w:id="129" w:name="__RefHeading___Toc12561650_2142443653"/>
      <w:bookmarkStart w:id="130" w:name="_Toc44"/>
      <w:bookmarkEnd w:id="128"/>
      <w:bookmarkEnd w:id="129"/>
      <w:r>
        <w:rPr>
          <w:rtl w:val="true"/>
        </w:rPr>
        <w:t>الخامس و السادس والسابع</w:t>
      </w:r>
      <w:r>
        <w:rPr>
          <w:rtl w:val="true"/>
        </w:rPr>
        <w:t xml:space="preserve">: </w:t>
      </w:r>
      <w:r>
        <w:rPr>
          <w:rtl w:val="true"/>
        </w:rPr>
        <w:t>الجنون والإغماء والسكر</w:t>
      </w:r>
      <w:bookmarkEnd w:id="13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ضرورة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لا يعتد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سند الرواية من يكون مشتركاً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الموثّق والمجهول فلا يعتمد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متن الرواية لا يخلو عن 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يقال في مدرك ناقضية هذه المذكورات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الخبر، بل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التفصيل</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الاضطراب، 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التقية، فإن الخروج من المسجد خلاف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كالمسجد الحرام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أُقيمت الجمعة وخرج الشخص يحمل ذلك على أنه شيعي، فلو كان الجفاة حاكمين فربما قتلوه لذلك،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المناط مع النوم وفيه تأمّل؛ إذ إنه يشبه القياس، فتأمل</w:t>
      </w:r>
      <w:r>
        <w:rPr>
          <w:rFonts w:eastAsia="Amiri" w:cs="Amiri" w:ascii="Amiri" w:hAnsi="Amiri"/>
          <w:color w:val="111111"/>
          <w:sz w:val="28"/>
          <w:szCs w:val="28"/>
          <w:rtl w:val="true"/>
          <w:lang w:bidi="ar-SA"/>
        </w:rPr>
        <w:t xml:space="preserve">. </w:t>
      </w:r>
      <w:bookmarkStart w:id="131" w:name="pg15737_151504"/>
    </w:p>
    <w:p>
      <w:pPr>
        <w:pStyle w:val="Heading4"/>
        <w:numPr>
          <w:ilvl w:val="3"/>
          <w:numId w:val="1"/>
        </w:numPr>
        <w:rPr/>
      </w:pPr>
      <w:bookmarkStart w:id="132" w:name="__RefHeading___Toc12561652_2142443653"/>
      <w:bookmarkStart w:id="133" w:name="_Toc45"/>
      <w:bookmarkEnd w:id="131"/>
      <w:bookmarkEnd w:id="132"/>
      <w:r>
        <w:rPr>
          <w:rtl w:val="true"/>
        </w:rPr>
        <w:t>الثاني عشر</w:t>
      </w:r>
      <w:r>
        <w:rPr>
          <w:rtl w:val="true"/>
        </w:rPr>
        <w:t xml:space="preserve">: </w:t>
      </w:r>
      <w:r>
        <w:rPr>
          <w:rtl w:val="true"/>
        </w:rPr>
        <w:t>مسّ الميّت</w:t>
      </w:r>
      <w:bookmarkEnd w:id="1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الميّت على الأحوط، وأمّا الجنابة فإنّها وإن</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فعن التهذيب إجماع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يمكن النقاش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هذا الإجماع مع احتمال كون المدرك عندهم أو البعض منهم أحد 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بعض الأخبار الواردة في النوم أنّه ينقض إذا ذهب بالعقل، فيفهم منه أنّ المناط في الناقضية ذهاب العقل بالنوم، فلو نقض بذهابه بالنوم فينقض بذهابه بالجنون والإغماء بالأولويّة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المشار إليها أنّ النوم الناقض هو الذي يوجب ذهاب العقل، وأمّا كون المدار في الناقضية ذهابه فلا تكون الرواية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الوضوء مما خرج من الطرفين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الاحتمال لا يضر كلياً في خصوص المقام؛ لقوة احتمال كونه إجماعاً تعبدياً،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الجنون والإغماء أشد من النوم في إذهاب العقل، فتأمل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w:t>
      </w:r>
      <w:r>
        <w:rPr>
          <w:rStyle w:val="FootnoteAnchor"/>
          <w:rtl w:val="true"/>
        </w:rPr>
        <w:footnoteReference w:id="251"/>
      </w:r>
      <w:r>
        <w:rPr>
          <w:rFonts w:ascii="Amiri" w:hAnsi="Amiri" w:eastAsia="Amiri" w:cs="Amiri"/>
          <w:color w:val="111111"/>
          <w:sz w:val="28"/>
          <w:sz w:val="28"/>
          <w:szCs w:val="28"/>
          <w:rtl w:val="true"/>
          <w:lang w:bidi="ar-SA"/>
        </w:rPr>
        <w:t>في مقام بيان تحديد النوم الناقض، فهو مثل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إن كان متديناً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إكرام كل متديّن</w:t>
      </w:r>
      <w:r>
        <w:rPr>
          <w:rFonts w:eastAsia="Amiri" w:cs="Amiri" w:ascii="Amiri" w:hAnsi="Amiri"/>
          <w:color w:val="111111"/>
          <w:sz w:val="28"/>
          <w:szCs w:val="28"/>
          <w:rtl w:val="true"/>
          <w:lang w:bidi="ar-SA"/>
        </w:rPr>
        <w:t xml:space="preserve">. </w:t>
      </w:r>
      <w:bookmarkStart w:id="134" w:name="pg15737_151505"/>
    </w:p>
    <w:p>
      <w:pPr>
        <w:pStyle w:val="BookText"/>
        <w:rPr/>
      </w:pPr>
      <w:bookmarkEnd w:id="134"/>
      <w:r>
        <w:rPr>
          <w:rFonts w:ascii="Amiri" w:hAnsi="Amiri" w:eastAsia="Amiri" w:cs="Amiri"/>
          <w:color w:val="111111"/>
          <w:sz w:val="28"/>
          <w:sz w:val="28"/>
          <w:szCs w:val="28"/>
          <w:rtl w:val="true"/>
          <w:lang w:bidi="ar-SA"/>
        </w:rPr>
        <w:t>كانت ناقضة للوضوء لكنّها ليست موجبة له، بل موجبة للغسل فقط فيصلّي معه من غير وضوء، وأمّا في الحيض والنفاس والاستحاضة المتوسّطة والكثيرة ومسّ الميّت، فإنّه وإن لزم الغسل لكن يجب معه الوضوء أيضاً للصلاة ونحوها، فلا تصحّ إلاّ بهما معاً على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2561654_2142443653"/>
      <w:bookmarkStart w:id="136" w:name="_Toc46"/>
      <w:bookmarkEnd w:id="135"/>
      <w:r>
        <w:rPr>
          <w:rtl w:val="true"/>
        </w:rPr>
        <w:t xml:space="preserve">المسألة </w:t>
      </w:r>
      <w:r>
        <w:rPr/>
        <w:t>97</w:t>
      </w:r>
      <w:r>
        <w:rPr>
          <w:rtl w:val="true"/>
        </w:rPr>
        <w:t xml:space="preserve">: </w:t>
      </w:r>
      <w:r>
        <w:rPr>
          <w:rtl w:val="true"/>
        </w:rPr>
        <w:t>وجوب تقديم الوضوء في موارد الجمع</w:t>
      </w:r>
      <w:bookmarkEnd w:id="1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الجمع بين الوضوء والغسل وجوب تقديم الوضوء غير معلوم وإن كان 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هذه العلّة في هذه الموارد غير معلوم، بل معلوم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أضف إلى ذلك الإشكال في 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هذا الاحتياط تقدّم الامتثال القطعي</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علامة تحقق النوم، فالنوم هو الناقض في الحقيقة، ويكفينا في المقام الاحتمال، فإنه يبطل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وهذا مبني على أن الأغسال مطلقاً تكفي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أشبه بالحكمة لا العلة،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في العلية،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الإغماء كالنوم، بل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إنه مجبور بالعمل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أن الوضوء مأمور به قبل الغسل، ولعل دليله إطلاقات الأمر بالوضوء بعد انتقاض وضوئه بالنواقض</w:t>
      </w:r>
      <w:r>
        <w:rPr>
          <w:rFonts w:eastAsia="Amiri" w:cs="Amiri" w:ascii="Amiri" w:hAnsi="Amiri"/>
          <w:color w:val="111111"/>
          <w:sz w:val="28"/>
          <w:szCs w:val="28"/>
          <w:rtl w:val="true"/>
          <w:lang w:bidi="ar-SA"/>
        </w:rPr>
        <w:t xml:space="preserve">. </w:t>
      </w:r>
      <w:bookmarkStart w:id="137" w:name="pg15737_151506"/>
    </w:p>
    <w:p>
      <w:pPr>
        <w:pStyle w:val="Heading4"/>
        <w:numPr>
          <w:ilvl w:val="3"/>
          <w:numId w:val="1"/>
        </w:numPr>
        <w:rPr/>
      </w:pPr>
      <w:bookmarkStart w:id="138" w:name="__RefHeading___Toc12561656_2142443653"/>
      <w:bookmarkStart w:id="139" w:name="_Toc47"/>
      <w:bookmarkEnd w:id="137"/>
      <w:bookmarkEnd w:id="138"/>
      <w:r>
        <w:rPr>
          <w:rtl w:val="true"/>
        </w:rPr>
        <w:t xml:space="preserve">المسألة </w:t>
      </w:r>
      <w:r>
        <w:rPr/>
        <w:t>98</w:t>
      </w:r>
      <w:r>
        <w:rPr>
          <w:rtl w:val="true"/>
        </w:rPr>
        <w:t xml:space="preserve">: </w:t>
      </w:r>
      <w:r>
        <w:rPr>
          <w:rtl w:val="true"/>
        </w:rPr>
        <w:t>المدار في حصول هذه النواقض</w:t>
      </w:r>
      <w:bookmarkEnd w:id="1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حصول هذه النواقض على العلم العادي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بالظنّ فضلاً عن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النقض ثمّ الوضوء مع الشكّ فضلاً عن الظنّ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منّا أنّه لا فرق في نظر العقل بين أنواع الامتثال، ولا تقدّم لبعضها على بعضها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لدرك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النقض ثمّ الوضوء فالظاهر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يريد ما يشمل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الأولى تجديد الوضوء رجاءً، أو بنية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التجديد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ذهب أو احتمل، إلى أن النقض لليقين بوضوء جديد حرام، 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تحدث وضوءاً أبداً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أما نقضه لليقين بالحدث فهو نقض لليقين، وحيث احتمل التحريم كان الأولى النقض بالحدث خروجاً عن شبهة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الاحتمال ضعيف جداً، ولم يقل به المشهور، والحرمة حرمة تشريعية لا احتياطية، وقد قرر أن الاحتياط ضد التشريع، فراجع</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اغتسل فإما الوضوء مطلوب منه أو لا؟ فعلى الأول فقد أتى به، وعلى الثاني يكون فعله لغواً، ولا تشريع؛ إذ الاحتياط ضد التشريع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لدرك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احتياط، والاحتياط حسن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لم يفضِ إلى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فيه تحقّق الامتثال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تجديد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رجاءً بلا إبطاله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استفيد من جملة من الروايات أنّها مبغوضة للشارع، فلا يحسن الاحتياط إذا أفضى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زرارة وأبي بصير دلالة على ذلك؛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 يدري كم صلّى ولا ما 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الخبيث من أنفسكم نقض الصلاة فتطمعوه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القطعي وهو مقدم على الاحتمالي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كل تجديد مستحباً، كما لو جدد كل دقيقتين خمسين مرة، فإن الأدلَّة منصرفة عن مثله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مقدمة للحرام، وحينئذ يحصل التزاحم بين المقدمة المستحبة، وذي المقدمة المحرمة، والثاني أولى ترجيحه في نظر العقل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استحباب لمثل هذا الاحتياط، كما لعله يظهر من الرواية</w:t>
      </w:r>
      <w:r>
        <w:rPr>
          <w:rStyle w:val="FootnoteAnchor"/>
          <w:rtl w:val="true"/>
        </w:rPr>
        <w:footnoteReference w:id="255"/>
      </w:r>
      <w:r>
        <w:rPr>
          <w:rFonts w:ascii="Amiri" w:hAnsi="Amiri" w:eastAsia="Amiri" w:cs="Amiri"/>
          <w:color w:val="111111"/>
          <w:sz w:val="28"/>
          <w:sz w:val="28"/>
          <w:szCs w:val="28"/>
          <w:rtl w:val="true"/>
          <w:lang w:bidi="ar-SA"/>
        </w:rPr>
        <w:t>المنقولة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أخيراً أنّه لا يستفاد من الحديث حرمة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المضي،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يكثرن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جمل خبرية، وصيغة نهي، وصيغة أمر، وهي دالة على الوجوب</w:t>
      </w:r>
      <w:r>
        <w:rPr>
          <w:rFonts w:eastAsia="Amiri" w:cs="Amiri" w:ascii="Amiri" w:hAnsi="Amiri"/>
          <w:color w:val="111111"/>
          <w:sz w:val="28"/>
          <w:szCs w:val="28"/>
          <w:rtl w:val="true"/>
          <w:lang w:bidi="ar-SA"/>
        </w:rPr>
        <w:t xml:space="preserve">. </w:t>
      </w:r>
      <w:bookmarkStart w:id="140" w:name="pg15737_151509"/>
    </w:p>
    <w:p>
      <w:pPr>
        <w:pStyle w:val="Heading3"/>
        <w:numPr>
          <w:ilvl w:val="2"/>
          <w:numId w:val="1"/>
        </w:numPr>
        <w:rPr/>
      </w:pPr>
      <w:bookmarkStart w:id="141" w:name="__RefHeading___Toc12561658_2142443653"/>
      <w:bookmarkStart w:id="142" w:name="_Toc48"/>
      <w:bookmarkEnd w:id="140"/>
      <w:bookmarkEnd w:id="141"/>
      <w:r>
        <w:rPr>
          <w:rtl w:val="true"/>
        </w:rPr>
        <w:t>فصل</w:t>
      </w:r>
      <w:r>
        <w:rPr>
          <w:rtl w:val="true"/>
        </w:rPr>
        <w:t xml:space="preserve">: </w:t>
      </w:r>
      <w:r>
        <w:rPr>
          <w:rtl w:val="true"/>
        </w:rPr>
        <w:t>في حقيقة الوضوء</w:t>
      </w:r>
      <w:bookmarkEnd w:id="142"/>
    </w:p>
    <w:p>
      <w:pPr>
        <w:pStyle w:val="Heading4"/>
        <w:numPr>
          <w:ilvl w:val="3"/>
          <w:numId w:val="1"/>
        </w:numPr>
        <w:rPr/>
      </w:pPr>
      <w:bookmarkStart w:id="143" w:name="__RefHeading___Toc12561660_2142443653"/>
      <w:bookmarkStart w:id="144" w:name="_Toc49"/>
      <w:bookmarkEnd w:id="143"/>
      <w:r>
        <w:rPr>
          <w:rtl w:val="true"/>
        </w:rPr>
        <w:t>حقيقة الوضوء</w:t>
      </w:r>
      <w:bookmarkEnd w:id="144"/>
    </w:p>
    <w:p>
      <w:pPr>
        <w:pStyle w:val="BookText"/>
        <w:rPr/>
      </w:pPr>
      <w:r>
        <w:rPr>
          <w:rFonts w:ascii="Amiri" w:hAnsi="Amiri" w:eastAsia="Amiri" w:cs="Amiri"/>
          <w:color w:val="111111"/>
          <w:sz w:val="28"/>
          <w:sz w:val="28"/>
          <w:szCs w:val="28"/>
          <w:rtl w:val="true"/>
          <w:lang w:bidi="ar-SA"/>
        </w:rPr>
        <w:t>في حقيقة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واليدين ومسح الرأس والرجلين، وأمّا غسل الوجه فيجب من قصاص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إجماع علماء الإسلام عليه</w:t>
      </w:r>
      <w:r>
        <w:rPr>
          <w:rStyle w:val="FootnoteAnchor"/>
          <w:rtl w:val="true"/>
        </w:rPr>
        <w:footnoteReference w:id="256"/>
      </w:r>
      <w:r>
        <w:rPr>
          <w:rFonts w:ascii="Amiri" w:hAnsi="Amiri" w:eastAsia="Amiri" w:cs="Amiri"/>
          <w:color w:val="111111"/>
          <w:sz w:val="28"/>
          <w:sz w:val="28"/>
          <w:szCs w:val="28"/>
          <w:rtl w:val="true"/>
          <w:lang w:bidi="ar-SA"/>
        </w:rPr>
        <w:t>، وفي بعض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نظمه في سلك الضروريات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 عليه ما رواه زرارة بن أعين أنّه قال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أخبرني عن حدّ الوجه الذي ينبغي أن يوضّأ الذي قال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قال اللّه وأمر اللّه عزّ وجلّ بغسله الذي لا ينبغي لأحد أن يزيد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ينقص منه إن زاد عليه لم يؤجر وإن نقص منه أثم؛ ما دارت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الوسطى والإبهام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الفقهية والمذهبية والدينية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داخلاً في الحدّ، وإلاّ فالمقدمة العلمية لا بأس بها، بل هي واجبة عقلاً، كما في غير المقام، كالطواف والصوم وغيرهما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بيان الحد الطولي،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الحد العرْضي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قصاص شعر الرأس إلى الذقن، وما جرت عليه الإصبعان مستديراً فهو من الوجه، وما سوى ذلك فليس من الوجه،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رواية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عن زرارة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دارت عليه السبابة والوسطى والإبهام</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لا 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ذكر السبّابة وعدمه، إلاّ أن يراد التخيير بين السبّابة والوسطى، وهذا المعنى مضافاً إلى أنّه خلاف ظاهر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يعبّر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تعبيره بالدوران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الذكر لتلازمهما عادة في الوضع، أما رفع السبابة فهو أمر غير متعارف في معرفة التحديد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فهم الفقهاء، وخلاف السيرة والشهرة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معقول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لذلك في الحكم بعد الظهور المدّعى في السطر الأول</w:t>
      </w:r>
      <w:r>
        <w:rPr>
          <w:rStyle w:val="FootnoteAnchor"/>
          <w:rtl w:val="true"/>
        </w:rPr>
        <w:footnoteReference w:id="259"/>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مدوّر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وبتبعه يكون الوجه مدوّراً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وضع الإصبعان على الوجه المقرّر يحدث دائرة، وأمّا التعبير بالتدوير في الجملة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باعتبار ما ذكر في الجملة الأولى، وإمّا باعتبار تدوير الوجه عرفاً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لغةً مجيء دارت بمعنى أحاطت</w:t>
      </w:r>
      <w:r>
        <w:rPr>
          <w:rStyle w:val="FootnoteAnchor"/>
          <w:rtl w:val="true"/>
        </w:rPr>
        <w:footnoteReference w:id="260"/>
      </w:r>
      <w:r>
        <w:rPr>
          <w:rFonts w:ascii="IRNazanin" w:hAnsi="IRNazanin" w:eastAsia="IRNazanin"/>
          <w:color w:val="111111"/>
          <w:sz w:val="28"/>
          <w:sz w:val="28"/>
          <w:szCs w:val="28"/>
          <w:rtl w:val="true"/>
          <w:lang w:bidi="fa-IR"/>
        </w:rPr>
        <w:t>، فهذا وجه آخر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الإحاطة بالجسم الدائر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فلو وضعت كرة صغيرة في يدك تقول دارت عليها يدي،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الرأس 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وبعض الوجوه قريبة إلى التدوير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مدوراً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الجسم المدور يكون أحد وجوهه مدوراً أيضاً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فلو جمعنا الإصبعين على الناصية وفرقناهما يميناً وشمالاً، ثم جمعناهما عند نهاية الذقن تكون شبه دائرة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باستدارة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اللحيين، بل وباستدارة قصاص الشعر من الناصية إلى العذار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دائرة، وكذا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مجموع النصفين يشكل دائرة كاملة، وعلى هذا فلا يكون هذا الوجه وجهاً في قبال الأول، فإن جمع نصفي الدائرة يشكل دائرة واحدة،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بتفسير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البياضان المكتنفان للناصية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الشعر المنتهي إلى أول الجبهة بإزاء الأنف</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المتدلي بين العين والأُذن مما يلي الأُذن فقط</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شعر الرأس من طرف مقدم الرأس</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الوجه في طرف البدن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النابت على العظم المرتفع على سمت الصماخ ووتد الأُذن، ويتصل أعلاه بالصدغ وأسفله بالعارض</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صدغٌ عذارٌ عارضٌ فَذَقَنُ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الأمر ظاهر ولا مجال لما استشكله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من أربعينه حيث ردّ على المشهور في تفسيرهم للرواية بأنّه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التفسير دخول النزعتين، وهما البياضان المكتنفان بالناصية والصدغان في المحدود الواجب غسله، مع خروج الأولتين عن وجوب الغسل بالإجماع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الآخرين بنصّ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المسترسل عن القدر المحاذي للأُذن إلى الذقن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مواضع التحذيف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يتصل أعلاه بالنزعة وأسفله بالصدغ</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ذلك؛ إذ على كلا التفسيرين يلاحظ المقياس وسط الجبهة، فعلى المشهور نضع الإصبعين على الناصية ثم نفرقهما يميناً وشمالاً حتى يلتقيا عند الذقن، ومن الواضح أنه مع تفريق الإصبعين كذلك لا نصل إلى النزعتين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الشيخ البهائي</w:t>
      </w:r>
      <w:r>
        <w:rPr>
          <w:rStyle w:val="FootnoteAnchor"/>
          <w:rtl w:val="true"/>
        </w:rPr>
        <w:footnoteReference w:id="271"/>
      </w:r>
      <w:r>
        <w:rPr>
          <w:rFonts w:ascii="Amiri" w:hAnsi="Amiri" w:eastAsia="Amiri" w:cs="Amiri"/>
          <w:color w:val="111111"/>
          <w:sz w:val="28"/>
          <w:sz w:val="28"/>
          <w:szCs w:val="28"/>
          <w:rtl w:val="true"/>
          <w:lang w:bidi="ar-SA"/>
        </w:rPr>
        <w:t xml:space="preserve">نضع الوسطى على 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والإبهام على الذقن ونثبت وسطهما، ثم نحركهما حتى تحصل دائرة، ويتبادل مكان الإصبعين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منتهى كل منبت ورد الإشكال على التفسيرين، فتأمل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لبيان الوجه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الواجب غسله هو ما حوته الدائرة الهندسية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قطرها قدر ما بين الإصبعين، وبهذا التحديد تخرج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النزعتان والصدغان عن الحدّ المغسول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خلاف المتفاهم العرفي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لم يتوجّه إليه أحد من الفقهاء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خروج بعض الوجه عن الحدّ؛ لأنّ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الإبهام والوسطى أقلّ ما بين القصاص والذقن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الهندسية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يحصل منها شبه دائرة لا دائرة حقيقية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الدوران نحو الأسفل يوجب ضيق الدائرة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الشيخ البهائي مضطلعاً في الهندسة لما خطر بذهنه هذا المعنى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ولعل الوجوه تختلف،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أنه على طريقة البهائي لا يستوعب ما بين القصاص والذقن؛ إذ لو وضعنا أحد الإصبعين على القصاص لم يصل الآخر إلى الذقن، لكن ذلك خلاف التجربة، إلاّ أن تختلف الوجوه، كما في أن الذراع شبران أو أكثر أو أقل، فراجع التنقيح</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آخر الذقن طولاً وما دار عليه الإبهام والوسطى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أورده على تفسير المشهور من دخول النزعتين والصدغين فيجاب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قصاص الشعر منتهى منبت الشعر من مقدم الرأس فلا يعمّ الناصية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الغاية داخلة في المغيى فالظاهر أنّ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الغسل إلى آخر الذقن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لا يمكن أن يكون ذا أجزاء كما هو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المتفاهم الخارجي في المحاورات خروج الغاية عن المغيى</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النزعة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عدة مبانٍ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في المغيّا، فمعنى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الوجه مع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الذقن لا يتم إلاّ بغسل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فيها خارجة عن المغيّا فلا يجب غسل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مجملة، فلا يجب غسل الذقن أيضاً، للبراءة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معناها النهاية، ولا معنى لكون كل جزء نهاية، إلاّ أن نقول بإمكان التخيير بين الأقل والأكثر، وقد مضى الكلام الإجمالي فيه وسيأتي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جعل الدالّ عليهما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ما جعل الدالّ عليهما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المتفاهم الخارجي فيها دخولها فيه كما 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السمك حتّى رأسها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في الاستعمالات دخولها فيه إذا أُتي بلفظ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باب دوران الأمر بين الأقلّ والأكثر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أنا قد ذكرنا أخيراً أن في مورد دوران الأمر بين الأقل والأكثر الارتباطيين لا يجري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البراءة ولا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الصِّيَامَ إِلَى اللَّيْلِ</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خروج الرأس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ارتباطيين، كما هو 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وجوب الأكثر،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وجوب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متيقن على كل تقدير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إذ لو كان الأكثر واجباً لم يكن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أو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فالواجب هو الأقل لا بشرط، أو الأقل بشرط شيء، وهما متباينان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نستيطع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متيقن على كل تقدير، فلا ينحل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بالتعارض تسقط الأُصول، وتصل النوبة إلى حكم العقل بالاحتياط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العلم الإجمالي لا مانع من جريان الأصل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استصحاب عدم وجوب الأكثر، فإنه معارض باستصحاب عدم وجوب الأقل، وكذا استصحاب عدم جعل وجوب الأكثر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المبنى خلاف المشهور، فراجع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مبنى المصنف حيث إنه يرى جواز إجراء الأُصول في أحد طرفي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فنستطيع إجراء البراءة عن الأكثر، ولو مع وجود العلم الإجمالي غير المنحل، لكنه ناقض ذلك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أنه مع الشك في أنّ المغيّا داخل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جريان البراءة، فالذقن 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نقل بالبراءة فيلزم الاحتياط للعلم الإجمالي، فالذقن داخل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إجراء الأصل في بعض أطراف العلم الإجمالي، فيمكن إخراجه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المقام يكون في المحصّل والمرجع فيه أصالة الاشتغال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المستفاد من جملة من الروايات أنّ الصلاة مشروطة بالطهارة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جملة من الروايات أنّ الطهور عبارة عن 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والتيمم، ففيما رواه زرارة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أصاب الماء وقد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فليتوضأ ما لم يركع، فإن كان قد ركع فليمضِ في صلاته، فإنّ التيمم أحد الطهورين</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الرواية وغيرها أنّ الطهور الذي جعل شرطاً في الصلاة عبارة عن هذه الأفعال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المطلوب إنقاذ ولد المولى، فإن كل مشكوك يجب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نور باطني،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الحركات الخاصة لا الأثر المترتب عليها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أحد الطهورين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مفاده أن الوضوء هو الطهور الآخر، والتيمم هو الحركات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 ولا ينافي ذلك المعنى اللغوي، فإنّ الطهور في اللغة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المصدري،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الغسلات والمسحات،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يتحقّق بهذه الأفعال وتكون هذه الأفعال آلة له، فلا ينحصر في المعنى الآلي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 عن الروايات ووصلت النوبة إلى الأصل العملي فمقتضاه الاكتفاء بما علم وجوبه ولا مجال للاشتغال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وفيه نظر؛ إذ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ولا مشاحة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فإنه يعلم بلزوم الانفعال، إما بالوجوب الشرعي أو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ينحل بذلك العلم الإجمالي بالوجوب الشرعي للمقدمة أو ذيها، كما لو شككنا أن الواجب المولوي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الإتيان بهما معاً، فلا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السلم واجب قطعاً إما بالوجوب الشرعي أو العقلي المقدمي، فينحل العلم الإجمالي إلى أقل متيقن، وأكثر مشكوك، فتجري البراءة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الاكتفاء بما علم وجوبه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فما علم وجوبه الشرعي مردد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يعلم تفصيلاً لكن علم إجمالاً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ويلزم إدخال شيء من أطراف حدّ المذكور في الغسل لتحصيل العلم بغسل تمام المقدار الواجب، بل إدخال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باطن الأنف والشفتين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وداخل العين من الباطن فلا يجب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توقّف العلم بالامتثال وتحقّق ما هو واجب غسله يلزم من باب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شيء من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عدم وجوب غسل ما يكون من الباطن اتفاقي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المضمضة والاستنشاق فريضة ولا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عليك أن تغسل ما ظهر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وجوبه نظر؛ وذلك لغفلة العامة عنه، وعدم التنبيه في الروايات عليه، ولو كان لبان،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فإن المقدمة إما وجودية أو وجوبية أو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المطلوب، وإن ناقش المصنف في الإجماعات مراراً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بيانها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النصوص وإن كان في سندها خدش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أن تورث بمجموعها الوثوق بصدور مضمونها إجمالاً،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مقتضي للزوم غسل الباطن، فإنّ الوجه ظاهر فيما يبدو للناظر كما في اللغة؛ ولذا يصدق النظر إلى وجه من يكون مطبقاً لجفنيه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مجبورة بالعمل، مضافاً لما ذكره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أن الأدلَّة خمسة،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الوضوءات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توجب غسل الظاهر فقط، مما يفيد مجموعها الوثوق،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مجبورة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غسل الوجه دون غسل 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لبان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لجفنيه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وهو يصدق ولو مع عدم غسل باطن العين، ويضاف إلى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عوام الناس يغفلون عن ذلك، فلو كان لازماً لزم التنبيه عليه، كما سبق بيانه قبل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والمدار في القصاص والأصابع على مستوي الخلقة، فلا عبرة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أن يكون الغسل من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في جملة من الكلمات من أنّ الميزان المتعارف من الخلق، فالظاهر أنّ المراد منها ليس ما بنوا عليه في تعيين الكر بالأشبار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المقام لا ينسبق إلى الذهن إلاّ تناسب أعضاء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رعاية تناسب أعضاء كل مكلف بالنسبة إلى المتعارف في صنفه، فلو كان الشخص عملاقاً غير متعارف لكن أصابعه مناسبة لوجهه، فيجب أن يغسل كل وجهه، لا أن يرى الأفراد المتعارفين فيغسل نصف وجهه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الشخص قزماً ضئيلاً ضعيفاً، فلا يلاحظ المتعارف فيغسل إلى خلف الأُذنين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وسيأتي الكلام في مراعاة الأعلى فالأعلى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مسألتين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الماء من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الأعلى فالأعلى، إمّا دقة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كلمات الشارح دمج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المسألتين،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بالأشبار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المقصود هناك الرجوع إلى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نظائر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المعينة بالأقدام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والصوم في المناطق القطبية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مكلّف بالنسبة إلى ما يكون متعارفاً في صنفه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بعض دعوى الاتفاق</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ويمكن أن يستدلّ بما ورد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حكاية 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حكى لنا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بقدح فأخذ كفاً من ماء فأسدله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 ثمّ مسح وجهه من الجانبين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هو العين المتعارفة والأُذان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في باب الحدود والتعزيرات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مشاهدة النجاسة هو المشاهدة المتعارفة لا بالميكروسكوب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الاستهلاك على الاستهلاك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بالعين المتعارفة لا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المتعارف له معنيان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النسبي،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في هذا الصنف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صاحب التنقيح ذلك متسالماً عليه 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العمدة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الاستدلال باعتبار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جميعاً، ثمّ أعاد يده اليسرى في الإناء فأسدلها على يده اليمنى ثمّ مسح جوانبها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استفادة الوجوب ممّا ذكرنا، لأنّه نقل فعل، والفعل أعمّ من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الأصول</w:t>
      </w:r>
      <w:r>
        <w:rPr>
          <w:rStyle w:val="FootnoteAnchor"/>
          <w:rtl w:val="true"/>
        </w:rPr>
        <w:footnoteReference w:id="288"/>
      </w:r>
      <w:r>
        <w:rPr>
          <w:rFonts w:ascii="Amiri" w:hAnsi="Amiri" w:eastAsia="Amiri" w:cs="Amiri"/>
          <w:color w:val="111111"/>
          <w:sz w:val="28"/>
          <w:sz w:val="28"/>
          <w:szCs w:val="28"/>
          <w:rtl w:val="true"/>
          <w:lang w:bidi="ar-SA"/>
        </w:rPr>
        <w:t>، فلعله كان مستحباً أو لعله كان كيفية من الكيفيات، فيكون مباحاً، لكنه خلاف الظاهر؛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سائر الخصوصيات لا يستفاد منها الرجحان،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كفاً لا أكثر ولا أقل، ودعاء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بقدح، لا غير القدح، ولا مباشرته بنفسه بالإتيان،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xml:space="preserve">فقد ذكر أن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الوجوب أو لا فيه أقوال خمسة، واستدل بآية الأُسوة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يلزم تخصيص الأكثر؛ إذ أكثر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العمل بها، فتأمل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الإتيان بما فعله على وجه الوجوب وجوباً، وعلى وجه الندب ندباً، وهكذا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في أنّه يستفاد من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النحو المذكور، وقد نقحنا</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الأصول أنّه لو علم من المولى رجحان فعل ولم يعلم الترخيص في تركه لا بدّ من إتيانه بحكم العقل، وبهذا البيان قرّبنا</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الوجوب من صيغة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في المنتهى والشهيد في الذكرى أنّهما قالا بعد نقل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أنّه قال بعد ما توضّأ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جليّ، ولذا 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ارجح أن تأتي بهذا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على العبد الإتيان، ولا يستحق العقاب عند العقلاء،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شفيع</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في قضية بريرة، مع علمها بحب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 المصنف المناقشة فيه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ثانٍ لاستفادة الوجوب من الرواية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يناقش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بأنّ استفادة الوجوب من الوضوءات البيانية بحكم العقل يتوقّف على عدم دليل على كفاية مطلق الفعل، وحيث إنّ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يقتضي كفاية مطلق الغسل لا مجال لهذا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المناقشة جارية فيما استفيد رجحان القيد بصيغة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أنّه لا شبهة في حمل المطلق على المقيّد في الواجبات، مع أنّ استفادة الوجوب من الصيغة أيضاً بحكم العقل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صيغة الأمر في الوجوب والإلزام ليس قابلاً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مناقشة في الوجه الأول،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الروايتين تدلان على الرجحان، ولو علم رجحان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علم بالترخيص في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إتيانه لازماً عقلاً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الإطلاق مقيد بفعل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حملت جميع أفعاله على الإباحة لمطلقات الإباحة،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وزان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يخصص الإطلاقات كذلك الأول يخصصها،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 والكعبة على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أقوى من المطلقات ظهوراً </w:t>
      </w:r>
    </w:p>
    <w:p>
      <w:pPr>
        <w:pStyle w:val="BookText"/>
        <w:rPr/>
      </w:pPr>
      <w:r>
        <w:rPr>
          <w:rFonts w:ascii="Amiri" w:hAnsi="Amiri" w:eastAsia="Amiri" w:cs="Amiri"/>
          <w:color w:val="111111"/>
          <w:sz w:val="28"/>
          <w:sz w:val="28"/>
          <w:szCs w:val="28"/>
          <w:rtl w:val="true"/>
          <w:lang w:bidi="ar-SA"/>
        </w:rPr>
        <w:t>للإنكار، ومعه لا مجال لهذه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للزوم كون الغسل من الأعلى إلى الأسفل مع رعاية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فالأعلى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ما رواه أبو جرير الرقّاشي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أتوضأ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تعمق في الوضوء، ولا تلطم وجهك بالماء لطماً، ولكن اغسله من أعلى وجهك إلى أسفله بالماء مسحاً، وكذلك فامسح الماء على ذراعيك ورأسك وقدميك</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بخلاف الفعل،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ترتبط بالبحث الثاني</w:t>
      </w:r>
      <w:r>
        <w:rPr>
          <w:rStyle w:val="FootnoteAnchor"/>
          <w:rtl w:val="true"/>
        </w:rPr>
        <w:footnoteReference w:id="296"/>
      </w:r>
      <w:r>
        <w:rPr>
          <w:rFonts w:ascii="Amiri" w:hAnsi="Amiri" w:eastAsia="Amiri" w:cs="Amiri"/>
          <w:color w:val="111111"/>
          <w:sz w:val="28"/>
          <w:sz w:val="28"/>
          <w:szCs w:val="28"/>
          <w:rtl w:val="true"/>
          <w:lang w:bidi="ar-SA"/>
        </w:rPr>
        <w:t>لا بما نحن فيه، وفي العبارات اضطراب من حيث تأييد الوجوب تارةً ونفيه تارةً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وجوب الغسل من الأعلى، فهو مضافاً إلى دعوى الإجماع، والوضوءات البيانية بالتقريبين المتقدمين، وارتكاز المتشرعة فإنهم يستنكرون ذلك، فإن هذه الرواية تدل على 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الرواية</w:t>
      </w:r>
      <w:r>
        <w:rPr>
          <w:rStyle w:val="FootnoteAnchor"/>
          <w:rtl w:val="true"/>
        </w:rPr>
        <w:footnoteReference w:id="297"/>
      </w:r>
      <w:r>
        <w:rPr>
          <w:rFonts w:ascii="Amiri" w:hAnsi="Amiri" w:eastAsia="Amiri" w:cs="Amiri"/>
          <w:color w:val="111111"/>
          <w:sz w:val="28"/>
          <w:sz w:val="28"/>
          <w:szCs w:val="28"/>
          <w:rtl w:val="true"/>
          <w:lang w:bidi="ar-SA"/>
        </w:rPr>
        <w:t>تدل على المبحثين معاً، كما أن الوضوءات البيانية مشعرة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دلّ الدليل من الخارج على كفاية الغسل، ولو لم يكن بالمسح فإنّ الإجماع، بل التسالم بينهم يقتضي كفاية الغسل بلا تحقّقه في ضمن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أبا جرير الواقع في سند الرواية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فلا يعتمد على روايته، وعليه لا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على لزوم غسل الأعلى فالأعلى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دفع إشكال على أن رواية الرقاشي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من أعلى وجهك إلى أسفله بالماء مسحاً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مع أن المسح غير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مجبورة بالعمل، وهل الشهرة في المقام عملية أو فتوائية؟ وهل هنالك فرق بينهما؟ راجع بحث الشهرة في الأُصول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المطلب الثاني</w:t>
      </w:r>
      <w:r>
        <w:rPr>
          <w:rStyle w:val="FootnoteAnchor"/>
          <w:rtl w:val="true"/>
        </w:rPr>
        <w:footnoteReference w:id="300"/>
      </w:r>
      <w:r>
        <w:rPr>
          <w:rFonts w:ascii="Amiri" w:hAnsi="Amiri" w:eastAsia="Amiri" w:cs="Amiri"/>
          <w:color w:val="111111"/>
          <w:sz w:val="28"/>
          <w:sz w:val="28"/>
          <w:szCs w:val="28"/>
          <w:rtl w:val="true"/>
          <w:lang w:bidi="ar-SA"/>
        </w:rPr>
        <w:t>، وهذا شروع في المبحث الثاني، فالأدلَّة عليه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الرقاشي، إلاّ أنها ضعيفة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الوضوءات البيانية، وهي لا تدل إلاّ على المبحث الأول</w:t>
      </w:r>
      <w:r>
        <w:rPr>
          <w:rStyle w:val="FootnoteAnchor"/>
          <w:rtl w:val="true"/>
        </w:rPr>
        <w:footnoteReference w:id="301"/>
      </w:r>
      <w:r>
        <w:rPr>
          <w:rFonts w:ascii="Amiri" w:hAnsi="Amiri" w:eastAsia="Amiri" w:cs="Amiri"/>
          <w:color w:val="111111"/>
          <w:sz w:val="28"/>
          <w:sz w:val="28"/>
          <w:szCs w:val="28"/>
          <w:rtl w:val="true"/>
          <w:lang w:bidi="ar-SA"/>
        </w:rPr>
        <w:t>، وفيه ما سبق من أنها مشعرة بالثاني أيضاً،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ما ذكرناه هنا كان تبعاً لسيّدنا الأُستاذ، ورجعنا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المقالة ولا نلتزم بأنّ الوجوب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المستفاد من صيغة الأمر بلحاظ الظهور العرفي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الأمر تدلّ على أنّ المولى في مقام إظهار جعل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في ذمّة المكلّف وبعثه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الإطلاق المقامي يقتضي ذلك؛ إذ بقيّة الدواعي تحتاج إلى مؤونة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أثر لهذا الرجوع في المقام؛ إذ الروايات البيانية ظاهرة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لفظاً، بل عملاً، فلا ثمرة لهذا البحث العلمي في كيفية استفادة الوجوب من صيغة الأمر، وهل أنه بحكم العقل أو بالظهور اللفظي؟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يفهم العرف الوجوب بغض النظر عن مسألة الرجحان وملازمته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لزومياً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مؤونة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باعتبار أنه بعث إنشائي بداعي البعث الواقعي، لا مؤونة فيه، بخلاف البعث الإنشائي بداعي السخرية، فإن فيه </w:t>
      </w:r>
    </w:p>
    <w:p>
      <w:pPr>
        <w:pStyle w:val="BookText"/>
        <w:rPr/>
      </w:pPr>
      <w:r>
        <w:rPr>
          <w:rFonts w:ascii="Amiri" w:hAnsi="Amiri" w:eastAsia="Amiri" w:cs="Amiri"/>
          <w:color w:val="111111"/>
          <w:sz w:val="28"/>
          <w:sz w:val="28"/>
          <w:szCs w:val="28"/>
          <w:rtl w:val="true"/>
          <w:lang w:bidi="ar-SA"/>
        </w:rPr>
        <w:t xml:space="preserve">وفي المقام حيث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الوضوء المقرّر من قبل الشارع يلزم الأخذ بجميع الخصوصيات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 لزوم رعاية الأعلى فالأعلى يستفاد من مجموع النصوص بلا إشكال، لاحظ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ألا أحكي لكم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فدعا بقعب فيه شيء من ماء فوضعه بين يديه، ثمّ حسر عن ذراعيه ثمّ غمس فيه كفّه اليمنى،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إذا كانت الكفّ طاهرة، ثمّ غرف ملؤها ماء فوضعها على جبينه،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وسدله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أطراف لحيته ثم أمّر يده على وجهه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تعملاً، ولا ربط لذلك بالإطلاق المقامي،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بعث، وسائر الدواعي بعث بداعي كذا،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الوضوء اللازم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في مقام بيان الوضوء الذي توضأه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هكذا، ولا يلزم رعاية الخصوصيات المذكورة فيه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الغمس واليمين وملؤ اليد والوضع على الجبين وغير ذلك،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خرجت بالدليل، فتأمل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 الماء على أطراف لحيته، فتأمل ولاحظ الكيفية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وضع وجهه في حوض مثلاً، ولكن نوى البدأة بالأعلى وحرّكه بحيث جرى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رعاية الأعلى فالأعلى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دعوى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رعاية الأعلى، بالإضافة إلى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على الرعاية واستنكار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المجلسي أنه نسب هذا الحكم إلى اتفاق الأصحاب، وعن الشهيد الثاني أنّ هذا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الجريان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الوضع كان على الجبين، والسدل وأمرّ، كلها ظاهرة في كونه من الأعلى، لكن هنا تأملٌ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وضع الماء على أعلى الجبين؟ فلو كان كذلك للزم إعمال دقة وعناية إضافية،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مجمل، فلعل ذلك مقدمة الوضوء لا نفس الوضوء، والأعلى يستفاد من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عادة يناقش في الاتفاقات فكيف قبله في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منها الأعلى فالأعلى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الجريان ولو بمعين، كاليد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الجريان بنفسه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لزوم للجريان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معروف بين الفقهاء، ولا سيما المتأخرين، ويمكن أن يستدلّ عليه بالكتاب والسنّة حيث دلاّ على لزوم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في مفهومه لغة وعرفاً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يرفع اليد عمّا يقتضي إجراء الماء بما رواه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الوضوء حدّ من حدود اللّه ليعلم اللّه من يطيعه ومن يعصيه، وأنّ المؤمن لا ينجسه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إنّما يكفيه مثل الدهن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فإنّه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وجه الشبه أنّه</w:t>
      </w:r>
    </w:p>
    <w:p>
      <w:pPr>
        <w:pStyle w:val="BookText"/>
        <w:rPr/>
      </w:pPr>
      <w:r>
        <w:rPr>
          <w:rFonts w:ascii="Amiri" w:hAnsi="Amiri" w:eastAsia="Amiri" w:cs="Amiri"/>
          <w:color w:val="111111"/>
          <w:sz w:val="28"/>
          <w:sz w:val="28"/>
          <w:szCs w:val="28"/>
          <w:rtl w:val="true"/>
          <w:lang w:bidi="ar-SA"/>
        </w:rPr>
        <w:t>وظاهر المشهور أو القدر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لكن فيه نظر، فإن الروايات</w:t>
      </w:r>
      <w:r>
        <w:rPr>
          <w:rStyle w:val="FootnoteAnchor"/>
          <w:rtl w:val="true"/>
        </w:rPr>
        <w:footnoteReference w:id="305"/>
      </w:r>
      <w:r>
        <w:rPr>
          <w:rFonts w:ascii="Amiri" w:hAnsi="Amiri" w:eastAsia="Amiri" w:cs="Amiri"/>
          <w:color w:val="111111"/>
          <w:sz w:val="28"/>
          <w:sz w:val="28"/>
          <w:szCs w:val="28"/>
          <w:rtl w:val="true"/>
          <w:lang w:bidi="ar-SA"/>
        </w:rPr>
        <w:t>اللاحقة وسّعت في مفهوم الغسل، واعتبرت مثل الدهن غسلاً، فيكفي ذلك، ولا إبهام في الروايات عرفاً حتى نضطر للتأويل ونبحث عن وجه للجمع، أو نطرح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القادمة</w:t>
      </w:r>
      <w:r>
        <w:rPr>
          <w:rStyle w:val="FootnoteAnchor"/>
          <w:rtl w:val="true"/>
        </w:rPr>
        <w:footnoteReference w:id="306"/>
      </w:r>
      <w:r>
        <w:rPr>
          <w:rFonts w:ascii="Amiri" w:hAnsi="Amiri" w:eastAsia="Amiri" w:cs="Amiri"/>
          <w:color w:val="111111"/>
          <w:sz w:val="28"/>
          <w:sz w:val="28"/>
          <w:szCs w:val="28"/>
          <w:rtl w:val="true"/>
          <w:lang w:bidi="ar-SA"/>
        </w:rPr>
        <w:t>حاكمة وموسعة، أو هي ملحقة لما لا يجري بالغسل حكماً؛ وإن لم تكن توسعة 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نجاسة ذاتية كالكفر، فالقضية ليست رفعاً لنجاسة، بل هي مجرد اختبار للطاعة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إجمال في الرواية حتى يبحث عن تأويل، فلو اُعطيت هذه الرواية للعرف فهم منها كفاية مجرد الإمساس كالدهن، ولو </w:t>
      </w:r>
    </w:p>
    <w:p>
      <w:pPr>
        <w:pStyle w:val="BookText"/>
        <w:rPr/>
      </w:pPr>
      <w:r>
        <w:rPr>
          <w:rFonts w:ascii="Amiri" w:hAnsi="Amiri" w:eastAsia="Amiri" w:cs="Amiri"/>
          <w:color w:val="111111"/>
          <w:sz w:val="28"/>
          <w:sz w:val="28"/>
          <w:szCs w:val="28"/>
          <w:rtl w:val="true"/>
          <w:lang w:bidi="ar-SA"/>
        </w:rPr>
        <w:t>لا يلزم في الغسل أزيد من مسمّى بحيث يسيل ويقع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الجنابة والوضوء يجزي منه ما أجزأ من الدهن الذي يبلّ الجسد</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أنّه لا 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الرواية على هذا المعنى، وإلاّ يرفع اليد عنها؛ إذ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منها ما ينافي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الغسل يكون مخالفاً للكتاب والسنّة، فلا بدّ من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ذكرنا أنّ المرجح منحصر في الأحدثية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لإلغاء</w:t>
      </w:r>
    </w:p>
    <w:p>
      <w:pPr>
        <w:pStyle w:val="BookText"/>
        <w:rPr/>
      </w:pPr>
      <w:r>
        <w:rPr>
          <w:rFonts w:ascii="Amiri" w:hAnsi="Amiri" w:eastAsia="Amiri" w:cs="Amiri"/>
          <w:color w:val="111111"/>
          <w:sz w:val="28"/>
          <w:sz w:val="28"/>
          <w:szCs w:val="28"/>
          <w:rtl w:val="true"/>
          <w:lang w:bidi="ar-SA"/>
        </w:rPr>
        <w:t>كان بحيث لا يجري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شهادة فيه؛ إذ لا شك في لزوم البلل، وإنما الكلام في الجريان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لزوم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في الرواية</w:t>
      </w:r>
      <w:r>
        <w:rPr>
          <w:rStyle w:val="FootnoteAnchor"/>
          <w:rtl w:val="true"/>
        </w:rPr>
        <w:footnoteReference w:id="308"/>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منافية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منافية للسنة المتواترة فتطرح لمجرد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منافية لسائر الروايات، والكتاب مرجح لسائر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بل هي حكومة أو إلحاق حكمي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أنها ليست مرجحاً فكيف بانحصارها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الأعلى إلى الذقن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يكفي لو أجرى الماء على وجهه منكوساً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الأعلى برجوعه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يجب غسل</w:t>
      </w:r>
    </w:p>
    <w:p>
      <w:pPr>
        <w:pStyle w:val="BookText"/>
        <w:rPr/>
      </w:pPr>
      <w:r>
        <w:rPr>
          <w:rFonts w:ascii="Amiri" w:hAnsi="Amiri" w:eastAsia="Amiri" w:cs="Amiri"/>
          <w:color w:val="111111"/>
          <w:sz w:val="28"/>
          <w:sz w:val="28"/>
          <w:szCs w:val="28"/>
          <w:rtl w:val="true"/>
          <w:lang w:bidi="ar-SA"/>
        </w:rPr>
        <w:t>الحديث كونه مخالفاً مع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لزوم المسح، بل يكفي الغسل من أعلى بأيّ وجه كان لاقتضاء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ما هو مأمور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الأعلى إلى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بصنبور الماء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الإجراء، ولا تكفي النية عند الرجوع؛ وذلك لأنه يكون منوياً، وأما نفس الرجوع فليس عملاً اختيارياً، وإنما يكون اختيارياً بالنية حين الإجراء،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السنة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بالإجماع والتسالم والرواية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p>
    <w:p>
      <w:pPr>
        <w:pStyle w:val="BookText"/>
        <w:rPr/>
      </w:pP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ينطبق عليه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الغسل، والعمل يستند إليه، فإنه اختياري باختيارية مقدماته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البشرة المستورة بالشعر النابت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في ذلك شعر اللحية والحاجب وأشفار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مرئيّة بين خلال الشعر لتباعد منابته وجب غسلها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 أحاط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الشعر فليس للعباد أن يطلبوه ولا يبحثوا عنه ولكن يجري عليه الماء</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تقدّم وللتنصيص على اللحية فيما رواه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يتوضأ أيبطن لحيته؟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صدق الغسل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فكونها مرئية أو غير مرئية ليس ملاكاً؛ ولذا أطلق في الرواية السابقة</w:t>
      </w:r>
      <w:r>
        <w:rPr>
          <w:rStyle w:val="FootnoteAnchor"/>
          <w:rtl w:val="true"/>
        </w:rPr>
        <w:footnoteReference w:id="31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عرفاً، كما لو أمر الطبيب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المُحاطية والمستورية مترادفان، أو بينهما تباين جزئي؟ فلو كان كذلك لزم تغيير التعبير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حدود صدق الغسل عرفاً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يشمل المحيطة وغير المحيطة، واللحى مختلفة </w:t>
      </w:r>
    </w:p>
    <w:p>
      <w:pPr>
        <w:pStyle w:val="BookText"/>
        <w:rPr/>
      </w:pPr>
      <w:r>
        <w:rPr>
          <w:rFonts w:ascii="Amiri" w:hAnsi="Amiri" w:eastAsia="Amiri" w:cs="Amiri"/>
          <w:color w:val="111111"/>
          <w:sz w:val="28"/>
          <w:sz w:val="28"/>
          <w:szCs w:val="28"/>
          <w:rtl w:val="true"/>
          <w:lang w:bidi="ar-SA"/>
        </w:rPr>
        <w:t>وأمّا غسل اليدين فيجب من المرفق، وهو مجمع عظمي الذراع والعضد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المرفق، ففي بعض الكلمات أنّه المفصل أو الموصل على اختلاف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منصرف للمتعارف، فاللحى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بينها فجوات تُرى البشرة من خلالها وعادة لا تخلل،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عظمي الذراع والعضد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يطرح هذا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التفسير اللغوي يقبل الاحتياط؟</w:t>
      </w:r>
    </w:p>
    <w:p>
      <w:pPr>
        <w:pStyle w:val="BookText"/>
        <w:rPr/>
      </w:pPr>
      <w:r>
        <w:rPr>
          <w:rFonts w:ascii="Amiri" w:hAnsi="Amiri" w:eastAsia="Amiri" w:cs="Amiri"/>
          <w:color w:val="111111"/>
          <w:sz w:val="28"/>
          <w:sz w:val="28"/>
          <w:szCs w:val="28"/>
          <w:rtl w:val="true"/>
          <w:lang w:bidi="ar-SA"/>
        </w:rPr>
        <w:t>ويحتمل 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الفاصل، فإنه هو الذي يفهمه العرف، وهو أمر مرئي محسوس واضح، بخلاف سائر التعاريف، فإنها لا تخلو من غموض عرفاً، إلاّ لمن اتقن فن التشريح،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التنقيح</w:t>
      </w:r>
      <w:r>
        <w:rPr>
          <w:rStyle w:val="FootnoteAnchor"/>
          <w:rtl w:val="true"/>
        </w:rPr>
        <w:footnoteReference w:id="315"/>
      </w:r>
      <w:r>
        <w:rPr>
          <w:rFonts w:ascii="Amiri" w:hAnsi="Amiri" w:eastAsia="Amiri" w:cs="Amiri"/>
          <w:color w:val="111111"/>
          <w:sz w:val="28"/>
          <w:sz w:val="28"/>
          <w:szCs w:val="28"/>
          <w:rtl w:val="true"/>
          <w:lang w:bidi="ar-SA"/>
        </w:rPr>
        <w:t>معاني ثلاثة للمفصل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الخط الوهمي الفاصل بين عظم الذراع المحاط بعظمي العضد المحيطين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عظم الذراع المتداخل في عظمي العضد،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الساعة</w:t>
      </w:r>
    </w:p>
    <w:p>
      <w:pPr>
        <w:pStyle w:val="BookText"/>
        <w:rPr/>
      </w:pPr>
      <w:r>
        <w:rPr>
          <w:rFonts w:ascii="Amiri" w:hAnsi="Amiri" w:eastAsia="Amiri" w:cs="Amiri"/>
          <w:color w:val="111111"/>
          <w:sz w:val="28"/>
          <w:sz w:val="28"/>
          <w:szCs w:val="28"/>
          <w:rtl w:val="true"/>
          <w:lang w:bidi="ar-SA"/>
        </w:rPr>
        <w:t>الداخل في العضد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مجموع العظام الثلاثة، وقد اختاره صاحب العروة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أريد من هذا التعبير الحدّ المشترك بين الطرفين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أنّه على هذا المعنى لا مجال لوقوع النزاع في وجوب غسله وعدمه؛ إذ الحدّ المشترك بين الطرفين ليس إلاّ أمراً موهوماً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الكلمات تفسيره بالعضد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w:t>
      </w:r>
      <w:r>
        <w:rPr>
          <w:rStyle w:val="FootnoteAnchor"/>
          <w:rtl w:val="true"/>
        </w:rPr>
        <w:footnoteReference w:id="317"/>
      </w:r>
      <w:r>
        <w:rPr>
          <w:rFonts w:ascii="Amiri" w:hAnsi="Amiri" w:eastAsia="Amiri" w:cs="Amiri"/>
          <w:color w:val="111111"/>
          <w:sz w:val="28"/>
          <w:sz w:val="28"/>
          <w:szCs w:val="28"/>
          <w:rtl w:val="true"/>
          <w:lang w:bidi="ar-SA"/>
        </w:rPr>
        <w:t>ذكر أقوالاً خمسة، وما ذكره المصنف هنا لا يخلو من غموض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الذراع والعضد، على ما في الفقه</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الخط الموهوم المشترك بين سطحي الذراع والعضد،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يوجد هنالك حد مشترك بين الأشياء،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فرضتم جدارين في غرفة فهل هنالك حدّ مشترك بينهما؟ فكل شيء فرضتم فإما هو داخل في هذا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بحث النقطة والخط والسطح أن الأشياء لا نهاية لها؛ إذ كل شيء فرضتم يمكن تجزئته إلى شيئين،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 المراد بالحد المشترك العرفي، وهو الخط الملحوظ في باطن الذراع الذي ينثني عنده الذراع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ولم أجده فيما لديّ، ولعل في </w:t>
      </w:r>
    </w:p>
    <w:p>
      <w:pPr>
        <w:pStyle w:val="BookText"/>
        <w:rPr/>
      </w:pPr>
      <w:r>
        <w:rPr>
          <w:rFonts w:ascii="Amiri" w:hAnsi="Amiri" w:eastAsia="Amiri" w:cs="Amiri"/>
          <w:color w:val="111111"/>
          <w:sz w:val="28"/>
          <w:sz w:val="28"/>
          <w:szCs w:val="28"/>
          <w:rtl w:val="true"/>
          <w:lang w:bidi="ar-SA"/>
        </w:rPr>
        <w:t>مدخلاً له في المغسول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يلزم غسل شيء من العضد مُقدّمة</w:t>
      </w:r>
    </w:p>
    <w:p>
      <w:pPr>
        <w:pStyle w:val="BookText"/>
        <w:rPr/>
      </w:pPr>
      <w:r>
        <w:rPr>
          <w:rFonts w:ascii="Amiri" w:hAnsi="Amiri" w:eastAsia="Amiri" w:cs="Amiri"/>
          <w:color w:val="111111"/>
          <w:sz w:val="28"/>
          <w:sz w:val="28"/>
          <w:szCs w:val="28"/>
          <w:rtl w:val="true"/>
          <w:lang w:bidi="ar-SA"/>
        </w:rPr>
        <w:t>ولا يخفى أنّ النزاع فيه يترتّب عليه أثر عملي، خلافاً لما في بعض الكلمات من عدم ترتّب أثر عليه بدعوى ظهور اتّفاقهم على وجوب غسل تمام البشرة المستديرة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موضع التواصل والتداخل بين العظمين بأيّ معنى أخذ المرفق إلى آخر كلامه، فإنّ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المقام ولا أقلّ من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يستفاد من هذه الروايات أنّ غسل المرفق لازم، فلو شكّ في المراد منه يكون الشكّ بين الأقلّ والأكثر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 والتحرير والتذكرة وكشف اللثام وغيرها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w:t>
      </w:r>
      <w:r>
        <w:rPr>
          <w:rStyle w:val="FootnoteAnchor"/>
          <w:rtl w:val="true"/>
        </w:rPr>
        <w:footnoteReference w:id="319"/>
      </w:r>
      <w:r>
        <w:rPr>
          <w:rFonts w:ascii="Amiri" w:hAnsi="Amiri" w:eastAsia="Amiri" w:cs="Amiri"/>
          <w:color w:val="111111"/>
          <w:sz w:val="28"/>
          <w:sz w:val="28"/>
          <w:szCs w:val="28"/>
          <w:rtl w:val="true"/>
          <w:lang w:bidi="ar-SA"/>
        </w:rPr>
        <w:t>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إجماع، وأما احتمال الاستناد فلا يضر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أقوال اللغويين أو إلى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المذكورة هنا</w:t>
      </w:r>
      <w:r>
        <w:rPr>
          <w:rStyle w:val="FootnoteAnchor"/>
          <w:rtl w:val="true"/>
        </w:rPr>
        <w:footnoteReference w:id="320"/>
      </w:r>
      <w:r>
        <w:rPr>
          <w:rFonts w:ascii="Amiri" w:hAnsi="Amiri" w:eastAsia="Amiri" w:cs="Amiri"/>
          <w:color w:val="111111"/>
          <w:sz w:val="28"/>
          <w:sz w:val="28"/>
          <w:szCs w:val="28"/>
          <w:rtl w:val="true"/>
          <w:lang w:bidi="ar-SA"/>
        </w:rPr>
        <w:t>لوجوب غسل المرفق هي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الآية والنصوص المتضمّنة لذكر المرفق متضمناً لحرف الغاية كرواية زرارة، فلا تصلح لإثباته لو لم تصلح لنفيه، بناء على كون الأصل الخروج في مدخولها، فتكون الرواية 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الخلاف</w:t>
      </w:r>
      <w:r>
        <w:rPr>
          <w:rStyle w:val="FootnoteAnchor"/>
          <w:rtl w:val="true"/>
        </w:rPr>
        <w:footnoteReference w:id="321"/>
      </w:r>
      <w:r>
        <w:rPr>
          <w:rFonts w:ascii="Amiri" w:hAnsi="Amiri" w:eastAsia="Amiri" w:cs="Amiri"/>
          <w:color w:val="111111"/>
          <w:sz w:val="28"/>
          <w:sz w:val="28"/>
          <w:szCs w:val="28"/>
          <w:rtl w:val="true"/>
          <w:lang w:bidi="ar-SA"/>
        </w:rPr>
        <w:t>التي جعلها الشيخ كالصحيح، وقد وذكر المصنف المناقشة فيها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على المرفق</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والآية التي تضمنت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وحال الإجماع معلوم عند المصنف، لكن يمكن ادعاء تواتر نقله،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كان من باب المقدمة العلمية، وليس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سيأتي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فيما يلزم غسله بالأصالة، والرجحان سبق التأمل في أصله وفي دلالته على الوجوب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بيّن، فإن الأصل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التي يبني </w:t>
      </w:r>
    </w:p>
    <w:p>
      <w:pPr>
        <w:pStyle w:val="BookText"/>
        <w:rPr/>
      </w:pPr>
      <w:r>
        <w:rPr>
          <w:rFonts w:ascii="Amiri" w:hAnsi="Amiri" w:eastAsia="Amiri" w:cs="Amiri"/>
          <w:color w:val="111111"/>
          <w:sz w:val="28"/>
          <w:sz w:val="28"/>
          <w:szCs w:val="28"/>
          <w:rtl w:val="true"/>
          <w:lang w:bidi="ar-SA"/>
        </w:rPr>
        <w:t>لحصول اليقين بغسل تمام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الابتداء من المرفقين إلى رؤوس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التي تدلّ على لزوم غسل المرفق، ومقتضى الصناعة لزوم العمل بهذه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ما علم وجوب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قول المشهور جملة من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الهيثم بن عروة التميمي،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العقلاء عليها لولا المعارض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هنا إلى الساعة الثانية عشرة، ثم قام دليل معتبر على أن الغاية داخلة لم يعد معارضاً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تعارض غير مستقر، والعرف يجمع بينهما بأن اللفظ هنا لم يرد ظاهره، وعليه فلا تجري قوانين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عدم لزوم غسل المرفق</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المقدمة العلمية، 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والطواف وغيرهما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ادعاء الضرورة الفقهية عليه، بل هو من </w:t>
      </w:r>
    </w:p>
    <w:p>
      <w:pPr>
        <w:pStyle w:val="BookText"/>
        <w:rPr/>
      </w:pPr>
      <w:r>
        <w:rPr>
          <w:rFonts w:ascii="Amiri" w:hAnsi="Amiri" w:eastAsia="Amiri" w:cs="Amiri"/>
          <w:color w:val="111111"/>
          <w:sz w:val="28"/>
          <w:sz w:val="28"/>
          <w:szCs w:val="28"/>
          <w:rtl w:val="true"/>
          <w:lang w:bidi="ar-SA"/>
        </w:rPr>
        <w:t>ولا 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أنّ المتواتر في القراءة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مطروحة، لأنّه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بالتنزيل المراد أي أريد من الآية الابتداء في الغسل من المرفق، فلا تنافي الرواية القراءة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هذا المعنى من الآية الشريفة لا</w:t>
      </w:r>
    </w:p>
    <w:p>
      <w:pPr>
        <w:pStyle w:val="BookText"/>
        <w:rPr/>
      </w:pPr>
      <w:r>
        <w:rPr>
          <w:rFonts w:ascii="Amiri" w:hAnsi="Amiri" w:eastAsia="Amiri" w:cs="Amiri"/>
          <w:color w:val="111111"/>
          <w:sz w:val="28"/>
          <w:sz w:val="28"/>
          <w:szCs w:val="28"/>
          <w:rtl w:val="true"/>
          <w:lang w:bidi="ar-SA"/>
        </w:rPr>
        <w:t>الواضحات حتى عند العوام، وما عن الشهيد وغيره</w:t>
      </w:r>
      <w:r>
        <w:rPr>
          <w:rStyle w:val="FootnoteAnchor"/>
          <w:rtl w:val="true"/>
        </w:rPr>
        <w:footnoteReference w:id="328"/>
      </w:r>
      <w:r>
        <w:rPr>
          <w:rFonts w:ascii="Amiri" w:hAnsi="Amiri" w:eastAsia="Amiri" w:cs="Amiri"/>
          <w:color w:val="111111"/>
          <w:sz w:val="28"/>
          <w:sz w:val="28"/>
          <w:szCs w:val="28"/>
          <w:rtl w:val="true"/>
          <w:lang w:bidi="ar-SA"/>
        </w:rPr>
        <w:t>لا يقدح في ذلك فلعله بشبهةٍ حصلت لهم، ويحتمل كون النقل عنهم غير صحيح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الشارح أنّ السيرة قائمة على ذلك</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ثلاثة إشكالات على الرواية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خلاف 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خلاف رواية إسماعيل بن جابر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جداً، والأولى التشكيك في التواتر، إلاّ أنه مشكل جداً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لبيان حد المغسول، لا اتجاه الغسل، وهو أمر عرفي يفهمه كل أحدٍ،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 الغرفة إلى منتصفها، واغسل رجلي الطفلة إلى الركبة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تحتاج إلى تفسير وتأويل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رواية ابن عروة أنّ الآية وإن كانت مطلقة ولكن المراد منها الغسل الخاصّ، أي المبتدأ به من المرفق إلى الأسفل فلا تنافي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 بعلي بن يقطين إلى الرشيد،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فامتحنه الرشيد من حيث لا يشعر، فلمّا نظر إلى وضوئه ناداه كذب يا علي بن يقطين من زعم أنّك من الرافضة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تفسير العيّاشي عن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أيديكم إلى المرافق، فكيف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 يأخذ الماء بيده اليمنى فيصبّه في اليسرى، ثمّ يفضّه على المرفق ثمّ يمسح إلى الكفّ،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آخر فعل وإلاّ فلا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تنافي بين المطلق والمقيد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تبوؤوا مناصب من الشيعة متعددون، ومنهم أيضاً عبد اللّه بن سنان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منه بنية الوضوء، وإلاّ فلا بأس به في حد ذاته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النحو المذكور في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عكس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قطع بعض يده اكتفى بغسل ما بقي من محلّ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يغسل من الأعلى إلى الأسفل مع رعاية الأعلى فالأعلى، ويدلّ عليه ما تقدّم في رواية ابن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ما عن العيّاشي كما هو ظاهر، أضف إلى ذلك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في تقريب المدّعى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وفيه أنّه على فرض حصوله محتمل المدرك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ضعفها سنداً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فعل ولا تدل على الوجوب، بل الجواز، فالأولى الاستدلال بارتكاز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ذلك لزم سقوط الوضوء والتيمم؛ إذ المفروض أن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فيكون فاقد الطهورين،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الأداء، فلا يصلي أداءً مطلقاً، وهذا منكر في أذهان المتشرعة، ولو قيل بسقوط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الأداء أو القضاء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كما سيأتي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محتمل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ذلك لا يضر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القطع أثناء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كي يقطع بوجوب الغسل ثمّ الشكّ فيه، فالدليل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اليد ليس واجباً استقلالياً كي يستصحب وجوبه، وإنّما الواجب الصلاة مع الوضوء، والوضوء بتمامه واجب بالوجوب المقدّمي العقلي، فلا 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المقام، لاحظ ما رواه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الأقطع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مجبورة بالعمل،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بالوجوب المعلق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أنه حكم عقلي، والاستصحاب لا يجري فيه، كما بينه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تقريب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الغسل واجب مقدمي لحصول اغسل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ليس مقدمة لذلك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النفسي غير محقق، والوجوب المقدمي إنما يتحقق في فرض المقدمية لغسل كل الأعضاء، ولا مقدمية مع قطع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يغسل ما قطع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ولاحظ ما رواه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قطعت يده من المرفق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بياناً للموصول، وإلاّ كان المناسب أن يقال يغسل عضده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قطع منه المقطوع،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منه لا المقطوع، وهو وإن كان يشمل ما فوق الذراع إلاّ أن القدر المتيقن هو المقدار الواجب غسله لولا القطع، فليس للرواية الشريفة 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عضده، ومع الفرض لا يضر، لما سبق أن المرفق مركب من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وشيء من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عضده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السؤال أن المرفق بقي، حيث إن القطع ابتدأ من المرفق، فالمرفق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قطع المرفق تاماً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 المصنف أن الجار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مبتدئاً من العضد ما بقي، وإنما ابتدأ من العضد للمقدمة العلمية،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قطع جميعه اكتفى بغسل سائر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حديثان آخران أحدهما ما رواه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اليد والرجل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اليد والرجل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المكان الذي قطع منه</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إمّا يكونان قابلين للجمع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حديث عليّ بن جعفر وإمّا لا يكونان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فيما أفاده أنّه يستفاد من النصوص</w:t>
      </w:r>
    </w:p>
    <w:p>
      <w:pPr>
        <w:pStyle w:val="BookText"/>
        <w:rPr/>
      </w:pPr>
      <w:r>
        <w:rPr>
          <w:rFonts w:ascii="Amiri" w:hAnsi="Amiri" w:eastAsia="Amiri" w:cs="Amiri"/>
          <w:color w:val="111111"/>
          <w:sz w:val="28"/>
          <w:sz w:val="28"/>
          <w:szCs w:val="28"/>
          <w:rtl w:val="true"/>
          <w:lang w:bidi="ar-SA"/>
        </w:rPr>
        <w:t>والأولى ما ذكرناه، من أن المرفق يحتوي على شيء من العضد، فلا يضر انتخاب أي من الاحتمالات الثلاثة،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أي عضده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 عضده ما بقي،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يغسل المقدار الذي كان واجباً غسله قبل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للإشكال؛ إذ وزان هاتين وزان الروايات السابقة</w:t>
      </w:r>
      <w:r>
        <w:rPr>
          <w:rStyle w:val="FootnoteAnchor"/>
          <w:rtl w:val="true"/>
        </w:rPr>
        <w:footnoteReference w:id="342"/>
      </w:r>
      <w:r>
        <w:rPr>
          <w:rFonts w:ascii="Amiri" w:hAnsi="Amiri" w:eastAsia="Amiri" w:cs="Amiri"/>
          <w:color w:val="111111"/>
          <w:sz w:val="28"/>
          <w:sz w:val="28"/>
          <w:szCs w:val="28"/>
          <w:rtl w:val="true"/>
          <w:lang w:bidi="ar-SA"/>
        </w:rPr>
        <w:t>فلا فرق لتلاحظ النسبة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المطلوب أيضاً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استنكار المتشرعة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له يد زائدة أو إصبع كذلك أو لحم نابت دون المرفق وجب 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لو كان فوق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 إليها اعتبار قاعدة الميسور في المقام، بتقريب أنّ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أنّ الشارع الأقدس اكتفى بغسل ما بقي وجعله بدلا عن الكلّ، والإنصاف أنّ الجزم بالتقريب المذكور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قاعدة لا تسقط الصلاة بحال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وجوب الصلاة واكتفاء الشارع بها بلا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الاحتياط الإتيان بغسل ما بقي من الأعضاء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بالصلاة، واللّه العالم بحقائق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بعض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قطع بعض عضوٍ أو عضو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المصنف في القاعدة</w:t>
      </w:r>
      <w:r>
        <w:rPr>
          <w:rStyle w:val="FootnoteAnchor"/>
          <w:rtl w:val="true"/>
        </w:rPr>
        <w:footnoteReference w:id="343"/>
      </w:r>
      <w:r>
        <w:rPr>
          <w:rFonts w:ascii="Amiri" w:hAnsi="Amiri" w:eastAsia="Amiri" w:cs="Amiri"/>
          <w:color w:val="111111"/>
          <w:sz w:val="28"/>
          <w:sz w:val="28"/>
          <w:szCs w:val="28"/>
          <w:rtl w:val="true"/>
          <w:lang w:bidi="ar-SA"/>
        </w:rPr>
        <w:t xml:space="preserve">ثم أقرّها، وهي من 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الطهورين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ذلك مبني على الاحتياط، لو لم نفهم البدلية عرفاً، ولم نعتبر قاعدة الميسور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الأخوين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له أن يدع شيئاً إلى المرفقين إلاّ غسله</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والأحوط غسل الشعر هنا مع البشرة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بالأدلّة الأولية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غسل اليد إلى المرفق يقتضي غسل هذا المقدار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غسل البشرة ولو مع تكاثف الشعر كما هو مقتضى إطلاق العبارة، فالظاهر أنّ منشأه قصور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دلّ على كفاية غسل الشعر عن غسل البشرة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ما رواه الصدوق في الفقيه في باب حدّ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بن أعين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أخبرني عن حدّ الوجه الذي ينبغي أن يوضّأ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وجوب غسل البشرة فيما لو صدق غسل اليد بدون غسلها، كما في البشرة المحاطة بالشعر الكثيف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يتأمل فيه باعتبار أن الأدلَّة تنصرف للمتعارف، وهذا غير متعارف في مثل اليد الزائدة واللحم غير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فتنصرف الأدلَّة عنه، وأما غسل ما تحته فهو غير مقدور، فتأمل</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قصور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منشؤه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عرفاً فيما لو كان الشعر محيطاً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هذه الفقرة وقعت في ضمن مباحث </w:t>
      </w:r>
    </w:p>
    <w:p>
      <w:pPr>
        <w:pStyle w:val="BookText"/>
        <w:rPr/>
      </w:pPr>
      <w:r>
        <w:rPr>
          <w:rFonts w:ascii="Amiri" w:hAnsi="Amiri" w:eastAsia="Amiri" w:cs="Amiri"/>
          <w:color w:val="111111"/>
          <w:sz w:val="28"/>
          <w:sz w:val="28"/>
          <w:szCs w:val="28"/>
          <w:rtl w:val="true"/>
          <w:lang w:bidi="ar-SA"/>
        </w:rPr>
        <w:t>ولا يجب إزالة الوسخ الكائن تحت الأظفار ما لم يكن تجاوز</w:t>
      </w:r>
    </w:p>
    <w:p>
      <w:pPr>
        <w:pStyle w:val="BookText"/>
        <w:rPr/>
      </w:pPr>
      <w:r>
        <w:rPr>
          <w:rFonts w:ascii="Amiri" w:hAnsi="Amiri" w:eastAsia="Amiri" w:cs="Amiri"/>
          <w:color w:val="111111"/>
          <w:sz w:val="28"/>
          <w:sz w:val="28"/>
          <w:szCs w:val="28"/>
          <w:rtl w:val="true"/>
          <w:lang w:bidi="ar-SA"/>
        </w:rPr>
        <w:t>به من الشعر فليس على العباد أن يطلبوه ولا يبحثوا عنه ولكن يجري عليه الماء</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يشكل الجزم بالإطلاق؛ إذ لا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عن حكم الشعر، فيلزم بحسب الصناعة الاحتياط لا سيما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الوجه، وبعدها جاءت مسائل غسل اليدين، فلا ينعقد لها ظهور في العموم، فإنه محتمل القرينية، وهو قادح في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خصوص المورد لا يخصص الوارد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خصوص الوارد لا خصوص المورد،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 قوي جداً أن الرواية مقتطعة، فهل من المتصور أن يأتي أحد للفقيه ويبتدئ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ما كان تحت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الوضوء ونحوه؟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الأمر يرتبط بالطهارة، التي هي شرط واقعي في الصلاة، التي هي عمود 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القدر المتعارف</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بأنّه من الباطن فلا يجب غسله، وبجملة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المضمضة والاستنشاق فريضة ولا سنّة، إنّما عليك أن تغسل ما ظهر</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 الظاهر، وإلاّ فالباطن لا يجب غسله مطلقاً، وإن كان خارجاً عن المتعارف، فالماتن جعل الملاك هو كونه متعارفاً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فالملاك مركب من الظهور والخروج عن المتعارف، والصور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غير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غير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يدعى التلازم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التعارف والبطون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التعارف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ما ذكره الماتن، والمسألة بحاجة إلى تأمل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التلازم بين المتعارف والبطون، وكذا الاستدلال بالروايات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الصحيح لجملة من النصوص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لو قصّ الظفر فظهر الوسخ وجب إزالته وغسل موضعه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ما دلّ على عدم وجوب غسل الباطن مع تعدّده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السند فلا يعتمد عليه، ولكن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الوسخ تحت الظفر لو لم يكن خارجاً عن المتعارف أمر متعارف شائع بين أصناف المكلّفين، ولم يدلّ على لزوم إزالته، ولم يقع في الروايات سؤال عن حكمه، يعلم عدم وجوب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الأوّلية وعدم جريان ما تقدّم فيه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اليسير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يدّعى جبره بالعمل أو الفتوى،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في المقام أربعة،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الباطن الذي لا يجب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متعارف، ولو كان لازم الإزالة لنُبّه عليه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غسل اليدين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المقامي في الوضوءات البيانية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لزوم الاستيعاب، وفيه تأمل</w:t>
      </w:r>
      <w:r>
        <w:rPr>
          <w:rStyle w:val="FootnoteAnchor"/>
          <w:rtl w:val="true"/>
        </w:rPr>
        <w:footnoteReference w:id="351"/>
      </w:r>
      <w:r>
        <w:rPr>
          <w:rFonts w:ascii="Amiri" w:hAnsi="Amiri" w:eastAsia="Amiri" w:cs="Amiri"/>
          <w:color w:val="111111"/>
          <w:sz w:val="28"/>
          <w:sz w:val="28"/>
          <w:szCs w:val="28"/>
          <w:rtl w:val="true"/>
          <w:lang w:bidi="ar-SA"/>
        </w:rPr>
        <w:t>، فالحكم مبني على الاحتياط</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ويجب استيعاب الغسل لجميع أجزاء الوجه واليدين بحيث لا يترك شيء منها بلا غسل، ولو مقدار مكان شعرة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فيها مانع عن وصول الماء وجب رفعه أو تحريكه بحيث يصل الماء إلى محلّ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مسح الرأس فيجب مسح شيء من الربع المقدّم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 الشيخ هذه الرواية على ما نقل عنه في الوسائل على</w:t>
      </w:r>
    </w:p>
    <w:p>
      <w:pPr>
        <w:pStyle w:val="BookText"/>
        <w:rPr/>
      </w:pPr>
      <w:r>
        <w:rPr>
          <w:rFonts w:ascii="Amiri" w:hAnsi="Amiri" w:eastAsia="Amiri" w:cs="Amiri"/>
          <w:color w:val="111111"/>
          <w:sz w:val="28"/>
          <w:sz w:val="28"/>
          <w:szCs w:val="28"/>
          <w:rtl w:val="true"/>
          <w:lang w:bidi="ar-SA"/>
        </w:rPr>
        <w:t>وقد يدعى تعارف مثل هذه الأوساخ لو كانت يسيرة خاصة في الّذين يعملون في الطين وأمثاله،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الرواية</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أبي أيوب،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الرأس على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الشريفة وإن كان هو مسح المقدم إلاّ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مقابل المؤخر واليمين واليسار، ولذا فهو يساوق الربع المقدم معنىً، كما ذكره الشارح، وفهم الفقهاء وسيرة المتشرعة دليلان آخران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الوجودية ومع الشك يحتمل كون المقدمة 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التقيّة، ويرد عليه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تعارض بين هذه الرواية وتلك الروايات حتّى تحمل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ليست مطابقة لفتوى العامّة، فإنّ العامّة ما بين قائل بوجوب مسح تمام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رفع اليد عنها بإعراض المشهور عنها فلا يتمّ على مسلكنا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وهن الخبر الموثّق بالإعراض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ليس دقياً عقلياً، بل عرفياً، والظاهر أنه محقق، وما ذكره</w:t>
      </w:r>
      <w:r>
        <w:rPr>
          <w:rStyle w:val="FootnoteAnchor"/>
          <w:rtl w:val="true"/>
        </w:rPr>
        <w:footnoteReference w:id="355"/>
      </w:r>
      <w:r>
        <w:rPr>
          <w:rFonts w:ascii="Amiri" w:hAnsi="Amiri" w:eastAsia="Amiri" w:cs="Amiri"/>
          <w:color w:val="111111"/>
          <w:sz w:val="28"/>
          <w:sz w:val="28"/>
          <w:szCs w:val="28"/>
          <w:rtl w:val="true"/>
          <w:lang w:bidi="ar-SA"/>
        </w:rPr>
        <w:t xml:space="preserve">من الجمع ليس بعرفي، ويدل على ذلك أنه على ما ذكره المصنف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مقدمه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لغواً؛ إذ كان يكفي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إقحام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مقام شك في المقدم كي يكون دفعاً للتوهم، لاحظ أقوال العامّة</w:t>
      </w:r>
      <w:r>
        <w:rPr>
          <w:rStyle w:val="FootnoteAnchor"/>
          <w:rtl w:val="true"/>
        </w:rPr>
        <w:footnoteReference w:id="357"/>
      </w:r>
      <w:r>
        <w:rPr>
          <w:rFonts w:ascii="IRNazanin" w:hAnsi="IRNazanin" w:eastAsia="IRNazanin"/>
          <w:color w:val="111111"/>
          <w:sz w:val="28"/>
          <w:sz w:val="28"/>
          <w:szCs w:val="28"/>
          <w:rtl w:val="true"/>
          <w:lang w:bidi="fa-IR"/>
        </w:rPr>
        <w:t>فلعله للاستحباب،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ملاحظة الفقه الحاكم، ولا يشترط مطابقة كافة العامة في التقية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المبنى نظر</w:t>
      </w:r>
      <w:r>
        <w:rPr>
          <w:rStyle w:val="FootnoteAnchor"/>
          <w:rtl w:val="true"/>
        </w:rPr>
        <w:footnoteReference w:id="358"/>
      </w:r>
      <w:r>
        <w:rPr>
          <w:rFonts w:ascii="Amiri" w:hAnsi="Amiri" w:eastAsia="Amiri" w:cs="Amiri"/>
          <w:color w:val="111111"/>
          <w:sz w:val="28"/>
          <w:sz w:val="28"/>
          <w:szCs w:val="28"/>
          <w:rtl w:val="true"/>
          <w:lang w:bidi="ar-SA"/>
        </w:rPr>
        <w:t xml:space="preserve">، ومع الفرض فالمسألة مسألة </w:t>
      </w:r>
    </w:p>
    <w:p>
      <w:pPr>
        <w:pStyle w:val="BookText"/>
        <w:rPr/>
      </w:pPr>
      <w:r>
        <w:rPr>
          <w:rFonts w:ascii="Amiri" w:hAnsi="Amiri" w:eastAsia="Amiri" w:cs="Amiri"/>
          <w:color w:val="111111"/>
          <w:sz w:val="28"/>
          <w:sz w:val="28"/>
          <w:szCs w:val="28"/>
          <w:rtl w:val="true"/>
          <w:lang w:bidi="ar-SA"/>
        </w:rPr>
        <w:t>بما يسمّى مسحاً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من أنّ الاكتفاء بإصبع واحد في مسح الرأس والرجلين لا ينافي ما ذكر؛ لأنّه يمكن أن يكون بياناً لأقلّ ما يتحقّق به المسح، لا إلزامه بالخصوص ولو تحقّق بأقلّ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يدلّ على المدّعى ما رواه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تخبرني من أين 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وبعض الرجلين،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به الكتاب من اللّه عزّ وجلّ؛ لأنّ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كلّه ينبغي أن يغسل،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اليدين إلى المرفقين بالوجه فعرفنا أنّه ينبغي لهما أن يغسلا إلى المرفقين، ثمّ فصل بين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لمكان الباء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تسالم، وقد قبله المصنف سابقاً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كطرف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بإصبع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المسح بطرف الإصبع،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بإصبع مقابل الكل لا مقابل طرف الإصبع فهو إضافي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التنقيح</w:t>
      </w:r>
      <w:r>
        <w:rPr>
          <w:rStyle w:val="FootnoteAnchor"/>
          <w:rtl w:val="true"/>
        </w:rPr>
        <w:footnoteReference w:id="360"/>
      </w:r>
      <w:r>
        <w:rPr>
          <w:rFonts w:ascii="IRNazanin" w:hAnsi="IRNazanin" w:eastAsia="IRNazanin"/>
          <w:color w:val="111111"/>
          <w:sz w:val="28"/>
          <w:sz w:val="28"/>
          <w:szCs w:val="28"/>
          <w:rtl w:val="true"/>
          <w:lang w:bidi="fa-IR"/>
        </w:rPr>
        <w:t>والفقه</w:t>
      </w:r>
      <w:r>
        <w:rPr>
          <w:rStyle w:val="FootnoteAnchor"/>
          <w:rtl w:val="true"/>
        </w:rPr>
        <w:footnoteReference w:id="361"/>
      </w:r>
      <w:r>
        <w:rPr>
          <w:rFonts w:ascii="Amiri" w:hAnsi="Amiri" w:eastAsia="Amiri" w:cs="Amiri"/>
          <w:color w:val="111111"/>
          <w:sz w:val="28"/>
          <w:sz w:val="28"/>
          <w:szCs w:val="28"/>
          <w:rtl w:val="true"/>
          <w:lang w:bidi="ar-SA"/>
        </w:rPr>
        <w:t xml:space="preserve">في وجه دلالة الباء </w:t>
      </w:r>
    </w:p>
    <w:p>
      <w:pPr>
        <w:pStyle w:val="BookText"/>
        <w:rPr/>
      </w:pP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مقدار عرض إصبع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الشيخ والشهيد عدم الاكتفاء بأقلّ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التبعيض، والظاهر أنه لا حاجة للتأويل، بل يكفي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أُمراء الكلام وعليهم نبتت عروقه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ولا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مثل سيبويه ونفطويه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ولعل احتياطه استحبابي بقرينة كلامه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أن المراد ما يستوعبه المسح من الرأس في عرض الرأس، فلو أدخل إصبعاً فقد استوعب من عرض الرأس عرض الإصبع، وأما الطول فلم يذكر في المتن، ولا يشترط نفس الإصبع، بل مقدار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التنقيح</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أدخل ثلاثة أصابع، فقد استوعب من عرض الرأس مقدار عرض ثلاثة أصابع مضمومة، ولا يشترط كونه بالثلاثة، بل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ارتباط الشرح بالمتن وكيفية الاستدلال بروايات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إدخال الإصبع</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ثلاث أصابع</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 فتأمل وراجع العروة</w:t>
      </w:r>
      <w:r>
        <w:rPr>
          <w:rStyle w:val="FootnoteAnchor"/>
          <w:rtl w:val="true"/>
        </w:rPr>
        <w:footnoteReference w:id="365"/>
      </w:r>
      <w:r>
        <w:rPr>
          <w:rFonts w:ascii="Amiri" w:hAnsi="Amiri" w:eastAsia="Amiri" w:cs="Amiri"/>
          <w:color w:val="111111"/>
          <w:sz w:val="28"/>
          <w:sz w:val="28"/>
          <w:szCs w:val="28"/>
          <w:rtl w:val="true"/>
          <w:lang w:bidi="ar-SA"/>
        </w:rPr>
        <w:t>فإن ظاهره ما ذكرناه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مرادهم الإصبع حقيقة لا مقدارها، وهذا وإن كان ملازماً لكون العرض عرض إصبع، لكن الواجب مجموع اللازم والملزوم،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الاستدلال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بسند إحدى الروايتين للإرسال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منهما عدم كفاية مطلق المسح؛ إذ الطبيعي لا يتحقّق إلاّ بإدخال الإصبع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الظاهر منهما التعرض لعدم وجوب رفع العمامة</w:t>
      </w:r>
    </w:p>
    <w:p>
      <w:pPr>
        <w:pStyle w:val="BookText"/>
        <w:rPr/>
      </w:pPr>
      <w:r>
        <w:rPr>
          <w:rFonts w:ascii="Amiri" w:hAnsi="Amiri" w:eastAsia="Amiri" w:cs="Amiri"/>
          <w:color w:val="111111"/>
          <w:sz w:val="28"/>
          <w:sz w:val="28"/>
          <w:szCs w:val="28"/>
          <w:rtl w:val="true"/>
          <w:lang w:bidi="ar-SA"/>
        </w:rPr>
        <w:t>والتأويل بأن المراد المقدار</w:t>
      </w:r>
      <w:r>
        <w:rPr>
          <w:rStyle w:val="FootnoteAnchor"/>
          <w:rtl w:val="true"/>
        </w:rPr>
        <w:footnoteReference w:id="366"/>
      </w:r>
      <w:r>
        <w:rPr>
          <w:rFonts w:ascii="IRNazanin" w:hAnsi="IRNazanin" w:eastAsia="IRNazanin"/>
          <w:color w:val="111111"/>
          <w:sz w:val="28"/>
          <w:sz w:val="28"/>
          <w:szCs w:val="28"/>
          <w:rtl w:val="true"/>
          <w:lang w:bidi="fa-IR"/>
        </w:rPr>
        <w:t>خلاف الظاهر،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الإجماع، لكن المبنى غير مرضي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أن يدخل الإصبع، لكن يمكن أن يمسح بطرف الإصبع،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بجانبها الأيمن أو الأيسر،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المتعارف، وفيه أنه لا يقيد الإطلاق،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مقام البيان من هذه الجهة، فلا يستفاد منه لزوم كونه بعرض 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قيل يدخل إصبعه لأنه لا يمكن طبيعي المسح المطلوب بلا إدخال،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المسح على العمامة، فهذان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هو الطبيعي، وهو يتحقق بأي فرد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أن لا يمسح على العمامة، فلا إطلاق له، فمفاد الأول الإطلاق، ومفاد الثاني عدم التعرض لحكم المقدار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والأولى مسح مقدار ثلاثة أصابع مضمومة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المسح بإدخال الإصبع، فلا يستفاد منهما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عن ذلك يمكننا أن نقول بأنّهما تدلاّن على كفاية الأقلّ من الإصبع؛ لأنّ باطن الإصبع المماس لظاهر الممسوح أقلّ مسافة من عرض الإصبع؛ لأنّ الإصبع كالرأس غير مسطح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السيد والصدوق وكتاب عمل يوم وليلة للشيخ وجوب المسح بثلاث أصابع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المرأة يجزيها من مسح الرأس أن تمسح مقدمه 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أصابع ولا تلقي عنها خمارها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أن يكون بثلاثة أصابع مضمومة؛ إذ قد يتحقق مقدارها بإصبع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الرواية</w:t>
      </w:r>
      <w:r>
        <w:rPr>
          <w:rStyle w:val="FootnoteAnchor"/>
          <w:rtl w:val="true"/>
        </w:rPr>
        <w:footnoteReference w:id="368"/>
      </w:r>
      <w:r>
        <w:rPr>
          <w:rFonts w:ascii="Amiri" w:hAnsi="Amiri" w:eastAsia="Amiri" w:cs="Amiri"/>
          <w:color w:val="111111"/>
          <w:sz w:val="28"/>
          <w:sz w:val="28"/>
          <w:szCs w:val="28"/>
          <w:rtl w:val="true"/>
          <w:lang w:bidi="ar-SA"/>
        </w:rPr>
        <w:t>ذكرت موضع الثلاثة وقدرها، فالقول بنفس الثلاثة إنما هو لفتوى الفقيه، وهو كافٍ في إثبات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بعرض الإصبع عرفاً، إذ لا يراد الدقة العقلية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الرأس أو عرضه، فعبارة المتن ظاهرها عرض الرأس، لكن ظاهر الرواية أنه يمسح بالطول هذا المقدار،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بهما على المدّعى يتوقّف على القول بمفهوم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نقول به، مضافاً إلى أنّه يمكن أن يكون الحكم بالإجزاء في الثانية ناظراً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كفاية المسح بدون إلقاء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ظهر ضعف ما عن بعض من التفصيل بين الرجل بكفاية إصبع واحد، والمرأة بلزوم مسحها بالثلاث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قمة الرأس باتجاه الجبهة،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أنه لا يجزي غيره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ويجزيك من الاستنجاء ثلاثة أحجار</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 وعدم القول بمفهوم العدد لا ينافي الظهور في بعض الموارد، بل هذا الظهور 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أن تصوم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تستخدم في مطلق الإجزاء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أن تتصدق على الفقير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واجباً لبان، ولاشتهرت الفتوى بذلك،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Style w:val="FootnoteAnchor"/>
          <w:rtl w:val="true"/>
        </w:rPr>
        <w:footnoteReference w:id="370"/>
      </w:r>
      <w:r>
        <w:rPr>
          <w:rFonts w:ascii="Amiri" w:hAnsi="Amiri" w:eastAsia="Amiri" w:cs="Amiri"/>
          <w:color w:val="111111"/>
          <w:sz w:val="28"/>
          <w:sz w:val="28"/>
          <w:szCs w:val="28"/>
          <w:rtl w:val="true"/>
          <w:lang w:bidi="ar-SA"/>
        </w:rPr>
        <w:t>الإطلاق آبية عن التقييد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أقوى ظهوراً في الإطلاق من ظهور هذه</w:t>
      </w:r>
      <w:r>
        <w:rPr>
          <w:rStyle w:val="FootnoteAnchor"/>
          <w:rtl w:val="true"/>
        </w:rPr>
        <w:footnoteReference w:id="371"/>
      </w:r>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تدل على أنه مع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غير فرق في ذلك بين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مؤكّداً في مسح الوضوء لصلاة الصبح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للفرق بينهما، فإنّ الوجه في رجحان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القول به، بل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عليه ويشتركان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بالإصبع، ولا يحتاج لنزع العمامة، فهي ضرورة عدم النزع لا ضرورة الإصبع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فيه المستورية في صلاة الصبح، وكذا صلاة المغرب دون الظهرين، فوضع الخمار ملازم لانكشاف الرأس، خاصة في البيوت القديمة المتداخلة، والتي تعيش فيها أُسر متعددة، وأما العشاء فلعلها لقربها من وقت المنام، وإنهاك البدن عندها خفف فيها،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يرجع لكلا الحكمين السابقين، أو كل الأحكام السابقة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في الرواية الأولى</w:t>
      </w:r>
      <w:r>
        <w:rPr>
          <w:rStyle w:val="FootnoteAnchor"/>
          <w:rtl w:val="true"/>
        </w:rPr>
        <w:footnoteReference w:id="373"/>
      </w:r>
      <w:r>
        <w:rPr>
          <w:rFonts w:ascii="Amiri" w:hAnsi="Amiri" w:eastAsia="Amiri" w:cs="Amiri"/>
          <w:color w:val="111111"/>
          <w:sz w:val="28"/>
          <w:sz w:val="28"/>
          <w:szCs w:val="28"/>
          <w:rtl w:val="true"/>
          <w:lang w:bidi="ar-SA"/>
        </w:rPr>
        <w:t>، والضعف لا يقدح في الاستحباب أو 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إزالة خمارها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ودون ذلك استحبابها في الوضوء لصلاة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تمسح المرأة بالرأس كما يمسح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المرأة إذا أصبحت مسحت رأسها وتضع الخمار عنها</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تمسح كما تمسح الرجال، بل عليها أن تلقي الخمار من موضع مسح رأسها في صلاة الغداة والمغرب وتمسح عليه، وفي سائر الصلوات تدخل إصبعها فتمسح على رأسها من غير أن تلقي عنها خمارها</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الروايتان لا بأس بهما من حيث الدلالة على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قاصرتان عن الدلالة على الإلزام من 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أنهم يخلعون عمامتهم وما على رؤوسهم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الثانية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والأُولى</w:t>
      </w:r>
      <w:r>
        <w:rPr>
          <w:rStyle w:val="FootnoteAnchor"/>
          <w:rtl w:val="true"/>
        </w:rPr>
        <w:footnoteReference w:id="377"/>
      </w:r>
      <w:r>
        <w:rPr>
          <w:rFonts w:ascii="Amiri" w:hAnsi="Amiri" w:eastAsia="Amiri" w:cs="Amiri"/>
          <w:color w:val="111111"/>
          <w:sz w:val="28"/>
          <w:sz w:val="28"/>
          <w:szCs w:val="28"/>
          <w:rtl w:val="true"/>
          <w:lang w:bidi="ar-SA"/>
        </w:rPr>
        <w:t>جملة خبرية، وهي تدل على الوجوب، بل آكد في الدلالة عليه، على ما في الكفاية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ويجزيها في سائر الصلوات إدخال إصبعها من تحت قناعها للمسح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كون مسح الرأس على 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فلا يعتدّ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 الاستحباب فيها دون إلقائها في صلاة الصبح، فالظاهر أنّ الوجه في التفصيل قول 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تمسح، عطف على فاعل لفظ يجزيك المتقدّم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كافيتان في إثبات الاستحباب، بناءً على التسامح، أو الرجاء بناءً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المستند اللفظي موجود،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w:t>
      </w:r>
      <w:r>
        <w:rPr>
          <w:rStyle w:val="FootnoteAnchor"/>
          <w:rtl w:val="true"/>
        </w:rPr>
        <w:footnoteReference w:id="379"/>
      </w:r>
      <w:r>
        <w:rPr>
          <w:rFonts w:ascii="Amiri" w:hAnsi="Amiri" w:eastAsia="Amiri" w:cs="Amiri"/>
          <w:color w:val="111111"/>
          <w:sz w:val="28"/>
          <w:sz w:val="28"/>
          <w:szCs w:val="28"/>
          <w:rtl w:val="true"/>
          <w:lang w:bidi="ar-SA"/>
        </w:rPr>
        <w:t>ذكرت أنها تمسح في المغرب بناصيتها، والثانية</w:t>
      </w:r>
      <w:r>
        <w:rPr>
          <w:rStyle w:val="FootnoteAnchor"/>
          <w:rtl w:val="true"/>
        </w:rPr>
        <w:footnoteReference w:id="380"/>
      </w:r>
      <w:r>
        <w:rPr>
          <w:rFonts w:ascii="Amiri" w:hAnsi="Amiri" w:eastAsia="Amiri" w:cs="Amiri"/>
          <w:color w:val="111111"/>
          <w:sz w:val="28"/>
          <w:sz w:val="28"/>
          <w:szCs w:val="28"/>
          <w:rtl w:val="true"/>
          <w:lang w:bidi="ar-SA"/>
        </w:rPr>
        <w:t>ذكرت أنها تلقي الخمار، وهذا بخلاف الصبح حيث اتفقت الروايتان في إلقاء الخمار، فهذا التفصيل في الثانية دليل على كون المغرب دون الصبح، فهو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زيداً وعمراً ولا بأس بترك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زيداً ولا بأس بترك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الجمع يدل على أن إضافة عمر دون إضافة زيد في التأكد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ضعف السند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العبارة، وعليه لا دلالة فيه على الوجوب، بل دليل على الإجزاء، غير تامّ فإنّه خلاف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الاختلاف في معنى الناصية لا يبقى مجال لتعينها فيما عيّنه هذا البعض على ما نقل عنه، فلا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لتقييد المطلقات إلاّ بما تيقّن كونه من 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يمكن الالتزام بما ذكر والحال أنّه خلاف السيرة الجارية بين أهل الشرع وارتكازهم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 أنّ المستفاد من حديث حسين، أنّه يكفي المسح بإصبع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صالح للقرينية، فلا أقل من إجمال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أصل التقييد؛ إذ يحتمل كون الناصية مرادفة للربع المقدم، فلا يقين بالتقييد، فيعمل بأصالة الإطلاق، ومنه يعلم الإشكال فيما فرعه عليه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مسح الربع المقدم واجب، والتقييد مشكوك، فتجري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وارتكازهم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وأن مسح هذا المقدار لا يخلو من صعوبة، خصوصاً مع الالتزام بعدم جواز اختلاط بلة الكف ببلة الوجه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ما ذكر من لزوم مسح تمام الناصية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في أواخر الربع المقدم من السمت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الأعلى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أن يكون المسح على بشرة مقدم الرأس، بل يكفي المسح على شعره النابت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الرأس خارجاً حتّى يقال بأنّه مانع عن 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يقرب كونهما متحّدتين، فإنّ مجرّد الاستبعاد لا يوجب رفع اليد عن تعدّد الرواية مع أنّ الأصل الأوّلي هو التعدّد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مضافاً إلى ذلك إطلاقات الأدلّة، فإنّ الإنصاف أنّ المسح على الرأس يصدق على المسح على الشعر النابت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ما ذكر المرفوع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الذي يخضب رأسه بالحنّاء ثمّ يبدو له في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يصيب بشرة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ولعل مراده الاستحباب،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يشاهد في مسح الرأس بالدهن، ثم لو فرض التعارف فليس مانعاً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لأصالة عدم الاشتباه من الراوي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السيرة الخارجية شاهدة على ذلك، فتأمل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رأسه بالماء</w:t>
      </w:r>
      <w:r>
        <w:rPr>
          <w:rFonts w:eastAsia="IRNazanin" w:cs="IRNazanin"/>
          <w:color w:val="111111"/>
          <w:sz w:val="28"/>
          <w:szCs w:val="28"/>
          <w:rtl w:val="true"/>
          <w:lang w:bidi="fa-IR"/>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اعتبار به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أُخرى لابن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سئل عن المسح على الخفّين وعلى العمامة،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تمسح عليهما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الاعتبار لم يقدح؛ إذ الحناء ليس من توابع الرأس، فالبشرة يراد بها في قبال الحناء لا قبال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رد روايتي</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المسح على العمامة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موضوعان مختلفان، مع إمكان حمل الأخيرة على الكراهة، وكذا إمكان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مسح المرأة على الخمار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موضوعان مختلفان، مع أنه يجوز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المسح على 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من الدليل العام لو فرض استفادة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جواز المسح على الحنّاء</w:t>
      </w:r>
    </w:p>
    <w:p>
      <w:pPr>
        <w:pStyle w:val="BookText"/>
        <w:rPr/>
      </w:pPr>
      <w:r>
        <w:rPr>
          <w:rFonts w:ascii="Amiri" w:hAnsi="Amiri" w:eastAsia="Amiri" w:cs="Amiri"/>
          <w:color w:val="111111"/>
          <w:sz w:val="28"/>
          <w:sz w:val="28"/>
          <w:szCs w:val="28"/>
          <w:rtl w:val="true"/>
          <w:lang w:bidi="ar-SA"/>
        </w:rPr>
        <w:t xml:space="preserve">ولو فرض التعارض فالترجيح مع روايات المنع، إما للحمل على التقية، فتكون موافقة العامة منقحة لروايات جواز المسح على الحناء، أو يقدم ما دل على المنع لموافقته للكتاب والسنة المتواترة، فإن الظاهر مسح نفس الرأس، أو يلجأ للترجيح بالأحدثية، وهو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 المرأة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الرجل والمرأة</w:t>
      </w:r>
      <w:r>
        <w:rPr>
          <w:rStyle w:val="FootnoteAnchor"/>
          <w:rtl w:val="true"/>
        </w:rPr>
        <w:footnoteReference w:id="391"/>
      </w:r>
      <w:r>
        <w:rPr>
          <w:rFonts w:ascii="Amiri" w:hAnsi="Amiri" w:eastAsia="Amiri" w:cs="Amiri"/>
          <w:color w:val="111111"/>
          <w:sz w:val="28"/>
          <w:sz w:val="28"/>
          <w:szCs w:val="28"/>
          <w:rtl w:val="true"/>
          <w:lang w:bidi="ar-SA"/>
        </w:rPr>
        <w:t>فلا تعارض كي نلجأ للتراجيح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للفقيه الالتزام بجواز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الفقهاء عن مدلول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في التنقيح</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خصوصية للحناء عرفاً وقولاً، فتكون الرواية معارضة للروايات المشهورة الآمرة بالمسح على نفس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الروايتين تعارضان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فتطرحان للندرة، أو لموافقة العامّة، أو لمخالفة الكتاب والسنة، أو لإعراض الفقهاء أو الأحدثية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يمكن استفادة الحكم الكلّي</w:t>
      </w:r>
      <w:r>
        <w:rPr>
          <w:rStyle w:val="FootnoteAnchor"/>
          <w:rtl w:val="true"/>
        </w:rPr>
        <w:footnoteReference w:id="393"/>
      </w:r>
      <w:r>
        <w:rPr>
          <w:rFonts w:ascii="Amiri" w:hAnsi="Amiri" w:eastAsia="Amiri" w:cs="Amiri"/>
          <w:color w:val="111111"/>
          <w:sz w:val="28"/>
          <w:sz w:val="28"/>
          <w:szCs w:val="28"/>
          <w:rtl w:val="true"/>
          <w:lang w:bidi="ar-SA"/>
        </w:rPr>
        <w:t>إذ يبعد الخصوصية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وجوازه على العمامة، وعلى فرض تسليم استفادة الحكم الكلّي ممّا ورد في الحنّاء يمكن الجمع بينه وبين ما دلّ على عدم الجواز على العمامة بحمل الأولى على 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رواه عليّ بن جعفر وارد في المرأة، والصناعة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التفصيل بين الرجل والمرأة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أحد الخبرين على التقيّة أو على الكراهة على خلاف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 خبر ابن جعفر أحدث، ومن ناحية أُخرى يبعد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الرجل و المرأة يكون المرجع حديث ابن جعفر، فلا يجوز المسح على الحائل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صناعياً تام، أما مع لحاظ الأجواء والروايات والتعليلات في المسح على الخفّين فبعيد،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لا تعارض،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فلعدم كون الجمع عرفياً خصوصاً في المقام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الاستبعاد دليل شرعاً؟ إلاّ أن يتمسك بفهم الفقهاء وارتكاز المتشرعة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 التعارض، فتجري المرجحات، ومع فرض عدم التعارض نلجأ لإعراض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لم يكن مجموعاً عليه مع كونه يخرج بمده عن 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على الموضع على خلاف المتعارف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بمقدّم الرأس فما أفاده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الحكم مبني 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شعر المقدم طبقات بعضها فوق بعض، وإلاّ فلو كسر شعر غير المقدم على المقدم فلا إشكال في عدم جواز المسح عليه، سواء أكان متعارفاً أم غير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الشرح يأبى هذا التفسير، وكأن الشارح فهم أن المراد جمع غير المقدم على المقدم،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مسح نفس البشرة، وخرجنا عنه بما تقدم</w:t>
      </w:r>
      <w:r>
        <w:rPr>
          <w:rStyle w:val="FootnoteAnchor"/>
          <w:rtl w:val="true"/>
        </w:rPr>
        <w:footnoteReference w:id="395"/>
      </w:r>
      <w:r>
        <w:rPr>
          <w:rFonts w:ascii="Amiri" w:hAnsi="Amiri" w:eastAsia="Amiri" w:cs="Amiri"/>
          <w:color w:val="111111"/>
          <w:sz w:val="28"/>
          <w:sz w:val="28"/>
          <w:szCs w:val="28"/>
          <w:rtl w:val="true"/>
          <w:lang w:bidi="ar-SA"/>
        </w:rPr>
        <w:t>، وهو لا يشمل الشعر المنكسر على غير المتعارف، ولا يعدّ من توابعه عُرفاً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يصدق عليه المقدم ولو بالمسامحة العرفية، وفيه تأمل؛ إذ إنه فعلاً على المقدّم وهو شعر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جررناه يخرج عن المقدم، فهو خارج عن المقدم تقديراً لا فعلياً، وقد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صدق مسح المقدم على مثل ذلك نظر؛ لانصراف الأدلَّة عنه، وإن صدق عليه الناصية</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 تفصيل طويل وصور متعددة فراجع</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المسح عليه محلّ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أن يكون المسح بباطن الكفّ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الجواز عن المدارك وكشف اللثام، والوجه فيه أنّه لا يصدق المقدم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لو اجتمع شعر غير المقدم على المقدم بحسب الخلقة الأصلية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الالتزام بوجوب تخليل الشعر؛ لأنّه على خلاف العادة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لو قلنا بأنّه لا يصدق عنوان الواجب إلاّ بالتخليل فلا بدّ منه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وجوبه باليد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دعوى الاتفاق عليه من جملة من الأصحاب، كما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الإجماع مرتبط بما نحن فيه، بالوجه الذي فسرنا العبارة به، أو بما فهمه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الشعر المجعد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واجباً لنُبّه عليه في الروايات وبان،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المقدمة الوجودية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بخرقة يأخذ بها بلل اليمين ويمسح بها أو بخشبةٍ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الأدلَّة هي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الاتفاق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عنه، ونفى الخلاف عنه نصاً وفتوى كما عن شيخنا الأنصاري، يشهد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ببلّة يمناك ناصيتك</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وجوبه بالكفّ فعمدة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التعارف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بينهم أنّ المطلق لا ينصرف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النادر،</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وتمسح ببلة يمناك ناصيتك</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فإنها ظاهرة في المباشرة لا بآلةٍ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البيانية، وقد مضى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المتعارف، وسيأتي بعد قليل البحث في 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السيرة القطعية، فإنهم لا يأخذون بخشبة وخرقة، لكن العمل أعم من الوجوب، ولعله للاستحباب أو الأسهلية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الإشكال في دلالة الجملة على الوجوب، وقد استشكل المصنف</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الأدلَّة السابقة كالسيرة والروايات البيانية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خاصاً بالنادر، بل يشمله والغالب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أنّه منصرف عنه فلا يتمّ ما ذكرت، 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غير الغالب تارة يكون نادراً وجوده في الخارج، وبواسطة ندرة وجوده لا يكون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المتعارف في المسح أن يكون بباطن الكفّ، أضف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أنّه قد صرّح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رأسه وقدميه إلى الكعبين بفضل كفّيه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الندرة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الوجود الخارجي، وهي لا توجب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الاستعمال والتداول، وهي 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بالماء الوسخ القذر قليل التداول، ومع ذلك تشمله المطلقات، والأكل من القفا، بأن يمد يده من وراء العنق ويأكل نادر الاستعمال وتشمله المطلقات، والمشي القهقرائي كذلك، وكذا في باب الصوم، كشرب الماء من الأنف، وفيما نحن فيه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ادهن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يتوهم أنه لا يحق له أن يدهنه بذراعه؟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ربط له بما نحن فيه، بل يتعلق بلزوم الكف</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البحث في أنَّ الوضوءات البيانية هل تدل على الوجوب أو لا؟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الأولى</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يكون بما بقي في يده من نداوة الوضوء فلا يصحّ بماء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الوجه فيه نسبته إلى جملة من الأصحاب، فتوجب هذه النسبة رجحانها من باب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لقاعدة التسامح على ما هو المقرّر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ويؤيّده، بل يدلّ عليه أمر النبيّ ليلة المعراج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روايات تدلّ بظاهرها على 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بالماء الجديد، بل صريح بعضها عدم الإجزاء بما في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مستحب، بناءً على ثبوت قاعدة التسامح، أو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أوامر الاحتياط تفيد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الفرق أن الاحتياط العقلي لا يثبت الاستحباب، وقاعدة التسامح تثبت الاستحباب على مبنى البعض</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 يفيد الاستحباب أيضاً،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الكلام في الوضوءات البيانية، ويؤيده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اليمنى</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 وعدم الإجزاء وضعاً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على تعيّن المسح بماء جديد مخالف للإجماع</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وللسيرة</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العملية المستمرّة، وللوضوآت البيانيّة</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بما في يده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الأولى فإنّ الظاهر من الراوي السؤال عن جواز المسح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يده من الماء، 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 المصنف أنه طرح هذه الروايات</w:t>
      </w:r>
      <w:r>
        <w:rPr>
          <w:rStyle w:val="FootnoteAnchor"/>
          <w:rtl w:val="true"/>
        </w:rPr>
        <w:footnoteReference w:id="405"/>
      </w:r>
      <w:r>
        <w:rPr>
          <w:rFonts w:ascii="Amiri" w:hAnsi="Amiri" w:eastAsia="Amiri" w:cs="Amiri"/>
          <w:color w:val="111111"/>
          <w:sz w:val="28"/>
          <w:sz w:val="28"/>
          <w:szCs w:val="28"/>
          <w:rtl w:val="true"/>
          <w:lang w:bidi="ar-SA"/>
        </w:rPr>
        <w:t>لعدّة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للإجماع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للسيرة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للوضوءات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لما دل على جواز المسح بالماء الجديد، فيؤخذ بما يخالف العامّة أو بالمشهور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يناقش في الإجماعات عادةً فكيف قبله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أنها لا تدل على الوجوب، فلعله للسهولة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الكلام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بالاستدلال بارتكاز المتشرعة وبالإجماع عندنا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الفعل الخارجي كي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تمسح</w:t>
      </w:r>
      <w:r>
        <w:rPr>
          <w:rFonts w:eastAsia="Amiri" w:cs="Amiri" w:ascii="Amiri" w:hAnsi="Amiri"/>
          <w:color w:val="111111"/>
          <w:sz w:val="28"/>
          <w:szCs w:val="28"/>
          <w:rtl w:val="true"/>
          <w:lang w:bidi="ar-SA"/>
        </w:rPr>
        <w:t xml:space="preserve">» </w:t>
      </w:r>
      <w:bookmarkStart w:id="145" w:name="pg15737_151573"/>
    </w:p>
    <w:p>
      <w:pPr>
        <w:pStyle w:val="Heading4"/>
        <w:numPr>
          <w:ilvl w:val="3"/>
          <w:numId w:val="1"/>
        </w:numPr>
        <w:rPr/>
      </w:pPr>
      <w:bookmarkStart w:id="146" w:name="__RefHeading___Toc12561662_2142443653"/>
      <w:bookmarkStart w:id="147" w:name="_Toc50"/>
      <w:bookmarkEnd w:id="145"/>
      <w:bookmarkEnd w:id="146"/>
      <w:r>
        <w:rPr>
          <w:rtl w:val="true"/>
        </w:rPr>
        <w:t xml:space="preserve">المسألة </w:t>
      </w:r>
      <w:r>
        <w:rPr/>
        <w:t>99</w:t>
      </w:r>
      <w:r>
        <w:rPr>
          <w:rtl w:val="true"/>
        </w:rPr>
        <w:t xml:space="preserve">: </w:t>
      </w:r>
      <w:r>
        <w:rPr>
          <w:rtl w:val="true"/>
        </w:rPr>
        <w:t>لو تعذّر المسح بباطن الكفّ</w:t>
      </w:r>
      <w:bookmarkEnd w:id="1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المسح بباطن الكفّ مسح بغيره من سائر أعضائه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يترك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النهي في الرواية الأولى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ذلك مع استقرار السيرة الخارجية على هذا الأمر المكروه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يعدّ خلافه باطلاً، وتضمّن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الأخبار البيانية على المسح بما بقي في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استفادة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من الروايات الواردة في الأقطع، فإنّه يستفاد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حكم الوضوء لا يسقط بتعذّر بعض</w:t>
      </w:r>
    </w:p>
    <w:p>
      <w:pPr>
        <w:pStyle w:val="BookText"/>
        <w:rPr/>
      </w:pPr>
      <w:r>
        <w:rPr>
          <w:rFonts w:ascii="Amiri" w:hAnsi="Amiri" w:eastAsia="Amiri" w:cs="Amiri"/>
          <w:color w:val="111111"/>
          <w:sz w:val="28"/>
          <w:sz w:val="28"/>
          <w:szCs w:val="28"/>
          <w:rtl w:val="true"/>
          <w:lang w:bidi="ar-SA"/>
        </w:rPr>
        <w:t>ويحمل النهي على الكراهة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 والظاهر التخيير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المقدسين مقيدون عادة بالمستحبات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مكروهاً مع أنه لا مبرر له؟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التنقيح وجه آخر مبني على إطلاق دليل المطلقات، وعدم إطلاقه في دليل المقيد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بالفهم العرفي؛ إذ لا فرق بينهما عرفاً،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فرق؛ إذ الأقطع حالته مستمرة، بخلاف ما نحن فيه، إلاّ أنه ليس فارقاً عرفاً،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الاحتياط بالجمع حينئذ بين المسح بحواشي باطن الكفّ وبظاهرها، ولو تعذّر المسح بالكفّ أصلاً مسح بالذراع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في النصوص والفتاوى يوجب الاطمئنان بأنّ المسح لا يسقط بتعذّر تحقّقه بباطن الكفّ، لكن قد مرّ منّا أنّ مقتضى القاعدة سقوط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إلاّ أن يتم المدّعى بالتسالم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التعيين والتخيير فيلزم الحكم بالتعيين، 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مقتضى القاعدة عند الدوران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تقديم الأقرب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الواجب المتعذّر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الإجماع التعبّدي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رأي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المركب والمشروط يسقطان بانتفاء الجزء والشرط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أصل المسح مسلّم، والشك أنما هو في الخصوصية الزائدة، والأصل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ذكروه في الذبح في أطراف منى</w:t>
      </w:r>
      <w:r>
        <w:rPr>
          <w:rStyle w:val="FootnoteAnchor"/>
          <w:rtl w:val="true"/>
        </w:rPr>
        <w:footnoteReference w:id="407"/>
      </w:r>
      <w:r>
        <w:rPr>
          <w:rFonts w:ascii="Amiri" w:hAnsi="Amiri" w:eastAsia="Amiri" w:cs="Amiri"/>
          <w:color w:val="111111"/>
          <w:sz w:val="28"/>
          <w:sz w:val="28"/>
          <w:szCs w:val="28"/>
          <w:rtl w:val="true"/>
          <w:lang w:bidi="ar-SA"/>
        </w:rPr>
        <w:t>، والوقوف أطراف الموقفين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والأحوط فيه تقديم الباطن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الأمر في غاية الإشكال، فإنّه يمكن أن يكون الوجه في نظرهم أنّ قاعدة الميسور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بعد وجود الدليل على عدم سقوط حكم المسح ووجوبه بعد تعذّر الباطن يقرب الالتزام بتقديم الظاهر أو الحواشي على غيرهما، فإنّ دعوى أنّ العرف يفهم هذا المعنى من الأدلّة قريبة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إلاّ أنّ الإشكال في أصل المدعى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توجيه تقديم ظاهر الكفّ على الذراع لا يجري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فإنّه لا فرق في نظر العرف بعد تعذّر المسح بالكفّ بين باطن الذراع وظاهره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بها؛ إذ إنه ميسور عرفاً،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الأدلَّة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حواليه، لا في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ويقربها أكثر فهم الفقهاء، وهل هذا المقدار من القرب يوجب حكماً شرعياً، أم أنه صرف استحسان؟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ثبوت الطهارة وعدم سقوطها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الفهم العرفي جار في المقام أيضاً، فتأمل، ولاحظ لو أمر المولى بالتدهين فتعذر بالكف، ودار الأمر بين ظاهر الذراع وباطنه</w:t>
      </w:r>
      <w:r>
        <w:rPr>
          <w:rFonts w:eastAsia="Amiri" w:cs="Amiri" w:ascii="Amiri" w:hAnsi="Amiri"/>
          <w:color w:val="111111"/>
          <w:sz w:val="28"/>
          <w:szCs w:val="28"/>
          <w:rtl w:val="true"/>
          <w:lang w:bidi="ar-SA"/>
        </w:rPr>
        <w:t xml:space="preserve">. </w:t>
      </w:r>
      <w:bookmarkStart w:id="148" w:name="pg15737_151576"/>
    </w:p>
    <w:p>
      <w:pPr>
        <w:pStyle w:val="Heading4"/>
        <w:numPr>
          <w:ilvl w:val="3"/>
          <w:numId w:val="1"/>
        </w:numPr>
        <w:rPr/>
      </w:pPr>
      <w:bookmarkStart w:id="149" w:name="__RefHeading___Toc12561664_2142443653"/>
      <w:bookmarkStart w:id="150" w:name="_Toc51"/>
      <w:bookmarkEnd w:id="148"/>
      <w:bookmarkEnd w:id="149"/>
      <w:r>
        <w:rPr>
          <w:rtl w:val="true"/>
        </w:rPr>
        <w:t xml:space="preserve">المسألة </w:t>
      </w:r>
      <w:r>
        <w:rPr/>
        <w:t>100</w:t>
      </w:r>
      <w:r>
        <w:rPr>
          <w:rtl w:val="true"/>
        </w:rPr>
        <w:t xml:space="preserve">: </w:t>
      </w:r>
      <w:r>
        <w:rPr>
          <w:rtl w:val="true"/>
        </w:rPr>
        <w:t>لا يصحّ المسح على الخفّ</w:t>
      </w:r>
      <w:bookmarkEnd w:id="1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المسح على الخفّ والجورب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حال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أفاده تقتضيه القاعدة الأوّلية، فإنّ المسح على الخفّ وأمثاله لا يكون مسحاً على البشرة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واستدلّ عليه أيضاً بعموم مشروعية التقيّة بناء على دلالتها على الصحّة والإجزاء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الاستدلال، فإنّ أبا ورد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يعتمد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العمومات فعلى 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المطلوب تخصّص بما ورد في خصوص المقام من نفي التقيّة فيه، ومما يدلّ على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عن غير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على الرأس</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في الأدلَّة المسح على نفس البشرة، وكذا في مسح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 وَأَرْجُلَكُمْ إِلَى الْكَعْبَينِ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المشهور جابر على مسلكنا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أنها تفيد الجواز لا الصحة، وفيه نظر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أعرضوا عن هذه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الخفّين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يتّقى في ثلاث،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والمسح على الخفّين، ومتعة الحجّ</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يدلّ عليه ما رواه زرارة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في مسح الخفّين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ومسح الخفّين ومتعة الحجّ</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تعارض الرواية السابقة</w:t>
      </w:r>
      <w:r>
        <w:rPr>
          <w:rStyle w:val="FootnoteAnchor"/>
          <w:rtl w:val="true"/>
        </w:rPr>
        <w:footnoteReference w:id="414"/>
      </w:r>
      <w:r>
        <w:rPr>
          <w:rFonts w:ascii="Amiri" w:hAnsi="Amiri" w:eastAsia="Amiri" w:cs="Amiri"/>
          <w:color w:val="111111"/>
          <w:sz w:val="28"/>
          <w:sz w:val="28"/>
          <w:szCs w:val="28"/>
          <w:rtl w:val="true"/>
          <w:lang w:bidi="ar-SA"/>
        </w:rPr>
        <w:t>المجبورة، وتلك هي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w:t>
      </w:r>
      <w:r>
        <w:rPr>
          <w:rStyle w:val="FootnoteAnchor"/>
          <w:rtl w:val="true"/>
        </w:rPr>
        <w:footnoteReference w:id="416"/>
      </w:r>
      <w:r>
        <w:rPr>
          <w:rFonts w:ascii="Amiri" w:hAnsi="Amiri" w:eastAsia="Amiri" w:cs="Amiri"/>
          <w:color w:val="111111"/>
          <w:sz w:val="28"/>
          <w:sz w:val="28"/>
          <w:szCs w:val="28"/>
          <w:rtl w:val="true"/>
          <w:lang w:bidi="ar-SA"/>
        </w:rPr>
        <w:t xml:space="preserve">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نقيض المطلوب، إذ الحكم خاص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زرارة ليس بحجة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 أقسام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ما نقله في الحدائق عن جملة من المتأخرين منهم سيّد المدارك من المناقشة في هذا الحكم، واحتملوا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التكليف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يكون في تركها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ضرر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الفعل حرج أو ضرر أو عسر فوق ما تقتضيه طبيعة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التقية ولو بلغ الأمر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لغسل الرجل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في المقام عدّة،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الورد</w:t>
      </w:r>
      <w:r>
        <w:rPr>
          <w:rStyle w:val="FootnoteAnchor"/>
          <w:rtl w:val="true"/>
        </w:rPr>
        <w:footnoteReference w:id="417"/>
      </w:r>
      <w:r>
        <w:rPr>
          <w:rFonts w:ascii="Amiri" w:hAnsi="Amiri" w:eastAsia="Amiri" w:cs="Amiri"/>
          <w:color w:val="111111"/>
          <w:sz w:val="28"/>
          <w:sz w:val="28"/>
          <w:szCs w:val="28"/>
          <w:rtl w:val="true"/>
          <w:lang w:bidi="ar-SA"/>
        </w:rPr>
        <w:t>، وأشكل عليها بضعف السند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مولى آل سام</w:t>
      </w:r>
      <w:r>
        <w:rPr>
          <w:rStyle w:val="FootnoteAnchor"/>
          <w:rtl w:val="true"/>
        </w:rPr>
        <w:footnoteReference w:id="419"/>
      </w:r>
      <w:r>
        <w:rPr>
          <w:rFonts w:ascii="Amiri" w:hAnsi="Amiri" w:eastAsia="Amiri" w:cs="Amiri"/>
          <w:color w:val="111111"/>
          <w:sz w:val="28"/>
          <w:sz w:val="28"/>
          <w:szCs w:val="28"/>
          <w:rtl w:val="true"/>
          <w:lang w:bidi="ar-SA"/>
        </w:rPr>
        <w:t>، وأشكل عليها بضعف السند</w:t>
      </w:r>
      <w:r>
        <w:rPr>
          <w:rStyle w:val="FootnoteAnchor"/>
          <w:rtl w:val="true"/>
        </w:rPr>
        <w:footnoteReference w:id="42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عليها بأن مفادها النهي، مع أنها لا تثبت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معتاد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معهم في استفادة الحكم الكلّي منها، إنّما الإشكال كما تقدّم في سندها من جهة أبي الورد ولا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في 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فإنّ عبد الأعلى لا يمكن الاعتماد بوثاقته، وأمّا التمسّك بقاعدة نفي الحرج والضرر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الإثباتي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يستفاد المطلوب ممّا ورد في باب الجبائر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الناظر في تلك الروايات يفهم بأنّ عدم إمكان غسل البشرة نفسها أو المسح عليها لا يوجب سقوط حكم الوضوء، ولا تتبدّل الوظيفة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الجبائر، وقد يشكل بأنه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وهي غير ثابتة على مبنى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وليس تعبدياً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ما هو فوق ما تقتضيه طبيعة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أن الجابر عمل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مجبورة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وجوب المسح على البشرة، لكن لا يثبت وجوب المسح على الحائل، وأما أدلَّة المركب فهي ساقطة لتعذرها؛ فإن المركب ينتفي بانتفاء بعض أجزائه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يشكل بأنه قياس؛ ولذا لم يعملوا بالجبيرة في مواضع متعددة، بل انتقلوا للتيمم أو احتاطوا بالجمع، كما لو كان المانع نجاسة البدن أو القير اللاصق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يصحّ التقيّة في سائر أفعال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أنّ مفاد 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الإضرار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للروايات العامّة الواردة في التقيّة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دلالتها على الصحّة والإجزاء، كما أنّ بناءهم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على الخفّين عند العامّة بلا ترتيب أثر عليه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الداخل في المستثنى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للتقيّة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تابع للسطر الخامس</w:t>
      </w:r>
      <w:r>
        <w:rPr>
          <w:rStyle w:val="FootnoteAnchor"/>
          <w:rtl w:val="true"/>
        </w:rPr>
        <w:footnoteReference w:id="421"/>
      </w:r>
      <w:r>
        <w:rPr>
          <w:rFonts w:ascii="Amiri" w:hAnsi="Amiri" w:eastAsia="Amiri" w:cs="Amiri"/>
          <w:color w:val="111111"/>
          <w:sz w:val="28"/>
          <w:sz w:val="28"/>
          <w:szCs w:val="28"/>
          <w:rtl w:val="true"/>
          <w:lang w:bidi="ar-SA"/>
        </w:rPr>
        <w:t xml:space="preserve">، فمفاد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لا النفي أولاً، ولو كان المفاد النفي فهو ينفي ولا يثبت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الفقهاء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المقامي، حيث إنه لم يُؤثر في روايات التقية بالإعادة والقضاء، كرواية ابن يقطين</w:t>
      </w:r>
      <w:r>
        <w:rPr>
          <w:rStyle w:val="FootnoteAnchor"/>
          <w:rtl w:val="true"/>
        </w:rPr>
        <w:footnoteReference w:id="422"/>
      </w:r>
      <w:r>
        <w:rPr>
          <w:rFonts w:ascii="Amiri" w:hAnsi="Amiri" w:eastAsia="Amiri" w:cs="Amiri"/>
          <w:color w:val="111111"/>
          <w:sz w:val="28"/>
          <w:sz w:val="28"/>
          <w:szCs w:val="28"/>
          <w:rtl w:val="true"/>
          <w:lang w:bidi="ar-SA"/>
        </w:rPr>
        <w:t>وغيرها، ولو كان لازماً لزم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بحث إجزاء الأمر الاضطراري عن الواقعي</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الرواية</w:t>
      </w:r>
      <w:r>
        <w:rPr>
          <w:rStyle w:val="FootnoteAnchor"/>
          <w:rtl w:val="true"/>
        </w:rPr>
        <w:footnoteReference w:id="424"/>
      </w:r>
      <w:r>
        <w:rPr>
          <w:rFonts w:ascii="Amiri" w:hAnsi="Amiri" w:eastAsia="Amiri" w:cs="Amiri"/>
          <w:color w:val="111111"/>
          <w:sz w:val="28"/>
          <w:sz w:val="28"/>
          <w:szCs w:val="28"/>
          <w:rtl w:val="true"/>
          <w:lang w:bidi="ar-SA"/>
        </w:rPr>
        <w:t>تتقي في كل شيء بحيث يكون صحيحاً إلاّ في المسح، فلا يكون صحيحاً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ما عدا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حصل التقيّة بكلّ من المسح على الخفّ وغسل الرجلين فالأحوط، بل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وصحيحاً ومجزياً، لكنّ 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لا يدلّ على الإجزاء،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المستفاد من خبر أبي الورد أنّ المسح على الخفّ لا يجوز إلاّ في صورة الضرورة، ومع إمكان الغسل لا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فيتعيّن الغسل، ويؤيّده ما ذكر في المقام من أنّ الغسل أقرب إلى الواجب، حيث إنّ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يلاصق البشرة بخلاف المسح على الخفّ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فيه، والأقرب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مفاد الرواية</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التقية في أي شيء إلاّ في الثلاثة، فالكلام في الجواز لا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واقع في ضرورة التقية، وهي تندفع بكلّ منهما، والاضطرار إلى الجامع اضطرار إلى كل فرد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إذ الماء المتبقي لا يلامس البشرة، بل هو ماء مستأنف، فالأمر دائر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المتبقي على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جديد على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ميسور عرفاً،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أقرب عرفاً،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أمكن الوضوء حينئذ صحيحاً بلا محذور فالأحوط، بل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على تقييد مطلقات التقية وتخصيص عموماتها ببعض الروايات، كرواية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إسحاق، أتصلّي معهم في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فيه مع صدق التقية عرفاً، والظاهر جوازها حينئذٍ ولو مع وجود المندوحة الزمانية أو المكانية، إلاّ أن المسألة بحاجة إلى تأمل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تقية حينئذٍ موضوعاً مع الإمكان، وأجاب عنه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التقية عرفاً ولو مع المندوحة الزمانية أو المكانية، وأوكل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العرف</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Style w:val="FootnoteAnchor"/>
          <w:rtl w:val="true"/>
        </w:rPr>
        <w:footnoteReference w:id="428"/>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Style w:val="FootnoteAnchor"/>
          <w:rtl w:val="true"/>
        </w:rPr>
        <w:footnoteReference w:id="429"/>
      </w:r>
      <w:r>
        <w:rPr>
          <w:rFonts w:ascii="Amiri" w:hAnsi="Amiri" w:eastAsia="Amiri" w:cs="Amiri"/>
          <w:color w:val="111111"/>
          <w:sz w:val="28"/>
          <w:sz w:val="28"/>
          <w:szCs w:val="28"/>
          <w:rtl w:val="true"/>
          <w:lang w:bidi="ar-SA"/>
        </w:rPr>
        <w:t>في خصوص الصلاة، ولا تشمل الوضوء، فلعل التقية التحبيبية في خصوص الصلاة،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التفكيك </w:t>
      </w:r>
      <w:bookmarkStart w:id="151" w:name="pg15737_151583"/>
    </w:p>
    <w:p>
      <w:pPr>
        <w:pStyle w:val="Heading4"/>
        <w:numPr>
          <w:ilvl w:val="3"/>
          <w:numId w:val="1"/>
        </w:numPr>
        <w:rPr/>
      </w:pPr>
      <w:bookmarkStart w:id="152" w:name="__RefHeading___Toc12561666_2142443653"/>
      <w:bookmarkStart w:id="153" w:name="_Toc52"/>
      <w:bookmarkEnd w:id="151"/>
      <w:bookmarkEnd w:id="152"/>
      <w:r>
        <w:rPr>
          <w:rtl w:val="true"/>
        </w:rPr>
        <w:t xml:space="preserve">المسألة </w:t>
      </w:r>
      <w:r>
        <w:rPr/>
        <w:t>101</w:t>
      </w:r>
      <w:r>
        <w:rPr>
          <w:rtl w:val="true"/>
        </w:rPr>
        <w:t xml:space="preserve">: </w:t>
      </w:r>
      <w:r>
        <w:rPr>
          <w:rtl w:val="true"/>
        </w:rPr>
        <w:t>اعتبار الجفاف في محل المسح</w:t>
      </w:r>
      <w:bookmarkEnd w:id="1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محلّ المسح الجفاف من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 نداوته على وجه يغلب عليه ماء الكفّ ويقع المسح بمائه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معهم فإنّ المصلّي معهم في الصفّ الأوّل كالشاهر سيفه في سبيل اللّه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رواه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 ببلّة</w:t>
      </w:r>
    </w:p>
    <w:p>
      <w:pPr>
        <w:pStyle w:val="BookText"/>
        <w:rPr/>
      </w:pPr>
      <w:r>
        <w:rPr>
          <w:rFonts w:ascii="Amiri" w:hAnsi="Amiri" w:eastAsia="Amiri" w:cs="Amiri"/>
          <w:color w:val="111111"/>
          <w:sz w:val="28"/>
          <w:sz w:val="28"/>
          <w:szCs w:val="28"/>
          <w:rtl w:val="true"/>
          <w:lang w:bidi="ar-SA"/>
        </w:rPr>
        <w:t>بين الوضوء والصلاة غير متعارف، خاصة وأن الوضوء قد يكون في مساجدهم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فعله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432"/>
      </w:r>
      <w:r>
        <w:rPr>
          <w:rFonts w:ascii="Amiri" w:hAnsi="Amiri" w:eastAsia="Amiri" w:cs="Amiri"/>
          <w:color w:val="111111"/>
          <w:sz w:val="28"/>
          <w:sz w:val="28"/>
          <w:szCs w:val="28"/>
          <w:rtl w:val="true"/>
          <w:lang w:bidi="ar-SA"/>
        </w:rPr>
        <w:t>، من جعل صدق التقية عرفاً هو الملاك قريب، وبعض الروايات</w:t>
      </w:r>
      <w:r>
        <w:rPr>
          <w:rStyle w:val="FootnoteAnchor"/>
          <w:rtl w:val="true"/>
        </w:rPr>
        <w:footnoteReference w:id="433"/>
      </w:r>
      <w:r>
        <w:rPr>
          <w:rFonts w:ascii="Amiri" w:hAnsi="Amiri" w:eastAsia="Amiri" w:cs="Amiri"/>
          <w:color w:val="111111"/>
          <w:sz w:val="28"/>
          <w:sz w:val="28"/>
          <w:szCs w:val="28"/>
          <w:rtl w:val="true"/>
          <w:lang w:bidi="ar-SA"/>
        </w:rPr>
        <w:t>يدل تعليلها على مطلق التقية التحبيبية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يضر وجود القطرات التي تتساقط عادةً على الرِجل أثناء الوضوء، وكذا العرق المتعارف</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الكلام في الوضوءات البيانية، وفي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الوجوب أو صرف الإجزاء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يمناك ناصيتك وما بقي من بلّة يمينك ظهر قدك اليمنى، وتمسح ببلّة يسارك ظهر قدمك اليسرى</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يدلّ على أنّ المسح لا بدّ أن يكون بما بقي من البلّة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الممسوح رطباً بحيث تغلب تلك الرطوبة على ما في اليد أو لا يغلب عليه، ولكن تكون بحيث تمنع عن صدق عنوان المسح ببلّة اليد يكون المسح باطلاً؛ لعدم تحقّق عنوان المأمور به على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قليلة بحيث تستهلك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بقي في اليد لا تمنع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يصدق أنه مسح بها عرفاً ولو كانت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435"/>
      </w:r>
      <w:r>
        <w:rPr>
          <w:rFonts w:ascii="Amiri" w:hAnsi="Amiri" w:eastAsia="Amiri" w:cs="Amiri"/>
          <w:color w:val="111111"/>
          <w:sz w:val="28"/>
          <w:sz w:val="28"/>
          <w:szCs w:val="28"/>
          <w:rtl w:val="true"/>
          <w:lang w:bidi="ar-SA"/>
        </w:rPr>
        <w:t>بعدّة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المسح، كما لو 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بالدهن الفلاني، فإنّه يصدق ولو كان بدنه مدهناً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تساقط القطرات على الرِجل حال الوضوء، ولو كان لازماً للزم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العرق في فصل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صحة الوضوء تحت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أخذ ماء جديد للمسح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تقدم عدم لزوم الاستهلاك</w:t>
      </w:r>
      <w:r>
        <w:rPr>
          <w:rFonts w:eastAsia="Amiri" w:cs="Amiri" w:ascii="Amiri" w:hAnsi="Amiri"/>
          <w:color w:val="111111"/>
          <w:sz w:val="28"/>
          <w:szCs w:val="28"/>
          <w:rtl w:val="true"/>
          <w:lang w:bidi="ar-SA"/>
        </w:rPr>
        <w:t xml:space="preserve">. </w:t>
      </w:r>
      <w:bookmarkStart w:id="154" w:name="pg15737_151585"/>
    </w:p>
    <w:p>
      <w:pPr>
        <w:pStyle w:val="Heading4"/>
        <w:numPr>
          <w:ilvl w:val="3"/>
          <w:numId w:val="1"/>
        </w:numPr>
        <w:rPr/>
      </w:pPr>
      <w:bookmarkStart w:id="155" w:name="__RefHeading___Toc12561668_2142443653"/>
      <w:bookmarkStart w:id="156" w:name="_Toc53"/>
      <w:bookmarkEnd w:id="154"/>
      <w:bookmarkEnd w:id="155"/>
      <w:r>
        <w:rPr>
          <w:rtl w:val="true"/>
        </w:rPr>
        <w:t xml:space="preserve">المسألة </w:t>
      </w:r>
      <w:r>
        <w:rPr/>
        <w:t>102</w:t>
      </w:r>
      <w:r>
        <w:rPr>
          <w:rtl w:val="true"/>
        </w:rPr>
        <w:t xml:space="preserve">: </w:t>
      </w:r>
      <w:r>
        <w:rPr>
          <w:rtl w:val="true"/>
        </w:rPr>
        <w:t>الوضوء بغمس اليد في الماء</w:t>
      </w:r>
      <w:bookmarkEnd w:id="1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بغمس اليد في الماء فإن نوى الوضوء بإدخاله في الماء أو بتحريكه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لم يجز المسح بمائه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تحقّق المأمور به، لكنّ الإشكال في أنّه يمكن فرض استهلاك شيء في مماثله، أو يشترط في تحقّق الاستهلاك تغاير الأمرين جنساً، لكنّ الظاهر أنّه لا مانع عن صدق الاستهلاك مع اتحاد الجنس،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المسح بماء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بتحريكه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التأمل في أنه هل يصدق الغسل على التحريك؟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فحركها تحت الماء فهل يصدق الغسل؟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وضعنا قطرة ماء في الحوض، فإنه يقال استهلكت، لاحظ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استهلاك الماء المغصوب في الحوض المباح</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عندما يخرج يده من الماء يصادف الماء الجديد، لانتهاء عملية الوضوء بالإدخال أو التحريك</w:t>
      </w:r>
      <w:r>
        <w:rPr>
          <w:rFonts w:eastAsia="Amiri" w:cs="Amiri" w:ascii="Amiri" w:hAnsi="Amiri"/>
          <w:color w:val="111111"/>
          <w:sz w:val="28"/>
          <w:szCs w:val="28"/>
          <w:rtl w:val="true"/>
          <w:lang w:bidi="ar-SA"/>
        </w:rPr>
        <w:t xml:space="preserve">. </w:t>
      </w:r>
      <w:bookmarkStart w:id="157" w:name="pg15737_151586"/>
    </w:p>
    <w:p>
      <w:pPr>
        <w:pStyle w:val="BookText"/>
        <w:rPr/>
      </w:pPr>
      <w:bookmarkEnd w:id="157"/>
      <w:r>
        <w:rPr>
          <w:rFonts w:ascii="Amiri" w:hAnsi="Amiri" w:eastAsia="Amiri" w:cs="Amiri"/>
          <w:color w:val="111111"/>
          <w:sz w:val="28"/>
          <w:sz w:val="28"/>
          <w:szCs w:val="28"/>
          <w:rtl w:val="true"/>
          <w:lang w:bidi="ar-SA"/>
        </w:rPr>
        <w:t>وإن نواه بالإخراج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نوى الغسل بمرور أجزاء اليد بسطحه الأعلى، وكان على وجه لا يجري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الذراع إلى الكفّ جاز المسح بمائه وصحّ الوضوء</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2561670_2142443653"/>
      <w:bookmarkStart w:id="159" w:name="_Toc54"/>
      <w:bookmarkEnd w:id="158"/>
      <w:r>
        <w:rPr>
          <w:rtl w:val="true"/>
        </w:rPr>
        <w:t xml:space="preserve">المسألة </w:t>
      </w:r>
      <w:r>
        <w:rPr/>
        <w:t>103</w:t>
      </w:r>
      <w:r>
        <w:rPr>
          <w:rtl w:val="true"/>
        </w:rPr>
        <w:t xml:space="preserve">: </w:t>
      </w:r>
      <w:r>
        <w:rPr>
          <w:rtl w:val="true"/>
        </w:rPr>
        <w:t>إذا جفّ ما في اليد من بلّة ماء الوضوء</w:t>
      </w:r>
      <w:bookmarkEnd w:id="1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ما في اليد من بلّة ماء الوضوء لنسيان المسح أو غيره من الأعذار جاز أخذ الماء من سائر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المسح فلعدم وجه لعدمه كما هو المفروض، وأمّا الصحّة فالأمر فيها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قيل بلزوم إحداث الغسل يشكل الالتزام بالصحّة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بمجموع الإدخال والإخراج، فإن الحركة تعتبر واحدة عندئذٍ</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يحتاج إلى تأمل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بلة يمناك</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لا تصدق مع الجريان المذكور مع تعارفها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الأمر الإحداث،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ساجداً لا بد من رفع الجبهة أولاً، وكذا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الإشكال لا يرد لو قصد بمجموع الحركتين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الدخولية والخروجية، كما أشرنا إليه قبل قليل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أعضاء الوضوء للمسح</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مورد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بين المتأخرين، وفي بعض الكلمات أنّه لا ينبغي التأمّل في هذا الحكم، فإن تمّ إجماع تعبّدي كاشف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يشكل الالتزام به، لأنّ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ببلّة يمناك ناصيتك وما بقي من بلّة يمينك ظهر قدمك اليمنى وتمسح ببلّة يسارك ظهر قدمك اليسرى</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أن المسح لا بد أن يكون بما بقي في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الواردة في المقام لا تدلّ على جواز الأخذ من بلل سائر الأعضاء مطلقاً، بل إمّا تدلّ على جواز الأخذ من بلل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كرواية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الرجل ينسى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الاقتصار على بلل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تعبدي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الإشكال في الروايات البيانية، وهي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المعتبرة فقط سنداً، وأما الباقية فهي مجبورة بالعمل لو قلنا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والأولى تقديم ماء اللحية والحاجبين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رأسه حتى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لحيته بلل بقدر ما يمسح رأسه ورجليه فليفعل ذلك وليصّل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بجواز الأخذ من بقيّة الأعضاء بلا 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تقديم ماء اللحية ثم الحاجبين وأشفار العينين، أو الحاجبين أو أشفار العينين كما في الحديث الشريف</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وكذلك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خلف بن حماد، عمن أخبره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ينسى مسح رأسه وهو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لحيته بلل فليمسح به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من حاجبيه أو أشفار عينيه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ذكر اللحية لأنها مظنة وجود البلل عادة بخلاف سائر الأعضاء، وكذا في الجفاف لو جف ما في اللحية فقد 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سائر الأعضاء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أنه لم يذهب أحد إلى الترتب، ظاهراً أو احتمالاً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ماء اللحية فلا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تقديم ماء الحاجبين فلا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أسند إليه من أنّ ما يرويه حجّة له على فرض عدم عدوله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لا أثر له، فإنّ حجّية رواية عنده لا تكون من أدلّة اعتبار الرواية، كما هو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المرسل أيضاً لا يعتمد عليه لإرساله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المستفاد من المرسلين 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الحاجبين والأشفار عمّا في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دليل على الجواز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 الروايات مجبورة بالعمل والإجماع، ثم إنه يبعد اختصاص الرجل بالحكم دون المرأة؛ إذ لا لحية لها، فيكون وضؤوها باطلاً،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عدم العدول، ولا فرق بين التنصيص الجزئي والتعميم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 للقرائن لا التوثيق المخبري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مجبور بالعمل والشهرة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في المتن من مساواة اللحية والحاجبين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160" w:name="pg15737_151590"/>
    </w:p>
    <w:p>
      <w:pPr>
        <w:pStyle w:val="BookText"/>
        <w:rPr/>
      </w:pPr>
      <w:bookmarkEnd w:id="160"/>
      <w:r>
        <w:rPr>
          <w:rFonts w:ascii="Amiri" w:hAnsi="Amiri" w:eastAsia="Amiri" w:cs="Amiri"/>
          <w:color w:val="111111"/>
          <w:sz w:val="28"/>
          <w:sz w:val="28"/>
          <w:szCs w:val="28"/>
          <w:rtl w:val="true"/>
          <w:lang w:bidi="ar-SA"/>
        </w:rPr>
        <w:t>لكن من المقدار الداخل منها في حدّ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جفاف جميع الأعضاء يعيد الوضوء</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2561672_2142443653"/>
      <w:bookmarkStart w:id="162" w:name="_Toc55"/>
      <w:bookmarkEnd w:id="161"/>
      <w:r>
        <w:rPr>
          <w:rtl w:val="true"/>
        </w:rPr>
        <w:t xml:space="preserve">المسألة </w:t>
      </w:r>
      <w:r>
        <w:rPr/>
        <w:t>104</w:t>
      </w:r>
      <w:r>
        <w:rPr>
          <w:rtl w:val="true"/>
        </w:rPr>
        <w:t xml:space="preserve">: </w:t>
      </w:r>
      <w:r>
        <w:rPr>
          <w:rtl w:val="true"/>
        </w:rPr>
        <w:t>إذا لم يمكن حفظ نداوة الماء</w:t>
      </w:r>
      <w:bookmarkEnd w:id="1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حفظ نداوة الوضوء للمسح لحرارة الهواء أو شدّة الرياح أو غيرهما،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إلى ما يكون باقياً من بلّة الوضوء، وما يكون في المسترسل لا يكون من ماء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باستحباب غسل المسترسل فغسله استحباباً لا بأس بالأخذ منه أيضاً؛ لأنّه جزء من ماء الوضوء حينئذٍ، لكن إنّما يتمّ لو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بالجزء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ما لم يخرج عن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اللحية</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يشمله، ولا يأتي لذهن العرف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سقط ماء الوضوء على ثوبه لا يشمله الدليل للانصراف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مثلوا له بالسرداب</w:t>
      </w:r>
      <w:r>
        <w:rPr>
          <w:rStyle w:val="FootnoteAnchor"/>
          <w:rtl w:val="true"/>
        </w:rPr>
        <w:footnoteReference w:id="446"/>
      </w:r>
      <w:r>
        <w:rPr>
          <w:rFonts w:ascii="Amiri" w:hAnsi="Amiri" w:eastAsia="Amiri" w:cs="Amiri"/>
          <w:color w:val="111111"/>
          <w:sz w:val="28"/>
          <w:sz w:val="28"/>
          <w:szCs w:val="28"/>
          <w:rtl w:val="true"/>
          <w:lang w:bidi="ar-SA"/>
        </w:rPr>
        <w:t>في البيت، فإنه جزء من البيت، لكن لا يقدح عدمه في عدم الهيئة، فهو جزء حال وجوده، وخارج حال عدم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 المسح بماء جديد ثمّ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المسح أوّلاً باليد الجافّة ثمّ بالماء الجديد ثمّ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واستدلّ له بنفي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والحرج وصدق الامتثال واختصاص وجوب المسح بالبلل بالإمكان المنتفي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ما لا يخفى، فإنّ نفي الضرر والحرج لا يقتضي تعلّق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بغير متعلّقه، كما أنّ الامتثال لا يتحقّق مع عدم الإتيان بما هو مأمور به، واختصاص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المسح بالبلل يقتضي سقوط الأمر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المسح بالماء الجديد، ولعل مراد الماتن هو ذلك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وبقاعدة الميسور وبالاستصحاب كما سيأتي، وبجواز الماء الجديد اختياراً فكيف اضطراراً؟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نفي الضرر ينفي لزوم المسح بالنداوة، ولا يثبت ما هي الوظيفة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المستدل تصور أن هذه أوامر تكليفية فقيدها بالإمكان، مع أنها أوامر وضعية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ويمكن توجيهه وتوجيه القول الثاني</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أدلَّة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كالآية الكريمة</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إطلاق، وأدلَّة وجوب المسح ببلة اليمين، وحرمة استئناف </w:t>
      </w:r>
    </w:p>
    <w:p>
      <w:pPr>
        <w:pStyle w:val="BookText"/>
        <w:rPr/>
      </w:pPr>
      <w:r>
        <w:rPr>
          <w:rFonts w:ascii="Amiri" w:hAnsi="Amiri" w:eastAsia="Amiri" w:cs="Amiri"/>
          <w:color w:val="111111"/>
          <w:sz w:val="28"/>
          <w:sz w:val="28"/>
          <w:szCs w:val="28"/>
          <w:rtl w:val="true"/>
          <w:lang w:bidi="ar-SA"/>
        </w:rPr>
        <w:t>بالوضوء والعدول إلى التيمّم، فإنّه قد حقّق في الأصول أنّ هذا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الأوامر إرشاد إلى الجزئية أو الشرطية أو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نهاية الأحكام وغيرها أنّه لو جفّ ماء الوضوء لحرارة الهواء أو غيرها جاز المسح باليد الجافّة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استئناف ماء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من قصور ما دلّ على شرطية المسح بالنداوة عن شموله للمقام لظهوره في صورة الإمكان قد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فإنّه لا قصور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يدلّ على البدلية دليل، وما يمكن أن يكون دليلاً له أحد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وقد مرّ منّا لعلّه مراراً</w:t>
      </w:r>
    </w:p>
    <w:p>
      <w:pPr>
        <w:pStyle w:val="BookText"/>
        <w:rPr/>
      </w:pPr>
      <w:r>
        <w:rPr>
          <w:rFonts w:ascii="Amiri" w:hAnsi="Amiri" w:eastAsia="Amiri" w:cs="Amiri"/>
          <w:color w:val="111111"/>
          <w:sz w:val="28"/>
          <w:sz w:val="28"/>
          <w:szCs w:val="28"/>
          <w:rtl w:val="true"/>
          <w:lang w:bidi="ar-SA"/>
        </w:rPr>
        <w:t>ماء جديد لا إطلاق لها، بل هي خاصة بصورة الإمكان،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منصرفها أو قدرها المتيقن، فيكون المحكم إطلاق أدلَّة المسح</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الأمر بالمركبات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لأنه الميسور، والماء الجديد مباين للمأمور به، فإن بلة النهر غير بلة الوضوء، لكنه غير عرفي، فإنه ميسور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هذه الأوامر تفيد الوضع، لكن مضى توجيهه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الأمران</w:t>
      </w:r>
      <w:r>
        <w:rPr>
          <w:rStyle w:val="FootnoteAnchor"/>
          <w:rtl w:val="true"/>
        </w:rPr>
        <w:footnoteReference w:id="451"/>
      </w:r>
      <w:r>
        <w:rPr>
          <w:rFonts w:ascii="Amiri" w:hAnsi="Amiri" w:eastAsia="Amiri" w:cs="Amiri"/>
          <w:color w:val="111111"/>
          <w:sz w:val="28"/>
          <w:sz w:val="28"/>
          <w:szCs w:val="28"/>
          <w:rtl w:val="true"/>
          <w:lang w:bidi="ar-SA"/>
        </w:rPr>
        <w:t>يمكن أن يصلحا دليلاً لكل من القولين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أدلّة هذه القاعدة مخدوشة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الوضوء كما في الجواهر، 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جريانه يختصّ بما لو تعذّر الوضوء التامّ بعد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يتعلّق الخطاب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المتعلّق بالوضوء التامّ 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بتعذّر بعض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هذا الأصل يتوقف على القول بحجّية الاستصحاب في الشبهات الحكمية، وقد ذكرنا مراراً أنّا لا نلتزم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مجبورة بالشهرة القطعية، كما في الفقه</w:t>
      </w:r>
      <w:r>
        <w:rPr>
          <w:rStyle w:val="FootnoteAnchor"/>
          <w:rtl w:val="true"/>
        </w:rPr>
        <w:footnoteReference w:id="452"/>
      </w:r>
      <w:r>
        <w:rPr>
          <w:rFonts w:ascii="Amiri" w:hAnsi="Amiri" w:eastAsia="Amiri" w:cs="Amiri"/>
          <w:color w:val="111111"/>
          <w:sz w:val="28"/>
          <w:sz w:val="28"/>
          <w:szCs w:val="28"/>
          <w:rtl w:val="true"/>
          <w:lang w:bidi="ar-SA"/>
        </w:rPr>
        <w:t xml:space="preserve">، ثم إن الظاهر أن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المسح بالبلة الجديدة لا باليد الجافة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بالوجوب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بالوحدة العرفية بين الواجد والفاقد، فتأمل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المبنى نظر</w:t>
      </w:r>
      <w:r>
        <w:rPr>
          <w:rStyle w:val="FootnoteAnchor"/>
          <w:rtl w:val="true"/>
        </w:rPr>
        <w:footnoteReference w:id="453"/>
      </w:r>
      <w:r>
        <w:rPr>
          <w:rFonts w:ascii="Amiri" w:hAnsi="Amiri" w:eastAsia="Amiri" w:cs="Amiri"/>
          <w:color w:val="111111"/>
          <w:sz w:val="28"/>
          <w:sz w:val="28"/>
          <w:szCs w:val="28"/>
          <w:rtl w:val="true"/>
          <w:lang w:bidi="ar-SA"/>
        </w:rPr>
        <w:t>، ثم إنه مضى الكلام في نظير هذه الإشكالات،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مسح الرجلين فيجب من رؤوس الأصابع إلى الكعبين طولاً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إمكان الوضوء التامّ، ولو بالتأخير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الأزمنة، تصل النوبة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المسح فالظاهر أنّه لا خلاف بينهم، وفي الجواهر ادّعى عليه إجماع الإمامية محصلاً ومنقولاً،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ضروريات مذهبهم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وأخبارهم به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طريق العامّة</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أنّه وصف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فسمح على رجليه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الآية الشريفة أنّ الوظيفة في الرِجل المسح كالرأس، ولا 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جواز البدار لذوي الأعذار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الضروريات الفقهية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الغسل من بدع عثمان، راجع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للظهور العرفي، إذ العطف على الوجوه بعيد للفاصلة الكلامية الموقعة في وهم خلاف المقصود،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عطف </w:t>
      </w:r>
    </w:p>
    <w:p>
      <w:pPr>
        <w:pStyle w:val="BookText"/>
        <w:rPr/>
      </w:pPr>
      <w:r>
        <w:rPr>
          <w:rFonts w:ascii="Amiri" w:hAnsi="Amiri" w:eastAsia="Amiri" w:cs="Amiri"/>
          <w:color w:val="111111"/>
          <w:sz w:val="28"/>
          <w:sz w:val="28"/>
          <w:szCs w:val="28"/>
          <w:rtl w:val="true"/>
          <w:lang w:bidi="ar-SA"/>
        </w:rPr>
        <w:t>في استفادة هذا المعنى بين أن يقرأ لفظ أرجلكم بالجرّ، كما عن ابن كثير وأبي عمرو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رواه غالب بن الهذيل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الخفض هي أم على النصب؟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على الخفض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الثاني فإنّه معطوف على المحلّ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 الرؤوس منصوب محلاً لأجل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قراءة الجرّ فيلتزم بكون جرّه للمجاورة،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الأرجل على الوجوه من أقبح الوجوه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اُريد تأويل الرواية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معناها على الخفض لا لفظها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الحازم الشهم مقداماً ولا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زيد بقائم ولا قاعداً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تقتضي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 لأنه صفة جحر لكن جر لمجاورة النصب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بل على خلاف القواعد 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بالمفصل ما ذكره العلاّمة، كذلك يحتمل أن يكون المراد منه المفصل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وسط القدم، فلا وجه لتعيينه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يقوى أن يراد به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المراد بالمشار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كما هو الظاهر، فالمفصل الواقع بين الساق والقدم قريب منه جداً، ويبعد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عليه عنوان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تقدّم فالإنصاف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اليد عن هذه الرواية وحملها على غير ما فهم منها العلاّمة مشكل، كما أنّ تأويل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الوجوه، فإنه بعيد للفصل بجملة تامة وللإيهام، وأما على قراءة الجرّ مضافاً إليه فأصل جوازه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المشط مفصل كما يجده من نظر إلى الهيكل العظمي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المصنف غموض وتحتاج لتأمل أكثر، والظاهر أن صدر الرواية</w:t>
      </w:r>
      <w:r>
        <w:rPr>
          <w:rStyle w:val="FootnoteAnchor"/>
          <w:rtl w:val="true"/>
        </w:rPr>
        <w:footnoteReference w:id="460"/>
      </w:r>
      <w:r>
        <w:rPr>
          <w:rFonts w:ascii="Amiri" w:hAnsi="Amiri" w:eastAsia="Amiri" w:cs="Amiri"/>
          <w:color w:val="111111"/>
          <w:sz w:val="28"/>
          <w:sz w:val="28"/>
          <w:szCs w:val="28"/>
          <w:rtl w:val="true"/>
          <w:lang w:bidi="ar-SA"/>
        </w:rPr>
        <w:t>وذيلها متضارب،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الرواية مجملة،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ويكفي مسمّاه عرضاً وإن كان بإصبع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ينطبق على مدّعى العلاّمة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لا يمكن الاكتفاء به في مقام العمل سيّما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شرط للصلاة التي هي قوام الدين وعموده، مضافاً إلى أنا قويّنا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واستدلّ للمشهور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حيث وصلهما بالرأس أنّ المسح على بعضهما، فلا يجب الاستيعاب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بها المشهور وخاصة رواية البزنطي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جريان البراءة لا مانع من ذلك، فإنها تحرز المطلوب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قوى نقيضه سابقاً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وقبلها إطلاق الكتاب الكريم</w:t>
      </w:r>
      <w:r>
        <w:rPr>
          <w:rStyle w:val="FootnoteAnchor"/>
          <w:rtl w:val="true"/>
        </w:rPr>
        <w:footnoteReference w:id="462"/>
      </w:r>
      <w:r>
        <w:rPr>
          <w:rFonts w:ascii="IRNazanin" w:hAnsi="IRNazanin" w:eastAsia="IRNazanin"/>
          <w:color w:val="111111"/>
          <w:sz w:val="28"/>
          <w:sz w:val="28"/>
          <w:szCs w:val="28"/>
          <w:rtl w:val="true"/>
          <w:lang w:bidi="fa-IR"/>
        </w:rPr>
        <w:t>، فإن المسح صادق ولو بالأقل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بوجوب الاستيعاب العرضي لا ينافي البعضية؛ إذ ظاهر القدم بعض من مجموعه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حديث 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أنّه يستفاد من الباء التبعيض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بدل عن الشيء فالمسح بشيء وبجزء من هذا الحدّ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لزوم الاستيعاب الطولي من أنّ الظاهر من الرواية أنّه يلزم مسح هذا المقدار من حيث الطول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على خلاف مقصود المشهور أدلّ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رواه زرارة وبكير أنّهما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بطشت أو تور</w:t>
      </w:r>
      <w:r>
        <w:rPr>
          <w:rStyle w:val="FootnoteAnchor"/>
          <w:rtl w:val="true"/>
        </w:rPr>
        <w:footnoteReference w:id="463"/>
      </w:r>
      <w:r>
        <w:rPr>
          <w:rFonts w:ascii="Amiri" w:hAnsi="Amiri" w:eastAsia="Amiri" w:cs="Amiri"/>
          <w:color w:val="111111"/>
          <w:sz w:val="28"/>
          <w:sz w:val="28"/>
          <w:szCs w:val="28"/>
          <w:rtl w:val="true"/>
          <w:lang w:bidi="ar-SA"/>
        </w:rPr>
        <w:t>فيه ماء فغمس يده اليمنى فغرف بها غرفة فصبّها على وجهه فغسل بها وجهه، ثمّ غمس كفّه اليسرى فغرف بها غرفة فأفرغ على ذراعه اليمنى فغسل بها ذراعه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الإيراد بظهور الرواية</w:t>
      </w:r>
      <w:r>
        <w:rPr>
          <w:rStyle w:val="FootnoteAnchor"/>
          <w:rtl w:val="true"/>
        </w:rPr>
        <w:footnoteReference w:id="464"/>
      </w:r>
      <w:r>
        <w:rPr>
          <w:rFonts w:ascii="Amiri" w:hAnsi="Amiri" w:eastAsia="Amiri" w:cs="Amiri"/>
          <w:color w:val="111111"/>
          <w:sz w:val="28"/>
          <w:sz w:val="28"/>
          <w:szCs w:val="28"/>
          <w:rtl w:val="true"/>
          <w:lang w:bidi="ar-SA"/>
        </w:rPr>
        <w:t>في الاستيعاب الطولي،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ناظرة إلى الطول لا العرض فلا إطلاق لها،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الإيراد بما ورد على الأول، وقد سبق بعض الكلام حول الرواية فراجع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أنها ناظرة إلى الطول فتأمل، ولو فرضت الدلالة فهي مخصصة بالسيرة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المرفق إلى الكفّ لا يردها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المرفق</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ذكرنا من ظهور الرواية في المدّعى ليس من جهة أنّ الباء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يكون للتبعيض؛ لأنّه لا معنى لبعض الشيء في مقابله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بنية الوضوء، وإلاّ فلا مانع منه بحدّ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مبني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ما ورد في الوضوءات البيانية، وقد مضى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للشيء، أي ذلك الشيء الممسوح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فرض بياناً للقدمين فهو يدل على نقيض المطلوب، وفي الدلالة غموض، فلعله مجمل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يدعى الظهور العرفي، وأما الاحتمال الآخر فبعيد عن الذهن العرفي، فتأمل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لم ترد للتبعيض، بل للإلصاق، فمعنى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 ملصقين المسح 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الرواية</w:t>
      </w:r>
      <w:r>
        <w:rPr>
          <w:rStyle w:val="FootnoteAnchor"/>
          <w:rtl w:val="true"/>
        </w:rPr>
        <w:footnoteReference w:id="466"/>
      </w:r>
      <w:r>
        <w:rPr>
          <w:rFonts w:ascii="Amiri" w:hAnsi="Amiri" w:eastAsia="Amiri" w:cs="Amiri"/>
          <w:color w:val="111111"/>
          <w:sz w:val="28"/>
          <w:sz w:val="28"/>
          <w:szCs w:val="28"/>
          <w:rtl w:val="true"/>
          <w:lang w:bidi="ar-SA"/>
        </w:rPr>
        <w:t>تفسير للآية فيكون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مسح شيئاً من رأسه، أو شيئاً من قدميه </w:t>
      </w:r>
    </w:p>
    <w:p>
      <w:pPr>
        <w:pStyle w:val="BookText"/>
        <w:rPr/>
      </w:pPr>
      <w:r>
        <w:rPr>
          <w:rFonts w:ascii="Amiri" w:hAnsi="Amiri" w:eastAsia="Amiri" w:cs="Amiri"/>
          <w:color w:val="111111"/>
          <w:sz w:val="28"/>
          <w:sz w:val="28"/>
          <w:szCs w:val="28"/>
          <w:rtl w:val="true"/>
          <w:lang w:bidi="ar-SA"/>
        </w:rPr>
        <w:t>ولا يخفى دلالته على المقصود، واشتماله على وجوب المسح بتمام الكفّ 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دلالتها على الوجوب من حيث الاستيعاب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قرن حرف الغاية بالأصابع، فيعلم أنّ الغاية المذكورة في الآية غاية للممسوح، فلا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على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رواه الأخوان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بدلاً من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فتدل على المطلوب، ولم يظهر ذلك لنا فعلاً؛ إذ ليس الكلام في الباء،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سقوط بعض الرواية لا يوجب سقوط الباقي، مع أنه ليس في المقام إلاّ تصرف في الظهور لا السقوط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يكفي لإثبات المدعى؛ إذ تكون الآية الكريمة غير دالة لا على مذهبه، ولا على المذهب المقابل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رد على دليل الخصم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الإنصاف دلالتها، إلاّ أن دلالتها مرتبطة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الشراك</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لا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مسحت</w:t>
      </w:r>
      <w:r>
        <w:rPr>
          <w:rFonts w:eastAsia="IRNazanin" w:cs="IRNazanin"/>
          <w:color w:val="111111"/>
          <w:sz w:val="28"/>
          <w:szCs w:val="28"/>
          <w:rtl w:val="true"/>
          <w:lang w:bidi="fa-IR"/>
        </w:rPr>
        <w:t>»</w:t>
      </w:r>
      <w:r>
        <w:rPr>
          <w:rStyle w:val="FootnoteAnchor"/>
          <w:rtl w:val="true"/>
        </w:rPr>
        <w:footnoteReference w:id="469"/>
      </w:r>
      <w:r>
        <w:rPr>
          <w:rFonts w:ascii="Amiri" w:hAnsi="Amiri" w:eastAsia="Amiri" w:cs="Amiri"/>
          <w:color w:val="111111"/>
          <w:sz w:val="28"/>
          <w:sz w:val="28"/>
          <w:szCs w:val="28"/>
          <w:rtl w:val="true"/>
          <w:lang w:bidi="ar-SA"/>
        </w:rPr>
        <w:t>وقد سبق الإجمال أو الظهور المضاد في المقطع الثاني</w:t>
      </w:r>
      <w:r>
        <w:rPr>
          <w:rStyle w:val="FootnoteAnchor"/>
          <w:rtl w:val="true"/>
        </w:rPr>
        <w:footnoteReference w:id="470"/>
      </w:r>
      <w:r>
        <w:rPr>
          <w:rFonts w:ascii="IRNazanin" w:hAnsi="IRNazanin" w:eastAsia="IRNazanin"/>
          <w:color w:val="111111"/>
          <w:sz w:val="28"/>
          <w:sz w:val="28"/>
          <w:szCs w:val="28"/>
          <w:rtl w:val="true"/>
          <w:lang w:bidi="fa-IR"/>
        </w:rPr>
        <w:t>، وأما الأولى</w:t>
      </w:r>
      <w:r>
        <w:rPr>
          <w:rStyle w:val="FootnoteAnchor"/>
          <w:rtl w:val="true"/>
        </w:rPr>
        <w:footnoteReference w:id="471"/>
      </w:r>
      <w:r>
        <w:rPr>
          <w:rFonts w:ascii="Amiri" w:hAnsi="Amiri" w:eastAsia="Amiri" w:cs="Amiri"/>
          <w:color w:val="111111"/>
          <w:sz w:val="28"/>
          <w:sz w:val="28"/>
          <w:szCs w:val="28"/>
          <w:rtl w:val="true"/>
          <w:lang w:bidi="ar-SA"/>
        </w:rPr>
        <w:t>فسيأتي البحث حولها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 على جواز إدخال اليد في الخفّ المخرق، وهو ما رواه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يكون خفّ الرجل مخرّقاً فيدخل يده فيمسح ظهر قدمه أيجزيه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جواز إدخال اليد في الخف المخرّق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استبطان الشراك لا يلازم عدم الاستيعاب؛ لأنّه يمكن أن يتجاوز عن محلّه بحركة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يمكن أن يكون معقده فوق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جميع ذلك أنّه مع فرض التسليم يمكن أن يجعل المسح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عدم اعتبارها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الخرق لا يكون عادةً بحيث يسمح بالاستيعاب في المسح، بل هو سبب لتخرقه أكثر،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في مقام البيان من هذه الجهة، بل في مقام أنه لا يجب نزع الخف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بحركة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ولو كان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 الشراك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 هو القبّة، وإلاّ فليس متعارفاً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يترك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بالمسح إلى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الشراك بدلا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ذكر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ما ذهب إليه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واستدل للمشهور بالإجماعات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بُعد، وينافيه تعليلات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تمسح على الخف والجورب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نوع تسهيل من الشارع للمكلفين، بل هو دال على لزوم الاستيعاب، وإلاّ لمسح إلى ما قبل الشراكين ولم يؤمر به في رواية الأخوين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الأحوط لقوة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 المخرق</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استبطان الشراكين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تصلح دليلاً كافياً للمدعى، بضميمة المعروفية وكلام المعتبر</w:t>
      </w:r>
      <w:r>
        <w:rPr>
          <w:rStyle w:val="FootnoteAnchor"/>
          <w:rtl w:val="true"/>
        </w:rPr>
        <w:footnoteReference w:id="478"/>
      </w:r>
      <w:r>
        <w:rPr>
          <w:rFonts w:ascii="Amiri" w:hAnsi="Amiri" w:eastAsia="Amiri" w:cs="Amiri"/>
          <w:color w:val="111111"/>
          <w:sz w:val="28"/>
          <w:sz w:val="28"/>
          <w:szCs w:val="28"/>
          <w:rtl w:val="true"/>
          <w:lang w:bidi="ar-SA"/>
        </w:rPr>
        <w:t>والذكرى</w:t>
      </w:r>
      <w:r>
        <w:rPr>
          <w:rStyle w:val="FootnoteAnchor"/>
          <w:rtl w:val="true"/>
        </w:rPr>
        <w:footnoteReference w:id="479"/>
      </w:r>
      <w:r>
        <w:rPr>
          <w:rFonts w:ascii="Amiri" w:hAnsi="Amiri" w:eastAsia="Amiri" w:cs="Amiri"/>
          <w:color w:val="111111"/>
          <w:sz w:val="28"/>
          <w:sz w:val="28"/>
          <w:szCs w:val="28"/>
          <w:rtl w:val="true"/>
          <w:lang w:bidi="ar-SA"/>
        </w:rPr>
        <w:t>، والنهاية</w:t>
      </w:r>
      <w:r>
        <w:rPr>
          <w:rStyle w:val="FootnoteAnchor"/>
          <w:rtl w:val="true"/>
        </w:rPr>
        <w:footnoteReference w:id="480"/>
      </w:r>
      <w:r>
        <w:rPr>
          <w:rFonts w:ascii="Amiri" w:hAnsi="Amiri" w:eastAsia="Amiri" w:cs="Amiri"/>
          <w:color w:val="111111"/>
          <w:sz w:val="28"/>
          <w:sz w:val="28"/>
          <w:szCs w:val="28"/>
          <w:rtl w:val="true"/>
          <w:lang w:bidi="ar-SA"/>
        </w:rPr>
        <w:t>، مضافاً إلى بعض الروايات، والأصل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وبجملة من 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المستفاد منها أنّ الكعب عبارة عمّا ذهب إليه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البزنطي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بتقريب أنّ الجملة ظاهرة في أنّ قوله إلى ظاهر القدم 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الكعبين، فيعلم أنّ الكعب عبارة عن ظاهر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في اللغة يطلق على المرتفع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واحد ووصف الكعب في ظهر القدم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Style w:val="FootnoteAnchor"/>
          <w:rtl w:val="true"/>
        </w:rPr>
        <w:footnoteReference w:id="482"/>
      </w:r>
      <w:r>
        <w:rPr>
          <w:rFonts w:ascii="Amiri" w:hAnsi="Amiri" w:eastAsia="Amiri" w:cs="Amiri"/>
          <w:color w:val="111111"/>
          <w:sz w:val="28"/>
          <w:sz w:val="28"/>
          <w:szCs w:val="28"/>
          <w:rtl w:val="true"/>
          <w:lang w:bidi="ar-SA"/>
        </w:rPr>
        <w:t>ظاهرة في هذا المعنى، وحملها على معنى آخر 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 مرتفع، 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أنه لا يدل على المدّعى</w:t>
      </w:r>
      <w:r>
        <w:rPr>
          <w:rStyle w:val="FootnoteAnchor"/>
          <w:rtl w:val="true"/>
        </w:rPr>
        <w:footnoteReference w:id="483"/>
      </w:r>
      <w:r>
        <w:rPr>
          <w:rFonts w:ascii="Amiri" w:hAnsi="Amiri" w:eastAsia="Amiri" w:cs="Amiri"/>
          <w:color w:val="111111"/>
          <w:sz w:val="28"/>
          <w:sz w:val="28"/>
          <w:szCs w:val="28"/>
          <w:rtl w:val="true"/>
          <w:lang w:bidi="ar-SA"/>
        </w:rPr>
        <w:t>إذ قد يكون مقابل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 في بطن القدم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أنه لا يدل أيضاً</w:t>
      </w:r>
      <w:r>
        <w:rPr>
          <w:rStyle w:val="FootnoteAnchor"/>
          <w:rtl w:val="true"/>
        </w:rPr>
        <w:footnoteReference w:id="484"/>
      </w:r>
      <w:r>
        <w:rPr>
          <w:rFonts w:ascii="IRNazanin" w:hAnsi="IRNazanin" w:eastAsia="IRNazanin"/>
          <w:color w:val="111111"/>
          <w:sz w:val="28"/>
          <w:sz w:val="28"/>
          <w:szCs w:val="28"/>
          <w:rtl w:val="true"/>
          <w:lang w:bidi="fa-IR"/>
        </w:rPr>
        <w:t>، لنفس السبب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أحكي لكم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كفّاً من ماء فصبّها على وجهه، ثمّ أخذ كفاً فصبّها على ذراعه، ثمّ أخذ كفاً فصبّها على ذراعه الأُخرى، ثمّ مسح رأسه وقدميه، ثمّ وضع يده على ظهر القدم،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إلى أسفل العرقوب</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أهل اللغة ليس متّفقاً على المعنى المشهور، وإن أُريد به إجماع الفقهاء الذي يرجع إلى إجماع على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فمضافاً إلى 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وجمع آخر من المحقّقين لا يترتّب عليه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فيرد في الأولى منها أنّه يمكن أن يكون المراد بالظاهر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غليظ فوق العقب</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القدم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عظم الساق من القدم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موضوع الحكم، إذ قد يكون للفظ معنيان، فيكون إجماعهم كاشف عن أنّ المراد هذا المعنى، فإن مرجعه إلى الإجماع على الحكم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من المخالفة لا يضر بالشهرة العظيمة والإجماعات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يقابل الباطن، ويكون المقدر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الانتهاء أو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نقل عن 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 الراوي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الكعب في ظهر القدم يعطي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للكعب أوصافاً ليعرفه الراوي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من الظهر الردّ على العامّة، حيث فسّروا الكعب بالناشزين في جانبي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العلاّمة فاستدل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بما دلّ على وجوب مسح ظاهر القدم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بقي من بلّة يمينك ظهر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خلاف الأصل، وهو هنا خلاف الظاهر أيضاً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الكعب</w:t>
      </w:r>
      <w:r>
        <w:rPr>
          <w:rStyle w:val="FootnoteAnchor"/>
          <w:rtl w:val="true"/>
        </w:rPr>
        <w:footnoteReference w:id="48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فيه، ثم إنه لا مانع من وصفه لخفائه عن البعض، خاصة الذين لهم لحم وفير،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يعلو قبتهم لحم وفير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جملة أُضيفت فيما بعد، وهي تختلف عن سياق ما قبلها وما بعدها؛ إذ السياق يدل على قول العلامة</w:t>
      </w:r>
      <w:r>
        <w:rPr>
          <w:rStyle w:val="FootnoteAnchor"/>
          <w:rtl w:val="true"/>
        </w:rPr>
        <w:footnoteReference w:id="491"/>
      </w:r>
      <w:r>
        <w:rPr>
          <w:rFonts w:ascii="Amiri" w:hAnsi="Amiri" w:eastAsia="Amiri" w:cs="Amiri"/>
          <w:color w:val="111111"/>
          <w:sz w:val="28"/>
          <w:sz w:val="28"/>
          <w:szCs w:val="28"/>
          <w:rtl w:val="true"/>
          <w:lang w:bidi="ar-SA"/>
        </w:rPr>
        <w:t>، وهذه الجملة تدل على قول المشهور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يقيد بالأدلَّة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قدمك اليمنى، وتمسح ببلّة يسارك ظهر قدمك اليسرى</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فإنّ الظاهر منها وجوب مسح ظاهر القدم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وبرواية البزنطي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وبما في حديث الأخوين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يعني المفصل دون عظم الساق،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والكعب أسفل من ذلك</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النقاش في الدليل الأول بأنّ المسح على بعض الظاهر يصدق عليه مسح ظاهر القدم،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أبو همّام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وضوء الفريضة 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المسح والغسل في الوضوء للتنظيف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w:t>
      </w:r>
      <w:r>
        <w:rPr>
          <w:rStyle w:val="FootnoteAnchor"/>
          <w:rtl w:val="true"/>
        </w:rPr>
        <w:footnoteReference w:id="495"/>
      </w:r>
      <w:r>
        <w:rPr>
          <w:rFonts w:ascii="Amiri" w:hAnsi="Amiri" w:eastAsia="Amiri" w:cs="Amiri"/>
          <w:color w:val="111111"/>
          <w:sz w:val="28"/>
          <w:sz w:val="28"/>
          <w:szCs w:val="28"/>
          <w:rtl w:val="true"/>
          <w:lang w:bidi="ar-SA"/>
        </w:rPr>
        <w:t>تدل على النقيض، ومع التنازل فهي مجملة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الرواية</w:t>
      </w:r>
      <w:r>
        <w:rPr>
          <w:rStyle w:val="FootnoteAnchor"/>
          <w:rtl w:val="true"/>
        </w:rPr>
        <w:footnoteReference w:id="496"/>
      </w:r>
      <w:r>
        <w:rPr>
          <w:rFonts w:ascii="Amiri" w:hAnsi="Amiri" w:eastAsia="Amiri" w:cs="Amiri"/>
          <w:color w:val="111111"/>
          <w:sz w:val="28"/>
          <w:sz w:val="28"/>
          <w:szCs w:val="28"/>
          <w:rtl w:val="true"/>
          <w:lang w:bidi="ar-SA"/>
        </w:rPr>
        <w:t>مجملة وظهورها متضارب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الاستيعاب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غسل رجله فإنما هو تنظيف، أما المأمور به </w:t>
      </w:r>
    </w:p>
    <w:p>
      <w:pPr>
        <w:pStyle w:val="BookText"/>
        <w:rPr/>
      </w:pP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تعيّن المسح موافق للكتاب ومخالف للعامّة يؤخذ به، ويرفع اليد عن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المرجّح من حيث الأحدثية مع ما دلّ على لزوم المسح، وهذا هو المرجّح الوحيد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استيعابه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رؤوس الأصابع إلى الكعبين فالمشهور بينهم كما في الحدائق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المسح، وظاهر الرواية</w:t>
      </w:r>
      <w:r>
        <w:rPr>
          <w:rStyle w:val="FootnoteAnchor"/>
          <w:rtl w:val="true"/>
        </w:rPr>
        <w:footnoteReference w:id="497"/>
      </w:r>
      <w:r>
        <w:rPr>
          <w:rFonts w:ascii="Amiri" w:hAnsi="Amiri" w:eastAsia="Amiri" w:cs="Amiri"/>
          <w:color w:val="111111"/>
          <w:sz w:val="28"/>
          <w:sz w:val="28"/>
          <w:szCs w:val="28"/>
          <w:rtl w:val="true"/>
          <w:lang w:bidi="ar-SA"/>
        </w:rPr>
        <w:t>أن الكلام في مسح الرجلين أو يعم الرأس،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الروايتين</w:t>
      </w:r>
      <w:r>
        <w:rPr>
          <w:rStyle w:val="FootnoteAnchor"/>
          <w:rtl w:val="true"/>
        </w:rPr>
        <w:footnoteReference w:id="498"/>
      </w:r>
      <w:r>
        <w:rPr>
          <w:rFonts w:ascii="Amiri" w:hAnsi="Amiri" w:eastAsia="Amiri" w:cs="Amiri"/>
          <w:color w:val="111111"/>
          <w:sz w:val="28"/>
          <w:sz w:val="28"/>
          <w:szCs w:val="28"/>
          <w:rtl w:val="true"/>
          <w:lang w:bidi="ar-SA"/>
        </w:rPr>
        <w:t>متعارضتان، وحينئذٍ تتعين رواية المسح لعدّة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ومخالفتها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وللأحدثية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ليس بمرجح فكيف بكونه وحيداً؟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التي ذكرها المصنف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والإجماع، وقد أقره المصنف</w:t>
      </w:r>
      <w:r>
        <w:rPr>
          <w:rStyle w:val="FootnoteAnchor"/>
          <w:rtl w:val="true"/>
        </w:rPr>
        <w:footnoteReference w:id="499"/>
      </w:r>
      <w:r>
        <w:rPr>
          <w:rFonts w:ascii="Amiri" w:hAnsi="Amiri" w:eastAsia="Amiri" w:cs="Amiri"/>
          <w:color w:val="111111"/>
          <w:sz w:val="28"/>
          <w:sz w:val="28"/>
          <w:szCs w:val="28"/>
          <w:rtl w:val="true"/>
          <w:lang w:bidi="ar-SA"/>
        </w:rPr>
        <w:t>خلافاً لدأبه حيث يناقش في الإجماعات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Style w:val="FootnoteAnchor"/>
          <w:rtl w:val="true"/>
        </w:rPr>
        <w:footnoteReference w:id="500"/>
      </w:r>
      <w:r>
        <w:rPr>
          <w:rFonts w:ascii="Amiri" w:hAnsi="Amiri" w:eastAsia="Amiri" w:cs="Amiri"/>
          <w:color w:val="111111"/>
          <w:sz w:val="28"/>
          <w:sz w:val="28"/>
          <w:szCs w:val="28"/>
          <w:rtl w:val="true"/>
          <w:lang w:bidi="ar-SA"/>
        </w:rPr>
        <w:t>، سواء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غاية للمسح أم الممسوح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غاية للمسح فظاهر،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امسحوا أرجلكم مسحاً إلى الكعبين،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غاية للممسوح فكذلك، إذ الظاهر 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 بعض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ذلك البعض الممسوح؟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الممسوح هو إلى الكعبين،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منطقة المسح ذلك،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اصبغ بعض الجدار إلى منتصفه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كان غاية للممسوح إلاّ أنه ظاهر في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المعراج</w:t>
      </w:r>
      <w:r>
        <w:rPr>
          <w:rStyle w:val="FootnoteAnchor"/>
          <w:rtl w:val="true"/>
        </w:rPr>
        <w:footnoteReference w:id="501"/>
      </w:r>
      <w:r>
        <w:rPr>
          <w:rFonts w:ascii="Amiri" w:hAnsi="Amiri" w:eastAsia="Amiri" w:cs="Amiri"/>
          <w:color w:val="111111"/>
          <w:sz w:val="28"/>
          <w:sz w:val="28"/>
          <w:szCs w:val="28"/>
          <w:rtl w:val="true"/>
          <w:lang w:bidi="ar-SA"/>
        </w:rPr>
        <w:t>،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مختصاته،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أصالة 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وبكير،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مسح بشيء من رأسه أو بشيء من قدميه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روياه</w:t>
      </w:r>
      <w:r>
        <w:rPr>
          <w:rStyle w:val="FootnoteAnchor"/>
          <w:rtl w:val="true"/>
        </w:rPr>
        <w:footnoteReference w:id="503"/>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بنفس التقريب، والإنصاف أنها ظاهرة في نقيض المطلوب وكفاية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البزنطي</w:t>
      </w:r>
      <w:r>
        <w:rPr>
          <w:rStyle w:val="FootnoteAnchor"/>
          <w:rtl w:val="true"/>
        </w:rPr>
        <w:footnoteReference w:id="505"/>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النصوص</w:t>
      </w:r>
      <w:r>
        <w:rPr>
          <w:rStyle w:val="FootnoteAnchor"/>
          <w:rtl w:val="true"/>
        </w:rPr>
        <w:footnoteReference w:id="506"/>
      </w:r>
      <w:r>
        <w:rPr>
          <w:rFonts w:ascii="Amiri" w:hAnsi="Amiri" w:eastAsia="Amiri" w:cs="Amiri"/>
          <w:color w:val="111111"/>
          <w:sz w:val="28"/>
          <w:sz w:val="28"/>
          <w:szCs w:val="28"/>
          <w:rtl w:val="true"/>
          <w:lang w:bidi="ar-SA"/>
        </w:rPr>
        <w:t>ولعل الاستدلال أن ظاهرهما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الكلي، لكنهما ضعيفان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ينافيه ما يدلّ من الروايات على جواز النكس، بل هو المشهور كما ادّعاه في الحدائق؛ إذ المستفاد من الآية وجوب الاستيعاب ولزوم كون الابتداء من الأصابع، وبقيام الدليل على جواز النكس يرفع اليد عن أحد الأمرين، ولا وجه لرفع اليد عن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إدخال اليد في الخفّ ومسح الرجل بها داخل الخفّ يلازم عدم الاستيعاب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الملازمة لا نسلّمها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لا يمكن رفع اليد عمّا دلّ على لزوم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بلل اللحية يكفي غالباً للمسح عرضاً وطولاً، أضف</w:t>
      </w:r>
    </w:p>
    <w:p>
      <w:pPr>
        <w:pStyle w:val="BookText"/>
        <w:rPr/>
      </w:pPr>
      <w:r>
        <w:rPr>
          <w:rFonts w:ascii="Amiri" w:hAnsi="Amiri" w:eastAsia="Amiri" w:cs="Amiri"/>
          <w:color w:val="111111"/>
          <w:sz w:val="28"/>
          <w:sz w:val="28"/>
          <w:szCs w:val="28"/>
          <w:rtl w:val="true"/>
          <w:lang w:bidi="ar-SA"/>
        </w:rPr>
        <w:t>وقد تحصل من جميع ما سبق تمامية الدليل الثاني والثالث والسادس، ويبقي الكلام في المانع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الشهرة والإجماع المدّعى فيحتاجان إلى تأمل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سقوط بعض الدلالة لا يسقط الباقي،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للجمعة وللجنابة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سقوط الدلالة المطابقية هل يستلزم سقوط الالتزامية أو لا؟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مسلمة، إلاّ لو كان الشق كبيراً جداً، وهو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ذلك أنّ الحكم مختصّ بمسح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مسح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المذكورات لمستند المشهور لا يصلح للاعتماد</w:t>
      </w:r>
    </w:p>
    <w:p>
      <w:pPr>
        <w:pStyle w:val="BookText"/>
        <w:rPr/>
      </w:pPr>
      <w:r>
        <w:rPr>
          <w:rFonts w:ascii="Amiri" w:hAnsi="Amiri" w:eastAsia="Amiri" w:cs="Amiri"/>
          <w:color w:val="111111"/>
          <w:sz w:val="28"/>
          <w:sz w:val="28"/>
          <w:szCs w:val="28"/>
          <w:rtl w:val="true"/>
          <w:lang w:bidi="ar-SA"/>
        </w:rPr>
        <w:t>عليه، بل الحقّ القول الآخر لما رواه البزنطي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قام إجماع تعبّدي كاشف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الاجتزاء بأقلّ من ذلك فهو، وإلاّ لا بدّ من الأخذ به، والسيرة الخارجية ليست بحيث يمكن الاعتماد عليها، فإنّ الناس مختلفون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إيجاد المسح،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السيرة على عدم التقيّد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النحو المذكور المستفاد من الرواية وعدم ارتكاز هذا المعنى في أذهان المتشرعة يكشف عن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الخصوصية ولو بقرينة فهم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ظهر العكس، لإطلاق الآية الكريمة</w:t>
      </w:r>
      <w:r>
        <w:rPr>
          <w:rStyle w:val="FootnoteAnchor"/>
          <w:rtl w:val="true"/>
        </w:rPr>
        <w:footnoteReference w:id="508"/>
      </w:r>
      <w:r>
        <w:rPr>
          <w:rFonts w:ascii="Amiri" w:hAnsi="Amiri" w:eastAsia="Amiri" w:cs="Amiri"/>
          <w:color w:val="111111"/>
          <w:sz w:val="28"/>
          <w:sz w:val="28"/>
          <w:szCs w:val="28"/>
          <w:rtl w:val="true"/>
          <w:lang w:bidi="ar-SA"/>
        </w:rPr>
        <w:t>وإطلاق الرواية الأولى</w:t>
      </w:r>
      <w:r>
        <w:rPr>
          <w:rStyle w:val="FootnoteAnchor"/>
          <w:rtl w:val="true"/>
        </w:rPr>
        <w:footnoteReference w:id="509"/>
      </w:r>
      <w:r>
        <w:rPr>
          <w:rFonts w:ascii="Amiri" w:hAnsi="Amiri" w:eastAsia="Amiri" w:cs="Amiri"/>
          <w:color w:val="111111"/>
          <w:sz w:val="28"/>
          <w:sz w:val="28"/>
          <w:szCs w:val="28"/>
          <w:rtl w:val="true"/>
          <w:lang w:bidi="ar-SA"/>
        </w:rPr>
        <w:t>، لو سلم الإطلاق، ورواية الخف</w:t>
      </w:r>
      <w:r>
        <w:rPr>
          <w:rStyle w:val="FootnoteAnchor"/>
          <w:rtl w:val="true"/>
        </w:rPr>
        <w:footnoteReference w:id="510"/>
      </w:r>
      <w:r>
        <w:rPr>
          <w:rFonts w:ascii="IRNazanin" w:hAnsi="IRNazanin" w:eastAsia="IRNazanin"/>
          <w:color w:val="111111"/>
          <w:sz w:val="28"/>
          <w:sz w:val="28"/>
          <w:szCs w:val="28"/>
          <w:rtl w:val="true"/>
          <w:lang w:bidi="fa-IR"/>
        </w:rPr>
        <w:t>الممزق المخرق والبلل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المسح بتمام الكف واستيعاب ظاهر القدم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الأغلبية القريبة إلى الاتفاق لا تستوعب في المسح ظاهراً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التقيد غالباً بالعدم، خاصة مع ملاحظة أن الاستيعاب صعب ويحتاج للتمرين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والأولى أن يكون بتمام الكفّ، والأحوط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الابتداء فيه من الأصابع إلى الكعبين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لهذا القول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 وَأَرْجُلَكُمْ إِلَى الْكَعْبَينِ</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xml:space="preserve">بتقريب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للمسح، وبالوضوءات البيانية الدالّة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يمسح من رؤوس الأصابع إلى الكعبين ولحديث البزنطي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الجميع نظر، أمّا الآية فمضافاً إلى الإشكال فيها بعدم ظهورها في المدّعى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يحتمل أن تكون الغاية غاية للممسوح يرفع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عنها بما دلّ على جواز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الوضوءات البيانية فغاية ما يستفاد منها رجحان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ما دلّ على جواز النكس يقتضي 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عمّا يدلّ على عدم جوازه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قبلها،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وبملاحظة النظائر العرفية،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 الجدار إلى منتصفه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تحمل على الاستحباب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سبق احتمال أنها تدل على أنه أحد الأنحاء</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الحمل على الاستحباب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جفاف الممسوح على النحو المذكور في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مسح اليمنى باليمنى واليسرى باليسرى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صحة الوضوء يبوسة الأعضاء قبله،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مجال لجريانها كما بيّناه سابقاً، بل المرجع البراءة وإن رجعنا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 مقبلاً حتّى يكون المستفاد عدم البأس بتكرار المسح كذلك، مردود بأنّ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الوضوءات البيانية تدلّ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والمناقشة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الرواية على اللزوم كما ترى لا وجه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سائر الموارد الظاهر أنه لم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يأتي احتمال التكرار إلى أذهان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ظهور رواية حماد</w:t>
      </w:r>
      <w:r>
        <w:rPr>
          <w:rStyle w:val="FootnoteAnchor"/>
          <w:rtl w:val="true"/>
        </w:rPr>
        <w:footnoteReference w:id="513"/>
      </w:r>
      <w:r>
        <w:rPr>
          <w:rFonts w:ascii="Amiri" w:hAnsi="Amiri" w:eastAsia="Amiri" w:cs="Amiri"/>
          <w:color w:val="111111"/>
          <w:sz w:val="28"/>
          <w:sz w:val="28"/>
          <w:szCs w:val="28"/>
          <w:rtl w:val="true"/>
          <w:lang w:bidi="ar-SA"/>
        </w:rPr>
        <w:t>أقوى فيقدم، ولا تعارض مع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الكلام في أنه هل يدل على اللزوم أو الإجزاء؟ </w:t>
      </w:r>
      <w:bookmarkStart w:id="163" w:name="pg15737_151613"/>
    </w:p>
    <w:p>
      <w:pPr>
        <w:pStyle w:val="BookText"/>
        <w:rPr/>
      </w:pPr>
      <w:bookmarkEnd w:id="163"/>
      <w:r>
        <w:rPr>
          <w:rFonts w:ascii="Amiri" w:hAnsi="Amiri" w:eastAsia="Amiri" w:cs="Amiri"/>
          <w:color w:val="111111"/>
          <w:sz w:val="28"/>
          <w:sz w:val="28"/>
          <w:szCs w:val="28"/>
          <w:rtl w:val="true"/>
          <w:lang w:bidi="ar-SA"/>
        </w:rPr>
        <w:t>بل لو توضأ على الأعضاء المبتلّة صح الوضوء</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2561674_2142443653"/>
      <w:bookmarkStart w:id="165" w:name="_Toc56"/>
      <w:bookmarkEnd w:id="164"/>
      <w:r>
        <w:rPr>
          <w:rtl w:val="true"/>
        </w:rPr>
        <w:t xml:space="preserve">المسألة </w:t>
      </w:r>
      <w:r>
        <w:rPr/>
        <w:t>105</w:t>
      </w:r>
      <w:r>
        <w:rPr>
          <w:rtl w:val="true"/>
        </w:rPr>
        <w:t xml:space="preserve">: </w:t>
      </w:r>
      <w:r>
        <w:rPr>
          <w:rtl w:val="true"/>
        </w:rPr>
        <w:t>لو وقف تحت المطر أو الميزاب للغسل أو الوضوء</w:t>
      </w:r>
      <w:bookmarkEnd w:id="1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تحت المطر أو الميزاب للغسل أو الوضوء جاز وصحّ الغسل والوضوء إذا حصلا بشرائطهما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يجب أن يكون مسح الرأس والرجلين بما جرى من المطر على يديه لغسلهما لا بما جرى عليهما بعد تمام غسلهما، ولا بالممزوج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كون المسح بماء الوضوء</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2561676_2142443653"/>
      <w:bookmarkStart w:id="167" w:name="_Toc57"/>
      <w:bookmarkEnd w:id="166"/>
      <w:r>
        <w:rPr>
          <w:rtl w:val="true"/>
        </w:rPr>
        <w:t xml:space="preserve">المسألة </w:t>
      </w:r>
      <w:r>
        <w:rPr/>
        <w:t>106</w:t>
      </w:r>
      <w:r>
        <w:rPr>
          <w:rtl w:val="true"/>
        </w:rPr>
        <w:t xml:space="preserve">: </w:t>
      </w:r>
      <w:r>
        <w:rPr>
          <w:rtl w:val="true"/>
        </w:rPr>
        <w:t>لو كرّر المسح لم يضرّ</w:t>
      </w:r>
      <w:bookmarkEnd w:id="1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كرّر المسح لم يضرّ سواء كان لرعاية الاحتياط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وتحقّق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المأمور به من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المأمور به، أعني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بالممزوج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وذلك لتعارف الاختلاط في الوضوء تحت المطر، فعدم التنبيه عليه دليل عدم اللزوم،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المقتضي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بيان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يصبح البلل الموجود جزءاً من بلل الوضوء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المباشرة، فإن العمل يسند إليه لاختيارية مقدماته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تحقّقه أم للعبث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قصد به التشريع أثم، بل وأفسد الوضوء فيما لو رجع إلى عدم قصد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يشكل فيما لو كان التكرار في مسح الرأس وانتقل منه البلّة إلى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إضراره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المعنى لم يتعلّق القصد بالمأمور به فلا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بدا له ذلك بعد الفراغ من الوضوء فمسح ثانياً بعنوان أنه من الوضوء لم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الشرح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المسح</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ففي إطلاقه نظر؛ إذ لو فرغ من مسح الرأس فمسح ثانياً بنية التشريع التقييدي لم يحصل قصد الامتثال بباقي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يشكل لو مسح الرأس أو الرجل فلم يبتل المقدار الواجب مسحه، فكرر المسح بلا تجفيف للمحل، بحيث وقع المسح بالماء الممتزج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المانع، والمقتضي هو شمول إطلاقات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للثاني</w:t>
      </w:r>
      <w:r>
        <w:rPr>
          <w:rStyle w:val="FootnoteAnchor"/>
          <w:rtl w:val="true"/>
        </w:rPr>
        <w:footnoteReference w:id="516"/>
      </w:r>
      <w:r>
        <w:rPr>
          <w:rFonts w:ascii="IRNazanin" w:hAnsi="IRNazanin" w:eastAsia="IRNazanin"/>
          <w:color w:val="111111"/>
          <w:sz w:val="28"/>
          <w:sz w:val="28"/>
          <w:szCs w:val="28"/>
          <w:rtl w:val="true"/>
          <w:lang w:bidi="fa-IR"/>
        </w:rPr>
        <w:t>، وأما الأول</w:t>
      </w:r>
      <w:r>
        <w:rPr>
          <w:rStyle w:val="FootnoteAnchor"/>
          <w:rtl w:val="true"/>
        </w:rPr>
        <w:footnoteReference w:id="517"/>
      </w:r>
      <w:r>
        <w:rPr>
          <w:rFonts w:ascii="Amiri" w:hAnsi="Amiri" w:eastAsia="Amiri" w:cs="Amiri"/>
          <w:color w:val="111111"/>
          <w:sz w:val="28"/>
          <w:sz w:val="28"/>
          <w:szCs w:val="28"/>
          <w:rtl w:val="true"/>
          <w:lang w:bidi="ar-SA"/>
        </w:rPr>
        <w:t>فهو مشمول لنفس الدليل الآمر بالمسح، أو لأدلَّة الاحتياط</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على نحو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مسح الرجل اليمنى بها أو بالممزوج منها ومن بلّة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المسح لا بدّ أن يكون ببلّة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البلّة المنتقلة من الرأس إلى اليد تصدق عليها أنها بلّة اليمنى فلا وجه للبطلان، ويجاب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بلّة يمينك ظهر قدمك اليمنى</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وجوب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مرسل يونس يدلّ على وجوب التعدّد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بأنّ أخبار التثنية لا ظهور لها في هذا المعنى، فإنّه يحتمل أن يكون المراد منها أنّ الغسل في الوضوء 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الوجه واليدين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بلة الوضوء، فالأولى ببلة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بلة باقية، بل بلة منتقلة،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البلل الجديد، لا في قبال ما انتقل، فلا إطلاق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الوهم مندفع بالإعراض القطعي والسيرة المضادة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المسح، ويدل عليه ظاهر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w:t>
      </w:r>
      <w:bookmarkStart w:id="168" w:name="pg15737_151616"/>
    </w:p>
    <w:p>
      <w:pPr>
        <w:pStyle w:val="Heading4"/>
        <w:numPr>
          <w:ilvl w:val="3"/>
          <w:numId w:val="1"/>
        </w:numPr>
        <w:rPr/>
      </w:pPr>
      <w:bookmarkStart w:id="169" w:name="__RefHeading___Toc12561678_2142443653"/>
      <w:bookmarkStart w:id="170" w:name="_Toc58"/>
      <w:bookmarkEnd w:id="168"/>
      <w:bookmarkEnd w:id="169"/>
      <w:r>
        <w:rPr>
          <w:rtl w:val="true"/>
        </w:rPr>
        <w:t xml:space="preserve">المسألة </w:t>
      </w:r>
      <w:r>
        <w:rPr/>
        <w:t>107</w:t>
      </w:r>
      <w:r>
        <w:rPr>
          <w:rtl w:val="true"/>
        </w:rPr>
        <w:t xml:space="preserve">: </w:t>
      </w:r>
      <w:r>
        <w:rPr>
          <w:rtl w:val="true"/>
        </w:rPr>
        <w:t>التبعيض في الوضوء</w:t>
      </w:r>
      <w:bookmarkEnd w:id="1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التبعيض في الوضوء بأن يغسل بعض الأعضاء بالارتماس وبعضها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2561680_2142443653"/>
      <w:bookmarkStart w:id="172" w:name="_Toc59"/>
      <w:bookmarkEnd w:id="171"/>
      <w:r>
        <w:rPr>
          <w:rtl w:val="true"/>
        </w:rPr>
        <w:t xml:space="preserve">المسألة </w:t>
      </w:r>
      <w:r>
        <w:rPr/>
        <w:t>108</w:t>
      </w:r>
      <w:r>
        <w:rPr>
          <w:rtl w:val="true"/>
        </w:rPr>
        <w:t xml:space="preserve">: </w:t>
      </w:r>
      <w:r>
        <w:rPr>
          <w:rtl w:val="true"/>
        </w:rPr>
        <w:t>جواز إتيان الصلاة الواجبة بالوضوء المستحبّ</w:t>
      </w:r>
      <w:bookmarkEnd w:id="1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إتيان الصلاة الواجبة والمستحبة بالوضوء المستحبّ أو الغسل المستحب الرافع للحدث، كغسل الجنابة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بمثل وضوء الحائض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فإنّ الوضوء أو الغسل لو كان رافعاً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لتجديد الطهارة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وُجُوهَكُمْ وَأَيْدِيَكُمْ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بِرُؤُوسِكُمْ وَأَرْجُلَكُمْ</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ولذا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غسلتان ومسحتان</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التفسير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عام يخصص بالغسلات، وأما في المسحات فمعرض عنها،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التبعيض في العضو الواحد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فإنه يصدق ولو قام إليها قبل الوقت، كما لو قام قبل الفجر وتوضأ وذهب إلى المسجد ليصلي الصبح،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وغسل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 عن المدارك أنّه جعل الروايتين رواية واحدة، وشنّع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جعلهما روايتين، وبمرسلة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أنّه ليس شيء من الغسل فيه وضوء إلاّ غسل يوم الجمعة فإنّ قبله وضوء</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سند بعضها مخدوشاً لكن في المعتبر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للتشنيع مع اختلاف المفاد والطريق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المدّعى في الجملة، وكذا في الرواية</w:t>
      </w:r>
      <w:r>
        <w:rPr>
          <w:rStyle w:val="FootnoteAnchor"/>
          <w:rtl w:val="true"/>
        </w:rPr>
        <w:footnoteReference w:id="526"/>
      </w:r>
      <w:r>
        <w:rPr>
          <w:rFonts w:ascii="Amiri" w:hAnsi="Amiri" w:eastAsia="Amiri" w:cs="Amiri"/>
          <w:color w:val="111111"/>
          <w:sz w:val="28"/>
          <w:sz w:val="28"/>
          <w:szCs w:val="28"/>
          <w:rtl w:val="true"/>
          <w:lang w:bidi="ar-SA"/>
        </w:rPr>
        <w:t>التالية، كما تدل على نقيض مدّعى المشهور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تام بلحاظ الآية الكريمة، لكنه معارض بالمانع الذي يقتضي حمله على الاستحباب، أو يخصص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w:t>
      </w:r>
      <w:r>
        <w:rPr>
          <w:rStyle w:val="FootnoteAnchor"/>
          <w:rtl w:val="true"/>
        </w:rPr>
        <w:footnoteReference w:id="527"/>
      </w:r>
      <w:r>
        <w:rPr>
          <w:rFonts w:ascii="Amiri" w:hAnsi="Amiri" w:eastAsia="Amiri" w:cs="Amiri"/>
          <w:color w:val="111111"/>
          <w:sz w:val="28"/>
          <w:sz w:val="28"/>
          <w:szCs w:val="28"/>
          <w:rtl w:val="true"/>
          <w:lang w:bidi="ar-SA"/>
        </w:rPr>
        <w:t>السابقة فيرد عليها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سندها ضعيف جميعاً،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بانجبارها بعمل المشهور، أو تقبل مراسيل ابن أبي عمير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كفاية في الاستدلال على مدّعى المشهور، فإنّ ما رواه ابن أبي عمير وإن كان في حكم المرسل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حيث إنّ الراوي ابن أبي عمير وقلنا سابقاً 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بأنّه لا يروي ولا يرسل إلاّ عن ثقة فيؤخذ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من حيث المقتضي، لكن رجعنا عن هذه المقالة وقلنا لا 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مراسيل ابن أبي عمير وغيره من حيث 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خلاف المشهور ما رواه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يجزي عن الوضوء، وأيّ وضوء أطهر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الغسل</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مع الروايات الدالَّة على الكفاية</w:t>
      </w:r>
      <w:r>
        <w:rPr>
          <w:rStyle w:val="FootnoteAnchor"/>
          <w:rtl w:val="true"/>
        </w:rPr>
        <w:footnoteReference w:id="529"/>
      </w:r>
      <w:r>
        <w:rPr>
          <w:rFonts w:ascii="IRNazanin" w:hAnsi="IRNazanin" w:eastAsia="IRNazanin"/>
          <w:color w:val="111111"/>
          <w:sz w:val="28"/>
          <w:sz w:val="28"/>
          <w:szCs w:val="28"/>
          <w:rtl w:val="true"/>
          <w:lang w:bidi="fa-IR"/>
        </w:rPr>
        <w:t>، فتحمل الأولى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فرضت المعارضة تقدم الثانية؛ لأن الوجوب موافق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موافق للكتاب فيقدم، كما أنه لو لوحظت الأحدثية فخبر ابن يقطين الدال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اخترنا التفصيل بين مسانيده ومراسيله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فرق إلاّ أن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بالعام في الشبهة المصداقية</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تمنع من الأخذ برواياته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علة وهي تفيد التعميم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تلك الأخبار ما رواه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تنظر أيّامها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تصلّي فيها، ولا يقربها بعلها، فإذا جازت أيّامها ورأت الدم يثقب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الكرسف اغتسلت للظهر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الدم لا يثقب الكرسف توضّأت ودخلت المسجد وصلّت كلّ صلاة بوضوء، وهذه يأتيها بعلها إلاّ في أيّام حيضها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الجمع بين هذه الأخبار وتلك الأخبار الدالّة على وجوب الوضوء حملها على الاستحباب كما هو المقرّر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خلاف المشهور، وكفاية كلّ 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واجباً أو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المرجّح الوحيد في باب الترجيح الأحدثية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أثر لكون الحديث مخالفاً للعامّة أو موافقاً للكتاب، ولكن مع هذا الحقّ كفاية كلّ غسل عن الوضوء،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يثقب من الجانب الخارج ويخرج، فتكون كثيرة، لكن ينافيه المقابلة،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الجمع العرفي خلافاً لمبنى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رفعه للحدث،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الحدث معه لا كغسل الحائض</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المبنى نظر، لكن عليه يقدم ما دل على </w:t>
      </w:r>
      <w:bookmarkStart w:id="173" w:name="pg15737_151620"/>
    </w:p>
    <w:p>
      <w:pPr>
        <w:pStyle w:val="Heading4"/>
        <w:numPr>
          <w:ilvl w:val="3"/>
          <w:numId w:val="1"/>
        </w:numPr>
        <w:rPr/>
      </w:pPr>
      <w:bookmarkStart w:id="174" w:name="__RefHeading___Toc12561682_2142443653"/>
      <w:bookmarkStart w:id="175" w:name="_Toc60"/>
      <w:bookmarkEnd w:id="173"/>
      <w:bookmarkEnd w:id="174"/>
      <w:r>
        <w:rPr>
          <w:rtl w:val="true"/>
        </w:rPr>
        <w:t xml:space="preserve">المسألة </w:t>
      </w:r>
      <w:r>
        <w:rPr/>
        <w:t>109</w:t>
      </w:r>
      <w:r>
        <w:rPr>
          <w:rtl w:val="true"/>
        </w:rPr>
        <w:t xml:space="preserve">: </w:t>
      </w:r>
      <w:r>
        <w:rPr>
          <w:rtl w:val="true"/>
        </w:rPr>
        <w:t>جواز الوضوء قبل الوقت</w:t>
      </w:r>
      <w:bookmarkEnd w:id="1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يتوضّأ قبل الوقت ولو للكون على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المعارض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كشف اللثام وإجماعاً كما عن العلاّمة الطباطبائي، ويشهد له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الوضوء مع غسل الجمعة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ثبوت الاستحباب نفسياً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مجبور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جميع ذلك أن مقتضى القاعدة الجمع الدلالي بالحمل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الوجوب معرض عنها، وقد يطرح هذا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المقدار من الإعراض يكفي في السقوط أم لا؟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متوقف على ضميمة صغرى،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الوضوء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تكفل الأدلَّة بذلك، مثل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 ولا صلاة إلاّ بطهور</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الصناعة استحباب 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الغسلات والمسحات، بتقريب أنّ المستفاد 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البالغ عليه الثواب مستحباً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بدون نية الكون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المصنف لا يقبل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w:t>
      </w:r>
      <w:r>
        <w:rPr>
          <w:rStyle w:val="FootnoteAnchor"/>
          <w:rtl w:val="true"/>
        </w:rPr>
        <w:footnoteReference w:id="535"/>
      </w:r>
      <w:r>
        <w:rPr>
          <w:rFonts w:ascii="Amiri" w:hAnsi="Amiri" w:eastAsia="Amiri" w:cs="Amiri"/>
          <w:color w:val="111111"/>
          <w:sz w:val="28"/>
          <w:sz w:val="28"/>
          <w:szCs w:val="28"/>
          <w:rtl w:val="true"/>
          <w:lang w:bidi="ar-SA"/>
        </w:rPr>
        <w:t>المزبورة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الدليل آتٍ هنا، إذ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الْمُتَطَهِّرِينَ</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ولم يقيد بقصد التطهر، والوضوء طهور</w:t>
      </w:r>
      <w:r>
        <w:rPr>
          <w:rFonts w:eastAsia="Amiri" w:cs="Amiri" w:ascii="Amiri" w:hAnsi="Amiri"/>
          <w:color w:val="111111"/>
          <w:sz w:val="28"/>
          <w:szCs w:val="28"/>
          <w:rtl w:val="true"/>
          <w:lang w:bidi="ar-SA"/>
        </w:rPr>
        <w:t xml:space="preserve">. </w:t>
      </w:r>
      <w:bookmarkStart w:id="176" w:name="pg15737_151622"/>
    </w:p>
    <w:p>
      <w:pPr>
        <w:pStyle w:val="Heading3"/>
        <w:numPr>
          <w:ilvl w:val="2"/>
          <w:numId w:val="1"/>
        </w:numPr>
        <w:rPr/>
      </w:pPr>
      <w:bookmarkStart w:id="177" w:name="__RefHeading___Toc12561684_2142443653"/>
      <w:bookmarkStart w:id="178" w:name="_Toc61"/>
      <w:bookmarkEnd w:id="176"/>
      <w:bookmarkEnd w:id="177"/>
      <w:r>
        <w:rPr>
          <w:rtl w:val="true"/>
        </w:rPr>
        <w:t>فصل</w:t>
      </w:r>
      <w:r>
        <w:rPr>
          <w:rtl w:val="true"/>
        </w:rPr>
        <w:t xml:space="preserve">: </w:t>
      </w:r>
      <w:r>
        <w:rPr>
          <w:rtl w:val="true"/>
        </w:rPr>
        <w:t>في شرائط الوضوء</w:t>
      </w:r>
      <w:bookmarkEnd w:id="178"/>
    </w:p>
    <w:p>
      <w:pPr>
        <w:pStyle w:val="Heading4"/>
        <w:numPr>
          <w:ilvl w:val="3"/>
          <w:numId w:val="1"/>
        </w:numPr>
        <w:rPr/>
      </w:pPr>
      <w:bookmarkStart w:id="179" w:name="__RefHeading___Toc12561686_2142443653"/>
      <w:bookmarkStart w:id="180" w:name="_Toc62"/>
      <w:bookmarkEnd w:id="179"/>
      <w:r>
        <w:rPr>
          <w:rtl w:val="true"/>
        </w:rPr>
        <w:t>الأمر الأوّل</w:t>
      </w:r>
      <w:r>
        <w:rPr>
          <w:rtl w:val="true"/>
        </w:rPr>
        <w:t xml:space="preserve">: </w:t>
      </w:r>
      <w:r>
        <w:rPr>
          <w:rtl w:val="true"/>
        </w:rPr>
        <w:t>النيّة</w:t>
      </w:r>
      <w:bookmarkEnd w:id="180"/>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 الوضوء إجمالاً ممّا لا شبهة فيه ولا شكّ يعتريه،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فعل اختياري ولا يعقل تحقّقه في الخارج إلاّ بنيّة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في المصطلح الفقهي تنحل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وكون الداعي أمر اللّه تعالى، والخلوص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شرحها بالقصد فقط، وهو غير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عليه بأن ما دل على اعتبار داعوية الأمر الإلهي، والخلوص يدل على ذلك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وإلاّ لتمشى هذا الدليل في جميع التوصيلات،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المقصود صرف تحقق العمل في الخارج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التوصيلات غير القصدية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تمم ذلك بأن ظاهر الأوامر صدورها عن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إلى ذلك كبرى صدور العمل الاختياري بلا قصد محال، وتمّ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اعتبارها فيه، بل في كلّ طهارة منسوب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تحقّق الاتفاق عدم تعرّض جملة من القدماء كالصدوقين لها؛ لإمكان اتّكالهم على 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وعدم الحاجة إلى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الجنيد الخلاف في ذلك وعدم إيجابها، وهو مع معارضته بنقل المحقّق خلافه في المعتبر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على المطلوب بجملة من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ما نحن بصدده،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يناقش عادة في الإجماعات، فلِمَ لَمْ يناقش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 بمعنى القصد، بل وكذا في المعنى الثاني والثالث</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نفي وجوب الإخطار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 المصنف تضعيفها</w:t>
      </w:r>
      <w:r>
        <w:rPr>
          <w:rStyle w:val="FootnoteAnchor"/>
          <w:rtl w:val="true"/>
        </w:rPr>
        <w:footnoteReference w:id="540"/>
      </w:r>
      <w:r>
        <w:rPr>
          <w:rFonts w:ascii="Amiri" w:hAnsi="Amiri" w:eastAsia="Amiri" w:cs="Amiri"/>
          <w:color w:val="111111"/>
          <w:sz w:val="28"/>
          <w:sz w:val="28"/>
          <w:szCs w:val="28"/>
          <w:rtl w:val="true"/>
          <w:lang w:bidi="ar-SA"/>
        </w:rPr>
        <w:t>،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 إجمالاً، بل معنىً، فتأمل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طائفتان من الروايات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الأولى فالمحتملات فيها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الكمال، إلاّ أنه خلاف الظاهر ولا يصار إليه إلاّ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الماهية، وحيث انتفت الماهية فالبطلان حتمي، سواء أريد نفي الماهية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نفيها باعتبار نفي آثارها، ومن هذه الآثار سقوط القضاء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أُريد من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دل على ما نحن فيه بالمطابقة، وإن أُريد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والمحرك والباعث</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دل على ما نحن فيه بالالتزام كما سبق، إلاّ أن الظاهر منها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بينها وبين الطائفة الثانية، ومما سبق ظهر أن الطائفة الثانية</w:t>
      </w:r>
      <w:r>
        <w:rPr>
          <w:rStyle w:val="FootnoteAnchor"/>
          <w:rtl w:val="true"/>
        </w:rPr>
        <w:footnoteReference w:id="545"/>
      </w:r>
      <w:r>
        <w:rPr>
          <w:rFonts w:ascii="Amiri" w:hAnsi="Amiri" w:eastAsia="Amiri" w:cs="Amiri"/>
          <w:color w:val="111111"/>
          <w:sz w:val="28"/>
          <w:sz w:val="28"/>
          <w:szCs w:val="28"/>
          <w:rtl w:val="true"/>
          <w:lang w:bidi="ar-SA"/>
        </w:rPr>
        <w:t>تدل على ما نحن فيه بالالتزام، وإن كان مدلولها المطابقي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إلهية أو شهوية، إلاّ أن يشكل بأنها تنفي الثواب ولا تنفي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عبارة عن قصد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الكامل التام ما يؤتى به له تعالى، كما هو صريح بعض تلك الأخبار، ولو أبيت عن ذلك فلا أقلّ من إجمالها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ظهورها في المدّعى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القصد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سبق أنها تدل على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وإن كان مدلولها المطابقي الداعي الإلهي وغيره،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أنها تدل على المقصود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الأدلَّة في المقام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الأوامر صدورها عن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ونحوها بالدلالة الالتزامية على ما سبق توضيحه، أو بالمطابقية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في الطائفة الأولى بمعنى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مقصوده أن القصد يأتي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الخارجية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ذهبت إليه، وفي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القلبي مقابل النائم والغافل والساهي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هنا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وإتيانه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لغة وعرفاً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تؤثّر في وقوع الفعل، وبها يكون الفعل فعل مختار، وهو المراد ممّن فسّرها بالقصد على ما يظهر من ملاحظة كثير من كلمات الأصحاب وبعض كلمات أهل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المقام الإجماع، بل كون الوضوء من العبادات المتوقّفة على قصد القربة من ضرويّات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ينحل إلى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وكون الداعي أمر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إشراك غيره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جارياً على مصطلح المناطقة في أنَّ الارادة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الشوق الشديد المحرك للعضلات لتحصيل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فالنية هي الإرادة، والإرادة هي القصد، فالإرادة والقصد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ضروريات الدين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المستدل اعتبره غاية للأمر،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الأمر هو العبادة مخلصاً، فيثبت بذلك أن الأصل في كل أمرٍ هو التعبدية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فلا يستقيم، فإنّ الآية متعرّضة للزوم التوحيد والنهي عن الشرك، ولا ترتبط بالمقام، ويشهد لذلك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وَيُقِيمُوا الصّلَاةَ وَيُؤْتُوا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إقامة الصلاة وإيتاء الزكاة غاية للواجبات كما هو</w:t>
      </w:r>
    </w:p>
    <w:p>
      <w:pPr>
        <w:pStyle w:val="BookText"/>
        <w:rPr/>
      </w:pPr>
      <w:r>
        <w:rPr>
          <w:rFonts w:ascii="Amiri" w:hAnsi="Amiri" w:eastAsia="Amiri" w:cs="Amiri"/>
          <w:color w:val="111111"/>
          <w:sz w:val="28"/>
          <w:sz w:val="28"/>
          <w:szCs w:val="28"/>
          <w:rtl w:val="true"/>
          <w:lang w:bidi="ar-SA"/>
        </w:rPr>
        <w:t>والشارح رده بأنه متعلق الأمر لا غايته</w:t>
      </w:r>
      <w:r>
        <w:rPr>
          <w:rStyle w:val="FootnoteAnchor"/>
          <w:rtl w:val="true"/>
        </w:rPr>
        <w:footnoteReference w:id="54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أمروا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المخلصة وإقامة الصلاة وإيتاء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يعبدون غير اللّه تعالى، وهو مفاد التوحيد العبادي، فهي في قوة الأمر بالتوحيد العبادي، ولا تدل على أن كل عمل يجب أن يؤتى به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متعلقاً فيه نوع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فالعبادة الخالصة لا تنافي أن يغسل الإنسان ثوبه لا بقصد القربة، وكذلك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قصد القربة، فإن الأمر لم يتعلق إلاّ بالعبادة الخالصة، فيجب أن يكون الباعث إلهياً، إلاّ فيما خرج كالتوصليات،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تخصيص الأكثر، وعليه يكون الحصر إضافياً،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يجب أن تكون له تعالى وحده، لا أن كل مأمور به يجب أن يؤتى به بداعٍ إلهي، فلاحظ</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العبادات والواجبات كلها </w:t>
      </w:r>
    </w:p>
    <w:p>
      <w:pPr>
        <w:pStyle w:val="BookText"/>
        <w:rPr/>
      </w:pPr>
      <w:r>
        <w:rPr>
          <w:rFonts w:ascii="Amiri" w:hAnsi="Amiri" w:eastAsia="Amiri" w:cs="Amiri"/>
          <w:color w:val="111111"/>
          <w:sz w:val="28"/>
          <w:sz w:val="28"/>
          <w:szCs w:val="28"/>
          <w:rtl w:val="true"/>
          <w:lang w:bidi="ar-SA"/>
        </w:rPr>
        <w:t>ظاهر لمن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المتأمل في الآية الشريفة يفهم منها أنّ المراد إيجاب التوحيد، وإقامة الصلاة وإيتاء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فأيضاً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كلّ أمر تابع للخصوصيّات المأخوذة في المأمور به، ولو أغمض عمّا ذكر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الآية إيجاب قصد القربة فأيضاً لا يفيد الخصم؛ لأنّ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w:t>
      </w:r>
    </w:p>
    <w:p>
      <w:pPr>
        <w:pStyle w:val="BookText"/>
        <w:rPr/>
      </w:pPr>
      <w:r>
        <w:rPr>
          <w:rFonts w:ascii="Amiri" w:hAnsi="Amiri" w:eastAsia="Amiri" w:cs="Amiri"/>
          <w:color w:val="111111"/>
          <w:sz w:val="28"/>
          <w:sz w:val="28"/>
          <w:szCs w:val="28"/>
          <w:rtl w:val="true"/>
          <w:lang w:bidi="ar-SA"/>
        </w:rPr>
        <w:t>هو الارتباط باللّه تعالى بالعبادة وبالمجتمع بالاتفاق،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أن هذه متعلق الأمر لا أنها غاية للأمر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بأي داعٍ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تحققت الإطاعة ولو كان بقصد التنظيف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غموض، فإنه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أطاع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سقط الأمر لتحقق الغرض، والأمر كما يسقط بامتثاله يسقط بتحقق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فلو نظف كافر ثيابه لا بقصد امتثال الأمر الإلهي لم يصدق أنه أطاع، وأن له ثواب الإطاعة، فكذلك المسلم، وإلاّ لزم كون الكفار مطيعين لكثير من الأوامر الإلهية، فتأمل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بل الظاهر أنه شرط في المأمور به، </w:t>
      </w:r>
    </w:p>
    <w:p>
      <w:pPr>
        <w:pStyle w:val="BookText"/>
        <w:rPr/>
      </w:pPr>
      <w:r>
        <w:rPr>
          <w:rFonts w:ascii="Amiri" w:hAnsi="Amiri" w:eastAsia="Amiri" w:cs="Amiri"/>
          <w:color w:val="111111"/>
          <w:sz w:val="28"/>
          <w:sz w:val="28"/>
          <w:szCs w:val="28"/>
          <w:rtl w:val="true"/>
          <w:lang w:bidi="ar-SA"/>
        </w:rPr>
        <w:t>الوجوب النفسي، والخصم في مقام إثبات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يحتمل هذا المعنى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وحيث إنّ هذه الجملة مجملة، وقابلة لمعان عديدة، فإنّه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منها أنّ العمل إذا لم يكن فيه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يصدر نسياناً أو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منها ما هو المقصود، ومع الإجمال لا تكون قابلة للاستدلال، مضافاً إلى أنّها مخدوشة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 ببابك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منها عدّة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شرطية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نفي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ما هو المقصود، وهو اشتراط القربة والخلوص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سبق أن الثاني خلاف الظاهر، والأول وإن كان معنى النية لغة وعرفاً إلاّ أن اللفظ في الروايات ظاهر في القربة، وعليه فالمتعين هو الاحتمال الثالث</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كونها متواترة إجمالاً أو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يلزم فيها الإخطار، بل يكفي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أن يكون موجوداً من أوّل العمل إلى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مقتضي له، فإنّ المتيقّن من الإجماع أعمّ من ذلك، والمعلوم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العقلاء كفاية صدور الفعل بالاختيار بداعي القربة في كونه عبادة، ولا يشترط فيه الالتفات التفصيلي وإخطار صورة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ظاهر، فإنّ العمل المفروض كونه عبادة مركّب من الأجزاء، فلو لم يكن القصد الكذائي موجوداً في تمام الأحوال يخرج العمل عن كونه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المحرك الباطني على وزان المحرك لسائر الأعمال اليومية الاختيارية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تضر نية الخلاف في الآنات المتخللة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الأولى الاستدلال بانطباق العناوين المأمورة بها عليه، مثل النية والعبادة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عليه عنوان العبادة عقلائياً،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غير وافٍ؛ إذ هنالك أبعاض للمركب، وهنالك آنات مُتخللة، وهذا الوجه يفي بلزوم النية في الأولى لا الثانية، فلو سكت ونوى الخلاف ثم عاد إلى النية الأولى فهل العمل باطل؟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لكن يندفع الإشكال بأنها ليست من العمل، فلاحظ</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غير متحقق، فالمفروض أن يكون </w:t>
      </w:r>
      <w:bookmarkStart w:id="181" w:name="pg15737_151631"/>
    </w:p>
    <w:p>
      <w:pPr>
        <w:pStyle w:val="BookText"/>
        <w:rPr/>
      </w:pPr>
      <w:bookmarkEnd w:id="181"/>
      <w:r>
        <w:rPr>
          <w:rFonts w:ascii="Amiri" w:hAnsi="Amiri" w:eastAsia="Amiri" w:cs="Amiri"/>
          <w:color w:val="111111"/>
          <w:sz w:val="28"/>
          <w:sz w:val="28"/>
          <w:szCs w:val="28"/>
          <w:rtl w:val="true"/>
          <w:lang w:bidi="ar-SA"/>
        </w:rPr>
        <w:t>إلاّ أنّه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ابتداء العمل ملتفتاً إليه، وفي الأثناء لا يضرّ الغفلة عنه في الجملة</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2561688_2142443653"/>
      <w:bookmarkStart w:id="183" w:name="_Toc63"/>
      <w:bookmarkEnd w:id="182"/>
      <w:r>
        <w:rPr>
          <w:rtl w:val="true"/>
        </w:rPr>
        <w:t>الأمر الثاني</w:t>
      </w:r>
      <w:r>
        <w:rPr>
          <w:rtl w:val="true"/>
        </w:rPr>
        <w:t xml:space="preserve">: </w:t>
      </w:r>
      <w:r>
        <w:rPr>
          <w:rtl w:val="true"/>
        </w:rPr>
        <w:t>الترتيب</w:t>
      </w:r>
      <w:bookmarkEnd w:id="18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بأن يغسل الوجه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لي الوجه في التفريق بين الابتداء والأثناء، فإنّ الالتفات الإجمالي الارتكازي يكفي في الابتداء أيضاً، لعدم المقتضي لاشتراط الزائد من هذا المقدار، اللّهمّ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آخر لم يختلج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ببالي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الإجماع من الخلاف والانتصار والمختلف والغنية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عبادياً،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غسلتان ومسحتان</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ولم يتحقق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الابتداء والأثناء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مبني على مبنى الإخطار الذي لا يقول به الماتن، والغفلة في الأثناء طبيعية فلا تضر حتى على مبنى الإخطار، وإلاّ لزم بطلان عبادات الأكثر، فتأمل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الترتيب</w:t>
      </w:r>
      <w:r>
        <w:rPr>
          <w:rStyle w:val="FootnoteAnchor"/>
          <w:rtl w:val="true"/>
        </w:rPr>
        <w:footnoteReference w:id="552"/>
      </w:r>
      <w:r>
        <w:rPr>
          <w:rFonts w:ascii="Amiri" w:hAnsi="Amiri" w:eastAsia="Amiri" w:cs="Amiri"/>
          <w:color w:val="111111"/>
          <w:sz w:val="28"/>
          <w:sz w:val="28"/>
          <w:szCs w:val="28"/>
          <w:rtl w:val="true"/>
          <w:lang w:bidi="ar-SA"/>
        </w:rPr>
        <w:t>في الجملة من ضروريات الفقه، بل المذهب، بل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اليد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رواه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نسيت فغسلت ذراعيك قبل وجهك فأعد غسل وجهك ثمّ اغسل ذراعيك بعد الوجه، فإنّ بدأت بذراعك الأيسر قبل الأيمن فأعد غسل الأيمن ثمّ اغسل اليسار، وإن نسيت مسح رأسك حتّى تغسل رجلك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 رأسك ثمّ اغسل رجليك</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الترتيب</w:t>
      </w:r>
      <w:r>
        <w:rPr>
          <w:rStyle w:val="FootnoteAnchor"/>
          <w:rtl w:val="true"/>
        </w:rPr>
        <w:footnoteReference w:id="554"/>
      </w:r>
      <w:r>
        <w:rPr>
          <w:rFonts w:ascii="Amiri" w:hAnsi="Amiri" w:eastAsia="Amiri" w:cs="Amiri"/>
          <w:color w:val="111111"/>
          <w:sz w:val="28"/>
          <w:sz w:val="28"/>
          <w:szCs w:val="28"/>
          <w:rtl w:val="true"/>
          <w:lang w:bidi="ar-SA"/>
        </w:rPr>
        <w:t>لدل الكتاب العزيز على الترتيب في الجملة، ولو لم نقل بذلك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بالوجه</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بمثابة كبرى كلّية لآل ذلك إلى أن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للترتيب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الصفا والمروة</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ولو لم نقل بذلك لكانت الرواية</w:t>
      </w:r>
      <w:r>
        <w:rPr>
          <w:rStyle w:val="FootnoteAnchor"/>
          <w:rtl w:val="true"/>
        </w:rPr>
        <w:footnoteReference w:id="557"/>
      </w:r>
      <w:r>
        <w:rPr>
          <w:rFonts w:ascii="Amiri" w:hAnsi="Amiri" w:eastAsia="Amiri" w:cs="Amiri"/>
          <w:color w:val="111111"/>
          <w:sz w:val="28"/>
          <w:sz w:val="28"/>
          <w:szCs w:val="28"/>
          <w:rtl w:val="true"/>
          <w:lang w:bidi="ar-SA"/>
        </w:rPr>
        <w:t>دليلاً على الترتيب في خصوص المقام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تغسل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هنا لا تخل بسائر فقرات الرواية</w:t>
      </w:r>
      <w:r>
        <w:rPr>
          <w:rStyle w:val="FootnoteAnchor"/>
          <w:rtl w:val="true"/>
        </w:rPr>
        <w:footnoteReference w:id="558"/>
      </w:r>
      <w:r>
        <w:rPr>
          <w:rFonts w:ascii="Amiri" w:hAnsi="Amiri" w:eastAsia="Amiri" w:cs="Amiri"/>
          <w:color w:val="111111"/>
          <w:sz w:val="28"/>
          <w:sz w:val="28"/>
          <w:szCs w:val="28"/>
          <w:rtl w:val="true"/>
          <w:lang w:bidi="ar-SA"/>
        </w:rPr>
        <w:t>، كما ذكروه في عدم تبعية فقرة لفقرة في الحجّية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اليد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يمسح الرأس ثمّ الرجلين، والأحوط تقديم اليمنى منهما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الرجل أن يغسل يمينه فغسل شماله ومسح رأسه ورجليه فذكر بعد ذلك غسل يمينه وشماله، ومسح رأسه ورجليه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مضافاً إلى الإجماع رواية زرارة المتقدّمة، فإنّ مقتضاها تقديم غسل الشمال على مسح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المقصود؛ إذ لم يغسل اليمين فأمر بغسل اليمين، والاتباع إن أُريد به الموالاة فلا ربط له بالمقام، لكن ظاهر رواية زرارة</w:t>
      </w:r>
      <w:r>
        <w:rPr>
          <w:rStyle w:val="FootnoteAnchor"/>
          <w:rtl w:val="true"/>
        </w:rPr>
        <w:footnoteReference w:id="561"/>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الترتيب فلم يفرض في هذه الرواية</w:t>
      </w:r>
      <w:r>
        <w:rPr>
          <w:rStyle w:val="FootnoteAnchor"/>
          <w:rtl w:val="true"/>
        </w:rPr>
        <w:footnoteReference w:id="562"/>
      </w:r>
      <w:r>
        <w:rPr>
          <w:rFonts w:ascii="Amiri" w:hAnsi="Amiri" w:eastAsia="Amiri" w:cs="Amiri"/>
          <w:color w:val="111111"/>
          <w:sz w:val="28"/>
          <w:sz w:val="28"/>
          <w:szCs w:val="28"/>
          <w:rtl w:val="true"/>
          <w:lang w:bidi="ar-SA"/>
        </w:rPr>
        <w:t xml:space="preserve">الترتيب بين اليمين والشمال، إلاّ بناءً على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هنا ناظر إلى تقديم اليسرى على الرأس، وأما تأخير اليسرى عن اليمنى فقد استفيد من الأدلَّة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الأقوى عدم جواز تقديم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إلى التخيير فجوّز تقديم مسح كلّ من اليمنى واليسرى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رواية الهاشمي مولى محمّد بن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 مع محمّد بن الحنفية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ايتني بإناء من ماء أتوضأ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الأقوال الثلاثة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 فيجوز تقديم مسح كل من اليمنى واليسرى على الأُخرى، وسببه إطلاق الآية الكريمة</w:t>
      </w:r>
      <w:r>
        <w:rPr>
          <w:rStyle w:val="FootnoteAnchor"/>
          <w:rtl w:val="true"/>
        </w:rPr>
        <w:footnoteReference w:id="564"/>
      </w:r>
      <w:r>
        <w:rPr>
          <w:rFonts w:ascii="Amiri" w:hAnsi="Amiri" w:eastAsia="Amiri" w:cs="Amiri"/>
          <w:color w:val="111111"/>
          <w:sz w:val="28"/>
          <w:sz w:val="28"/>
          <w:szCs w:val="28"/>
          <w:rtl w:val="true"/>
          <w:lang w:bidi="ar-SA"/>
        </w:rPr>
        <w:t>والروايات</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المقارنة وتقديم اليمنى، لرواية الاحتجاج</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تقديم اليمنى، وعدم جواز المقارنة وتقديم اليسرى، وذلك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وابدأ بالشق الأيمن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يقتضي تقييد إطلاق أدلَّة القول الأول بالثاني، وحمل أدلَّة القول الثالث على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فيه الوجوه ولا تسوّد وجهي يوم تبيض الوجوه، ثمّ غسل يده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اعطني كتابي بيميني، والخلد في الجنان بيساري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وحاسبني حساباً يسيراً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الرواية من حيث المجموع ظاهرة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الرجلين دفعة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رواية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مقدم رأسك وامسح على القدمين وابدأ بالشقّ الأيمن</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الرواية وإن كانت ظاهرة في لزوم تقديم اليمنى على اليسرى مطلقاً، لكن يرفع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عنها برواية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تعطى ورقة الخلد بالشمال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اليُسر، والظاهر ورود كلا المعنيين في اللغة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ذكر التفصيل بين الرِجلين والتقديم والتأخير، مع أن الرواية بصدد التفصيل، وإنما جعله مؤيداً للإشكال السندي أو للدلالة، فقد ذكر الرِجلين ولعله لوحدة الدعاء، وإنما فصل في اليد لتعدد الدعاء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على الاستحباب جمعاً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عكس نسياناً عاد على ما يحصل معه الترتيب ما لم تفت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الإعادة إعادة ما حقّه التأخير، ولا يلزم إعادة ما حقّه التقديم، أو يلزم إعادته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القول الأوّل، فإنّ القاعدة الأوليّة تقتضي ذلك؛ فإنّه لا وجه لإعادة ما حقّه التقديم بعد فرض بقاء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ناظر إلى أصل لزوم العود لا تفاصيله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الرفع ترفع الشرطية في صورة النسيان والسهو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ما حقه التأخير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كل الوضوء من رأس، وهو الظاهر من دليله، وإن كانت عبارته</w:t>
      </w:r>
      <w:r>
        <w:rPr>
          <w:rStyle w:val="FootnoteAnchor"/>
          <w:rtl w:val="true"/>
        </w:rPr>
        <w:footnoteReference w:id="571"/>
      </w:r>
      <w:r>
        <w:rPr>
          <w:rFonts w:ascii="Amiri" w:hAnsi="Amiri" w:eastAsia="Amiri" w:cs="Amiri"/>
          <w:color w:val="111111"/>
          <w:sz w:val="28"/>
          <w:sz w:val="28"/>
          <w:szCs w:val="28"/>
          <w:rtl w:val="true"/>
          <w:lang w:bidi="ar-SA"/>
        </w:rPr>
        <w:t>موهمة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بالإعادة في صورة النسيان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بالإعادة في صورة العمد فقط</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الأمر أنه أضاف شيئاً زائداً، وليس الوضوء كالصلاة بحيث تضره الزيادة، ثم إنه لو فرض التشريع في الجزء لم </w:t>
      </w:r>
    </w:p>
    <w:p>
      <w:pPr>
        <w:pStyle w:val="BookText"/>
        <w:rPr/>
      </w:pPr>
      <w:r>
        <w:rPr>
          <w:rFonts w:ascii="Amiri" w:hAnsi="Amiri" w:eastAsia="Amiri" w:cs="Amiri"/>
          <w:color w:val="111111"/>
          <w:sz w:val="28"/>
          <w:sz w:val="28"/>
          <w:szCs w:val="28"/>
          <w:rtl w:val="true"/>
          <w:lang w:bidi="ar-SA"/>
        </w:rPr>
        <w:t xml:space="preserve">جملة من الروايات، ففيما روى ابن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تقديم السعي على الطواف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أنّك إذا غسلت شمالك قبل يمينك كان عليك أن تعيد عل شمالك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اختصّت بالناسي لكن يتمّ الأمر في العامد بالأولوية القطعية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يرفع اليد عنها بقرينة تلك الروايات الدالّة على عدم لزوم الإعادة بأن تحمل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 برواية سماعة المتقدّمة آنفاً، فإنّها تدلّ على لزوم الإعادة في صورة النسيان</w:t>
      </w:r>
    </w:p>
    <w:p>
      <w:pPr>
        <w:pStyle w:val="BookText"/>
        <w:rPr/>
      </w:pPr>
      <w:r>
        <w:rPr>
          <w:rFonts w:ascii="Amiri" w:hAnsi="Amiri" w:eastAsia="Amiri" w:cs="Amiri"/>
          <w:color w:val="111111"/>
          <w:sz w:val="28"/>
          <w:sz w:val="28"/>
          <w:szCs w:val="28"/>
          <w:rtl w:val="true"/>
          <w:lang w:bidi="ar-SA"/>
        </w:rPr>
        <w:t>يضر،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w:t>
      </w:r>
      <w:r>
        <w:rPr>
          <w:rStyle w:val="FootnoteAnchor"/>
          <w:rtl w:val="true"/>
        </w:rPr>
        <w:footnoteReference w:id="573"/>
      </w:r>
      <w:r>
        <w:rPr>
          <w:rFonts w:ascii="Amiri" w:hAnsi="Amiri" w:eastAsia="Amiri" w:cs="Amiri"/>
          <w:color w:val="111111"/>
          <w:sz w:val="28"/>
          <w:sz w:val="28"/>
          <w:szCs w:val="28"/>
          <w:rtl w:val="true"/>
          <w:lang w:bidi="ar-SA"/>
        </w:rPr>
        <w:t>تدل بالإطلاق اللفظي أو المقامي على عدم لزوم إعادة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فتتعين الإعادة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الحمل الثاني</w:t>
      </w:r>
      <w:r>
        <w:rPr>
          <w:rStyle w:val="FootnoteAnchor"/>
          <w:rtl w:val="true"/>
        </w:rPr>
        <w:footnoteReference w:id="574"/>
      </w:r>
      <w:r>
        <w:rPr>
          <w:rFonts w:ascii="Amiri" w:hAnsi="Amiri" w:eastAsia="Amiri" w:cs="Amiri"/>
          <w:color w:val="111111"/>
          <w:sz w:val="28"/>
          <w:sz w:val="28"/>
          <w:szCs w:val="28"/>
          <w:rtl w:val="true"/>
          <w:lang w:bidi="ar-SA"/>
        </w:rPr>
        <w:t xml:space="preserve">هو الأقرب؛ وذلك لفرض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أنه يعيد الوضوء والصلاة</w:t>
      </w:r>
      <w:r>
        <w:rPr>
          <w:rStyle w:val="FootnoteAnchor"/>
          <w:rtl w:val="true"/>
        </w:rPr>
        <w:footnoteReference w:id="575"/>
      </w:r>
      <w:r>
        <w:rPr>
          <w:rFonts w:ascii="Amiri" w:hAnsi="Amiri" w:eastAsia="Amiri" w:cs="Amiri"/>
          <w:color w:val="111111"/>
          <w:sz w:val="28"/>
          <w:sz w:val="28"/>
          <w:szCs w:val="28"/>
          <w:rtl w:val="true"/>
          <w:lang w:bidi="ar-SA"/>
        </w:rPr>
        <w:t>، ولا أقل من أنّ هذه الصورة هي القدر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ما دلّ على كفاية إعادة ما حقّه التأخير، 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رواه 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خصوص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للرابع بأنّه تشريع فيكون الوضوء باطلاً، وبأنّه موجب لفوات الموالاة، فإنّ الموالاة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المسالك عبارة عن المتابعة مع الاختيار، وبمفهوم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بصير المتقدّم، فإنّ مفاده في صورة عدم النسيان، إمّا الصحة بلا إعادة المقطوع فساده، وإمّا البطلان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الإعادة الجزئية مطلقة، وهذه الرواية</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إعادة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بصورة النسيان، فتقيد تلك المطلقات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w:t>
      </w:r>
      <w:r>
        <w:rPr>
          <w:rStyle w:val="FootnoteAnchor"/>
          <w:rtl w:val="true"/>
        </w:rPr>
        <w:footnoteReference w:id="577"/>
      </w:r>
      <w:r>
        <w:rPr>
          <w:rFonts w:ascii="Amiri" w:hAnsi="Amiri" w:eastAsia="Amiri" w:cs="Amiri"/>
          <w:color w:val="111111"/>
          <w:sz w:val="28"/>
          <w:sz w:val="28"/>
          <w:szCs w:val="28"/>
          <w:rtl w:val="true"/>
          <w:lang w:bidi="ar-SA"/>
        </w:rPr>
        <w:t>من أنها لا تدل على المدعى مطلقاً، بل هي في صورة فوات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الإعادة الجزئية في صورة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العلة وإن كانت مشتركة بين صورة العمد والنسيان، إلاّ أنه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أدلَّة الرفع ترفع وجوب الموالاة في حالة النسيان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ثلاثة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الجزئية، وهذا ينافيه مفهوم الشرط، وإلاّ لم يكن فرق بين الحالتين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لو كان في إتيان الجزء في غير محلّه فلا وجه للبطلان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الثالث أنّه لا مفهوم للحديث، فإنّه سيق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تحقّق الموضوع فلا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يختلج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بالبال في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بلا إعادة مطلقاً، فيكون الناسي أسوأ حالاً من العامد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وهو المطلوب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التشريع في أصل الوضوء بطل؛ لأن ما أمر به لم يقصده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إجماله وتردده بين الشرط المسوق لتحقق الموضوع وغيره، فلا ينهض دليلاً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عرفاً، والعرف يجمع بين النصوص جمعاً عرفياً،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الجبن، ولا تأكل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العمدة في التعارض رواية سماعة</w:t>
      </w:r>
      <w:r>
        <w:rPr>
          <w:rStyle w:val="FootnoteAnchor"/>
          <w:rtl w:val="true"/>
        </w:rPr>
        <w:footnoteReference w:id="578"/>
      </w:r>
      <w:r>
        <w:rPr>
          <w:rFonts w:ascii="Amiri" w:hAnsi="Amiri" w:eastAsia="Amiri" w:cs="Amiri"/>
          <w:color w:val="111111"/>
          <w:sz w:val="28"/>
          <w:sz w:val="28"/>
          <w:szCs w:val="28"/>
          <w:rtl w:val="true"/>
          <w:lang w:bidi="ar-SA"/>
        </w:rPr>
        <w:t xml:space="preserve">، وقد حملناها على فوات الموالاة، فلا مجال لتوهم التعارض كي يجمع جمعاً عرفياً، والأحدثية ليست مرجحة، وإطلاق الكتاب مع العلم بورود التخصيص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بالإعادة الكلّية أو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مقبول، فإن المتعارضين يسقطان في مدلولهما المطابقي، أما الالتزامي فلا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وكما يجب الترتيب بين الأعضاء كذلك يجب بين أجزاء كلّ عضو، فيجب غسل الأعلى فالأعلى بالنسبة إلى الأجزاء المسامتة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العجالة أنّ النصوص 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لا يميّز الأحدث عن غيره يكون المرجع إطلاق الكتاب، وهو كفاية الغسل على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رعاية غسل الأعلى فالأعلى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ما رواه زرارة وبكير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حكاية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غمس كفّه اليسرى فغرف بها غرفة فأفرغ على ذراعه اليمنى، فغسل بها ذراعه من المرفق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هو صدق الغسل من الأعلى إلى الأسفل عرفاً، ومع تحقق ذلك لا يجب رعاية الأعلى فالأعلى، لا بحسب الخطوط العرضية، ولا بحسب الخطوط الطولية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كافٍ ولو أخل بالترتيب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النصوص</w:t>
      </w:r>
      <w:r>
        <w:rPr>
          <w:rStyle w:val="FootnoteAnchor"/>
          <w:rtl w:val="true"/>
        </w:rPr>
        <w:footnoteReference w:id="580"/>
      </w:r>
      <w:r>
        <w:rPr>
          <w:rFonts w:ascii="Amiri" w:hAnsi="Amiri" w:eastAsia="Amiri" w:cs="Amiri"/>
          <w:color w:val="111111"/>
          <w:sz w:val="28"/>
          <w:sz w:val="28"/>
          <w:szCs w:val="28"/>
          <w:rtl w:val="true"/>
          <w:lang w:bidi="ar-SA"/>
        </w:rPr>
        <w:t>الوضع على الجبين أو المرفق، وهو قد يصدق وإن وضعه على منتصف الجبهة عرفاً، فتأمل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أعلى الوجه</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وعليه فيكون الملاك هو الأعلى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الكف لا يردها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المرفق، ثم غمس كفّه اليمنى فأفرغ بها على ذراعه اليسرى من المرفق وصنع بها مثل ما صنع باليمنى</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يستفاد من هذه النصوص لزوم الترتيب ورعاية غسل الأعلى فالأعلى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الظاهر من حكاية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ما هو الوظيفة الشرعية المقرّرة لكلّ مكلّف، لا بيان موضوع تأريخي، فلا إشكال في الحكم نصاً وسيرة</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وارتكازاً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بعد لزوم رعاية الأعلى فالأعلى، فهل اللازم رعاية ذلك بحسب الخطوط العرضية، فلا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الأدنى قبل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بعنوان الوضوء، فالرد لا بهذا العنوان لا إشكال فيه،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التأمل في ذلك، فإنه يحتمل كونه إحدى الكيفيات، خصوصاً مع احتواء الرواية</w:t>
      </w:r>
      <w:r>
        <w:rPr>
          <w:rStyle w:val="FootnoteAnchor"/>
          <w:rtl w:val="true"/>
        </w:rPr>
        <w:footnoteReference w:id="583"/>
      </w:r>
      <w:r>
        <w:rPr>
          <w:rFonts w:ascii="Amiri" w:hAnsi="Amiri" w:eastAsia="Amiri" w:cs="Amiri"/>
          <w:color w:val="111111"/>
          <w:sz w:val="28"/>
          <w:sz w:val="28"/>
          <w:szCs w:val="28"/>
          <w:rtl w:val="true"/>
          <w:lang w:bidi="ar-SA"/>
        </w:rPr>
        <w:t>على أُمور غير لازمة، لكن الظاهر ما أفاده المصنف، وخروج ما خرج لا يضر بالباقي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تدل على الجواز لا اللزوم؛ إذ يحتمل كون ذلك مراعاة للأسهلية؛ إذ الغسل من الأسفل صعب عادةً،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بذلك دليل اللزوم، فتأمل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محمد </w:t>
      </w:r>
    </w:p>
    <w:p>
      <w:pPr>
        <w:pStyle w:val="BookText"/>
        <w:rPr/>
      </w:pPr>
      <w:r>
        <w:rPr>
          <w:rFonts w:ascii="Amiri" w:hAnsi="Amiri" w:eastAsia="Amiri" w:cs="Amiri"/>
          <w:color w:val="111111"/>
          <w:sz w:val="28"/>
          <w:sz w:val="28"/>
          <w:szCs w:val="28"/>
          <w:rtl w:val="true"/>
          <w:lang w:bidi="ar-SA"/>
        </w:rPr>
        <w:t>ولو توضّأ في المطر قصد غسل الأعضاء الأوّل فالأوّل، وغسل أجزائها الأعلى فالأعلى</w:t>
      </w:r>
    </w:p>
    <w:p>
      <w:pPr>
        <w:pStyle w:val="BookText"/>
        <w:rPr/>
      </w:pPr>
      <w:r>
        <w:rPr>
          <w:rFonts w:ascii="Amiri" w:hAnsi="Amiri" w:eastAsia="Amiri" w:cs="Amiri"/>
          <w:color w:val="111111"/>
          <w:sz w:val="28"/>
          <w:sz w:val="28"/>
          <w:szCs w:val="28"/>
          <w:rtl w:val="true"/>
          <w:lang w:bidi="ar-SA"/>
        </w:rPr>
        <w:t>أو عرفاً أو لا يلزم شيء من ذلك، بل يكفي أن يصدق عنوان الغسل من الأعلى إلى الأسفل؟ الظاهر هو الأخير فإنّه 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فلا مقتضي لإلزامه ووجوبه، مضافاً إلى أنّه يوجب الحرج الشديد، وأنّه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استقرّت عليه السيرة الجارية بين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له الحق أن لا ينوي الوضوء بالخط اللاحق وإن غسله، لأن الوضوء أمر قصدي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غسل من الأعلى إلى الأسفل عرفاً ثم مسح آماق عينيه صدق العنوان،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الأعلى، وإن لم يراعِ الخطوط الطولية والعرضية، وكذلك لو التفت إلى وجود نقطة وسط الوجه لم يغسلها فغسلها فقط، فتأمل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خلاف ما يستفاد من النصوص الحاكية لفعل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لو روعيت هذه الدقة لبينت في الأحاديث، فإنه أمر على خلاف الطبيعية الأولية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التحفّظ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وقوع المسح بماء الوضوء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توضّأ ارتماساً في الماء حرّك الأعضاء فيه بالترتيب بقصد الغسل من الأعلى إلى الأسفل، مع التحفظ على كون المسح بماء الوضوء، وهو يكون بأحد 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مقتضى القاعدة الأولية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 رواية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لا يكون على وضوء فيصيبه المطر حتّى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فيما تعارف ابتلاله بماء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ظهور الرواية</w:t>
      </w:r>
      <w:r>
        <w:rPr>
          <w:rStyle w:val="FootnoteAnchor"/>
          <w:rtl w:val="true"/>
        </w:rPr>
        <w:footnoteReference w:id="585"/>
      </w:r>
      <w:r>
        <w:rPr>
          <w:rFonts w:ascii="Amiri" w:hAnsi="Amiri" w:eastAsia="Amiri" w:cs="Amiri"/>
          <w:color w:val="111111"/>
          <w:sz w:val="28"/>
          <w:sz w:val="28"/>
          <w:szCs w:val="28"/>
          <w:rtl w:val="true"/>
          <w:lang w:bidi="ar-SA"/>
        </w:rPr>
        <w:t>في عدم ضرر ذلك؛ لأنه متعارف، والتحفظ المذكور فيه عناية فائقة، مع غفلة عوام الناس عن ذلك، ولا أقل من الإطلاق المقامي، هذا لو سلم أصل ضرر بلة مواضع المسح،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إعراض المشهور فلا بد من الاحتياط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الغسل بمجموع الحركتين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الدخولية والخروجية،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غسلة واحدة، وقد ذكرت ذلك بعض الرسائل العملية</w:t>
      </w:r>
      <w:r>
        <w:rPr>
          <w:rStyle w:val="FootnoteAnchor"/>
          <w:rtl w:val="true"/>
        </w:rPr>
        <w:footnoteReference w:id="586"/>
      </w:r>
      <w:r>
        <w:rPr>
          <w:rFonts w:ascii="Amiri" w:hAnsi="Amiri" w:eastAsia="Amiri" w:cs="Amiri"/>
          <w:color w:val="111111"/>
          <w:sz w:val="28"/>
          <w:sz w:val="28"/>
          <w:szCs w:val="28"/>
          <w:rtl w:val="true"/>
          <w:lang w:bidi="ar-SA"/>
        </w:rPr>
        <w:t xml:space="preserve">، وكأنه مأخوذ من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نوع من أنواع الغسل والمسح، فيكون مشمولاً للطبيعي المأمور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الغسل بالإخراج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اليد اليسرى بتمامها أو من الزند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الماء باليد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يبتلّ رأسه ولحيته وجسده ويداه ورجلاه، هل يجزيه ذلك من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يجزيه</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الرواية جواز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فاللازم أن يقصد الوضوء بمرور أجزاء اليد بالطبقة الفوقانية من الماء</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لكنه احتياط استحبابي؛ لأنه عرفاً غسلة واحدة، وقد ذكرنا جواز قصد الوضوء بمجموع الحركتين، فكيف بالحركة الخروجية فقط؟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مما يحقق الغرض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بقرينة هذه اللفظة</w:t>
      </w:r>
      <w:r>
        <w:rPr>
          <w:rStyle w:val="FootnoteAnchor"/>
          <w:rtl w:val="true"/>
        </w:rPr>
        <w:footnoteReference w:id="589"/>
      </w:r>
      <w:r>
        <w:rPr>
          <w:rFonts w:ascii="Amiri" w:hAnsi="Amiri" w:eastAsia="Amiri" w:cs="Amiri"/>
          <w:color w:val="111111"/>
          <w:sz w:val="28"/>
          <w:sz w:val="28"/>
          <w:szCs w:val="28"/>
          <w:rtl w:val="true"/>
          <w:lang w:bidi="ar-SA"/>
        </w:rPr>
        <w:t>أن الكلام في مواضع الغسل، أما المسح فلا بد أن يكون باليد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أن الترتيب ليس شرطاً، وكذا الموالاة، فهو كطهارة موضع العض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أَمْسَكْنَ عَلَيْكُمْ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184" w:name="pg15737_151645"/>
    </w:p>
    <w:p>
      <w:pPr>
        <w:pStyle w:val="Heading4"/>
        <w:numPr>
          <w:ilvl w:val="3"/>
          <w:numId w:val="1"/>
        </w:numPr>
        <w:rPr/>
      </w:pPr>
      <w:bookmarkStart w:id="185" w:name="__RefHeading___Toc12561690_2142443653"/>
      <w:bookmarkStart w:id="186" w:name="_Toc64"/>
      <w:bookmarkEnd w:id="184"/>
      <w:bookmarkEnd w:id="185"/>
      <w:r>
        <w:rPr>
          <w:rtl w:val="true"/>
        </w:rPr>
        <w:t>الأمر الثالث</w:t>
      </w:r>
      <w:r>
        <w:rPr>
          <w:rtl w:val="true"/>
        </w:rPr>
        <w:t xml:space="preserve">: </w:t>
      </w:r>
      <w:r>
        <w:rPr>
          <w:rtl w:val="true"/>
        </w:rPr>
        <w:t>الموالاة</w:t>
      </w:r>
      <w:bookmarkEnd w:id="18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وهي المتابعة في الأعضاء بأن يشرع في العضو اللاحق قبل جفاف تمام الأعضاء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الصحّة، ولا يستفاد منها الجواز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تفسير الموالاة بهذا المعنى هو المشهور بينهم، كما عن جملة من الأعلام، ويمكن الاستشهاد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بحديث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بعض وضوئك وعرضت لك حاجة حتّى يبس وضوؤك فأعد وضوءك، فإنّ الوضوء لا يبعّض</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توضّأت فنفد الماء فدعوت الجارية فأبطأت عليّ بالماء فيجفّ وضوئي،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الروايتين أنّ المخلّ في الوضوء اليبوسة الحاصلة في الأعضاء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بلة مواضع المسح أو اليد الماسحة مغفول عنها فلا بد من الاستثناء، كما سبق قبل قليل،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ذكرنا ذلك للعامّة غفلوا عن هذا الشرط، وتصوروا أنَّ البلة الخارجية هنا لا 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هنالك رواية</w:t>
      </w:r>
      <w:r>
        <w:rPr>
          <w:rStyle w:val="FootnoteAnchor"/>
          <w:rtl w:val="true"/>
        </w:rPr>
        <w:footnoteReference w:id="593"/>
      </w:r>
      <w:r>
        <w:rPr>
          <w:rFonts w:ascii="IRNazanin" w:hAnsi="IRNazanin" w:eastAsia="IRNazanin"/>
          <w:color w:val="111111"/>
          <w:sz w:val="28"/>
          <w:sz w:val="28"/>
          <w:szCs w:val="28"/>
          <w:rtl w:val="true"/>
          <w:lang w:bidi="fa-IR"/>
        </w:rPr>
        <w:t>تدل على عدم قدح الجفاف</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المستفاد من الروايتين</w:t>
      </w:r>
      <w:r>
        <w:rPr>
          <w:rStyle w:val="FootnoteAnchor"/>
          <w:rtl w:val="true"/>
        </w:rPr>
        <w:footnoteReference w:id="594"/>
      </w:r>
      <w:r>
        <w:rPr>
          <w:rFonts w:ascii="Amiri" w:hAnsi="Amiri" w:eastAsia="Amiri" w:cs="Amiri"/>
          <w:color w:val="111111"/>
          <w:sz w:val="28"/>
          <w:sz w:val="28"/>
          <w:szCs w:val="28"/>
          <w:rtl w:val="true"/>
          <w:lang w:bidi="ar-SA"/>
        </w:rPr>
        <w:t xml:space="preserve">إلاّ ضرر </w:t>
      </w:r>
    </w:p>
    <w:p>
      <w:pPr>
        <w:pStyle w:val="BookText"/>
        <w:rPr/>
      </w:pPr>
      <w:r>
        <w:rPr>
          <w:rFonts w:ascii="IRNazanin" w:hAnsi="IRNazanin" w:eastAsia="IRNazanin"/>
          <w:color w:val="111111"/>
          <w:sz w:val="28"/>
          <w:sz w:val="28"/>
          <w:szCs w:val="28"/>
          <w:rtl w:val="true"/>
          <w:lang w:bidi="fa-IR"/>
        </w:rPr>
        <w:t>مع اعتدال الهواء</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دائرة مدار بقاء الرطوبة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الجفاف حاصلاً على أثر طول الزمان، فإن الرواية الأولى في عروض حاجة مما يستلزم الفصل الطويل، فإن علة اليبس هو عروض الحاجة،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فعلها، لا مدخلية حرارة الهواء أو البدن أو نحوهما، وكذلك في الرواية الثانية، فإن الإبطاء هو علة الجفاف،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والمزاج ونحوهما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فقط في الرواية الأولى</w:t>
      </w:r>
      <w:r>
        <w:rPr>
          <w:rStyle w:val="FootnoteAnchor"/>
          <w:rtl w:val="true"/>
        </w:rPr>
        <w:footnoteReference w:id="595"/>
      </w:r>
      <w:r>
        <w:rPr>
          <w:rFonts w:ascii="Amiri" w:hAnsi="Amiri" w:eastAsia="Amiri" w:cs="Amiri"/>
          <w:color w:val="111111"/>
          <w:sz w:val="28"/>
          <w:sz w:val="28"/>
          <w:szCs w:val="28"/>
          <w:rtl w:val="true"/>
          <w:lang w:bidi="ar-SA"/>
        </w:rPr>
        <w:t>لأجل مفهوم الشرط، فإنّ له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شرط محقق للموضوع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المصنف فيها لأنه ذكر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w:t>
      </w:r>
      <w:r>
        <w:rPr>
          <w:rStyle w:val="FootnoteAnchor"/>
          <w:rtl w:val="true"/>
        </w:rPr>
        <w:footnoteReference w:id="596"/>
      </w:r>
      <w:r>
        <w:rPr>
          <w:rFonts w:ascii="Amiri" w:hAnsi="Amiri" w:eastAsia="Amiri" w:cs="Amiri"/>
          <w:color w:val="111111"/>
          <w:sz w:val="28"/>
          <w:sz w:val="28"/>
          <w:szCs w:val="28"/>
          <w:rtl w:val="true"/>
          <w:lang w:bidi="ar-SA"/>
        </w:rPr>
        <w:t>فلا يستفاد منها أنه لو بقي فلا يعاد ولو طال الزمان، فإنّ ذلك من مفهوم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أمرين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البلل صح الوضوء وإن طال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المتابعة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لا يضرّه الفصل بمقدار بقاء الرطوبة في الأعضاء السابقة، فالرطوبة وعدمها ليست لهما 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معرّفة للمقدار الذي عين في نظر الشارع، وعليه فالمدار هو المتعارف من الهواء والمزاج وغيرهما؛ لأنّ التحديد لا بدّ أن يكون منضبطاً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جف البلل بطل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الثانية تدل على الثاني ولا تدل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لكن الأولوية متوقفة على حل مشكلة الوضوءات البيانية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يقابل حال الاضطرار العرفي لا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والى وجف لحرارة الهواء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يبعض الوضوء</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 ولو فصل طويلاً ولم يجف لبرد الهواء صدق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الوضوء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منضبطاً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الاستدلال بأن الألفاظ تحمل على المتعارف، والمتعارف منضبط عرفاً بخلاف الإحالة إلى غيره،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جماعة أنّ الموالاة عبارة عن المتابعة في الأعضاء اختياراً وعدم الجفاف اضطراراً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هذا القول بين قائل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بطلان الوضوء بالإخلال بالمتابعة، بل الإخلال موجب للإثم خاصّة، وبين قائل بالبطلان إذا لم يتابع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التفصيل يجمع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الروايات الدالّة على اشتراط التتابع، وما دلّ على عدم البطلان لو أخّر لعارض، إلاّ أن تجف الأعضاء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الاضطرار العرفي، لأنّه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فأبطأت علي بالماء</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مع أنه ربما كان بإمكانه أن يركض للماء،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لك حاجة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فإنّ الحاجة لا يشترط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والبطلان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 بين الوضوء</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وهناك روايات</w:t>
      </w:r>
      <w:r>
        <w:rPr>
          <w:rStyle w:val="FootnoteAnchor"/>
          <w:rtl w:val="true"/>
        </w:rPr>
        <w:footnoteReference w:id="601"/>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يجف فلا بأس، وإن فرضنا أن المتابعة العرفية لم تتحقق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الأوامر المتعلقة بالمركبات الوضع، فيكون المؤدّى أن </w:t>
      </w:r>
    </w:p>
    <w:p>
      <w:pPr>
        <w:pStyle w:val="BookText"/>
        <w:rPr/>
      </w:pPr>
      <w:r>
        <w:rPr>
          <w:rFonts w:ascii="Amiri" w:hAnsi="Amiri" w:eastAsia="Amiri" w:cs="Amiri"/>
          <w:color w:val="111111"/>
          <w:sz w:val="28"/>
          <w:sz w:val="28"/>
          <w:szCs w:val="28"/>
          <w:rtl w:val="true"/>
          <w:lang w:bidi="ar-SA"/>
        </w:rPr>
        <w:t>وفي رواية حكم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من الوضوء الذراع والرأس،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إنّ الوضوء يتبع بعضه بعضاً</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بهذه الروايات أنّ الأمر تعلّق بالمتابعة فهي واجبة، فلو تركها يأثم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هذه الروايات ليس إلاّ الترتيب بين الأعضاء، فإنّ القرائن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هذا المعنى موجودة في الروايتين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الثالثة فهي أيضاً تحمل على هذا المعنى بقرينة غيرها، أو تحمل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يبس الأعضاء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المتابعة شرط إلاّ في حالة الاضطرار، فإنها ليست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الثاني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تبطل كما بيّنا في الحاشية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كونها مكتنفة بما يحتمل القرينية، وحينئذٍ تسقط في الدلالة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حاصل بوجوب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منحل بالعلم بضرورة عدم الجفاف، ويشك في اشتراط المتابعة العرفية، فالأصل البراءة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إمّا أن تحمل على اختلال الترتيب، أو اختلال الموالاة بالمعنى الأول، فلا تنهض لإثبات الموالاة بالمعنى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يستدلّ للمدّعى بالوضوءات البيانيّة، حيث إنّ الظاهر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 بين الأعضاء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إنّما تتمّ لو لم يكن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كفاية مطلق الغسل كيف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يستفاد من الوضوءات البيانية محبوبية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كانت فاصلة عرفية بين الأعضاء لذكرت في الروايات البيانية، فإنّ الفاصلة أمر غير عرفي، ولا مبرر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عن مسألة وسط الوضوء كان هنالك مبرر للتأخير، لكن لو كان ذلك لظهر وانعكس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هنالك مبرر للتأخير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لظهر وانعكس ولو لم يكن هناك سؤال فلا مبرر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تام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الإطلاق يقيد بذلك، كما فعله المصنف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الظاهر هو الوجوب كما صنعه المصنف</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المصنف 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رواه أبو بصير، وجه الاستدلال أنّه لو لم يكن التتابع لازماً لما كان وجه لإعادة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تدل على التتابع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يدل على أنَّ التتابع أمر عادي لا أنَّه أمر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مطلوب فهو على سبيل الندب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الوجوه قابلة للنقاش، ولذا تراجع المصنف عن ذلك</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يبقى أنَّ الرواية البيانية هل تدل على وجوب كل ما تضمنته أو لا، بغض النظر عن الإطلاق؟</w:t>
      </w:r>
    </w:p>
    <w:p>
      <w:pPr>
        <w:pStyle w:val="BookText"/>
        <w:rPr/>
      </w:pPr>
      <w:r>
        <w:rPr>
          <w:rFonts w:ascii="IRNazanin" w:hAnsi="IRNazanin" w:eastAsia="IRNazanin"/>
          <w:color w:val="111111"/>
          <w:sz w:val="28"/>
          <w:sz w:val="28"/>
          <w:szCs w:val="28"/>
          <w:rtl w:val="true"/>
          <w:lang w:bidi="fa-IR"/>
        </w:rPr>
        <w:t>وهنالك إشكال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لو كان التتابع واجباً لانعكس صريحاً في الرواية، وإلاّ فكل ما عمله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وضوئه قد يكون من المفارقات الاتفاقية، مثل أنّ وضوءه كان على الأرض لا فوق السطح، وتحت السماء لا تحت البناء، وإن الماء كان في الإناء لا في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نظر؛ إذ الظاهر لزوم كل ما 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خرج بالدليل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مشكلة وتحتاج لتأمل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التتابع واجباً لذكره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ذكره دليل على عدم الوجوب، خاصة أنَّه مما يغفل عنه عادةً، فتأمل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فعله من قبل، لا فعل ما تركه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إعادة الذراع وحده لا ينافي التتابع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لو كان كما توهّم ينافيه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 الرواية من كفاية إعادة غسل الأيمن بلا إلزام لإعادة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إعادة غسل الوجه فإمّا يحمل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الجفاف، وإمّا يحمل على صورة عدم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ضعف الاستدلال بهذه الروايات على الوجوب النفسي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يستفاد منها كما ذكرنا إلاّ لزوم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 مقتضاه</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أصل الوضوء فوراً، والمدّعى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مرادنا العرفي لا الدقّي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في آخرها من الاكتفاء بمسح الرأس</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يحمل على الاستحباب كما سبقت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ظاهر مثل هذه الروايات الوجوب الشرطي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أصل العمل فورياً فيجب أن تكون أجزاؤه فورية بالأولوية أو الملاك، فإنّه غير مستساغ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تجب المبادرة إلى الأصل ولا تجب المبادرة إلى أبعاضه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لم يمكن التحفّظ على بقاء رطوبة السابق حين الشروع في اللاحق لحرارة الهواء أو هبوب الرياح أو حرارة البدن مثلاً، سقط اعتبارها وأتى بالوضوء متتابعاً من غير 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لزوم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أصل</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فلا قائل بوجوبه فوراً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أنّه حقّق في محلّه أنّ مقتضى الأصل في الشبهات الحكمية هي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تقدّم عدم تمامية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القول بكون الشرط أحد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مفاد المتن لا دليل عليه،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الأولى، ويكفي ملاحظة تقدير زمن بقاء الرطوبة في الأوضاع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ككل لا قائل بوجوب البدار إليه، والأبعاض لا دليل على وجوب المبادرة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شك في التكليف، وهو مجرى البراءة ولو في الواجب الارتباطي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مفاد المتن هو وجوب كلا الأمرين</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حال الاضطرار يسقط اعتبار بقاء الرطوبة</w:t>
      </w:r>
      <w:r>
        <w:rPr>
          <w:rFonts w:eastAsia="Amiri" w:cs="Amiri" w:ascii="Amiri" w:hAnsi="Amiri"/>
          <w:color w:val="111111"/>
          <w:sz w:val="28"/>
          <w:szCs w:val="28"/>
          <w:rtl w:val="true"/>
          <w:lang w:bidi="ar-SA"/>
        </w:rPr>
        <w:t xml:space="preserve">. </w:t>
      </w:r>
      <w:bookmarkStart w:id="187" w:name="pg15737_151654"/>
    </w:p>
    <w:p>
      <w:pPr>
        <w:pStyle w:val="BookText"/>
        <w:rPr/>
      </w:pPr>
      <w:bookmarkEnd w:id="187"/>
      <w:r>
        <w:rPr>
          <w:rFonts w:ascii="Amiri" w:hAnsi="Amiri" w:eastAsia="Amiri" w:cs="Amiri"/>
          <w:color w:val="111111"/>
          <w:sz w:val="28"/>
          <w:sz w:val="28"/>
          <w:szCs w:val="28"/>
          <w:rtl w:val="true"/>
          <w:lang w:bidi="ar-SA"/>
        </w:rPr>
        <w:t>كما أنّه فيما تبقى رطوبة السابق مدّة مديدة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لندواة الهواء لا عبرة بها على الأحوط إن لم يكن أقوى</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2561692_2142443653"/>
      <w:bookmarkStart w:id="189" w:name="_Toc65"/>
      <w:bookmarkEnd w:id="188"/>
      <w:r>
        <w:rPr>
          <w:rtl w:val="true"/>
        </w:rPr>
        <w:t xml:space="preserve">المسألة </w:t>
      </w:r>
      <w:r>
        <w:rPr/>
        <w:t>110</w:t>
      </w:r>
      <w:r>
        <w:rPr>
          <w:rtl w:val="true"/>
        </w:rPr>
        <w:t xml:space="preserve">: </w:t>
      </w:r>
      <w:r>
        <w:rPr>
          <w:rtl w:val="true"/>
        </w:rPr>
        <w:t>لو جفّت اليد اليمنى قبل الشروع في اليسرى</w:t>
      </w:r>
      <w:bookmarkEnd w:id="1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جفّت اليد اليمنى قبل الشروع في اليسرى مع بقاء نداوة الوجه كفى وصحّ الوضوء، وإن كان الأحوط الإعادة لكن المعتبر من نداوة الوجه هي نداوة ما يجب غسله من البشرة والشعر، فلو لم يبق من نداوته إلاّ في المقدار الخارج عن حدّ الوجه من اللحية فالاكتفاء بها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إعادة الوضوء</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2561694_2142443653"/>
      <w:bookmarkStart w:id="191" w:name="_Toc66"/>
      <w:bookmarkEnd w:id="190"/>
      <w:r>
        <w:rPr>
          <w:rtl w:val="true"/>
        </w:rPr>
        <w:t>الأمر الرابع</w:t>
      </w:r>
      <w:r>
        <w:rPr>
          <w:rtl w:val="true"/>
        </w:rPr>
        <w:t xml:space="preserve">: </w:t>
      </w:r>
      <w:r>
        <w:rPr>
          <w:rtl w:val="true"/>
        </w:rPr>
        <w:t>المباشرة مع الاختيار</w:t>
      </w:r>
      <w:bookmarkEnd w:id="19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مع الاختيار بأن يباشر إتيان الوضوء بنفسه بحيث يسند إليه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 الروايتين أنّ الفصل الموجب ليبس الأعضاء السابقة يوجب البطلان، وإلاّ فلا وجه لرفع اليد عن إطلاق أدلّة الغسل والحكم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وممّا ذكرنا يظهر ما في ذيل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هذا الحكم مقتضى القاعدة، فإنّ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ما لم يخرج عن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حتى على مبنى الشارح</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دعويان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المتوجّه إلى المكلّف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لزوم استناد الفعل إلى المكلّف، فلو تولّى الغير لم يسند إليه فلا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ظاهر الخطاب يقتضي المباشرة لا مجال للقول بجواز النيابة، فإنّ دليل النيابة والوكالة لا يثبت 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استناد الفعل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ذلك إلاّ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 في منى</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به</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 أموالك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أموالك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 المقامات مختلفة، وكذلك عرفاً، ومع الشك في القيد تجري البراءة، فالظاهر أنَّ تمامية المطلب موقوفة على الاستعانة بفهم الفقهاء، أو بالروايات المنجبرة، أو بارتكاز المتشرعة،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المصنف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النيابة إنما يدل على الجواز فيما ثبت كونه قابلاً لها، ولم يثبت في المقام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في المقام عدم الجواز؛ لظهور الأدلَّة في المباشرة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النيابة والوكالة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الجواز مطلقاً إلاّ </w:t>
      </w:r>
    </w:p>
    <w:p>
      <w:pPr>
        <w:pStyle w:val="BookText"/>
        <w:rPr/>
      </w:pPr>
      <w:r>
        <w:rPr>
          <w:rFonts w:ascii="Amiri" w:hAnsi="Amiri" w:eastAsia="Amiri" w:cs="Amiri"/>
          <w:color w:val="111111"/>
          <w:sz w:val="28"/>
          <w:sz w:val="28"/>
          <w:szCs w:val="28"/>
          <w:rtl w:val="true"/>
          <w:lang w:bidi="ar-SA"/>
        </w:rPr>
        <w:t>فما دلّ على مشروعية النيابة من بناء العقلاء يكون حاكماً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غير تامّ، فإنّه لم يثبت من العقلاء بناء على صحّة النيابة في كلّ مورد، بل خلافه معلوم منهم، كما هو ظاهر لمن راجع إلى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يعلم من القرينة الداخلية أو الخارجية أنّ مطلوب المولى ليس إلاّ تحقّق هذا الفعل في الخارج من أي شخص، فالمخاطب مكلّف بإيجاد المتعلّق أعمّ من المباشرة والتسبيب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يُشْرِكْ بِعِبَادَةِ رَبّهِ أَحَداً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ثبت عدم الجواز، فتنفي الدعوى الأولى،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النائب ينسب إلى المنوب عنه،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أداء التلاميذ الامتحان، وكحقوق الزوجة، وشرب الدواء للمريض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فالأنواع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النيابة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التسبيب فقط</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هو وقوع الفعل في الخارج ولو بلا تسبيب، كسقي الحديقة 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في تفسير الآية رواية رواها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شيئاً من الثواب لا يطلب به وجه اللّه إنّما يطلب تزكية الناس يشتهي أن يسمع به الناس، فهذا الذي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بعبادة ربّه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في تفسيرها في جملة من الروايات أنّ الاستعانة في مقدّمات الوضوء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الروايات ما رواه الحسن بن علي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إبريق يريد أن يتهيأ منه للصلاة، فدنوت منه لأصبّ عليه فأبى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حسن،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تنهاني أن أصبّ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يديك تكره أن أؤجر؟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الحصر في الرواية</w:t>
      </w:r>
      <w:r>
        <w:rPr>
          <w:rStyle w:val="FootnoteAnchor"/>
          <w:rtl w:val="true"/>
        </w:rPr>
        <w:footnoteReference w:id="613"/>
      </w:r>
      <w:r>
        <w:rPr>
          <w:rFonts w:ascii="Amiri" w:hAnsi="Amiri" w:eastAsia="Amiri" w:cs="Amiri"/>
          <w:color w:val="111111"/>
          <w:sz w:val="28"/>
          <w:sz w:val="28"/>
          <w:szCs w:val="28"/>
          <w:rtl w:val="true"/>
          <w:lang w:bidi="ar-SA"/>
        </w:rPr>
        <w:t xml:space="preserve">السابقة،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مشرك</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هنا فلا دلالة فيه على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المصنف يضعف كل هذه الروايات</w:t>
      </w:r>
      <w:r>
        <w:rPr>
          <w:rStyle w:val="FootnoteAnchor"/>
          <w:rtl w:val="true"/>
        </w:rPr>
        <w:footnoteReference w:id="615"/>
      </w:r>
      <w:r>
        <w:rPr>
          <w:rFonts w:ascii="Amiri" w:hAnsi="Amiri" w:eastAsia="Amiri" w:cs="Amiri"/>
          <w:color w:val="111111"/>
          <w:sz w:val="28"/>
          <w:sz w:val="28"/>
          <w:szCs w:val="28"/>
          <w:rtl w:val="true"/>
          <w:lang w:bidi="ar-SA"/>
        </w:rPr>
        <w:t>، فلا يبقى إلاّ ظاهر الآية الكريمة والروايات الأول المفسّرة لها بالشرك العبادي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سائر الأدلَّة يخصص الصب بالصب الذي يقصد منه الوضوء، لا الصب الذي هو مقدمة للوضوء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تؤجر أنت وأؤزر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وها أنا ذا أتوضأ للصلاة وهي العبادة فأكره أن يشركني فيها أحد</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جملة من كلمات من أنّ التشريك في مقدّمات الوضوء ليس حراماً للإجماع والنصّ، فلا تقوم تلك الروايات دليلاً على المنع، مدفوع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الشرك بأيّ معنى كان تستفاد حرمتها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أنّه هل يمكن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هذه الروايات المفسّرة للشرك بالتشريك في العمل، وبين الروايات المفسّرة بالتشريك في العبادة والإخلاص، أو يكون بينهما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وإن كان مطلقاً فيدل على حرمته مطلقاً، لكن الإجماع والروايات</w:t>
      </w:r>
      <w:r>
        <w:rPr>
          <w:rStyle w:val="FootnoteAnchor"/>
          <w:rtl w:val="true"/>
        </w:rPr>
        <w:footnoteReference w:id="618"/>
      </w:r>
      <w:r>
        <w:rPr>
          <w:rFonts w:ascii="Amiri" w:hAnsi="Amiri" w:eastAsia="Amiri" w:cs="Amiri"/>
          <w:color w:val="111111"/>
          <w:sz w:val="28"/>
          <w:sz w:val="28"/>
          <w:szCs w:val="28"/>
          <w:rtl w:val="true"/>
          <w:lang w:bidi="ar-SA"/>
        </w:rPr>
        <w:t>خصصته بالصب الوضوئي، فلا يشمل الصب المقدمي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الروايات المفسّرة للشرك بالتشريك في العمل، وبين الروايات المفسّرة له بالتشريك بالعبادة،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أحدهما ظهر والآخر بطن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استعملت اللفظة في المعنى الجامع بين المعنيين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باشره الغير أو شاركه ولو في البعض على وجه لم يسند الفعل إلى المتوضئ وحده بطل، من غير فرق في ذلك بين العالم والجاهل والعامد والناسي والغافل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ملاك المنع، فإنّه لا 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للصحّة بعد ما فرض أنّ الظاهر من الخطاب لزوم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الناسي والغافل 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لعدم إمكان تعلّقه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استعملت اللفظة في معنيين، فإنّه ليس محالاً، خلافاً للكفاية</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يفتقر إلى القرينة، والقرينة قائمة، وهي الطائفتان المفسرتان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غير العالم والجاهل المقصر،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الرفع ترفع الشرطية،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هل أنَّ الأدلَّة المزبورة ترفع الأحكام الوضعية أيضاً أو لا، ولاحظ أيضاً مبنى النسبة بين الوضعية والتكليفية وأنها غيرها أو منتزعة منها؟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بيان المقتضي، والغرض المزبور لا ينافي الحاكم، وهو أدلَّة الرفع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كما ذكر في الأصول</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التكليف بداعي جعل الداعي</w:t>
      </w:r>
      <w:r>
        <w:rPr>
          <w:rStyle w:val="FootnoteAnchor"/>
          <w:rtl w:val="true"/>
        </w:rPr>
        <w:footnoteReference w:id="621"/>
      </w:r>
      <w:r>
        <w:rPr>
          <w:rFonts w:ascii="Amiri" w:hAnsi="Amiri" w:eastAsia="Amiri" w:cs="Amiri"/>
          <w:color w:val="111111"/>
          <w:sz w:val="28"/>
          <w:sz w:val="28"/>
          <w:szCs w:val="28"/>
          <w:rtl w:val="true"/>
          <w:lang w:bidi="ar-SA"/>
        </w:rPr>
        <w:t>ممتنع، إلاّ أنَّ التكليف لا يساق لذلك فقط، وإلاّ لم يكن فرق بين الناسي والجاهل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بين الوضوء والغسل والتيمم، ولا بين الغسل والمسح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يتمكن من المباشرة تولى مباشرته الغير فيوضيه، والأحوط حينئذٍ أن ينوي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 وإجماعاً كما عن المنتهى، وعليه اتفاق الفقهاء كما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إليه ما ورد في المجدور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وقع في جملة من الروايات أنّ المجدور يتيمّم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إلاّ أن المصنف لا يرتضيها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Style w:val="FootnoteAnchor"/>
          <w:rtl w:val="true"/>
        </w:rPr>
        <w:footnoteReference w:id="622"/>
      </w:r>
      <w:r>
        <w:rPr>
          <w:rFonts w:ascii="Amiri" w:hAnsi="Amiri" w:eastAsia="Amiri" w:cs="Amiri"/>
          <w:color w:val="111111"/>
          <w:sz w:val="28"/>
          <w:sz w:val="28"/>
          <w:szCs w:val="28"/>
          <w:rtl w:val="true"/>
          <w:lang w:bidi="ar-SA"/>
        </w:rPr>
        <w:t>في الجدري في الجنابة، وفي الوجع</w:t>
      </w:r>
      <w:r>
        <w:rPr>
          <w:rStyle w:val="FootnoteAnchor"/>
          <w:rtl w:val="true"/>
        </w:rPr>
        <w:footnoteReference w:id="623"/>
      </w:r>
      <w:r>
        <w:rPr>
          <w:rFonts w:ascii="Amiri" w:hAnsi="Amiri" w:eastAsia="Amiri" w:cs="Amiri"/>
          <w:color w:val="111111"/>
          <w:sz w:val="28"/>
          <w:sz w:val="28"/>
          <w:szCs w:val="28"/>
          <w:rtl w:val="true"/>
          <w:lang w:bidi="ar-SA"/>
        </w:rPr>
        <w:t>في الجنابة، فيتم الأمر في غيرهما بوحدة المناط عرفاً، أو بفهم الفقهاء عدم الفرق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الإشكال في قول المصنف</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ولو كان قياساً لكان قياس غير المجدور والوجع عليهما قياساً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الأظهر كفاية نيّة المتوضئ فيما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يسند إليه الفعل عرفاً، وكان الموضئ بمنزلة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كما في طهارة شيخنا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الأمر بالغسل ليس إلاّ وجوب إيجاد هذه الطبيعة على كلّ مكلّف، على وجه يستند الفعل إليه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مدرك الحكم هو الإجماع، فلا بدّ من أن ينويا كلاهما للعلم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أحدهما يلزم أن ينوي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قيد محتاج إليه، أو مستفاد مما سبق؟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لطيف،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وجه خطاب شخصي إلى عاجز فظاهره التسبيب، أما الخطاب العام فكما يمكن أن 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المباشرة وجوب التسبيب، كذلك يمكن سقوط الوضوء عن العاجز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على وجهٍ يسند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كلامه،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المدرك رواية الميسور</w:t>
      </w:r>
      <w:r>
        <w:rPr>
          <w:rStyle w:val="FootnoteAnchor"/>
          <w:rtl w:val="true"/>
        </w:rPr>
        <w:footnoteReference w:id="625"/>
      </w:r>
      <w:r>
        <w:rPr>
          <w:rFonts w:ascii="Amiri" w:hAnsi="Amiri" w:eastAsia="Amiri" w:cs="Amiri"/>
          <w:color w:val="111111"/>
          <w:sz w:val="28"/>
          <w:sz w:val="28"/>
          <w:szCs w:val="28"/>
          <w:rtl w:val="true"/>
          <w:lang w:bidi="ar-SA"/>
        </w:rPr>
        <w:t>فالظاهر لزوم نية المتوضئ العاجز، فإن نيته ليست معسورة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مبنى المصنف عدم لزوم الموافقة القطعية في العلم الإجمالي</w:t>
      </w:r>
      <w:r>
        <w:rPr>
          <w:rFonts w:eastAsia="Amiri" w:cs="Amiri" w:ascii="Amiri" w:hAnsi="Amiri"/>
          <w:color w:val="111111"/>
          <w:sz w:val="28"/>
          <w:szCs w:val="28"/>
          <w:rtl w:val="true"/>
          <w:lang w:bidi="ar-SA"/>
        </w:rPr>
        <w:t xml:space="preserve">. </w:t>
      </w:r>
      <w:bookmarkStart w:id="192" w:name="pg15737_151662"/>
    </w:p>
    <w:p>
      <w:pPr>
        <w:pStyle w:val="Heading4"/>
        <w:numPr>
          <w:ilvl w:val="3"/>
          <w:numId w:val="1"/>
        </w:numPr>
        <w:rPr/>
      </w:pPr>
      <w:bookmarkStart w:id="193" w:name="__RefHeading___Toc12561696_2142443653"/>
      <w:bookmarkStart w:id="194" w:name="_Toc67"/>
      <w:bookmarkEnd w:id="192"/>
      <w:bookmarkEnd w:id="193"/>
      <w:r>
        <w:rPr>
          <w:rtl w:val="true"/>
        </w:rPr>
        <w:t>الأمر الخامس</w:t>
      </w:r>
      <w:r>
        <w:rPr>
          <w:rtl w:val="true"/>
        </w:rPr>
        <w:t xml:space="preserve">: </w:t>
      </w:r>
      <w:r>
        <w:rPr>
          <w:rtl w:val="true"/>
        </w:rPr>
        <w:t>إطلاق الماء</w:t>
      </w:r>
      <w:bookmarkEnd w:id="19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الماء، فلا يصحّ بالماء المضاف، كماء الرمّان وماء الورد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ولو مزج به شي‌ء من ملح أو جلاب أو غيرهما كان الاعتبار بصدق اسم الماء عليه في العرف، فلو لم يصدق</w:t>
      </w:r>
    </w:p>
    <w:p>
      <w:pPr>
        <w:pStyle w:val="BookText"/>
        <w:rPr/>
      </w:pPr>
      <w:r>
        <w:rPr>
          <w:rFonts w:ascii="Amiri" w:hAnsi="Amiri" w:eastAsia="Amiri" w:cs="Amiri"/>
          <w:color w:val="111111"/>
          <w:sz w:val="28"/>
          <w:sz w:val="28"/>
          <w:szCs w:val="28"/>
          <w:rtl w:val="true"/>
          <w:lang w:bidi="ar-SA"/>
        </w:rPr>
        <w:t>وغير 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المدرك الروايات، فحيث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فغسّلوني</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يمّموه</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الغسل أو التيمّم مستند إلى الموضي بتمام خصوصياتهما، فلا بدّ أن ينوي الموضيّ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بذلك؛ إذ يحتمل قيام الإجماع على لزوم نية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الشك شكاً في الزائد، فتجري البراءة وتكفي نية أحدهما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وماء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فإنّ الظهور فرع كون المولى في مقام البيان من هذه الجهة، ولا ظهور لها في ذلك، بل ظاهر الرواية</w:t>
      </w:r>
      <w:r>
        <w:rPr>
          <w:rStyle w:val="FootnoteAnchor"/>
          <w:rtl w:val="true"/>
        </w:rPr>
        <w:footnoteReference w:id="628"/>
      </w:r>
      <w:r>
        <w:rPr>
          <w:rFonts w:ascii="Amiri" w:hAnsi="Amiri" w:eastAsia="Amiri" w:cs="Amiri"/>
          <w:color w:val="111111"/>
          <w:sz w:val="28"/>
          <w:sz w:val="28"/>
          <w:szCs w:val="28"/>
          <w:rtl w:val="true"/>
          <w:lang w:bidi="ar-SA"/>
        </w:rPr>
        <w:t>كونها في مقام نفس المباشرة الخارجية، أو التسبيب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يصحّ الوضوء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بمثل ماء القليان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التمسّك بالإجماعات المنقولة، بل المحصّلة،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المدرك عندهم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استنادهم إلى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المراد من الطهور في الآية</w:t>
      </w:r>
      <w:r>
        <w:rPr>
          <w:rStyle w:val="FootnoteAnchor"/>
          <w:rtl w:val="true"/>
        </w:rPr>
        <w:footnoteReference w:id="629"/>
      </w:r>
      <w:r>
        <w:rPr>
          <w:rFonts w:ascii="Amiri" w:hAnsi="Amiri" w:eastAsia="Amiri" w:cs="Amiri"/>
          <w:color w:val="111111"/>
          <w:sz w:val="28"/>
          <w:sz w:val="28"/>
          <w:szCs w:val="28"/>
          <w:rtl w:val="true"/>
          <w:lang w:bidi="ar-SA"/>
        </w:rPr>
        <w:t>الشريفة الطهور التكويني الخارجي لا الشرعي، والمضاف لا يكون طهوراً بهذا المعنى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المعنى الشرعي من الطهور في الآية، ولذا لم يذكر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طهور أيضاً، ولو أغمض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احتمال المدركية لا يضر،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به لا يضر، راجع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حجية الإجماع</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وإلاّ فمثل ماء الورد المضاف مطهر عرفاً قطعاً، وكذلك بعض المعقمات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بالنقل وشك في تاريخه فلا تجري أصالة عدم النقل، وحينئذٍ يكون اللفظ مجملاً، فلا يصلح للاستدلال 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المطهرات المذكورة في بحث المطهرات، وهي أكثر من أربعة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ذلك وسلّم أنّه أُريد منه المعنى الشرعي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الوجه في ذكره كثرة وجوده وعموميّة نفعه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الروايات من حصر الطهور في الماء والصعيد، كما في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الرجل يكون معه 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الماء والصعيد</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الصدوق على مدّعاه على ما نقل عنه بما رواه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يغتسل بماء الورد ويتوضّأ به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لا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للاعتماد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الشيء لا ينفي ما عداه، لكن تخصيصه بالذكر لا بد له من وجه، وإلاّ كان ترجيحاً بلا مرجح، فلذا ذكر المصنف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تطهيره، ورخص ثمنه، أو كونه بلا 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يعده دليلاً، إما لضعف السند أو لعدم ذكر القائل، لكن الثاني ضعيف، إذ مثل أبي بصير لا يروي عن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منه الحليب</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الإشكالات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 ماء الوِرد</w:t>
      </w:r>
      <w:r>
        <w:rPr>
          <w:rStyle w:val="FootnoteAnchor"/>
          <w:rtl w:val="true"/>
        </w:rPr>
        <w:footnoteReference w:id="634"/>
      </w:r>
      <w:r>
        <w:rPr>
          <w:rFonts w:ascii="Amiri" w:hAnsi="Amiri" w:eastAsia="Amiri" w:cs="Amiri"/>
          <w:color w:val="111111"/>
          <w:sz w:val="28"/>
          <w:sz w:val="28"/>
          <w:szCs w:val="28"/>
          <w:rtl w:val="true"/>
          <w:lang w:bidi="ar-SA"/>
        </w:rPr>
        <w:t>الذي كان متعارفاً، حيث كان ترده الدواب ونحوها، بل هو كثير الآن في القرى والصحارى والأرياف، وقراءة الصدوق</w:t>
      </w:r>
      <w:r>
        <w:rPr>
          <w:rStyle w:val="FootnoteAnchor"/>
          <w:rtl w:val="true"/>
        </w:rPr>
        <w:footnoteReference w:id="635"/>
      </w:r>
      <w:r>
        <w:rPr>
          <w:rFonts w:ascii="Amiri" w:hAnsi="Amiri" w:eastAsia="Amiri" w:cs="Amiri"/>
          <w:color w:val="111111"/>
          <w:sz w:val="28"/>
          <w:sz w:val="28"/>
          <w:szCs w:val="28"/>
          <w:rtl w:val="true"/>
          <w:lang w:bidi="ar-SA"/>
        </w:rPr>
        <w:t>بالفتح لا تنهض دليلاً؛ إذ لعله قرأه في الكتاب ولم يتلقه من المشايخ سماعاً، واجتهاده ليس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بسهلٍ</w:t>
      </w:r>
      <w:r>
        <w:rPr>
          <w:rStyle w:val="FootnoteAnchor"/>
          <w:rtl w:val="true"/>
        </w:rPr>
        <w:footnoteReference w:id="63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الذي ادّعاه الشيخ على ترك العمل بظاهره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شاذ</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إرادة ماء الورد المطلق،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يعلم ما هو مراد السائل؟</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اللفظ الإطلاق، والإرادة الاستعمالية كاشفة عن 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مع الآية بالعموم من وجه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ماء الورد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عليها لضعف سندها، فإنّ في طريقها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والرجل مورد طعن جماعة من أهل الفنّ، بل قيل في حقّه إنّه 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يعتمد على اخباره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بيّنا في محلّه أنّ التعارض بين المطلقين يوجب تساقطهما؛ إذ الإطلاق يتوقّف حدوثاً وبقاء على عدم البيان، وكلّ من الدليلين قابل لأن يكون بياناً للآخر، فيسقط كلا الدليلين، ويرجع إلى إطلاق دليل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بماء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ماء الورد المضاف أم ماء الورد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الاجتماع وجدان ماء الورد المضاف، فيتعارضان فيسقطان، ويكون المرجع إطلاق الصدر،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فإغسلوا وجوهكم</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وسائر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التعارض يقدم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سهل سهلٌ</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غالياً ليس ملاكاً، بل صدق اللّهجة هو الملاك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الأدلَّة، والأولى الاستدلال بها؛ إذ الإطلاق في الصدر</w:t>
      </w:r>
      <w:r>
        <w:rPr>
          <w:rStyle w:val="FootnoteAnchor"/>
          <w:rtl w:val="true"/>
        </w:rPr>
        <w:footnoteReference w:id="641"/>
      </w:r>
      <w:r>
        <w:rPr>
          <w:rFonts w:ascii="Amiri" w:hAnsi="Amiri" w:eastAsia="Amiri" w:cs="Amiri"/>
          <w:color w:val="111111"/>
          <w:sz w:val="28"/>
          <w:sz w:val="28"/>
          <w:szCs w:val="28"/>
          <w:rtl w:val="true"/>
          <w:lang w:bidi="ar-SA"/>
        </w:rPr>
        <w:t>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محفوف بما يحتمل القرينة فلا إطلاق،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محتمل القرينة ساقط بالمعارضة، فلا يصح لصرف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ربّما يقال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يقدّم إطلاق الرواية على الآية، حيث إنّ الرواية لو قيّدت بالآية لا يبقى لعنوان ماء الورد مورد، ويكون أخذه في موضوع الحكم لغواً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العكس كما هو ظاهر، ليس على ما ينبغي، وذلك لأنّ ماء الورد لم يقع موضوعاً للحكم ابتداء في كلام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يجري فيه هذا البيان، بل وقع مورد السؤال في كلام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ابن أبي عقيل</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على مدّعاه بما رواه عبد اللّه بن المغيرة عن بعض الصادقين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الرجل لا يقدر على الماء وهو يقدر على اللبن فلا يتوضأ باللبن إنّما هو الماء أو التيمم، فإن لم يقدر على الماء وكان نبيذاً فإنّي سمعت حريزاً يذكر في حديث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توضأ بنبيذ ولم يقدر على الماء</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 لمشكلة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ماء الورد المطلق كسائر المياه المطلقة، فلا وجه لتخصيصه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حتى لو وقع فلعله لدفع شبهة أنَّه لا يجوز، كالوضوء بماء الأنهار المطيَّن أو بماء البحر، إذ قد يسشكل فيه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الإيرادات على قوله هي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يوجد في النبيذ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ينبذون في الماء تمرات لمرارة الماء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النبيذ المطلق، وإنما قيد بعدم القدرة على الماء مع أنّه فرد من أفراد الماء؛ لأن النفس تعاف الوضوء به عادةً للزوجته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ماء النبيذ يشمل النوعين، كما ذكرناه قبل قليل،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المراد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يدفعه كثرة استعمال الصادقين في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الكثرة لم تصل إلى حد الوضع التعيّني،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الواسطة بين حريز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للرواية،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النقل عن الصحابة مشعر بالتقية، خاصة مع لحاظ مذهب العامّة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التتمة من كلام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عن مدلوله، وإجماع التنقيح</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195" w:name="pg15737_151669"/>
    </w:p>
    <w:p>
      <w:pPr>
        <w:pStyle w:val="BookText"/>
        <w:rPr/>
      </w:pPr>
      <w:bookmarkEnd w:id="195"/>
      <w:r>
        <w:rPr>
          <w:rFonts w:ascii="Amiri" w:hAnsi="Amiri" w:eastAsia="Amiri" w:cs="Amiri"/>
          <w:color w:val="111111"/>
          <w:sz w:val="28"/>
          <w:sz w:val="28"/>
          <w:szCs w:val="28"/>
          <w:rtl w:val="true"/>
          <w:lang w:bidi="ar-SA"/>
        </w:rPr>
        <w:t>ولو اشتبه المطلق بالمضاف جاز الوضوء بالتكرير بهما في حال الانحصار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مطلقاً إذا كان التكرير لداعٍ عقلائي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2561698_2142443653"/>
      <w:bookmarkStart w:id="197" w:name="_Toc68"/>
      <w:bookmarkEnd w:id="196"/>
      <w:r>
        <w:rPr>
          <w:rtl w:val="true"/>
        </w:rPr>
        <w:t>الأمر السادس</w:t>
      </w:r>
      <w:r>
        <w:rPr>
          <w:rtl w:val="true"/>
        </w:rPr>
        <w:t xml:space="preserve">: </w:t>
      </w:r>
      <w:r>
        <w:rPr>
          <w:rtl w:val="true"/>
        </w:rPr>
        <w:t>إباحة الماء</w:t>
      </w:r>
      <w:bookmarkEnd w:id="19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الماء فلا يصحّ الوضوء بالماء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الأصحاب كما في الحدائق، وفي بعض الكلمات أنّه استفاض نقل الإجماع عليه،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غير واحد ذلك حتّى من القائلين بجواز الاجتماع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تحقق إجماع كاشف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فالمتعيّن أن يستدلّ على عدم الجواز بوجه آخر،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دليل الوضوء لا يشمل التصرّف الغصبي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الوضوء بالنبيذ من واضحات الفقه، بل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مع توفر قصد امتثال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لدليل تعبدي، أو لأن الاجتماع إنما يفرض في غير العبادات كالإنفاق على الزوجة، وأما فيها فلا يعقل كون المبعد مقرباً فتأمل؛ لأنه خلاف تمثيلهم بالصلاة في الدار المغصوبة، ولأن المبعد غير المقرب؛ لأن تعدد العناوين يستدعي تعدد المعنونات، وعلى كلٍ فإتمام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القاعدة يحتاج إلى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كما تقدم مراراً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فإن الأمر بالطبيعي يشمل أفراده ضمن أية </w:t>
      </w:r>
    </w:p>
    <w:p>
      <w:pPr>
        <w:pStyle w:val="BookText"/>
        <w:rPr/>
      </w:pPr>
      <w:r>
        <w:rPr>
          <w:rFonts w:ascii="Amiri" w:hAnsi="Amiri" w:eastAsia="Amiri" w:cs="Amiri"/>
          <w:color w:val="111111"/>
          <w:sz w:val="28"/>
          <w:sz w:val="28"/>
          <w:szCs w:val="28"/>
          <w:rtl w:val="true"/>
          <w:lang w:bidi="ar-SA"/>
        </w:rPr>
        <w:t>نعم، لا يشترط كونه مملوكاً للمتوضئ، فلو توضأ بماء لغيره بإذنه الصريح أو بفحوى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بما له من الارتكاز يقدّم أدلّة العناوين الثانوية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العناوين الأوّلية والمقام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العرف محكم في باب الظهورات ويقدّم بحسب مركوزه دليل الغصب، فلا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التوضؤ بالماء المغصوب، مضافاً إلى أنّه لو قدّم الدليل الأولي لا يبقى 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خصوصية وقعت، والإطلاق كاشف عن النظر، فإن الإرادة الاستعمالية كاشفة عن الإرادة الجدّية، ومثال ضرب اليتيم</w:t>
      </w:r>
      <w:r>
        <w:rPr>
          <w:rStyle w:val="FootnoteAnchor"/>
          <w:rtl w:val="true"/>
        </w:rPr>
        <w:footnoteReference w:id="645"/>
      </w:r>
      <w:r>
        <w:rPr>
          <w:rFonts w:ascii="Amiri" w:hAnsi="Amiri" w:eastAsia="Amiri" w:cs="Amiri"/>
          <w:color w:val="111111"/>
          <w:sz w:val="28"/>
          <w:sz w:val="28"/>
          <w:szCs w:val="28"/>
          <w:rtl w:val="true"/>
          <w:lang w:bidi="ar-SA"/>
        </w:rPr>
        <w:t xml:space="preserve">لا يجدي، فإنَّ الكلام فيه هو الكلام، إلاّ مع دليل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أو 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كما لو أذن له فيما هو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دليل الغصب 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 أصلاً، كما هو الحال في العناوين الأولية والثانوية، وحينئذٍ فيكون الوضوء باطلاً؛ لأنَّه ليس بمأمور 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موضوع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شاهد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رضاه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شاهد الحال الاقتصار على صورة حصول العلم بالرضا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الأنهار الواقعة في الطرق والمنازل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بالوضوء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مراده من العبارة ذلك فأيضاً يمكن أن يناقش، بأنّه لا فرق بين ظهور الألفاظ وظهور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حكم العرف بالظهور يؤخذ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التمسّك للجواز بما رواه محمّد بن سنان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ماء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شركاء في الماء والنار والكلأ</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رأينا الناس المختلفين يدخلون أفواجاً أفواجاً إلى بيته، ويتوضؤون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نزول القوافل والأفراد لا البيوت، وإلاّ فلم تثبت سيرة على الوضوء من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محل النزول لا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وظهور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العقلاء كما يبنون على ظواهر الأقوال يبنون على ظاهر الحال؟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الإشكالات 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منصرف إلى المباحات الأصلية، في قبال الأقطاع الذي كان سابقاً، وتملك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وسابقاً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للغابات والأنهار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هذا الدليل</w:t>
      </w:r>
      <w:r>
        <w:rPr>
          <w:rStyle w:val="FootnoteAnchor"/>
          <w:rtl w:val="true"/>
        </w:rPr>
        <w:footnoteReference w:id="647"/>
      </w:r>
      <w:r>
        <w:rPr>
          <w:rFonts w:ascii="Amiri" w:hAnsi="Amiri" w:eastAsia="Amiri" w:cs="Amiri"/>
          <w:color w:val="111111"/>
          <w:sz w:val="28"/>
          <w:sz w:val="28"/>
          <w:szCs w:val="28"/>
          <w:rtl w:val="true"/>
          <w:lang w:bidi="ar-SA"/>
        </w:rPr>
        <w:t>ودليل حرمة الغصب</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إذ هذا الدليل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غصباً، لأنَّه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التملك ضروري وبديهي، وسلب حق الآخرين غصب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تخصيص الأكثر؛ إذ أكثر الموارد مملوكة ملكاً شخصياً، كالماء الموجود في بيوت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أنَّه بنحو المشاع، وهو مقطوع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بقرينة ذلك يُحمل على نحو حق المسجد والمدرسة ونحوهما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السندي،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بعض إلى وثاقة محمد بن سنان</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الجمع بين هذا الدليل ودليل حرمة الغصب يقتضي حمل الأوّل على ما لم يكن له صاحب ومالك، لما ذكرنا آنفاً من عدم المعارضة بين أدلّة العناوين الأوّلية وبين دليل العناوين الثانوية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مذكورة في الوسائل بهذا المضمون، وأمّا ما كتب في بعض المؤلّفات من أنّ الناس في ثلاثة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والنار والكلاء، فلم نظفر عليه في كتب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أنّه لو لوحظت النسبة بين دليل الغصب وبقيّة الأدلّة ربما لا يبقى 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الغصب، وهذا يوجب تقديمه على بقيّة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 عن العلاّمة من أنّ شاهد الحال يقتضي الجواز فهو متوقّف على وجوده ومنحصر فيه كما هو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ليس دليلاً ثانوياً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فرق بين التعبيرين، إلاّ أن يريد التقيد بعين عبارة الرواية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المستثنى هذه الثلاثة</w:t>
      </w:r>
      <w:r>
        <w:rPr>
          <w:rStyle w:val="FootnoteAnchor"/>
          <w:rtl w:val="true"/>
        </w:rPr>
        <w:footnoteReference w:id="651"/>
      </w:r>
      <w:r>
        <w:rPr>
          <w:rFonts w:ascii="Amiri" w:hAnsi="Amiri" w:eastAsia="Amiri" w:cs="Amiri"/>
          <w:color w:val="111111"/>
          <w:sz w:val="28"/>
          <w:sz w:val="28"/>
          <w:szCs w:val="28"/>
          <w:rtl w:val="true"/>
          <w:lang w:bidi="ar-SA"/>
        </w:rPr>
        <w:t>أو الأربعة</w:t>
      </w:r>
      <w:r>
        <w:rPr>
          <w:rStyle w:val="FootnoteAnchor"/>
          <w:rtl w:val="true"/>
        </w:rPr>
        <w:footnoteReference w:id="652"/>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أخصّ من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لم يظهر الكراهة من ملاكها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وأمّا 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دليل الغصب وبين أدلّة جواز الوضوء، أو الشرب من الماء الذي لم يتغيّر، فقد ظهر جوابه ممّا ذكرناه آنفاً، فإنّه لا تعارض بين الدليلين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بالجواز باستناد قاعدة نفي الحرج فيرد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الحرج ناشئ من الإلزام بالوضوء بالماء المباح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ونفي الحرج يقتضي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وجوب الوضوء ووصول النوبة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في الفرض والمفروض أنّ الجواز دائر مدارها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يتغير فتوضأ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غير المتغيّر مباحاً أم غصبياً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غير المتغيّر الغصبي أم المتغيّر الغصبي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كما يرتفع بجواز الوضوء كذلك يرتفع بتشريع التيمم، فلا يدل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تجويز الشرب حرجي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منك الوضوء بالماء المباح لزم الحرج بأن يطوي مسافات طويلة حتى يحصل على الماء المباح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بل يدور الأمر بين شيئين كما سبق، إلاّ أن يستفاد ذلك بضميمة أدلَّة حرمة الغصب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لعدم ثبوت قيام السيرة في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يقدح احتمال كونها لصغير أو مجنون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في مال الغير بلا إذنه عدوان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جائز حتّى مع الشكّ في وجود الإذن، لأنّه يحكم بعدمه بالاستصحاب،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حتّى مع الشكّ في الرضا يعدّ عدواناً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ما رواه سماعة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 وذلك ببركة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مثبت فلا يثبت عنوان العدوانية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يثبت عدم الجواز، فنستصحب عدم الإذن، إذن فلا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أثر شرعي لعدم الإذن كما في الرواية</w:t>
      </w:r>
      <w:r>
        <w:rPr>
          <w:rStyle w:val="FootnoteAnchor"/>
          <w:rtl w:val="true"/>
        </w:rPr>
        <w:footnoteReference w:id="653"/>
      </w:r>
      <w:r>
        <w:rPr>
          <w:rFonts w:ascii="Amiri" w:hAnsi="Amiri" w:eastAsia="Amiri" w:cs="Amiri"/>
          <w:color w:val="111111"/>
          <w:sz w:val="28"/>
          <w:sz w:val="28"/>
          <w:szCs w:val="28"/>
          <w:rtl w:val="true"/>
          <w:lang w:bidi="ar-SA"/>
        </w:rPr>
        <w:t>المذكورة أسفل هذه الصفحة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يكن هنالك استصحاب، بأن تعاقبت الحالتان، وجهل المقدم والمتأخر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التمسك بالعام في الشبهة المصداقية للخاص فلا مانع، إلاّ أنَّه خلاف المختار، فتأمل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شك أنَّه تجرٍ، وله أحكام التجري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يصحّ الوضوء بالمغصوب مع الجهل بالغصب أو مع سهوه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ضمن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عنده أمانة فليؤدّها إلى من ائتمنه عليها، فإنّه لا يحلّ دم امرئ مسلم ولا ماله إلاّ بطيبة نفسه</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محلّه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الواقعي محفوظ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الجهل، فالحرمة موجودة وهي</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أقدم ثم بان رضاه لم يكن متعدياً ولا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تثبت له أحكام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ووجه الاحتياط هو فهم الفقهاء،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لطيبة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الطيبة، فإذا انكشفت الطيبة واقعاً لم يكن إلاّ متجرياً، كما سبق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بجواز التمسك بالعام في الشبهة المصداقية للخاص أمكن التمسك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محرم بحكم الاستصحاب، ومع الغض عنه فهو تَجَرٍٍّ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الأحكام مشتركة بين العالم والجاهل، سواء بالحكم أم الموضوع، راجع بحث التوفيق بين الحكم الظاهري والواقعي</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تلازم المبغوضية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الظاهر أنّ المبغوضية والمحبوبية ضدّان لا يجتمعان، فلا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بالماء الغصبي ولو مع الجهل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صورة السهو لا مانع من الصحّة؛ لأنّ الحكم الواقعي غير موجود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يعقل بقاؤه في حال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الكلام؛ إذ الحكم الواقعي حكم بلا مبادئ، فلا مانع من كونه محبوباً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تفصيل ذلك وسائر الأجوبة في بحث التوفيق بين الحكمين</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أمكن جعل الحكم الظاهري في مورد الجهل والشك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كما سبق وجهه، ولذا نقل الاتفاق على الصحة في صورة الجهل</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ذكرناه سابقاً يأتي في صورة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ولا مانع من بقائه، إلاّ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لا يكون بداعي 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كما هو مبيّن في محله، مع أنه ينتقض بصورة الجهل بالحكم أو الموضوع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يستدل على الارتفاع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 على الرفع الواقعي تأمل،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بتمام مراتبه، ولا مانع عقلي منه، أمّا في الجهل فالمانع يعيّن حمل الرفع على الرفع الظاهري،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الرافع للحكم الواقعي عند السهو حيث إنّه بلسان الامتنان على الأمّة يقتضي بقاء المبغوضية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إشكال على رفع الحكم في صورة السهو، وهو مكوّن من عدّة مقدمات،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امتناني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الامتنان لا يكون إلاّ مع وجود الملاك والمقتضي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الملاك يستلزم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والمبغوضية لا تجتمع مع 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الوضوء باطلاً في حالة السهو كالجهل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التأمل والمناقشة في المقدمة الأولى، فإنَّ الامتنان حكمة لا علة، وهي لا تطّرد، بل اللازم أن يكون امتناناً في الجملة، لا في كل مورد، مع أنّه لم يثبت كونه امتنانياً فتأمل؛ إذ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أُمتي</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إشارة للامتنان، فتأمل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يناقش المصنف في المقدمة الثانية، فإنَّ الامتنان تارة يكون برفع الحكم مع وجود المقتضي،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أشق على أُمتي لأمرتهم بالسواك مع كل صلاة</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ملاك، لكن الشارع كان بإمكانه أن يوجب الاحتياط، بأن يأمر بالوضوء من ماء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الأنهار حيث لا احتمال للغصبية أو السهو، فعدم إيجاب الاحتياط امتنان، لكن للمصنف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الامتنان لا يستلزم بقاء المبغوضة، بل يحصل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التحفّظ، وعليه لا دليل على المبغوضية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فالنتيجة صحّة الوضوء،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عدم الحكم الواقعي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Style w:val="FootnoteAnchor"/>
          <w:rtl w:val="true"/>
        </w:rPr>
        <w:footnoteReference w:id="661"/>
      </w:r>
      <w:r>
        <w:rPr>
          <w:rFonts w:ascii="Amiri" w:hAnsi="Amiri" w:eastAsia="Amiri" w:cs="Amiri"/>
          <w:color w:val="111111"/>
          <w:sz w:val="28"/>
          <w:sz w:val="28"/>
          <w:szCs w:val="28"/>
          <w:rtl w:val="true"/>
          <w:lang w:bidi="ar-SA"/>
        </w:rPr>
        <w:t>، فليس الوضوء بالماء مبغوضاً، فلا مانع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السهو باعتبار رفع الاحتياط، فيكون امتناناً، والمسألة بحاجة إلى مزيد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مسألة أنَّ الامتنان لا يتحقق إلاّ مع وجود الملاك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شخص مديوناً فهنالك مقتضٍ للأخذ منه، فلو رفع الدائن عنه الدين كان امتناناً منه، أمَّا لو لم يكن مديوناً فلا معنى للمنّة بالإبراء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كان شخص مستحقاً للقتل، فَمَنَّ عليه وارث المقتول، أمّا بدون استحقاق فلا معنى للامتنان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تتكفل أدلَّة الرفع برفع الحكم الواقعي بتمام مراتبه، فلا يبقى هنالك ملاك، فتأمل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ارتفاع الحكم الواقعي إمّا شرعي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النسيان</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أو عقلي بالدليل المزبور</w:t>
      </w:r>
      <w:r>
        <w:rPr>
          <w:rFonts w:eastAsia="Amiri" w:cs="Amiri" w:ascii="Amiri" w:hAnsi="Amiri"/>
          <w:color w:val="111111"/>
          <w:sz w:val="28"/>
          <w:szCs w:val="28"/>
          <w:rtl w:val="true"/>
          <w:lang w:bidi="ar-SA"/>
        </w:rPr>
        <w:t xml:space="preserve">. </w:t>
      </w:r>
      <w:bookmarkStart w:id="198" w:name="pg15737_151680"/>
    </w:p>
    <w:p>
      <w:pPr>
        <w:pStyle w:val="BookText"/>
        <w:rPr/>
      </w:pPr>
      <w:bookmarkEnd w:id="198"/>
      <w:r>
        <w:rPr>
          <w:rFonts w:ascii="IRNazanin" w:hAnsi="IRNazanin" w:eastAsia="IRNazanin"/>
          <w:color w:val="111111"/>
          <w:sz w:val="28"/>
          <w:sz w:val="28"/>
          <w:szCs w:val="28"/>
          <w:rtl w:val="true"/>
          <w:lang w:bidi="fa-IR"/>
        </w:rPr>
        <w:t>وإن ضمن الماء</w:t>
      </w:r>
      <w:r>
        <w:rPr>
          <w:rFonts w:eastAsia="IRNazanin" w:cs="IRNazanin"/>
          <w:color w:val="111111"/>
          <w:sz w:val="28"/>
          <w:szCs w:val="28"/>
          <w:rtl w:val="true"/>
          <w:lang w:bidi="fa-IR"/>
        </w:rPr>
        <w:t>(*).</w:t>
      </w:r>
    </w:p>
    <w:p>
      <w:pPr>
        <w:pStyle w:val="Heading4"/>
        <w:numPr>
          <w:ilvl w:val="3"/>
          <w:numId w:val="1"/>
        </w:numPr>
        <w:rPr/>
      </w:pPr>
      <w:bookmarkStart w:id="199" w:name="__RefHeading___Toc12561700_2142443653"/>
      <w:bookmarkStart w:id="200" w:name="_Toc69"/>
      <w:bookmarkEnd w:id="199"/>
      <w:r>
        <w:rPr>
          <w:rtl w:val="true"/>
        </w:rPr>
        <w:t>الأمر السابع</w:t>
      </w:r>
      <w:r>
        <w:rPr>
          <w:rtl w:val="true"/>
        </w:rPr>
        <w:t xml:space="preserve">: </w:t>
      </w:r>
      <w:r>
        <w:rPr>
          <w:rtl w:val="true"/>
        </w:rPr>
        <w:t>طهارة الماء</w:t>
      </w:r>
      <w:bookmarkEnd w:id="200"/>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فلا يصحّ الوضوء بالماء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بنوا عليه من أنّ الإتلاف يوجب الضمان مطلقاً، وحديث الرفع لا يرفعه؛ لأنّه خلاف الامتنان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يختلج ببالي القاصر من سالف الزمان أنّ هذا البيان غير تامّ، وذلك لأنّ حديث الرفع في مقام المنّة على من يكون الدليل شاملاً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 أنّ جريانه في كلّ مورد يلزم أن يكون امتناناً على جميع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الحدائق، وإجماعاً، بل ضرورة كما في كلام بعض آخر، ويشهد له 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عمّار</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يتأمل في كونه امتنانياً على نحو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منّة على المكلف،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منصرف عن ذلك، وقرينته فهم مشهور الفقهاء،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قالت 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مننت على الناس بأن لا ضمان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كلامها مقبولاً عند العقلاء، ولحدث هرج ومرج ضدّها، ولا فرق بين ذكر ذلك عامّاً أو خاصاً، ولعل هذا هو سبب فهم المشهور الانصراف، فتأمل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Style w:val="FootnoteAnchor"/>
          <w:rtl w:val="true"/>
        </w:rPr>
        <w:footnoteReference w:id="663"/>
      </w:r>
      <w:r>
        <w:rPr>
          <w:rFonts w:ascii="Amiri" w:hAnsi="Amiri" w:eastAsia="Amiri" w:cs="Amiri"/>
          <w:color w:val="111111"/>
          <w:sz w:val="28"/>
          <w:sz w:val="28"/>
          <w:szCs w:val="28"/>
          <w:rtl w:val="true"/>
          <w:lang w:bidi="ar-SA"/>
        </w:rPr>
        <w:t xml:space="preserve">في الدم، فيتم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w:t>
      </w:r>
    </w:p>
    <w:p>
      <w:pPr>
        <w:pStyle w:val="BookText"/>
        <w:rPr/>
      </w:pPr>
      <w:r>
        <w:rPr>
          <w:rFonts w:ascii="Amiri" w:hAnsi="Amiri" w:eastAsia="Amiri" w:cs="Amiri"/>
          <w:color w:val="111111"/>
          <w:sz w:val="28"/>
          <w:sz w:val="28"/>
          <w:szCs w:val="28"/>
          <w:rtl w:val="true"/>
          <w:lang w:bidi="ar-SA"/>
        </w:rPr>
        <w:t>ولو مع الجهل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الواردة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حالتي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بتقريب أنّ المطلقات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بهذا الخاص، ويشترط في النجاسة العلم بها، فلا وجه لفساد الوضوء بالماء النجس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الروايتين ثبوت نجاسة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لفهم عدم الخصوصية، أو لعدم القول بالفصل، على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الرفع تقتضي الرفع، إلاّ أنه رفع ظاهري لا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بإطلاقها، وللأدلَّة المذكورة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الأحكام بين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مطلقات التنجس بالملاقاة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بنجس، وإنمّا عبر بالنجس تسامحاً أو مجاراة مع المشهور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فهو كالميكروب، إذ لا يناط بالعلم والجهل، </w:t>
      </w:r>
    </w:p>
    <w:p>
      <w:pPr>
        <w:pStyle w:val="BookText"/>
        <w:rPr/>
      </w:pPr>
      <w:r>
        <w:rPr>
          <w:rFonts w:ascii="Amiri" w:hAnsi="Amiri" w:eastAsia="Amiri" w:cs="Amiri"/>
          <w:color w:val="111111"/>
          <w:sz w:val="28"/>
          <w:sz w:val="28"/>
          <w:szCs w:val="28"/>
          <w:rtl w:val="true"/>
          <w:lang w:bidi="ar-SA"/>
        </w:rPr>
        <w:t>فيجب إعادة الوضوء بعد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الالتزام بما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القول بالتصويب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عن الحكم مع الجهل، والمفروض أنّه مجمع على بطلانه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أورده على صاحب الحدائق بأنّ الحكم بالطهارة لو حمل على الحكم الواقعي يستلزم اجتماع الضدّين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مقتضى دليل وجوب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لم</w:t>
      </w:r>
    </w:p>
    <w:p>
      <w:pPr>
        <w:pStyle w:val="BookText"/>
        <w:rPr/>
      </w:pPr>
      <w:r>
        <w:rPr>
          <w:rFonts w:ascii="Amiri" w:hAnsi="Amiri" w:eastAsia="Amiri" w:cs="Amiri"/>
          <w:color w:val="111111"/>
          <w:sz w:val="28"/>
          <w:sz w:val="28"/>
          <w:szCs w:val="28"/>
          <w:rtl w:val="true"/>
          <w:lang w:bidi="ar-SA"/>
        </w:rPr>
        <w:t>ولو بقرينة فهم مشهور الفقهاء، ويؤيده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مؤاخذاً،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فإنَّه يوجب الدور أو ملاكه، فكيف أعلم أنَّه قذر إذا لم يكن قذراً؟</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غائي،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إذ التصويب بتبعية الأحكام الكلّية لآراء المجتهدين، لا الأحكام الجزئية، فتأمل وراجع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خلو؛ إذ الماء طاهر واقعاً، وبالعلم يكون نجساً واقعاً، فمتعلق العلم مغير للموضوع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غرابة، فإنَّه طاهر واقعاً فأين اجتماع الضدّين؟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بأمرٍ جديد، وإلاّ كان مقتضى </w:t>
      </w:r>
      <w:bookmarkStart w:id="201" w:name="pg15737_151683"/>
    </w:p>
    <w:p>
      <w:pPr>
        <w:pStyle w:val="Heading4"/>
        <w:numPr>
          <w:ilvl w:val="3"/>
          <w:numId w:val="1"/>
        </w:numPr>
        <w:rPr/>
      </w:pPr>
      <w:bookmarkStart w:id="202" w:name="__RefHeading___Toc12561702_2142443653"/>
      <w:bookmarkStart w:id="203" w:name="_Toc70"/>
      <w:bookmarkEnd w:id="201"/>
      <w:bookmarkEnd w:id="202"/>
      <w:r>
        <w:rPr>
          <w:rtl w:val="true"/>
        </w:rPr>
        <w:t>الأمر الثامن</w:t>
      </w:r>
      <w:r>
        <w:rPr>
          <w:rtl w:val="true"/>
        </w:rPr>
        <w:t xml:space="preserve">: </w:t>
      </w:r>
      <w:r>
        <w:rPr>
          <w:rtl w:val="true"/>
        </w:rPr>
        <w:t>عدم الخوف من استعمال الماء</w:t>
      </w:r>
      <w:bookmarkEnd w:id="203"/>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الخوف في استعمال الماء من حدوث مرض أو زيادته أو بطء برئه، أو من عطش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 بالصلاة هو القضاء خارج الوقت؛ لأنّ المفروض عدم الإتيان بالصلاة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بعمومات نفي الضرر والحرج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الأمر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لا تشمل المقام، لأنَّ الطهور من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بحثان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العطش</w:t>
      </w:r>
      <w:r>
        <w:rPr>
          <w:rStyle w:val="FootnoteAnchor"/>
          <w:rtl w:val="true"/>
        </w:rPr>
        <w:footnoteReference w:id="668"/>
      </w:r>
      <w:r>
        <w:rPr>
          <w:rFonts w:ascii="Amiri" w:hAnsi="Amiri" w:eastAsia="Amiri" w:cs="Amiri"/>
          <w:color w:val="111111"/>
          <w:sz w:val="28"/>
          <w:sz w:val="28"/>
          <w:szCs w:val="28"/>
          <w:rtl w:val="true"/>
          <w:lang w:bidi="ar-SA"/>
        </w:rPr>
        <w:t>، وهو منصوص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المرض</w:t>
      </w:r>
      <w:r>
        <w:rPr>
          <w:rStyle w:val="FootnoteAnchor"/>
          <w:rtl w:val="true"/>
        </w:rPr>
        <w:footnoteReference w:id="669"/>
      </w:r>
      <w:r>
        <w:rPr>
          <w:rFonts w:ascii="Amiri" w:hAnsi="Amiri" w:eastAsia="Amiri" w:cs="Amiri"/>
          <w:color w:val="111111"/>
          <w:sz w:val="28"/>
          <w:sz w:val="28"/>
          <w:szCs w:val="28"/>
          <w:rtl w:val="true"/>
          <w:lang w:bidi="ar-SA"/>
        </w:rPr>
        <w:t>حدوثاً أو زيادة أو بطء 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نفي الضرر والحرج،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أنَّه يقع في الحرج أو الضرر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العلم طريق كذلك الخوف طريق عقلائي للمكلف، وقد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أمضى الشارع الطريقية في موراد العطش وقلة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فإنَّ ظاهر الأدلَّة موضوعية الخوف، ولا دليل على الطريقية، والأصل عند الشك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الإلزام بالوضوء مع الخوف المزبور حرجي، فينفى بأدلَّة نفي الحرج، لكن لا كليَّة له؛ إذ قد لا يكون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رواية سماعة،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فيخاف قلته</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لم يذكر متعلقه، فيشمل ما لو كان الخوف من حدوث مرضٍ ما، فإنَّ العطش سبب لكثير من الأمراض، ولا خصوصية للمرض النابع من خوف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وخوف القلَّة والمرض، وخوف العلَّة ملازم لخوف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وخوف المرض، فإنَّه عرفاً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سنان</w:t>
      </w:r>
      <w:r>
        <w:rPr>
          <w:rStyle w:val="FootnoteAnchor"/>
          <w:rtl w:val="true"/>
        </w:rPr>
        <w:footnoteReference w:id="671"/>
      </w:r>
      <w:r>
        <w:rPr>
          <w:rFonts w:ascii="Amiri" w:hAnsi="Amiri" w:eastAsia="Amiri" w:cs="Amiri"/>
          <w:color w:val="111111"/>
          <w:sz w:val="28"/>
          <w:sz w:val="28"/>
          <w:szCs w:val="28"/>
          <w:rtl w:val="true"/>
          <w:lang w:bidi="ar-SA"/>
        </w:rPr>
        <w:t>، فإنَّ خوف العطش لا موضوعية له عرفاً، خصوصاً إذا كان ما يخاف منه أعظم من العطش</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خوف البرد</w:t>
      </w:r>
      <w:r>
        <w:rPr>
          <w:rStyle w:val="FootnoteAnchor"/>
          <w:rtl w:val="true"/>
        </w:rPr>
        <w:footnoteReference w:id="672"/>
      </w:r>
      <w:r>
        <w:rPr>
          <w:rFonts w:ascii="Amiri" w:hAnsi="Amiri" w:eastAsia="Amiri" w:cs="Amiri"/>
          <w:color w:val="111111"/>
          <w:sz w:val="28"/>
          <w:sz w:val="28"/>
          <w:szCs w:val="28"/>
          <w:rtl w:val="true"/>
          <w:lang w:bidi="ar-SA"/>
        </w:rPr>
        <w:t>، ومعناها خوف المرض من جهة حدوث البرد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إنّ الخوف طريق عقلائي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وأمضاه الشارع، فإنّه يمكن أن يستفاد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من الموارد أنّ الشارع جعل الخوف طريقاً ورتّب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الثانية وإن كانت في مورد العطش لكن يفهم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أنّ العطش ليس له خصوصية، بل الحكم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الاستدلال بقاعدة نفي الضرر والحرج يتوقّف على إحراز موضوعهما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وطريقية الخوف على متعلّقيهما لا دليل عليها، بل الظاهر كونهما موضوعين في جملة من الموارد، فإنّ الالتزام بالطريقية خلاف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الكسير</w:t>
      </w:r>
      <w:r>
        <w:rPr>
          <w:rStyle w:val="FootnoteAnchor"/>
          <w:rtl w:val="true"/>
        </w:rPr>
        <w:footnoteReference w:id="673"/>
      </w:r>
      <w:r>
        <w:rPr>
          <w:rFonts w:ascii="IRNazanin" w:hAnsi="IRNazanin" w:eastAsia="IRNazanin"/>
          <w:color w:val="111111"/>
          <w:sz w:val="28"/>
          <w:sz w:val="28"/>
          <w:szCs w:val="28"/>
          <w:rtl w:val="true"/>
          <w:lang w:bidi="fa-IR"/>
        </w:rPr>
        <w:t>والمجدور</w:t>
      </w:r>
      <w:r>
        <w:rPr>
          <w:rStyle w:val="FootnoteAnchor"/>
          <w:rtl w:val="true"/>
        </w:rPr>
        <w:footnoteReference w:id="674"/>
      </w:r>
      <w:r>
        <w:rPr>
          <w:rFonts w:ascii="Amiri" w:hAnsi="Amiri" w:eastAsia="Amiri" w:cs="Amiri"/>
          <w:color w:val="111111"/>
          <w:sz w:val="28"/>
          <w:sz w:val="28"/>
          <w:szCs w:val="28"/>
          <w:rtl w:val="true"/>
          <w:lang w:bidi="ar-SA"/>
        </w:rPr>
        <w:t>مع أنَّه لا يعلم تحقق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 والحرج، فهو كالقطع بوقوعه في الضرر والحرج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بل ظاهر الأدلَّة الموضوعية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قياساً، بل إلغاء للخصوصية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تحقق الضرر والحرج فيما بعد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الأصل في العناوين هو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مصاحب يتضرّر بتلفه</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ولو كان كافراً</w:t>
      </w:r>
      <w:r>
        <w:rPr>
          <w:rFonts w:eastAsia="Amiri" w:cs="Amiri" w:ascii="Amiri" w:hAnsi="Amiri"/>
          <w:i/>
          <w:iCs/>
          <w:color w:val="111111"/>
          <w:sz w:val="28"/>
          <w:szCs w:val="28"/>
          <w:rtl w:val="true"/>
          <w:lang w:bidi="ar-SA"/>
        </w:rPr>
        <w:t>(</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أو نفس محترمة</w:t>
      </w:r>
      <w:r>
        <w:rPr>
          <w:rFonts w:eastAsia="Amiri" w:cs="Amiri" w:ascii="Amiri" w:hAnsi="Amiri"/>
          <w:b/>
          <w:bCs/>
          <w:i/>
          <w:iCs/>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الرجل تصيبه الجنابة وبه جروح أو قروح أو يخاف على نفسه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ويتيمّم</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الواقع في الرواية الخوف من حدوث المرض من جهة البرودة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فإنّها بإطلاقها تشمل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يتضرّر بموته فيخاف من قلّة الماء فيسقط وجوب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الماء مع خوف التلف من مراتب وجوب حفظ النفس فيجب حفظه،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لخوف البرد عرفاً، خصوصاً إذا كان ما يخاف منه أعظم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ولسائر الأدلَّة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فإنَّه محفوف بما يصلح للقرينية،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بعموم الجواب لا بخصوص السؤال، فتأمل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لجريان نفس الأدلَّة السابقة، ومنها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حيوان محترم يتضرّر بموته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ضيق الوقت ولو لركعة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بإطلاق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مضافاً إلى عموم نفي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أظفر على رواية تدلّ على جواز التيمّم عند الخوف من فوت الوقت، والالتزام بكون الخوف طريقاً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متعلّقه 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حكم المقام من رواية زرارة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يتضرر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فإن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فيخاف قلته</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دوران 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والطهارة المائية، يتعين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مانع من سائر الأدلَّة كروايات المجدور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ولدليل الضرر، وقد يستدل بالتزاحم بين دليل الوضوء والإسراف فيتخير،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عمود الدين فتكون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مختلفة، وقد يستلزم الوضوء تلف مال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كحيوان عظيم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الشارع لا يرضى بتلفه، فتأمل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فيحرز بالخوف ضيق الوقت كالعلم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الوقت، فإذا خاف أن يفوته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فليتيمّم وليصلّ</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رفع اليد عن القاعدة الأوّلية وإحراز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الوقت باستصحاب بقائه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المدّعى يستفاد من الحدث، أضف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يشمل خوف بعض الوقت،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يفوتني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لا توسع في الوقت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حاكمة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إحراز بقاء الوقت، فبالاستصحاب نحرز أنَّ الوقت باقٍ، وهذا استصحاب استقبالي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محكوم بالدليل الاجتهادي،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خاف أن يفوته الوقت فليتيمم وليصلَِّ</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لجواز التيمم في حال حصول الخوف من استعمال الماء، فالأدلّة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طريق عقلائي إلى متعلقه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w:t>
      </w:r>
      <w:r>
        <w:rPr>
          <w:rStyle w:val="FootnoteAnchor"/>
          <w:rtl w:val="true"/>
        </w:rPr>
        <w:footnoteReference w:id="68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فلو كان لو توضّأ أدرك ركعة من الصلاة في الوقت تعيّن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ذكر أنّ التحفّظ على الصلوات واجب بمقتضى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اعتبار الاستصحاب وحجّيته لا يكون الوضوء مخالفاً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رواه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المحافظة على الصلاة سقوط 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خوف فوت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والانتقال إلى الطهارة الترابية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محافظة على الصلاة لكن بالعلم التعبدي، ولا فرق بينه وبين الوجداني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استلزم الوضوء وقوع جزء من الصلاة خارج الوقت يتعين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تساوى الزمانان أو كان زمان التيمم أطول يتعين الوضوء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Style w:val="FootnoteAnchor"/>
          <w:rtl w:val="true"/>
        </w:rPr>
        <w:footnoteReference w:id="681"/>
      </w:r>
      <w:r>
        <w:rPr>
          <w:rFonts w:ascii="Amiri" w:hAnsi="Amiri" w:eastAsia="Amiri" w:cs="Amiri"/>
          <w:color w:val="111111"/>
          <w:sz w:val="28"/>
          <w:sz w:val="28"/>
          <w:szCs w:val="28"/>
          <w:rtl w:val="true"/>
          <w:lang w:bidi="ar-SA"/>
        </w:rPr>
        <w:t>التي جعلها المصنف العمدة لا تدل مطلقاً، ولو لم تكن الرواية لقلنا بمقتضاها؛ إذ ما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الوقت لا يبطل الصلاة، بل عليه أن يكمل صلاته، وصلاته صحيحة، ولا </w:t>
      </w:r>
    </w:p>
    <w:p>
      <w:pPr>
        <w:pStyle w:val="BookText"/>
        <w:rPr/>
      </w:pPr>
      <w:r>
        <w:rPr>
          <w:rFonts w:ascii="Amiri" w:hAnsi="Amiri" w:eastAsia="Amiri" w:cs="Amiri"/>
          <w:color w:val="111111"/>
          <w:sz w:val="28"/>
          <w:sz w:val="28"/>
          <w:szCs w:val="28"/>
          <w:rtl w:val="true"/>
          <w:lang w:bidi="ar-SA"/>
        </w:rPr>
        <w:t>صلّى ركعة من الغداة ثمّ طلعت الشمس فليتمّ وقد جازت صلاته</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فإنّه مقتضٍ للتوسعة في الوقت عند الضرورة، وعليه يلزم على المكلّف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مقتضى التنزيل المستفاد من القاعدة أنّ إدراك ركعة من الوقت في حكم إدراك 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الإجماع ففيه ما لا يخفى</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المحتمل، بل المقطوع أنّ مدرك المجمعين الأخبار الواردة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الروايات فهي على قسمين</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منها 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وقسم منها مروي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الروايات حديث عمّار فقط،</w:t>
      </w:r>
    </w:p>
    <w:p>
      <w:pPr>
        <w:pStyle w:val="BookText"/>
        <w:rPr/>
      </w:pPr>
      <w:r>
        <w:rPr>
          <w:rFonts w:ascii="Amiri" w:hAnsi="Amiri" w:eastAsia="Amiri" w:cs="Amiri"/>
          <w:color w:val="111111"/>
          <w:sz w:val="28"/>
          <w:sz w:val="28"/>
          <w:szCs w:val="28"/>
          <w:rtl w:val="true"/>
          <w:lang w:bidi="ar-SA"/>
        </w:rPr>
        <w:t>يستفاد منها التوسعة في الوقت، وأما سائر الروايات فهي كذلك، خاصَّة وأنَّ المشهور اختلفوا في استفادة الإطلاق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يخاف من فوت الوقت، لأن إدراك ركعة من الوقت في حكم إدراك الوقت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الاحتمال، بل القطع 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لا أثر له ما دام الكل نوراً واحداً، ولا بد في التقسيم من أثر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الروايات مجبورة بالشهرة، بل الإجماع المحكي، وأمَّا رواية</w:t>
      </w:r>
      <w:r>
        <w:rPr>
          <w:rStyle w:val="FootnoteAnchor"/>
          <w:rtl w:val="true"/>
        </w:rPr>
        <w:footnoteReference w:id="683"/>
      </w:r>
      <w:r>
        <w:rPr>
          <w:rFonts w:ascii="Amiri" w:hAnsi="Amiri" w:eastAsia="Amiri" w:cs="Amiri"/>
          <w:color w:val="111111"/>
          <w:sz w:val="28"/>
          <w:sz w:val="28"/>
          <w:szCs w:val="28"/>
          <w:rtl w:val="true"/>
          <w:lang w:bidi="ar-SA"/>
        </w:rPr>
        <w:t>عمّار فلا دلالة لها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وجه للتعدّي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 إنّ القاعدة 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فات ولم يبق منه إلاّ مقدار ركعة يكون ذلك المقدار بجعل الشارع في حكم الوقت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القاعدة وإن كان جواز التأخير ولو عمداً، لكن خرج منها بحكم الضرورة صورة العمد، وبقي الباقي والتأخير في المقام لا يكون عمدياً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الأمر عدم تقديم الطهارة الترابية، وأمّا تأخّرها عن المائية بمقتضى القاعدة فلا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في صلاة الغداة فقط،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لا يفهم الخصوصية، بل يفهم عدم الخصوصية، ولذا فهم الفقهاء العموم، وقد استدل المصنف كراراً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الظهور مسلم، ولا أقل من كونه 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الخارج بالضرورة هو التأخير العمدي،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القدر المتيقن منه هو التأخير لا لعذر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حكم ببدلين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بدلية ركعة عن الوقت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بدلية الطهارة الترابية عن المائية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وجه لتقديم إحداهما على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مسلك المشهور من إجراء حكم التزاحم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 يقدّم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أهمّ أو يحتمل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سلكناه من أنّ هذه الموارد كلّها من باب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إعمال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تصل النوبة إلى هذه المقالات؛ إذ المفروض أنّ الشارع أوجب الصلاة مع الطهارة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 الوقت والطهارة المائية فيه ملاك، لكن لا يمكن للمكلف الجمع بين الملاكين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إحراز الأهمية ومع عدم احتمالها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الأهمية مجرى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فالدليلان متعارضان،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داخل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غض النظر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والمصنف</w:t>
      </w:r>
      <w:r>
        <w:rPr>
          <w:rStyle w:val="FootnoteAnchor"/>
          <w:rtl w:val="true"/>
        </w:rPr>
        <w:footnoteReference w:id="685"/>
      </w:r>
      <w:r>
        <w:rPr>
          <w:rFonts w:ascii="Amiri" w:hAnsi="Amiri" w:eastAsia="Amiri" w:cs="Amiri"/>
          <w:color w:val="111111"/>
          <w:sz w:val="28"/>
          <w:sz w:val="28"/>
          <w:szCs w:val="28"/>
          <w:rtl w:val="true"/>
          <w:lang w:bidi="ar-SA"/>
        </w:rPr>
        <w:t>يرى أنَّ القاعدة خاصَّة بصلاة الغداة، فلا يقاس غيرها عليها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يظهر مما سبق،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عرفاً بين الغداة وغيرها، وأن الأدلَّة المجبورة بالشهرة مطلقة</w:t>
      </w:r>
      <w:r>
        <w:rPr>
          <w:rFonts w:eastAsia="Amiri" w:cs="Amiri" w:ascii="Amiri" w:hAnsi="Amiri"/>
          <w:color w:val="111111"/>
          <w:sz w:val="28"/>
          <w:szCs w:val="28"/>
          <w:rtl w:val="true"/>
          <w:lang w:bidi="ar-SA"/>
        </w:rPr>
        <w:t xml:space="preserve">. </w:t>
      </w:r>
      <w:bookmarkStart w:id="204" w:name="pg15737_151693"/>
    </w:p>
    <w:p>
      <w:pPr>
        <w:pStyle w:val="Heading4"/>
        <w:numPr>
          <w:ilvl w:val="3"/>
          <w:numId w:val="1"/>
        </w:numPr>
        <w:rPr/>
      </w:pPr>
      <w:bookmarkStart w:id="205" w:name="__RefHeading___Toc12561704_2142443653"/>
      <w:bookmarkStart w:id="206" w:name="_Toc71"/>
      <w:bookmarkEnd w:id="204"/>
      <w:bookmarkEnd w:id="205"/>
      <w:r>
        <w:rPr>
          <w:rtl w:val="true"/>
        </w:rPr>
        <w:t xml:space="preserve">المسألة </w:t>
      </w:r>
      <w:r>
        <w:rPr/>
        <w:t>111</w:t>
      </w:r>
      <w:r>
        <w:rPr>
          <w:rtl w:val="true"/>
        </w:rPr>
        <w:t xml:space="preserve">: </w:t>
      </w:r>
      <w:r>
        <w:rPr>
          <w:rtl w:val="true"/>
        </w:rPr>
        <w:t>كون الشرط الثامن والسادس من الشرائط العلمية</w:t>
      </w:r>
      <w:bookmarkEnd w:id="2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والشرط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إباحة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 العلمية لا من الشرائط الوجودية، بمعنى أنّه لو لم يعلم به لم يضرّ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التأخير اختياراً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الحال في الجهة الثالثة من تقدّم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بدلية التراب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نظر بالنسبة إلى الشرط الثامن</w:t>
      </w:r>
      <w:r>
        <w:rPr>
          <w:rStyle w:val="FootnoteAnchor"/>
          <w:rtl w:val="true"/>
        </w:rPr>
        <w:footnoteReference w:id="686"/>
      </w:r>
      <w:r>
        <w:rPr>
          <w:rFonts w:ascii="Amiri" w:hAnsi="Amiri" w:eastAsia="Amiri" w:cs="Amiri"/>
          <w:color w:val="111111"/>
          <w:sz w:val="28"/>
          <w:sz w:val="28"/>
          <w:szCs w:val="28"/>
          <w:rtl w:val="true"/>
          <w:lang w:bidi="ar-SA"/>
        </w:rPr>
        <w:t>، كما في صورة كون الماء مضراً ضرراً بالغاً يحرم تحمله، وكذا في صورة كون الوقت ضيقاً وتوضأ بنية الصلاة على نحو التقييد؛ إذ مع الضرر البالغ يكون الوضوء محرماً ومبغوضاً، ولا تجتمع المبغوضية مع المحبوبية، لكن قد يشكل بأنَّه حكم بلا 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ضيق الوقت، فإن توضأ بنية غاية اُخرى، أو بغاية الصلاة على نحو الداعي فإنَّه يصح، وأمَّا لو توضأ بنية التقييد، فإنَّه لا أمر ناشئ من تلك الصلاة بالوضوء، فما قصد لا أمر به،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في غير صلاة الغداة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الحديث سيتكرر مرَّة أُخرى في مباحث التيمم، إلاّ أنَّه ذكره هنا إجمالاً</w:t>
      </w:r>
      <w:r>
        <w:rPr>
          <w:rFonts w:eastAsia="Amiri" w:cs="Amiri" w:ascii="Amiri" w:hAnsi="Amiri"/>
          <w:color w:val="111111"/>
          <w:sz w:val="28"/>
          <w:szCs w:val="28"/>
          <w:rtl w:val="true"/>
          <w:lang w:bidi="ar-SA"/>
        </w:rPr>
        <w:t xml:space="preserve">. </w:t>
      </w:r>
      <w:bookmarkStart w:id="207" w:name="pg15737_151694"/>
    </w:p>
    <w:p>
      <w:pPr>
        <w:pStyle w:val="Heading4"/>
        <w:numPr>
          <w:ilvl w:val="3"/>
          <w:numId w:val="1"/>
        </w:numPr>
        <w:rPr/>
      </w:pPr>
      <w:bookmarkStart w:id="208" w:name="__RefHeading___Toc12561706_2142443653"/>
      <w:bookmarkStart w:id="209" w:name="_Toc72"/>
      <w:bookmarkEnd w:id="207"/>
      <w:bookmarkEnd w:id="208"/>
      <w:r>
        <w:rPr>
          <w:rtl w:val="true"/>
        </w:rPr>
        <w:t>الأمر التاسع</w:t>
      </w:r>
      <w:r>
        <w:rPr>
          <w:rtl w:val="true"/>
        </w:rPr>
        <w:t xml:space="preserve">: </w:t>
      </w:r>
      <w:r>
        <w:rPr>
          <w:rtl w:val="true"/>
        </w:rPr>
        <w:t>أن لا يكون غسالة الاستنجاء</w:t>
      </w:r>
      <w:bookmarkEnd w:id="209"/>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غسالة الاستنجاء ولو كان هو طاهراً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2561708_2142443653"/>
      <w:bookmarkStart w:id="211" w:name="_Toc73"/>
      <w:bookmarkEnd w:id="210"/>
      <w:r>
        <w:rPr>
          <w:rtl w:val="true"/>
        </w:rPr>
        <w:t>الأمر العاشر</w:t>
      </w:r>
      <w:r>
        <w:rPr>
          <w:rtl w:val="true"/>
        </w:rPr>
        <w:t xml:space="preserve">: </w:t>
      </w:r>
      <w:r>
        <w:rPr>
          <w:rtl w:val="true"/>
        </w:rPr>
        <w:t>أن لا يكون مشتبهاً بالنجس</w:t>
      </w:r>
      <w:bookmarkEnd w:id="211"/>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مشتبهاً بالنجس، فلو فرض انحصار الماء في المشتبهين، فإن كان كلّ منهما قليلاً تعيّن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كلاهما كراً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يتوضّأ بأحدهما ثمّ يطهر بالآخر كلّما أصابه ذلك الماء من جسده ثمّ 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أحدهما كرّاً مع جعله أخيراً في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منّا في بحث ماء الاستنجاء أنّ القاعدة تقتضي صحّة الوضوء به بناء على القول بطهارته فراجع ذلك البحث، لكن الاحتياط ممّا لا ينبغي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هذا المقام من جهات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والأحوط إراقة الماءين أولاً، وكذا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وارد في مقام توهم الحظر، فلا يدل على الوجوب،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والأحوط الاقتصار على التيمم، وكذا في الفرع التالي</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يترك كما مضى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القاعدة الأوّلية مع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عن النصّ الخاصّ،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انحصر الماء في المشتبهين فالقاعدة تقتضي أن يتوضّأ ويصلّي، لأنّه واجد للماء ولا مانع عن استعماله، لأنّه يمكنه أن يتوضّأ بأحد الإناءين ويصلّي، ويغسل أعضاء وضوئه بالماء الآخر ويتوضّأ به، ويصلّي ثانياً، فإنّه مبرئ للذمّة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يمكنه أن يتوضّأ بأحدهما ثمّ يغسل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بالثاني، ويتوضّأ به ويصلّي، لأنّ الاستعمال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موجباً لحصول علمه بنجاسة أعضائه، إمّا بالماء الأوّل وإمّا بالثاني،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يشمل النص الخاص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الكرّين أو كون أحدهما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إلى مقتضى القاعدة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أحدهما وقع مع الطهارة الواقعية الحدثية والخبثية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الأمر للصلوات القادمة من ناحية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وجوب لها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المعلق، أو بحرمة تفويت أغراض المولى، وحينئذٍ يقع التزاحم، وهل يقدم حينئذٍ ما هو الأسبق زماناً؟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مواضع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ترشحت القطرات عليه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 وصول الماء الثاني إلى البدن وقبل الانفصال يعلم بنجاسة أعضائه قطعاً، إمَّا بالماء الأول ولم يأت المطهر بعد، لأنَّ المطهر الانفصال، وإمَّا بالماء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ويشكّ في ارتفاعه ومقتضى الاستصحاب بقاؤها، لكن يعلم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أعضائه طاهرة في زمان، ومقتضى الاستصحاب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كما عن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الماء الثاني في الفرض لو كان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الأمر؛ إذ بمجرّد وصول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العضو يعلم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الطهارة فلا يجري الأصل فيها؛ لأنّ اتّصال زمان الشكّ باليقين غير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استصحاب جزئي للنجاسة، واستصحاب كلَّي للطهارة؛ إذ الأعضاء طاهرة في زمانٍ ما، فيستصحب الطهارة، فيتساقط الاستصحابان وتصل النوبة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طريقة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يهريق أحدهما ويتوضأ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يبني على عدم التعرض لأحدهما ويتوضأ بالآخر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كثيراً فلا يقيّن بالنجاسة؛ إذ يحتمل كونه طاهراً، فبمجرد وصول البدن إليه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الأول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نعلم بنجاسةٍ ما وطهارةٍ ما، فلا يجري أي واحد من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فيما سميناه بالكلَّي لا يجري الاستصحاب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وذلك قبل انفصاله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يحتمل كون الماء طاهراً، فانفصل زمان اليقين عن زمن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لانفصاله بالنجاسة بالماء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الماء الثاني </w:t>
      </w:r>
    </w:p>
    <w:p>
      <w:pPr>
        <w:pStyle w:val="BookText"/>
        <w:rPr/>
      </w:pPr>
      <w:r>
        <w:rPr>
          <w:rFonts w:ascii="Amiri" w:hAnsi="Amiri" w:eastAsia="Amiri" w:cs="Amiri"/>
          <w:color w:val="111111"/>
          <w:sz w:val="28"/>
          <w:sz w:val="28"/>
          <w:szCs w:val="28"/>
          <w:rtl w:val="true"/>
          <w:lang w:bidi="ar-SA"/>
        </w:rPr>
        <w:t>وقد أجبنا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في بحث الأصول، وقلنا بأنّه لا مانع من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ولكن لا مجال لقاعدة الطهارة بعد تساقط</w:t>
      </w:r>
    </w:p>
    <w:p>
      <w:pPr>
        <w:pStyle w:val="BookText"/>
        <w:rPr/>
      </w:pPr>
      <w:r>
        <w:rPr>
          <w:rFonts w:ascii="Amiri" w:hAnsi="Amiri" w:eastAsia="Amiri" w:cs="Amiri"/>
          <w:color w:val="111111"/>
          <w:sz w:val="28"/>
          <w:sz w:val="28"/>
          <w:szCs w:val="28"/>
          <w:rtl w:val="true"/>
          <w:lang w:bidi="ar-SA"/>
        </w:rPr>
        <w:t>طاهراً فاتصل الزمان، ولا يصدق النقض إلاّ مع الاتصال، أمَّا مع الانفصال فلا يصدق، وأما مع احتمال الانفصال فهو تمسك بالعام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صاحب الكفاية</w:t>
      </w:r>
      <w:r>
        <w:rPr>
          <w:rStyle w:val="FootnoteAnchor"/>
          <w:rtl w:val="true"/>
        </w:rPr>
        <w:footnoteReference w:id="689"/>
      </w:r>
      <w:r>
        <w:rPr>
          <w:rFonts w:ascii="Amiri" w:hAnsi="Amiri" w:eastAsia="Amiri" w:cs="Amiri"/>
          <w:color w:val="111111"/>
          <w:sz w:val="28"/>
          <w:sz w:val="28"/>
          <w:szCs w:val="28"/>
          <w:rtl w:val="true"/>
          <w:lang w:bidi="ar-SA"/>
        </w:rPr>
        <w:t>جعل استصحاب الطهارة جزئياً، فزمان الطهارة إن كان الماء الأول فانفصل، أو الماء الثاني فاتصل، والمصنف جعله كلياً</w:t>
      </w:r>
      <w:r>
        <w:rPr>
          <w:rStyle w:val="FootnoteAnchor"/>
          <w:rtl w:val="true"/>
        </w:rPr>
        <w:footnoteReference w:id="690"/>
      </w:r>
      <w:r>
        <w:rPr>
          <w:rFonts w:ascii="Amiri" w:hAnsi="Amiri" w:eastAsia="Amiri" w:cs="Amiri"/>
          <w:color w:val="111111"/>
          <w:sz w:val="28"/>
          <w:sz w:val="28"/>
          <w:szCs w:val="28"/>
          <w:rtl w:val="true"/>
          <w:lang w:bidi="ar-SA"/>
        </w:rPr>
        <w:t>إذ هنالك طهارةٍ ما في زمانٍ ما، فنلاحظ تلك اللحظة ثم ننتقل لللحظة الثانية فنشك هل ارتفعت الطهارة، فنستصحب وبذلك يكون اتصال الزمانين وجدانياً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المصنف إلى تساقط الاستصحابين</w:t>
      </w:r>
      <w:r>
        <w:rPr>
          <w:rStyle w:val="FootnoteAnchor"/>
          <w:rtl w:val="true"/>
        </w:rPr>
        <w:footnoteReference w:id="691"/>
      </w:r>
      <w:r>
        <w:rPr>
          <w:rFonts w:ascii="Amiri" w:hAnsi="Amiri" w:eastAsia="Amiri" w:cs="Amiri"/>
          <w:color w:val="111111"/>
          <w:sz w:val="28"/>
          <w:sz w:val="28"/>
          <w:szCs w:val="28"/>
          <w:rtl w:val="true"/>
          <w:lang w:bidi="ar-SA"/>
        </w:rPr>
        <w:t>وجريان أصالة الطهارة، ومفاد الإشكال أنَّه في لحظة وصول الماء الثاني إلى أوّل جزء يحصل علم إجمالي إمَّا بنجاسة الملاقى أو غيره، فلا تجري حينئذٍ أصالة الطهارة للعلم الإجمالي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لحظة صب الماء على الجبهة، أو وضع الجبهة في الماء يحصل علم إجمالي بنجاسة الجبهة، وكذا أسفل اليد وأعلاها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الاستصحابين، بلا فرق بين كون الماء الثاني قليلاً وبين كونه كثيراً؛ وذلك لأنّ وصول الماء الثاني إلى أعضاء الوضوء تدريجي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فبمجرّد وصول الماء إلى أوّل جزء من الأعضاء يحصل العلم الإجمالي بنجاسة حاصلة، إمّا في العضو الملاقي للماء الثاني، وإمّا في العضو الملاقي للماء الأوّل، ومع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الإجمالي لا مجال لجريان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في محلّه من الأصول أن تنجّز العلم الإجمالي دائر مدار تعارض الأصول الجارية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هذه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كالصورة السابقة يحصل بها الطهارة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حتى لو غمسه في الكر فلا يصل دفعةً، فالأنف يصل إلى الماء أولاً مثلاً، وهكذا في غمس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لتعارض الأُصول في أطرافه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علّة تنجز العلم حدوثاً وبقاءً، فلو ارتفع التعارض لا علم إجمالي ولا تنجز ويجري الأصل، وبعد غسل الأعضاء بتمامها تتحول الشبهة إلى بدوية، ويجري 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قلناه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تقدر بقدرها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ثم الغسل بالماء الثاني ثم الوضوء </w:t>
      </w:r>
    </w:p>
    <w:p>
      <w:pPr>
        <w:pStyle w:val="BookText"/>
        <w:rPr/>
      </w:pPr>
      <w:r>
        <w:rPr>
          <w:rFonts w:ascii="Amiri" w:hAnsi="Amiri" w:eastAsia="Amiri" w:cs="Amiri"/>
          <w:color w:val="111111"/>
          <w:sz w:val="28"/>
          <w:sz w:val="28"/>
          <w:szCs w:val="28"/>
          <w:rtl w:val="true"/>
          <w:lang w:bidi="ar-SA"/>
        </w:rPr>
        <w:t>الحدثية والخبثية، بلا فرق في الماء الثاني من حيث القلّة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توضّأ بأحدهما وتوضّأ بالثاني بلا غسل أعضاء الوضوء لا تصحّ الصلاة من جهة أنّه لم يحرز حصول الوضوء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بالماء الثاني، وهنالك صورتان أشرنا إليهما سابقاً وسيأتي بيانهما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وضوءين متتابعين بلا غسل لم يحرز الوضوء؛ لاحتمال كون الأول نجساً، والثاني حيث لاقى الأعضاء المتنجسة تنجس، فلم يصح به الوضوء أيضاً، وصرف هذا الاحتمال كافٍ؛ إذ الطهارة بحاجة إلى إحراز ولا إحراز، وهذا إنَّما يتم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طهارة الأعضاء، أو القول بانفعال القليل،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ينفعل فالماء لا يصلح للوضوء به،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ينفعل لكن طهارة الأعضاء شرط فأيضاً لا يصح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الماء الثاني قليلاً، أمَّا لو كان كراً وتوضأ ارتماساً فيقطع بحصول الوضوء؛ إذ الأول إن كان طاهراً فقد حصل الوضوء، والثاني إن كان طاهراً طهر المواضع السابقة، وكان وضوءاً بشرط أن يطهر المواضع أولاً ثم يتوضأ، بناءً على الشرطية حتى في الكر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يشكل الأمر في مواضع المسح؛ إذ الأول إن كان نجساً أصبحت مواضع المسح نجسة، والمسح الثاني حيث إنَّه بالقليل ينفعل، فلا إحراز للوضوء الصحيح؛ إذ إنَّه متقوم بإحراز طهارة الماء ولا إحراز، وأصل </w:t>
      </w:r>
    </w:p>
    <w:p>
      <w:pPr>
        <w:pStyle w:val="BookText"/>
        <w:rPr/>
      </w:pPr>
      <w:r>
        <w:rPr>
          <w:rFonts w:ascii="Amiri" w:hAnsi="Amiri" w:eastAsia="Amiri" w:cs="Amiri"/>
          <w:color w:val="111111"/>
          <w:sz w:val="28"/>
          <w:sz w:val="28"/>
          <w:szCs w:val="28"/>
          <w:rtl w:val="true"/>
          <w:lang w:bidi="ar-SA"/>
        </w:rPr>
        <w:t>وانقدح أنّه لا فرق بين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اقتضاء القاعدة، هذا فيما يقدر على الوضوء بأحد النحوين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يقدر إلاّ على النحو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لابتلائه بنجاسة البدن، فلا يبعد أنّ مقتضى القاعدة سقوط الوضوء ولزوم التيمّم؛ إذ الموضوع المأخوذ في دليل الوضوء هو الوجدان، والعرف يفهم منه أنّه يشترط في وجوب الوضوء وجود الماء وعدم محذور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المفروض أنّ التوضّي يوجب تنجّس بدنه يسقط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أنّه</w:t>
      </w:r>
    </w:p>
    <w:p>
      <w:pPr>
        <w:pStyle w:val="BookText"/>
        <w:rPr/>
      </w:pPr>
      <w:r>
        <w:rPr>
          <w:rFonts w:ascii="Amiri" w:hAnsi="Amiri" w:eastAsia="Amiri" w:cs="Amiri"/>
          <w:color w:val="111111"/>
          <w:sz w:val="28"/>
          <w:sz w:val="28"/>
          <w:szCs w:val="28"/>
          <w:rtl w:val="true"/>
          <w:lang w:bidi="ar-SA"/>
        </w:rPr>
        <w:t>الطهارة لا يجري في 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كلها يستطيع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بوضوءين متتابعين بلا تخلل غسل تطهيري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يحرز الوضوء حتى لو كان الثاني 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ذكر المرض في الآية الكريمة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يسقط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ذلك؟ بل هو من التزاحم بين الطهارة الحدثية والخبثية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يمكنه إحراز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الوضوء فلا يقدر عليه، ومقتضى الملازمة بين سقوط الوضوء ووجوب التيمّم أن يتيمّم، إلاّ أن يستشكل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أنّه يمكنه أن يهريق أحد الإناءين ويتوضّأ</w:t>
      </w:r>
    </w:p>
    <w:p>
      <w:pPr>
        <w:pStyle w:val="BookText"/>
        <w:rPr/>
      </w:pPr>
      <w:r>
        <w:rPr>
          <w:rFonts w:ascii="Amiri" w:hAnsi="Amiri" w:eastAsia="Amiri" w:cs="Amiri"/>
          <w:color w:val="111111"/>
          <w:sz w:val="28"/>
          <w:sz w:val="28"/>
          <w:szCs w:val="28"/>
          <w:rtl w:val="true"/>
          <w:lang w:bidi="ar-SA"/>
        </w:rPr>
        <w:t>وقد ذكر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دار بين رفع الحدث أو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الأول</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يحتمل واقعاً حصول الوضوء؛ إذ يحتمل كون الأول طاهراً، فيدور الأمر بين طهارة حدثية احتمالية وطهارة خبثية قطعية، فأيهما المقدم؟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أنَّه يقدر في الصورة الثالثة</w:t>
      </w:r>
      <w:r>
        <w:rPr>
          <w:rStyle w:val="FootnoteAnchor"/>
          <w:rtl w:val="true"/>
        </w:rPr>
        <w:footnoteReference w:id="696"/>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أنَّه يقدر في الصورتين الأوليين،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محل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بعده مبني على رأي المصنف</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يشكل بأنَّه إن كان سائغاً فلِمَ قالت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أي مع وجود طريق صحيح للوضوء لِمَ لجأت الرواية إلى البدل وهو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بالآخر؛ إذ قد ذكرنا في محلّه أنّ تنجّز العلم الإجمالي يتوقّف على تعارض الأصول، ومع إهراق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هذه الطائفة جواز التيمّم مع وجدان الماء، ومن الظاهر أنّها تخصّص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إنّ المقام مورد توهّم الحظر لا ينعقد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للقضية إلاّ جواز التيمّم، فيجوز للمكلّف أن</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بالإهراق للجواز لا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والتجويز لعله لكراهة النفوس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الوضوء بماء محتمل أنَّه وقعت فيه فأرة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الشارع يده عن الوجوب، وخيّر بين الأمرين، كما في موارد الأضرار غير الخطيرة التي يتخير المكلف فيها بين الوضوء والتيمم،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أهرقه في مكان ليس محلاً لابتلائه مثلاً، أمَّا لو أهرقه في مكان محل ابتلائه كان تعارض الأصول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واجد للماء واقعاً لا يجب عليه الوضوء، ويحق له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بل الظاهر عرفاً الوجوب، والعرف متحير في المقام، لا أنَّ هنالك حظراً مسلماً حتى لا يدل على الوجوب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يرى العرف الحظر فالأمر لا يدل على الوجوب،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 وأخرى يتحيّر العرف ماذا يفعل؟ وهنا </w:t>
      </w:r>
    </w:p>
    <w:p>
      <w:pPr>
        <w:pStyle w:val="BookText"/>
        <w:rPr/>
      </w:pPr>
      <w:r>
        <w:rPr>
          <w:rFonts w:ascii="Amiri" w:hAnsi="Amiri" w:eastAsia="Amiri" w:cs="Amiri"/>
          <w:color w:val="111111"/>
          <w:sz w:val="28"/>
          <w:sz w:val="28"/>
          <w:szCs w:val="28"/>
          <w:rtl w:val="true"/>
          <w:lang w:bidi="ar-SA"/>
        </w:rPr>
        <w:t>يتيمّم ويجوز له أن يتوضّأ لكن بأحد النحوين المتقدّمين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يحرز كلتا الطهارتين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التوضّي بالنحو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يوجب عدم إحراز الطهارة الحدثية، بل يوجب ابتلاءه بالنجاسة الخبثية فلا دليل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يمكن التعدّي عن مورد الرواية والالتزام بترك الوضوء وجواز التيمّم حتّى فيما كان الماءان كثيرين أو أحدهما كثيراً والآخر قليلاً، كما أفاده في المتن أو يلزم الاقتصار على مورد الرواية، الظاهر هو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القاعدة للقدرة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يدل على الوجوب، خاصة لو ضم إلى ذلك فهم الفقهاء،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المصنف لهما نحوين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مضى الإشكال في النحو الأول من حيث الصلوات القادمة، فراجع</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وضوءين بلا تخلل تطهير خبثي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عرفاً؛ إذ لا فرق بين القليل والكرّ، ولاحظ فهم الفقهاء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الأنحاء الأربعة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فيما يكون أحدهما كثيراً، فإنّ التطهير بالكثير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أنّ الشارع رفع اليد عن وجوب الوضوء في مورد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فرض الانفعال مع كون الماء كثيراً لا يكون إلاّ مع تغيّر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بالنجاسة إلاّ في 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من القليل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أراد التيمّم هل يجب عليه إهراق الماءين أو لا يجب؟ ظاهر الرواية هو الأوّل، واحتمال أن يكون الوجه في الأمر بالإراقة للإرشاد إلى عدم 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الماءين لا من جهة الشرب ولا من جهة استعماله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العرف لا يلتفت إلى مثل ذلك، ويرى القليل والكثير من وادٍ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يفرض التغير في الروايتين</w:t>
      </w:r>
      <w:r>
        <w:rPr>
          <w:rStyle w:val="FootnoteAnchor"/>
          <w:rtl w:val="true"/>
        </w:rPr>
        <w:footnoteReference w:id="701"/>
      </w:r>
      <w:r>
        <w:rPr>
          <w:rFonts w:ascii="Amiri" w:hAnsi="Amiri" w:eastAsia="Amiri" w:cs="Amiri"/>
          <w:color w:val="111111"/>
          <w:sz w:val="28"/>
          <w:sz w:val="28"/>
          <w:szCs w:val="28"/>
          <w:rtl w:val="true"/>
          <w:lang w:bidi="ar-SA"/>
        </w:rPr>
        <w:t>، بل قيل بصرف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المتمم كراً نجس، وأنَّ الكرّية دافعة لا رافعة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الأمر بإراقة الدهن المتنجس، أو إلقاء الدرهم المغشوش في البالوعة</w:t>
      </w:r>
      <w:r>
        <w:rPr>
          <w:rFonts w:eastAsia="Amiri" w:cs="Amiri" w:ascii="Amiri" w:hAnsi="Amiri"/>
          <w:color w:val="111111"/>
          <w:sz w:val="28"/>
          <w:szCs w:val="28"/>
          <w:rtl w:val="true"/>
          <w:lang w:bidi="ar-SA"/>
        </w:rPr>
        <w:t xml:space="preserve">. </w:t>
      </w:r>
      <w:bookmarkStart w:id="212" w:name="pg15737_151705"/>
    </w:p>
    <w:p>
      <w:pPr>
        <w:pStyle w:val="BookText"/>
        <w:rPr/>
      </w:pPr>
      <w:bookmarkEnd w:id="212"/>
      <w:r>
        <w:rPr>
          <w:rFonts w:ascii="Amiri" w:hAnsi="Amiri" w:eastAsia="Amiri" w:cs="Amiri"/>
          <w:color w:val="111111"/>
          <w:sz w:val="28"/>
          <w:sz w:val="28"/>
          <w:szCs w:val="28"/>
          <w:rtl w:val="true"/>
          <w:lang w:bidi="ar-SA"/>
        </w:rPr>
        <w:t>ولا يترك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بضمّ التيمّم إلى الوضوء في الصورتين</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2561710_2142443653"/>
      <w:bookmarkStart w:id="214" w:name="_Toc74"/>
      <w:bookmarkEnd w:id="213"/>
      <w:r>
        <w:rPr>
          <w:rtl w:val="true"/>
        </w:rPr>
        <w:t>الأمر الحادي عشر</w:t>
      </w:r>
      <w:r>
        <w:rPr>
          <w:rtl w:val="true"/>
        </w:rPr>
        <w:t xml:space="preserve">: </w:t>
      </w:r>
      <w:r>
        <w:rPr>
          <w:rtl w:val="true"/>
        </w:rPr>
        <w:t>طهارة مواضع الوضوء</w:t>
      </w:r>
      <w:bookmarkEnd w:id="214"/>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مواضع الوضوء، بل لو أجرى الماء على المحلّ بقصد التطهير والوضوء لم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واردة في غسل الجنابة ولا وجه للتعدّي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الوضوء، ومقتضاها وجوب تطهير جميع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ولا مبرر للعدول عن ظاهر الرواية</w:t>
      </w:r>
      <w:r>
        <w:rPr>
          <w:rStyle w:val="FootnoteAnchor"/>
          <w:rtl w:val="true"/>
        </w:rPr>
        <w:footnoteReference w:id="702"/>
      </w:r>
      <w:r>
        <w:rPr>
          <w:rFonts w:ascii="Amiri" w:hAnsi="Amiri" w:eastAsia="Amiri" w:cs="Amiri"/>
          <w:color w:val="111111"/>
          <w:sz w:val="28"/>
          <w:sz w:val="28"/>
          <w:szCs w:val="28"/>
          <w:rtl w:val="true"/>
          <w:lang w:bidi="ar-SA"/>
        </w:rPr>
        <w:t>من الأمر بإهراق الماءين والتيمم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القليل، وأمَّا في الكثير فالأقوى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ظاهر الرواية</w:t>
      </w:r>
      <w:r>
        <w:rPr>
          <w:rStyle w:val="FootnoteAnchor"/>
          <w:rtl w:val="true"/>
        </w:rPr>
        <w:footnoteReference w:id="703"/>
      </w:r>
      <w:r>
        <w:rPr>
          <w:rFonts w:ascii="Amiri" w:hAnsi="Amiri" w:eastAsia="Amiri" w:cs="Amiri"/>
          <w:color w:val="111111"/>
          <w:sz w:val="28"/>
          <w:sz w:val="28"/>
          <w:szCs w:val="28"/>
          <w:rtl w:val="true"/>
          <w:lang w:bidi="ar-SA"/>
        </w:rPr>
        <w:t>بضميمة عدم فهم العرف الفرق بين القليل وغيره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العرف لا يفهم خصوصية لغسل الجنابة، ويؤيده فهم الفقهاء، فالأولى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الأعضاء قبل الغسل، والقائلون بهذا الشرط مختلفون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طهارة جميع الأعضاء قبل الوضوء، ووجوب طهارة كلّ عضو قبل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التداخل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هذا الأصل بنحو الإطلاق، فإنّه لو كان بين العنوانين عموماً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التحقّق الخارجي، فلا مانع من الالتزام</w:t>
      </w:r>
    </w:p>
    <w:p>
      <w:pPr>
        <w:pStyle w:val="BookText"/>
        <w:rPr/>
      </w:pPr>
      <w:r>
        <w:rPr>
          <w:rFonts w:ascii="Amiri" w:hAnsi="Amiri" w:eastAsia="Amiri" w:cs="Amiri"/>
          <w:color w:val="111111"/>
          <w:sz w:val="28"/>
          <w:sz w:val="28"/>
          <w:szCs w:val="28"/>
          <w:rtl w:val="true"/>
          <w:lang w:bidi="ar-SA"/>
        </w:rPr>
        <w:t>القليل ولا تشمل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w:t>
      </w:r>
      <w:r>
        <w:rPr>
          <w:rStyle w:val="FootnoteAnchor"/>
          <w:rtl w:val="true"/>
        </w:rPr>
        <w:footnoteReference w:id="705"/>
      </w:r>
      <w:r>
        <w:rPr>
          <w:rFonts w:ascii="Amiri" w:hAnsi="Amiri" w:eastAsia="Amiri" w:cs="Amiri"/>
          <w:color w:val="111111"/>
          <w:sz w:val="28"/>
          <w:sz w:val="28"/>
          <w:szCs w:val="28"/>
          <w:rtl w:val="true"/>
          <w:lang w:bidi="ar-SA"/>
        </w:rPr>
        <w:t>يؤيد الأول</w:t>
      </w:r>
      <w:r>
        <w:rPr>
          <w:rStyle w:val="FootnoteAnchor"/>
          <w:rtl w:val="true"/>
        </w:rPr>
        <w:footnoteReference w:id="70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عُلم أنَّ المطلوب في الخبثية زوالها بأية نيةٍ كانت أو بلا نية، فلو نوى الوضوء تحقق ما نوى وزال الخبث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إزالة الأخباث مستثنى من قانون عدم التداخل، فتأمل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ذكره لأنَّه محل الكلام في المقام،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عموم من وجه، ويسري نظير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المطلق لو أتى بالأخص مطلقاً،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حسينياً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بالتداخل، فلو أمر المولى بإكرام الهاشمي في دليل، وأمر بإكرام العالم في دليل أخر، فأكرم المكلّف عالماً هاشمياً يتحقّق الامتثال، فإنّه مقتضى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الوضوء لا بدّ أن يقع على محلّ طاهر، وإلاّ لأجزأ الغسل مع بقاء عين النجاسة، وفساد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بوضوح من المكان؛ لأنه مصادرة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ينفعل بملاقاة العضو فلا يتحقّق به الطهارة الحدثية؛ لأنّه يشترط الطهارة في ماء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الدليل يتمّ على القول بانفعال الغسالة وكون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منجساً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هذا الفرض، كما لو فرض النجاسة في العضو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يتوجّه هذا الإشكال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فمقتضى البراءة عدم اللزوم؛ إذ إنَّه شك في التكليف،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أنَّه أراد إكرام هاشمي ولو في ضمن عالم أتى بإكرامه، وأراد إكرام عالم ولو في ضمن ذلك الهاشمي،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الالتزام بذلك لو فرض وصول الماء إلى البشرة، ولم يكن هنالك محذور خارجي، كما لو وضع يده التي عليها عين النجاسة في الكر، ولعل هذا هو مراد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بانفعال الغسالة 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شيء واحد في المقام، فتأمل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لأنَّه بمجرد الملاقاة ينفعل فوراً، فلا يصلح للتطهير الحدثي</w:t>
      </w:r>
      <w:r>
        <w:rPr>
          <w:rFonts w:eastAsia="Amiri" w:cs="Amiri" w:ascii="Amiri" w:hAnsi="Amiri"/>
          <w:color w:val="111111"/>
          <w:sz w:val="28"/>
          <w:szCs w:val="28"/>
          <w:rtl w:val="true"/>
          <w:lang w:bidi="ar-SA"/>
        </w:rPr>
        <w:t xml:space="preserve">. </w:t>
      </w:r>
      <w:bookmarkStart w:id="215" w:name="pg15737_151708"/>
    </w:p>
    <w:p>
      <w:pPr>
        <w:pStyle w:val="Heading4"/>
        <w:numPr>
          <w:ilvl w:val="3"/>
          <w:numId w:val="1"/>
        </w:numPr>
        <w:rPr/>
      </w:pPr>
      <w:bookmarkStart w:id="216" w:name="__RefHeading___Toc12561712_2142443653"/>
      <w:bookmarkStart w:id="217" w:name="_Toc75"/>
      <w:bookmarkEnd w:id="215"/>
      <w:bookmarkEnd w:id="216"/>
      <w:r>
        <w:rPr>
          <w:rtl w:val="true"/>
        </w:rPr>
        <w:t>الأمر الثاني عشر</w:t>
      </w:r>
      <w:r>
        <w:rPr>
          <w:rtl w:val="true"/>
        </w:rPr>
        <w:t xml:space="preserve">: </w:t>
      </w:r>
      <w:r>
        <w:rPr>
          <w:rtl w:val="true"/>
        </w:rPr>
        <w:t>إباحة مكان الوضوء</w:t>
      </w:r>
      <w:bookmarkEnd w:id="217"/>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مكان الوضوء بمعنى عدم غصبيته، وهذا الشرط علمي أيضاً، فلو علم بالغصب وتوضّأ فيه بطل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السهو والغفلة يكون الحكم الواقعي ساقطاً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إنّه يستفاد من حديث الرفع بقاء الملاك الملزم، والملاك يستلزم المبغوضية، فلا مجال للالتزام بالصحّة؛ للزوم اجتماع الحبّ والبغض، والتسليم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الملاك والالتزام بالصحّة، بدعوى أنّ الملاك غير المؤثّر في تعلّق النهي لا يكون مؤثّراً في المبغوضية لا مجال له، فإنّ الملاك لو لم يكن تامّاً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السهو والغفلة فلا وجه</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لحظة الانفعال توجد مع لحظة الوضوء، فيكون في لحظة الوضوء منفعلاً لا طاهراً، وقد اشترطنا الطهارة في ماء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بالانفصال ينفعل تم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بالملاقاة ينفعل، فلم يطهر الماء القليل شيئاً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لأدلَّة الرفع</w:t>
      </w:r>
      <w:r>
        <w:rPr>
          <w:rStyle w:val="FootnoteAnchor"/>
          <w:rtl w:val="true"/>
        </w:rPr>
        <w:footnoteReference w:id="707"/>
      </w:r>
      <w:r>
        <w:rPr>
          <w:rFonts w:ascii="IRNazanin" w:hAnsi="IRNazanin" w:eastAsia="IRNazanin"/>
          <w:color w:val="111111"/>
          <w:sz w:val="28"/>
          <w:sz w:val="28"/>
          <w:szCs w:val="28"/>
          <w:rtl w:val="true"/>
          <w:lang w:bidi="fa-IR"/>
        </w:rPr>
        <w:t>، وعقلاً على مبنى المصنف</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لا مجال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فإنَّه لو كان تاماً لأثر في النهي؛ إذ يستحيل تخلف ما هو كالعلة عن ما هو كالمعلول، فالأولى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يمنع عن مقتضاه مانع، وحينئذٍ قد يشكل بأنَّ صرف </w:t>
      </w:r>
    </w:p>
    <w:p>
      <w:pPr>
        <w:pStyle w:val="BookText"/>
        <w:rPr/>
      </w:pPr>
      <w:r>
        <w:rPr>
          <w:rFonts w:ascii="Amiri" w:hAnsi="Amiri" w:eastAsia="Amiri" w:cs="Amiri"/>
          <w:color w:val="111111"/>
          <w:sz w:val="28"/>
          <w:sz w:val="28"/>
          <w:szCs w:val="28"/>
          <w:rtl w:val="true"/>
          <w:lang w:bidi="ar-SA"/>
        </w:rPr>
        <w:t>أمّا لو جهل الغصب أو سها عنه أو نسيه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وتوضّأ ثم تذكر بعد الوضوء لم يبطل، وإن لزمه أجرة المثل للمالك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أُجرة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الرفع امتناناً، وإن كان تامّاً يكون الفعل مبغوضاً قهراً، فلا يمكن أن يكون محبوباً؛ لاستحالة اجتماع الضدّين، ولكن قد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عدم تمامية 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المقتضي لا يقتضي المبغوضية،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في المقام بين السهو والنسيان؟</w:t>
      </w:r>
    </w:p>
    <w:p>
      <w:pPr>
        <w:pStyle w:val="BookText"/>
        <w:rPr/>
      </w:pPr>
      <w:r>
        <w:rPr>
          <w:rFonts w:ascii="Amiri" w:hAnsi="Amiri" w:eastAsia="Amiri" w:cs="Amiri"/>
          <w:color w:val="111111"/>
          <w:sz w:val="28"/>
          <w:sz w:val="28"/>
          <w:szCs w:val="28"/>
          <w:rtl w:val="true"/>
          <w:lang w:bidi="ar-SA"/>
        </w:rPr>
        <w:t>لعله لأن السهو زوال الصورة كلياً، والنسيان زوالها جزئياً مع التذكر بعدئذ،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الأمر بالتحفظ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غير المؤثر في تعلق النهي لا يكون مؤثراً في المبغوضية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حب ولا بغض للمولى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حكم بلا مبادئ</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الثالث نظر،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الوصول</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حباً وبغضاً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ينقدح الحب والبغض في النفس النبوية أو الولوية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انقداحهما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أجاب به صاحب الكفاية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218" w:name="pg15737_151710"/>
    </w:p>
    <w:p>
      <w:pPr>
        <w:pStyle w:val="Heading4"/>
        <w:numPr>
          <w:ilvl w:val="3"/>
          <w:numId w:val="1"/>
        </w:numPr>
        <w:rPr/>
      </w:pPr>
      <w:bookmarkStart w:id="219" w:name="__RefHeading___Toc12561714_2142443653"/>
      <w:bookmarkStart w:id="220" w:name="_Toc76"/>
      <w:bookmarkEnd w:id="218"/>
      <w:bookmarkEnd w:id="219"/>
      <w:r>
        <w:rPr>
          <w:rtl w:val="true"/>
        </w:rPr>
        <w:t>الأمر الثالث عشر</w:t>
      </w:r>
      <w:r>
        <w:rPr>
          <w:rtl w:val="true"/>
        </w:rPr>
        <w:t xml:space="preserve">: </w:t>
      </w:r>
      <w:r>
        <w:rPr>
          <w:rtl w:val="true"/>
        </w:rPr>
        <w:t>إباحة مصبّ ماء الوضوء</w:t>
      </w:r>
      <w:bookmarkEnd w:id="220"/>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مصبّ ماء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المصبّ منحصراً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 أنّ المولى لو كان محبّاً ومشتاقاً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تحقّق الفعل في الخارج يقتضي أن يأمر بالتحفظ عن الوقوع في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فرض الانحصار لا يقدر المكلف أن يترك الغصب ومع ذلك يجب أن يصلّي، وحيث إنَّ الموضوع لوجوب الوضوء الوجدان،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إباحة مصب ماء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الوضوء بالمسح لا بالصب صحَّ الوضوء على نحو الترتب، وإن كان آثماً بالصب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مبني على الترتب وعلى الشرط المتأخر، فإنَّه بعد غسل الوجه على هذا النحو ينهاه المولى عن صبِّ الماء على اليد،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صببت على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 الوضوء في الوجه بالمسح، وكذا في اليدين،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ملازم للتصرف أو هو بنفسه تصرف، أمّا لو لم يكن منحصراً فالبطلان منوطٌ بكونه تصرفاً أو علة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الملاك كونه تصرفاً أو علة له، والانحصار لا دخل له في الموضوع، وإنما ذكره باعتبار أنَّه مصداق لهما دائماً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ومشتاقاً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ما ذكروه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والمحصل</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221" w:name="pg15737_151711"/>
    </w:p>
    <w:p>
      <w:pPr>
        <w:pStyle w:val="BookText"/>
        <w:rPr/>
      </w:pPr>
      <w:bookmarkEnd w:id="221"/>
      <w:r>
        <w:rPr>
          <w:rFonts w:ascii="Amiri" w:hAnsi="Amiri" w:eastAsia="Amiri" w:cs="Amiri"/>
          <w:color w:val="111111"/>
          <w:sz w:val="28"/>
          <w:sz w:val="28"/>
          <w:szCs w:val="28"/>
          <w:rtl w:val="true"/>
          <w:lang w:bidi="ar-SA"/>
        </w:rPr>
        <w:t>أو كان الوضوء علّة للتصرّف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تصرّفاً فيه عرفاً، فمع عدم الانحصار وعدم كون الوضوء تصرفاً أو علة للتصرف فيه يصح الوضوء</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2561716_2142443653"/>
      <w:bookmarkStart w:id="223" w:name="_Toc77"/>
      <w:bookmarkEnd w:id="222"/>
      <w:r>
        <w:rPr>
          <w:rtl w:val="true"/>
        </w:rPr>
        <w:t xml:space="preserve">المسألة </w:t>
      </w:r>
      <w:r>
        <w:rPr/>
        <w:t>112</w:t>
      </w:r>
      <w:r>
        <w:rPr>
          <w:rtl w:val="true"/>
        </w:rPr>
        <w:t xml:space="preserve">: </w:t>
      </w:r>
      <w:r>
        <w:rPr>
          <w:rtl w:val="true"/>
        </w:rPr>
        <w:t>لو كان محلّ المتوضّي مغصوباً وهواؤه مباحاً</w:t>
      </w:r>
      <w:bookmarkEnd w:id="2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محلّ المتوضّي غصبياً، وهواؤه مباحاً كما لو كان على سقف أو سرير غصبي، فإن كان وضوؤه عليه يعدّ تصرفاً فيه أو علّة للتصرف فيه لم يصحّ، وإلا صحّ ولو مع الانحصار، كالوضوء في النعل الغصبي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ومقتضاه بحسب الفهم العرفي عدم محظور في استعمال الماء، فيسقط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وتصل النوبة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مقدمة الحرام، وأمّا على تقدير إنكارها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القوي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تقدير كونه تصرفاً ومصداقاً للحرام فما أفاده مقتضى القاعدة، وأمّا لو كان علّة له ففيه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العبارة ما ظاهره، وهو صحة الوضوء حتى في فرض الانحصار من حيث مكان المتوضّي، فمع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نحو الترتب والشرط المتأخر فقد سبق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مقدمة المبغوض لا يعقل أن تكون محبوبة، وإن فرض عدم تعلق نهي بها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لا إشكال فيه</w:t>
      </w:r>
      <w:r>
        <w:rPr>
          <w:rFonts w:eastAsia="Amiri" w:cs="Amiri" w:ascii="Amiri" w:hAnsi="Amiri"/>
          <w:color w:val="111111"/>
          <w:sz w:val="28"/>
          <w:szCs w:val="28"/>
          <w:rtl w:val="true"/>
          <w:lang w:bidi="ar-SA"/>
        </w:rPr>
        <w:t xml:space="preserve">. </w:t>
      </w:r>
      <w:bookmarkStart w:id="224" w:name="pg15737_151712"/>
    </w:p>
    <w:p>
      <w:pPr>
        <w:pStyle w:val="Heading4"/>
        <w:numPr>
          <w:ilvl w:val="3"/>
          <w:numId w:val="1"/>
        </w:numPr>
        <w:rPr/>
      </w:pPr>
      <w:bookmarkStart w:id="225" w:name="__RefHeading___Toc12561718_2142443653"/>
      <w:bookmarkStart w:id="226" w:name="_Toc78"/>
      <w:bookmarkEnd w:id="224"/>
      <w:bookmarkEnd w:id="225"/>
      <w:r>
        <w:rPr>
          <w:rtl w:val="true"/>
        </w:rPr>
        <w:t xml:space="preserve">المسألة </w:t>
      </w:r>
      <w:r>
        <w:rPr/>
        <w:t>113</w:t>
      </w:r>
      <w:r>
        <w:rPr>
          <w:rtl w:val="true"/>
        </w:rPr>
        <w:t xml:space="preserve">: </w:t>
      </w:r>
      <w:r>
        <w:rPr>
          <w:rtl w:val="true"/>
        </w:rPr>
        <w:t>الغسل في الحمّام المغصوب</w:t>
      </w:r>
      <w:bookmarkEnd w:id="2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الحمّام الغصبي باطل ولو مع إباحة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الماء المباح من المكان الغصبي حمّاماً كان أو غيره فتوضّأ أو اغتسل به في مكان مباح صحّ الوضوء والغسل، وإن عصى بالتصرّف في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أفاده في الشرط الثالث عشر، لا يمكن تسلّمه لما مرّ من أنّه لا يمكن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الامتثالين، فيلزم سقوط أحدهما، إلاّ أن يلتزم بالصحّة بالترتّب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المقدمة، وقد مرّ منعها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مناقضة؛ إذ إنَّه هنالك إنما ذكر الانحصار باعتبار أنَّه مصداق دائماً للتصرف أو علة له، وأمَّا هنا فكونه مع الانحصار كذلك مشكوك، بل معلوم العدم، كما في الوضوء في النعل الغصبي، فإنَّ الحركات الوضوئية لا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في النعل، ولا مقدمة للتصرف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ارتباط بين الامتثالين، بل كل منهما أجنبي عن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ربط له بالمقام مطلقاً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يبتني على ذلك، بل نفس الحركات الوضوئية تصرف في الفضاء المغصوب، إلاّ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يعد التصرف في الهواء تصرفاً عرفاً في المغصوب، وحينئذٍ يبتني على المقدمية باعتبار مصب الماء</w:t>
      </w:r>
      <w:r>
        <w:rPr>
          <w:rFonts w:eastAsia="Amiri" w:cs="Amiri" w:ascii="Amiri" w:hAnsi="Amiri"/>
          <w:color w:val="111111"/>
          <w:sz w:val="28"/>
          <w:szCs w:val="28"/>
          <w:rtl w:val="true"/>
          <w:lang w:bidi="ar-SA"/>
        </w:rPr>
        <w:t xml:space="preserve">. </w:t>
      </w:r>
      <w:bookmarkStart w:id="227" w:name="pg15737_151713"/>
    </w:p>
    <w:p>
      <w:pPr>
        <w:pStyle w:val="Heading4"/>
        <w:numPr>
          <w:ilvl w:val="3"/>
          <w:numId w:val="1"/>
        </w:numPr>
        <w:rPr/>
      </w:pPr>
      <w:bookmarkStart w:id="228" w:name="__RefHeading___Toc12561720_2142443653"/>
      <w:bookmarkStart w:id="229" w:name="_Toc79"/>
      <w:bookmarkEnd w:id="227"/>
      <w:bookmarkEnd w:id="228"/>
      <w:r>
        <w:rPr>
          <w:rtl w:val="true"/>
        </w:rPr>
        <w:t xml:space="preserve">المسألة </w:t>
      </w:r>
      <w:r>
        <w:rPr/>
        <w:t>114</w:t>
      </w:r>
      <w:r>
        <w:rPr>
          <w:rtl w:val="true"/>
        </w:rPr>
        <w:t xml:space="preserve">: </w:t>
      </w:r>
      <w:r>
        <w:rPr>
          <w:rtl w:val="true"/>
        </w:rPr>
        <w:t>فاقد الطهورين</w:t>
      </w:r>
      <w:bookmarkEnd w:id="2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لم يتمكن من الطهارة المائية ولا الترابية ولو لمانع شرعي، الأحوط له أن يأتي بالصلاة في الوقت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سقوط وجوب الصلاة عند تعذّرها؛ لأنه لو 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على حاله يلزم سقوط التكليف لعدم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ما ورد في المستحاضة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متى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بقدر حيضها وتستظهر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بيومين، فإن انقطع الدم وإلاّ اغتسلت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واحتشت واستثفرت وصلّت، فإن جاز الدم الكرسف تعصّبت واغتسلت ثمّ صلّت الغداة بغسل والظهر والعصر بغسل، والمغرب والعشاء بغسل، وإن لم يجز الدم الكرسف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يأتي بصورة التيمم على 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تكليفاً بغير المقدور،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بلا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خلاف 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ترك العبادة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انقطع على العشرة بان أنَّ الجميع نفاس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صلّت بغسل واحد</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قاعدة الميسور فقد ذكرنا في محلّه أنّ الروايات المستفادة منها هذه القاعدة مخدوشة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في المستحاضة فيرد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منه الحكم الكلّي حتى بالنسبة إلى النفساء فكيف بغيرها، فإنّه لا يبعد أن يستظهر من تلك الرواية أنّ النفساء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الصلاة في هذه الحالات الطارئة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 عن جميع ذلك، فإنّ انطباق القاعدة يتوقّف على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الصلاتية، وأمّا مع فقدها وانعدامها فلا مجال لهذا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مطلق خرج منه الاستحاضة القليلة بالدليل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مجبورة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المناقشات مردودة بما سيذكره المصنف آخراً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كما في ذيل الرواية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موضوعها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يقضي مع الطهارة لزوماً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التعليل أنّه يجب الإتيان بأيّ مقدار ممكن، والمفروض إمكان الإتيان بها بهذا النحو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القضاء بعد زوال العذر هو المشهور بين المتأخرين، كما في الحدائق، واستندوا في هذا الحكم إلى أدلّة القضاء الواردة في الموارد الخاصّة، بدعوى أنّه يفهم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أدلّتها أنّه لو ترك الصلاة في الوقت يجب قضاؤها في خارجه، إلاّ أن يدلّ دليل على عدمه، كما دلّ الدليل بالنسبة إلى الحائض، بل في أدلّة القضاء ما يكون بإطلاقه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صلاة أو صلّيتها بغير وضوء، وكان عليك قضاء 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بأوّلهن فأذّن لها وأقم ثمّ صلّها،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لزوم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تركه؛ لأنَّه أتى بوظيفة فلم يَفُتْه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بقرينة التعليل، وإلاّ لَوَرد مثل ذلك في جميع الروايات المعلّلة،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صلاة</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أي مفروضة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يتكفل موضوعه، والوقت في المقام أول الكلام، بل لا فوت؛ إذ لا 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 ما بعدها بإقامة إقامة لكلّ صلاة</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مقتضى القاعدة سقوط الصلاة في الوقت ووجوبها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بأنّه مقتضى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القضاء تابع للأداء، وأنّه مثل الحائض، وأنّ أدلّة القضاء منصرفة عنه لقلّة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كما ترى، فإنّ الأصل يرتفع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وتبعية القضاء للأداء بهذا المعنى 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قول بوجوب الأداء بلا طهارة والقضاء في خارجه وقائله غير معلوم، ولا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الاحتياط كذلك، ويتصور في المقام قول رابع، وهو ثبوت الإداء وسقوط القضاء، ويستدلّ له بقاعدة الميسور، وبقاعدة عدم سقوط الصلاة على حال، وقد بيّنا عدم تماميّتها، وإن رجعنا عنه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بحسب الصناعة هذا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بالورود أو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الفوت ولا 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أتى بتكليفه فلماذا يقضي؟ وكأنَّ وجهه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لكن يبقى موضوع مخالفة المشهور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الأقوال أربعة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الأداء والقضاء، وهو ما ذهب إليه المحقق</w:t>
      </w:r>
      <w:r>
        <w:rPr>
          <w:rStyle w:val="FootnoteAnchor"/>
          <w:rtl w:val="true"/>
        </w:rPr>
        <w:footnoteReference w:id="718"/>
      </w:r>
      <w:r>
        <w:rPr>
          <w:rFonts w:ascii="IRNazanin" w:hAnsi="IRNazanin" w:eastAsia="IRNazanin"/>
          <w:color w:val="111111"/>
          <w:sz w:val="28"/>
          <w:sz w:val="28"/>
          <w:szCs w:val="28"/>
          <w:rtl w:val="true"/>
          <w:lang w:bidi="fa-IR"/>
        </w:rPr>
        <w:t>وصاحب الحدائق</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الأداء والقضاء، ولم يُعلم قائله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الأداء بلا قضاء، وهو قول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ومال إليه المصنف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بلا أداء، وهو القول المشهور بين المتأخرين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230" w:name="pg15737_151718"/>
    </w:p>
    <w:p>
      <w:pPr>
        <w:pStyle w:val="Heading3"/>
        <w:numPr>
          <w:ilvl w:val="2"/>
          <w:numId w:val="1"/>
        </w:numPr>
        <w:rPr/>
      </w:pPr>
      <w:bookmarkStart w:id="231" w:name="__RefHeading___Toc12561722_2142443653"/>
      <w:bookmarkStart w:id="232" w:name="_Toc80"/>
      <w:bookmarkEnd w:id="230"/>
      <w:bookmarkEnd w:id="231"/>
      <w:r>
        <w:rPr>
          <w:rtl w:val="true"/>
        </w:rPr>
        <w:t>فصل</w:t>
      </w:r>
      <w:r>
        <w:rPr>
          <w:rtl w:val="true"/>
        </w:rPr>
        <w:t xml:space="preserve">: </w:t>
      </w:r>
      <w:r>
        <w:rPr>
          <w:rtl w:val="true"/>
        </w:rPr>
        <w:t>في حكم صاحب الجبيرة</w:t>
      </w:r>
      <w:bookmarkEnd w:id="232"/>
    </w:p>
    <w:p>
      <w:pPr>
        <w:pStyle w:val="Heading4"/>
        <w:numPr>
          <w:ilvl w:val="3"/>
          <w:numId w:val="1"/>
        </w:numPr>
        <w:rPr/>
      </w:pPr>
      <w:bookmarkStart w:id="233" w:name="__RefHeading___Toc12561724_2142443653"/>
      <w:bookmarkStart w:id="234" w:name="_Toc81"/>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والمراد بها هنا الألواح والخيوط التي يشدّ بها الكسر والخرق، والأدوية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توضع على الجروح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كالجبس الذي يبنى على الكسور، فإنه مشمول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لحال الجبر إذا جبر</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الواردة في الروايات المذكورة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ينكسر ساعده</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القرحة</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الدواء</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لكن هذه الرواية ضعيفة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والدماميل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فيشمل محل المرض الذي يوضع </w:t>
      </w:r>
    </w:p>
    <w:p>
      <w:pPr>
        <w:pStyle w:val="BookText"/>
        <w:rPr/>
      </w:pPr>
      <w:r>
        <w:rPr>
          <w:rFonts w:ascii="Amiri" w:hAnsi="Amiri" w:eastAsia="Amiri" w:cs="Amiri"/>
          <w:color w:val="111111"/>
          <w:sz w:val="28"/>
          <w:sz w:val="28"/>
          <w:szCs w:val="28"/>
          <w:rtl w:val="true"/>
          <w:lang w:bidi="ar-SA"/>
        </w:rPr>
        <w:t>فصاحب الجبيرة إن تمكن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العضو، ولو بغمسه في الماء أو تكرار الصبّ عليه، أو استمراره حتّى يصل إليه على وجه يصدق عليه الغسل في العرف وجب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يتمكن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القاعدة الأولية، وليس في 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دواء، وإن لم يكن جرحاً ولا قرحاً ولا كسراً، وذلك لإطلاق الرواية الأخيرة</w:t>
      </w:r>
      <w:r>
        <w:rPr>
          <w:rStyle w:val="FootnoteAnchor"/>
          <w:rtl w:val="true"/>
        </w:rPr>
        <w:footnoteReference w:id="729"/>
      </w:r>
      <w:r>
        <w:rPr>
          <w:rFonts w:ascii="Amiri" w:hAnsi="Amiri" w:eastAsia="Amiri" w:cs="Amiri"/>
          <w:color w:val="111111"/>
          <w:sz w:val="28"/>
          <w:sz w:val="28"/>
          <w:szCs w:val="28"/>
          <w:rtl w:val="true"/>
          <w:lang w:bidi="ar-SA"/>
        </w:rPr>
        <w:t>، لكنَّها ضعيفة كما سبق</w:t>
      </w:r>
      <w:r>
        <w:rPr>
          <w:rStyle w:val="FootnoteAnchor"/>
          <w:rtl w:val="true"/>
        </w:rPr>
        <w:footnoteReference w:id="730"/>
      </w:r>
      <w:r>
        <w:rPr>
          <w:rFonts w:ascii="Amiri" w:hAnsi="Amiri" w:eastAsia="Amiri" w:cs="Amiri"/>
          <w:color w:val="111111"/>
          <w:sz w:val="28"/>
          <w:sz w:val="28"/>
          <w:szCs w:val="28"/>
          <w:rtl w:val="true"/>
          <w:lang w:bidi="ar-SA"/>
        </w:rPr>
        <w:t xml:space="preserve">، فالدليل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على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ضرورة ولا عسر ولا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من المسح على البشرة، وإلاّ كان متعيناً على الأحوط، وإن احتاط الماتن بالجمع وارتأى الشارح المسح على نفس الجبيرة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فالمراحل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الجبيرة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النصوص المطلقة</w:t>
      </w:r>
      <w:r>
        <w:rPr>
          <w:rStyle w:val="FootnoteAnchor"/>
          <w:rtl w:val="true"/>
        </w:rPr>
        <w:footnoteReference w:id="732"/>
      </w:r>
      <w:r>
        <w:rPr>
          <w:rFonts w:ascii="IRNazanin" w:hAnsi="IRNazanin" w:eastAsia="IRNazanin"/>
          <w:color w:val="111111"/>
          <w:sz w:val="28"/>
          <w:sz w:val="28"/>
          <w:szCs w:val="28"/>
          <w:rtl w:val="true"/>
          <w:lang w:bidi="fa-IR"/>
        </w:rPr>
        <w:t xml:space="preserve">لا إطلاق له، أو القدر </w:t>
      </w:r>
    </w:p>
    <w:p>
      <w:pPr>
        <w:pStyle w:val="BookText"/>
        <w:rPr/>
      </w:pPr>
      <w:r>
        <w:rPr>
          <w:rFonts w:ascii="Amiri" w:hAnsi="Amiri" w:eastAsia="Amiri" w:cs="Amiri"/>
          <w:color w:val="111111"/>
          <w:sz w:val="28"/>
          <w:sz w:val="28"/>
          <w:szCs w:val="28"/>
          <w:rtl w:val="true"/>
          <w:lang w:bidi="ar-SA"/>
        </w:rPr>
        <w:t>مسح على الجبيرة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ما يوجب رفع اليد عن مقتضى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 ونقل عن الخلاف والتحرير والمنتهى والتذكرة وغيرها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الجرح كيف أصنع به في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المتيقن منها غير ذلك، وعلى فرض الإطلاق فالنص يقيده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ولاحظ رواية عبد الأعلى مولى آل سام</w:t>
      </w:r>
      <w:r>
        <w:rPr>
          <w:rStyle w:val="FootnoteAnchor"/>
          <w:rtl w:val="true"/>
        </w:rPr>
        <w:footnoteReference w:id="734"/>
      </w:r>
      <w:r>
        <w:rPr>
          <w:rFonts w:ascii="IRNazanin" w:hAnsi="IRNazanin" w:eastAsia="IRNazanin"/>
          <w:color w:val="111111"/>
          <w:sz w:val="28"/>
          <w:sz w:val="28"/>
          <w:szCs w:val="28"/>
          <w:rtl w:val="true"/>
          <w:lang w:bidi="fa-IR"/>
        </w:rPr>
        <w:t>، وإن ضعفها المصنف</w:t>
      </w:r>
      <w:r>
        <w:rPr>
          <w:rStyle w:val="FootnoteAnchor"/>
          <w:rtl w:val="true"/>
        </w:rPr>
        <w:footnoteReference w:id="735"/>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مجبورة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المسح عليه، ولا وضع خرقة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ينفي ما قيد بالمسح على الخرقة</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فيما لو كانت جبيرة، أمَّا لو لم تكن فلا يجب إلاّ غسل ما حوله، وبهذا يتم التفصيل بين الجرح المكشوف والمجبور،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وجه يصدق عليه أقلّ مسمّى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الاحتمالات، فإنه نسب إلى ظاهر الشهيدين التخيير بالغسل والمسح، ووجّه بأن الأمر الوارد في المقام الدال على وجوب المسح حيث إنّه في مقام توهّم الحظر لا 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تعيّن المسح، فتكون النتيجة 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البيان يتمّ لو كان هذا الدليل وارداً في موضع يجب غسله، وحيث إنّه وارد في حكم الجبيرة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لرفع اليد عن مدلول الدليل، فلا مجال 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المسح الوارد في الدليل مجرد إيصال البلل ولو لم يكن بإمرار اليد ليكون مسحاً، ولا بنحو الغلبة والجريان ليكون غسلاً، ووجّه هذا القول بأنّ المستفاد من الأدلة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بل يكفي المسح، والأحوط وجوباً أن يكون بنحوٍ لا يصدق عليه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عليك الغسل، بل يكفي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ذلك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يعلم العرف ما حكمها؟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أعم من الأول</w:t>
      </w:r>
      <w:r>
        <w:rPr>
          <w:rStyle w:val="FootnoteAnchor"/>
          <w:rtl w:val="true"/>
        </w:rPr>
        <w:footnoteReference w:id="737"/>
      </w:r>
      <w:r>
        <w:rPr>
          <w:rFonts w:ascii="Amiri" w:hAnsi="Amiri" w:eastAsia="Amiri" w:cs="Amiri"/>
          <w:color w:val="111111"/>
          <w:sz w:val="28"/>
          <w:sz w:val="28"/>
          <w:szCs w:val="28"/>
          <w:rtl w:val="true"/>
          <w:lang w:bidi="ar-SA"/>
        </w:rPr>
        <w:t>، فلو أوصل رطوبة قليلة فليست غسلاً ولا مسحاً، لأنَّه لم يمسح يده، لا إمراراً ولا غلبة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وفيما يكون العجز لنجاسة العضو وعدم إمكان تطهيره يحتاط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بمناسبة الارتكاز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 لزوم إيصال الماء إلى الجبيرة من دون دخل خصوصية للغسل والمسح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جماعة منهم كاشف اللثام لزوم الغسل، فلا يكفي مجرد إيصال الماء، بل لا بدّ من صدق الغسل، ووجّه هذا القول بأنّ الظاهر من الأدلّة بدلية الجبيرة عن البشرة، فكما يجب غسل البشرة يجب غسل الجبيرة، وهذه الدعوى أيضاً لا 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بل المستفاد من الأدلة 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الجبيرة بأيّ وجه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لزوم المسح، ومقتضاه كفاية المسح ولو لم يصدق الغسل، ولكن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ما أفاده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الارتكاز إنَّما يكون فيما يحيط العرف بملاكاته، كأوامر الطبيب أحياناً، لا في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اجتهاد في قبال النص</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لزوم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المصنف الكفاية بالمعنى الأعم بقرينة ما سيأتي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احتياطاً متوقف على ملاحظة النسبة بين الغسل والمسح،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بضمّ التيمّم أيضاً، ولا يلزم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المدارك أنّه لا خلاف فيه، ونقل عن جملة من الأعلام الذهاب إلى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استفادته من نصوص الباب في غاية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لم يمكن تطهير المحلّ واشترطنا طهارة المحلّ تصل النوبة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يعود إلى أصل المسألة لا فرض نجاسة المحل؛ إذ المصنف جمع بين الاحتمالات</w:t>
      </w:r>
      <w:r>
        <w:rPr>
          <w:rStyle w:val="FootnoteAnchor"/>
          <w:rtl w:val="true"/>
        </w:rPr>
        <w:footnoteReference w:id="739"/>
      </w:r>
      <w:r>
        <w:rPr>
          <w:rFonts w:ascii="Amiri" w:hAnsi="Amiri" w:eastAsia="Amiri" w:cs="Amiri"/>
          <w:color w:val="111111"/>
          <w:sz w:val="28"/>
          <w:sz w:val="28"/>
          <w:szCs w:val="28"/>
          <w:rtl w:val="true"/>
          <w:lang w:bidi="ar-SA"/>
        </w:rPr>
        <w:t>، فلا يقصد الغسل ولا المسح، بل ما هو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لأنَّه قياس، لكن يستفاد ذلك من قاعدة الميسور، خاصَّة لو لوحظت رواية مولى آل سام</w:t>
      </w:r>
      <w:r>
        <w:rPr>
          <w:rStyle w:val="FootnoteAnchor"/>
          <w:rtl w:val="true"/>
        </w:rPr>
        <w:footnoteReference w:id="740"/>
      </w:r>
      <w:r>
        <w:rPr>
          <w:rFonts w:ascii="Amiri" w:hAnsi="Amiri" w:eastAsia="Amiri" w:cs="Amiri"/>
          <w:color w:val="111111"/>
          <w:sz w:val="28"/>
          <w:sz w:val="28"/>
          <w:szCs w:val="28"/>
          <w:rtl w:val="true"/>
          <w:lang w:bidi="ar-SA"/>
        </w:rPr>
        <w:t>، لكن المصنف ضعفها كما سبق</w:t>
      </w:r>
      <w:r>
        <w:rPr>
          <w:rStyle w:val="FootnoteAnchor"/>
          <w:rtl w:val="true"/>
        </w:rPr>
        <w:footnoteReference w:id="741"/>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مجبورة بالعمل، بل ربما يدّعى أنَّ العرف يلغي الخصوصية، ويرى أنَّ المانع هو كل ما يمنع من وصول الماء، ولاحظ فهم الفقهاء في المقام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تعيَّن الوضوء الجبيري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لا يقصد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الغسل، بل يقصد ما هو الواجب عليه، وهذا بخلاف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والقدمين ولو على الجبيرة، فإنّه يجب أن يقصد فيهما عنوان المسح، وإن كان يكفي قصد ما في الذمة هنا أيضاً، ولو تمكن من مسح البشرة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يترك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بالجمع بينه وبين مسح الجبيرة، ويجب مسح جميع الجبيرة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ترك شيء منه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الميسور من الغسل، فلو أمكن وجب بمقتضى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يقصد المسح بعنوانه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تشويش، 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مواضع الغسل يجب أن يقصد ما في الذمة، بخلاف مواضع المسح فإنَّه مخير بينه وبين قصد المسح، وكذا التشويش في عبارة الشارح في الهامش الثاني</w:t>
      </w:r>
      <w:r>
        <w:rPr>
          <w:rStyle w:val="FootnoteAnchor"/>
          <w:rtl w:val="true"/>
        </w:rPr>
        <w:footnoteReference w:id="742"/>
      </w:r>
      <w:r>
        <w:rPr>
          <w:rFonts w:ascii="IRNazanin" w:hAnsi="IRNazanin" w:eastAsia="IRNazanin"/>
          <w:color w:val="111111"/>
          <w:sz w:val="28"/>
          <w:sz w:val="28"/>
          <w:szCs w:val="28"/>
          <w:rtl w:val="true"/>
          <w:lang w:bidi="fa-IR"/>
        </w:rPr>
        <w:t>، والمقصود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وقد سبق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المتعارف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ويرد عليه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غير تامة كما ذكرنا مراراً في هذا الشرح،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 ذلك مقتضى النصوص الواردة في المقام، فإنّ مقتضى رواية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لو كان يؤذيه يجب المسح على الجبيرة، ولا دليل على أنّه لو كان الغسل مؤذياً يجب مسح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مجبورة بالعمل، ولاحظ رواية مولى آل سام</w:t>
      </w:r>
      <w:r>
        <w:rPr>
          <w:rStyle w:val="FootnoteAnchor"/>
          <w:rtl w:val="true"/>
        </w:rPr>
        <w:footnoteReference w:id="743"/>
      </w:r>
      <w:r>
        <w:rPr>
          <w:rFonts w:ascii="Amiri" w:hAnsi="Amiri" w:eastAsia="Amiri" w:cs="Amiri"/>
          <w:color w:val="111111"/>
          <w:sz w:val="28"/>
          <w:sz w:val="28"/>
          <w:szCs w:val="28"/>
          <w:rtl w:val="true"/>
          <w:lang w:bidi="ar-SA"/>
        </w:rPr>
        <w:t>، لكن المصنف ضعفها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الرجل تكون به القرحة في ذراعه أو نحو ذلك من موضع الوضوء، فيعصبها بالخرقة ويتوضأ ويمسح عليها إذا 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يؤذيه الماء فليمسح على الخرقة، وإن كان لا يؤذيه الماء فلينزع الخرقة ثم ليغسلها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مجملة، وقد يقال بالإطلاق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آذاه الماء فليمسح على الخرقة، وظاهر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آذاه غسلاً ومسحاً،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يؤذه الماء، فظاهر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غسلاً ولا مسحاً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فليغسل،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مجمل، وتبقى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يؤذيه غسلاً لا 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الرواية،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يؤذيه من وجه ولا يؤذيه من وجه، والرواية غير متناولة له، ولعل السر أنَّه فرض نادر، فتأمل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ناظرة إلى إيذاء الغسل وعدم إيذائه فقط، فليست </w:t>
      </w:r>
    </w:p>
    <w:p>
      <w:pPr>
        <w:pStyle w:val="BookText"/>
        <w:rPr/>
      </w:pPr>
      <w:r>
        <w:rPr>
          <w:rFonts w:ascii="Amiri" w:hAnsi="Amiri" w:eastAsia="Amiri" w:cs="Amiri"/>
          <w:color w:val="111111"/>
          <w:sz w:val="28"/>
          <w:sz w:val="28"/>
          <w:szCs w:val="28"/>
          <w:rtl w:val="true"/>
          <w:lang w:bidi="ar-SA"/>
        </w:rPr>
        <w:t>ولكن لا يترك الاحتياط حينئذٍ بالجمع بينه وبين مسح الجبيرة، ويجب مسح جميع الجبيرة وعدم ترك شي‌ء منه مع الإمكان كنفس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الذكرى بعد تحسينه هذا القول بأنّه يشكل وجوب الاستيعاب، حيث إنّ المسح يصدق ولو بجزء من العضو، ولا يلزم الاستيعاب كما أنّ الأمر كذلك في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الجبيرة في المقام بدل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العضو، فالظاهر من الدليل وجوب مسح كلّ جزء من الجبيرة بدلاً عمّا تحته، ولا يقاس المقام بالرجلين لوجود المقتضي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وعدمه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ناظرة للمسح أبداً،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يؤذه مطلقاً فليغسل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آذاه مطلقاً فليمسح على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محل الكلام خارجاً عن الفرض، أو محل تعارض الشرطيتين، ولعل الأول أظهر،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والبدل في حكم المبدل منه، ويمكن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فليمسح على الخرقة</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ظاهر في الاستيعاب، حيث إنَّ الخرقة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مجموعها، فلا بد من مسح مجموعها،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الخرقة عند مسح بعضها تسامح في التعبير، قال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لمكان الاستثناء، راجع بحث التسامحات العرفية في أول المسائل المتجددة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باء التبعيض في الآية الكريمة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ما لا يمكن مسحه أو يشقّ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بين الخيوط والألواح فالظاهر سقوط مسحه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يجب في محلّ الغسل المسح باليد أو الكفّ، بل يكفي بكلّ ما يحصل به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عن المداقة، مضافاً إلى لزوم الحرج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في الشريعة ولو أحياناً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وعدم ما يوجب تقييده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مسحه متعارفاً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يقولوا بذلك في نفس البشرة، وحملوا الألفاظ على الدقَّة العقلية؟</w:t>
      </w:r>
    </w:p>
    <w:p>
      <w:pPr>
        <w:pStyle w:val="BookText"/>
        <w:rPr/>
      </w:pPr>
      <w:r>
        <w:rPr>
          <w:rFonts w:ascii="Amiri" w:hAnsi="Amiri" w:eastAsia="Amiri" w:cs="Amiri"/>
          <w:color w:val="111111"/>
          <w:sz w:val="28"/>
          <w:sz w:val="28"/>
          <w:szCs w:val="28"/>
          <w:rtl w:val="true"/>
          <w:lang w:bidi="ar-SA"/>
        </w:rPr>
        <w:t>والأولى الاستدلال بأنَّ الدليل يحمل على المتعارف، ونظيره ما ذكره في أحجار الاستنجاء، ومقدار ما يجب أن يزول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يثبت قاعدة كلَّية؛ إذ الحرج شخصي ويتقدر بقدره، ثم إنَّ الحرج هل يرفع الأحكام الوضعية؟ وهل يثبت الصحَّة؟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حكم البدل حكم المبدل منه، وفي نفس العضو يكفي المسح بأي شيء</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يقولوا بذلك في محل المسح، كالرأس؟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 ببلة يمناك ناصيتك</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ونحوه مما هو ظاهر في مباشرة </w:t>
      </w:r>
      <w:bookmarkStart w:id="235" w:name="pg15737_151728"/>
    </w:p>
    <w:p>
      <w:pPr>
        <w:pStyle w:val="Heading4"/>
        <w:numPr>
          <w:ilvl w:val="3"/>
          <w:numId w:val="1"/>
        </w:numPr>
        <w:rPr/>
      </w:pPr>
      <w:bookmarkStart w:id="236" w:name="__RefHeading___Toc12561726_2142443653"/>
      <w:bookmarkStart w:id="237" w:name="_Toc82"/>
      <w:bookmarkEnd w:id="235"/>
      <w:bookmarkEnd w:id="236"/>
      <w:r>
        <w:rPr>
          <w:rtl w:val="true"/>
        </w:rPr>
        <w:t xml:space="preserve">المسألة </w:t>
      </w:r>
      <w:r>
        <w:rPr/>
        <w:t>115</w:t>
      </w:r>
      <w:r>
        <w:rPr>
          <w:rtl w:val="true"/>
        </w:rPr>
        <w:t xml:space="preserve">: </w:t>
      </w:r>
      <w:r>
        <w:rPr>
          <w:rtl w:val="true"/>
        </w:rPr>
        <w:t>لو كان في العضو جرح أو قرح مكشوف</w:t>
      </w:r>
      <w:bookmarkEnd w:id="2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العضو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أو قرح مكشوف، فإن تمكّن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غسله وجب، وإلاّ مسح بشرته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يتمكنّ من ذلك لتضرّره بالماء أو لنجاسته وعدم إمكان تطهيره 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وأفاد بأنّه لم أقف على 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الحكم وليس في أخبار الباب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علل به من أنّ فيه تحصيلاً لشبه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تعذّر</w:t>
      </w:r>
    </w:p>
    <w:p>
      <w:pPr>
        <w:pStyle w:val="BookText"/>
        <w:rPr/>
      </w:pPr>
      <w:r>
        <w:rPr>
          <w:rFonts w:ascii="IRNazanin" w:hAnsi="IRNazanin" w:eastAsia="IRNazanin"/>
          <w:color w:val="111111"/>
          <w:sz w:val="28"/>
          <w:sz w:val="28"/>
          <w:szCs w:val="28"/>
          <w:rtl w:val="true"/>
          <w:lang w:bidi="fa-IR"/>
        </w:rPr>
        <w:t>نفس الماسح،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عضو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ضرورة ولا حرج ولا عسر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الأولى، ومنه يظهر الكلام في الاحتياط اللاحق</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بيان المستند، وهو قاعدة الميسور ورواية</w:t>
      </w:r>
      <w:r>
        <w:rPr>
          <w:rStyle w:val="FootnoteAnchor"/>
          <w:rtl w:val="true"/>
        </w:rPr>
        <w:footnoteReference w:id="749"/>
      </w:r>
      <w:r>
        <w:rPr>
          <w:rFonts w:ascii="IRNazanin" w:hAnsi="IRNazanin" w:eastAsia="IRNazanin"/>
          <w:color w:val="111111"/>
          <w:sz w:val="28"/>
          <w:sz w:val="28"/>
          <w:szCs w:val="28"/>
          <w:rtl w:val="true"/>
          <w:lang w:bidi="fa-IR"/>
        </w:rPr>
        <w:t>مولى آل سام على تأمل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أنَّ قاعدة الميسور عقلائية، كما هي 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خرقة طاهرة ومسح عليها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ذلك أيضاً فالأحوط الجمع بين الوضوء بغسل أطرافه فقط والتيمم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يترك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الوضوء والتيمم في جميع صور هذه المسألة غير صورة إمكان غسل</w:t>
      </w:r>
    </w:p>
    <w:p>
      <w:pPr>
        <w:pStyle w:val="BookText"/>
        <w:rPr/>
      </w:pPr>
      <w:r>
        <w:rPr>
          <w:rFonts w:ascii="Amiri" w:hAnsi="Amiri" w:eastAsia="Amiri" w:cs="Amiri"/>
          <w:color w:val="111111"/>
          <w:sz w:val="28"/>
          <w:sz w:val="28"/>
          <w:szCs w:val="28"/>
          <w:rtl w:val="true"/>
          <w:lang w:bidi="ar-SA"/>
        </w:rPr>
        <w:t>حقيقته إذا كان الجرح في محلّ الغسل، أو أنّه وسيلة إلى المسح الواجب في موضع المسح، فلا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متين؛ فإنّه لا دليل على هذا الأمر، بل مقتضى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الجرح كيف يصنع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كفاية غسل حول الجرح إذا كان مكشوفاً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العلم الإجمالي بتعلق أحد التكليفين، لكن ظهر ممّا ذكر تعيّن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ربط له بالمطلب الحالي، بل هو مرتبط بالمطلب القادم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الأطراف فقط</w:t>
      </w:r>
      <w:r>
        <w:rPr>
          <w:rFonts w:eastAsia="Amiri" w:cs="Amiri" w:ascii="Amiri" w:hAnsi="Amiri"/>
          <w:color w:val="111111"/>
          <w:sz w:val="28"/>
          <w:szCs w:val="28"/>
          <w:rtl w:val="true"/>
          <w:lang w:bidi="ar-SA"/>
        </w:rPr>
        <w:t xml:space="preserve">. </w:t>
      </w:r>
      <w:bookmarkStart w:id="238" w:name="pg15737_151730"/>
    </w:p>
    <w:p>
      <w:pPr>
        <w:pStyle w:val="BookText"/>
        <w:rPr/>
      </w:pPr>
      <w:bookmarkEnd w:id="238"/>
      <w:r>
        <w:rPr>
          <w:rFonts w:ascii="Amiri" w:hAnsi="Amiri" w:eastAsia="Amiri" w:cs="Amiri"/>
          <w:color w:val="111111"/>
          <w:sz w:val="28"/>
          <w:sz w:val="28"/>
          <w:szCs w:val="28"/>
          <w:rtl w:val="true"/>
          <w:lang w:bidi="ar-SA"/>
        </w:rPr>
        <w:t>نفس البشرة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2561728_2142443653"/>
      <w:bookmarkStart w:id="240" w:name="_Toc83"/>
      <w:bookmarkEnd w:id="239"/>
      <w:r>
        <w:rPr>
          <w:rtl w:val="true"/>
        </w:rPr>
        <w:t xml:space="preserve">المسألة </w:t>
      </w:r>
      <w:r>
        <w:rPr/>
        <w:t>116</w:t>
      </w:r>
      <w:r>
        <w:rPr>
          <w:rtl w:val="true"/>
        </w:rPr>
        <w:t xml:space="preserve">: </w:t>
      </w:r>
      <w:r>
        <w:rPr>
          <w:rtl w:val="true"/>
        </w:rPr>
        <w:t>لو كانت الجبيرة نجسة</w:t>
      </w:r>
      <w:bookmarkEnd w:id="2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الجبيرة نجسة ولم يتمكن من تطهيرها ولا تبديلها، وليس له ما يضع عليها ويمسح عليه غسل أطرافها في محلّ الغسل، ومسح طرفيها في محل المسح ويتيمم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الصور في نظر المصنف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نفس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خرقة طاهرة والمسح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الوضوء بغسل الأطراف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الصورة الثانية مسح نفس البشرة، ووضع خرقة طاهرة والمسح عليها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إنَّ الاحتياط بالتيمم في الصورة الثانية ضعيف؛ لوجود الرواية</w:t>
      </w:r>
      <w:r>
        <w:rPr>
          <w:rStyle w:val="FootnoteAnchor"/>
          <w:rtl w:val="true"/>
        </w:rPr>
        <w:footnoteReference w:id="752"/>
      </w:r>
      <w:r>
        <w:rPr>
          <w:rFonts w:ascii="Amiri" w:hAnsi="Amiri" w:eastAsia="Amiri" w:cs="Amiri"/>
          <w:color w:val="111111"/>
          <w:sz w:val="28"/>
          <w:sz w:val="28"/>
          <w:szCs w:val="28"/>
          <w:rtl w:val="true"/>
          <w:lang w:bidi="ar-SA"/>
        </w:rPr>
        <w:t>بغسل ما حوله، منتهى الأمر الجمع بين مسحها ووضع خرقة طاهرة والمسح عليها، فتأمل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الأولى، ووجهه قاعدة الميسور، والمناط الذي ذكره الشيخ الأعظم أسفل الصفحة</w:t>
      </w:r>
      <w:r>
        <w:rPr>
          <w:rStyle w:val="FootnoteAnchor"/>
          <w:rtl w:val="true"/>
        </w:rPr>
        <w:footnoteReference w:id="753"/>
      </w:r>
      <w:r>
        <w:rPr>
          <w:rFonts w:ascii="Amiri" w:hAnsi="Amiri" w:eastAsia="Amiri" w:cs="Amiri"/>
          <w:color w:val="111111"/>
          <w:sz w:val="28"/>
          <w:sz w:val="28"/>
          <w:szCs w:val="28"/>
          <w:rtl w:val="true"/>
          <w:lang w:bidi="ar-SA"/>
        </w:rPr>
        <w:t>، وإن كان محل تأمل</w:t>
      </w:r>
      <w:r>
        <w:rPr>
          <w:rFonts w:eastAsia="Amiri" w:cs="Amiri" w:ascii="Amiri" w:hAnsi="Amiri"/>
          <w:color w:val="111111"/>
          <w:sz w:val="28"/>
          <w:szCs w:val="28"/>
          <w:rtl w:val="true"/>
          <w:lang w:bidi="ar-SA"/>
        </w:rPr>
        <w:t xml:space="preserve">. </w:t>
      </w:r>
      <w:bookmarkStart w:id="241" w:name="pg15737_151731"/>
    </w:p>
    <w:p>
      <w:pPr>
        <w:pStyle w:val="BookText"/>
        <w:rPr/>
      </w:pPr>
      <w:bookmarkEnd w:id="241"/>
      <w:r>
        <w:rPr>
          <w:rFonts w:ascii="Amiri" w:hAnsi="Amiri" w:eastAsia="Amiri" w:cs="Amiri"/>
          <w:color w:val="111111"/>
          <w:sz w:val="28"/>
          <w:sz w:val="28"/>
          <w:szCs w:val="28"/>
          <w:rtl w:val="true"/>
          <w:lang w:bidi="ar-SA"/>
        </w:rPr>
        <w:t>بل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التيمّم في كلّ مورد لم يمكن مسح الجبيرة</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2561730_2142443653"/>
      <w:bookmarkStart w:id="243" w:name="_Toc84"/>
      <w:bookmarkEnd w:id="242"/>
      <w:r>
        <w:rPr>
          <w:rtl w:val="true"/>
        </w:rPr>
        <w:t xml:space="preserve">المسألة </w:t>
      </w:r>
      <w:r>
        <w:rPr/>
        <w:t>117</w:t>
      </w:r>
      <w:r>
        <w:rPr>
          <w:rtl w:val="true"/>
        </w:rPr>
        <w:t xml:space="preserve">: </w:t>
      </w:r>
      <w:r>
        <w:rPr>
          <w:rtl w:val="true"/>
        </w:rPr>
        <w:t>لو كان مانع غير الجبيرة</w:t>
      </w:r>
      <w:bookmarkEnd w:id="2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العضو مانع غير الجبيرة لا يمكن إيصال الماء معه إلى البشرة، ويتعذر أو يتعسر إزالته مسح على المانع بالماء كالجبيرة، واحتاط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التيمّم إليه</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2561732_2142443653"/>
      <w:bookmarkStart w:id="245" w:name="_Toc85"/>
      <w:bookmarkEnd w:id="244"/>
      <w:r>
        <w:rPr>
          <w:rtl w:val="true"/>
        </w:rPr>
        <w:t xml:space="preserve">المسألة </w:t>
      </w:r>
      <w:r>
        <w:rPr/>
        <w:t>118</w:t>
      </w:r>
      <w:r>
        <w:rPr>
          <w:rtl w:val="true"/>
        </w:rPr>
        <w:t xml:space="preserve">: </w:t>
      </w:r>
      <w:r>
        <w:rPr>
          <w:rtl w:val="true"/>
        </w:rPr>
        <w:t>لو كانت الجبيرة على الماسح</w:t>
      </w:r>
      <w:bookmarkEnd w:id="2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الجبيرة على الماسح وجب المسح ببلّتها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الوضوء على الرأس والرجل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تقدم الإشكال فيما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غسل الأطراف مختصّ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بالجرح المكشوف، وأمّا المجبور فمع عدم التمكن من المسح على الجبيرة يكون مقتضى القاعدة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واستدل له بأنه وإن كان خارجاً عن النصوص، لكن يمكن التعدي عن موردها إلى المقام بتنقيح المناط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مانعاً آخر فلا وجه للجبيرة، بل لا بدّ من رفعه لو لم يكن حرجياً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تصل النوبة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بلّة العضو، وحيث إنّ المسح يجب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لزوم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التعميم مما تقدم آنفاً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الاستدلال بقاعدة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ضررياً أو عسراً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البدل حكم المبدل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سبقت الإشارة </w:t>
      </w:r>
      <w:bookmarkStart w:id="246" w:name="pg15737_151732"/>
    </w:p>
    <w:p>
      <w:pPr>
        <w:pStyle w:val="Heading4"/>
        <w:numPr>
          <w:ilvl w:val="3"/>
          <w:numId w:val="1"/>
        </w:numPr>
        <w:rPr/>
      </w:pPr>
      <w:bookmarkStart w:id="247" w:name="__RefHeading___Toc12561734_2142443653"/>
      <w:bookmarkStart w:id="248" w:name="_Toc86"/>
      <w:bookmarkEnd w:id="246"/>
      <w:bookmarkEnd w:id="247"/>
      <w:r>
        <w:rPr>
          <w:rtl w:val="true"/>
        </w:rPr>
        <w:t xml:space="preserve">المسألة </w:t>
      </w:r>
      <w:r>
        <w:rPr/>
        <w:t>119</w:t>
      </w:r>
      <w:r>
        <w:rPr>
          <w:rtl w:val="true"/>
        </w:rPr>
        <w:t xml:space="preserve">: </w:t>
      </w:r>
      <w:r>
        <w:rPr>
          <w:rtl w:val="true"/>
        </w:rPr>
        <w:t>عدم الفرق بين كون الجبيرة في محلّ الغسل أو المسح</w:t>
      </w:r>
      <w:bookmarkEnd w:id="2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الجبيرة في محلّ الغسل أو المسح، وإن كان الأولى مع كونها في محلّ المسح ضمّ التيمّم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ببلّة العضو وهو غير ميسور، فلا بدّ من المسح بما يكون بدلاً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يؤذيه الماء فليمسح على الخرقة</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فإنّه بإطلاقه يشمل موضع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بما يضره الماء، وأمّا في غيره كما لو كان حلّ الجبيرة متعذراً من جهة تضرر المحل بحلّها، فلا بدّ من التماس دليل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يختصّ ذلك بمحل المسح، بل موضع الغسل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الاستدلال بشمول الأدلَّة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w:t>
      </w:r>
    </w:p>
    <w:p>
      <w:pPr>
        <w:pStyle w:val="BookText"/>
        <w:rPr/>
      </w:pPr>
      <w:r>
        <w:rPr>
          <w:rFonts w:ascii="Amiri" w:hAnsi="Amiri" w:eastAsia="Amiri" w:cs="Amiri"/>
          <w:color w:val="111111"/>
          <w:sz w:val="28"/>
          <w:sz w:val="28"/>
          <w:szCs w:val="28"/>
          <w:rtl w:val="true"/>
          <w:lang w:bidi="ar-SA"/>
        </w:rPr>
        <w:t>ببلة يمناك ناصيتك</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ونحوه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الملاك عرفاً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يقدر أن يحلَّه</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لكن قد يشكل بأن ذيل الرواية ظاهر في موضع الغسل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ويضع موضع الجبر في الماء</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249" w:name="pg15737_151733"/>
    </w:p>
    <w:p>
      <w:pPr>
        <w:pStyle w:val="Heading4"/>
        <w:numPr>
          <w:ilvl w:val="3"/>
          <w:numId w:val="1"/>
        </w:numPr>
        <w:rPr/>
      </w:pPr>
      <w:bookmarkStart w:id="250" w:name="__RefHeading___Toc12561736_2142443653"/>
      <w:bookmarkStart w:id="251" w:name="_Toc87"/>
      <w:bookmarkEnd w:id="249"/>
      <w:bookmarkEnd w:id="250"/>
      <w:r>
        <w:rPr>
          <w:rtl w:val="true"/>
        </w:rPr>
        <w:t xml:space="preserve">المسألة </w:t>
      </w:r>
      <w:r>
        <w:rPr/>
        <w:t>120</w:t>
      </w:r>
      <w:r>
        <w:rPr>
          <w:rtl w:val="true"/>
        </w:rPr>
        <w:t xml:space="preserve">: </w:t>
      </w:r>
      <w:r>
        <w:rPr>
          <w:rtl w:val="true"/>
        </w:rPr>
        <w:t>لا بدّ من طهارة الجبيرة</w:t>
      </w:r>
      <w:bookmarkEnd w:id="2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طهارة الجبيرة، فلو كانت نجسة ولم يمكن تبديلها ولا تطهيرها وضع خرقة طاهرة عليها ومسح على الخرقة، واحتاط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التيمّم أيضاً</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2561738_2142443653"/>
      <w:bookmarkStart w:id="253" w:name="_Toc88"/>
      <w:bookmarkEnd w:id="252"/>
      <w:r>
        <w:rPr>
          <w:rtl w:val="true"/>
        </w:rPr>
        <w:t xml:space="preserve">المسألة </w:t>
      </w:r>
      <w:r>
        <w:rPr/>
        <w:t>121</w:t>
      </w:r>
      <w:r>
        <w:rPr>
          <w:rtl w:val="true"/>
        </w:rPr>
        <w:t xml:space="preserve">: </w:t>
      </w:r>
      <w:r>
        <w:rPr>
          <w:rtl w:val="true"/>
        </w:rPr>
        <w:t>لا يعتبر في صحة الوضوء أن تكون الجبيرة ممّا تصحّ الصلاة فيه</w:t>
      </w:r>
      <w:bookmarkEnd w:id="2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الوضوء أن تكون الجبيرة ممّا تصحّ الصلاة فيه، فلو كانت جبيرة الرجل من الحرير المحض صحّ الوضوء بالمسح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تكون مباحة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الوضوء</w:t>
      </w:r>
    </w:p>
    <w:p>
      <w:pPr>
        <w:pStyle w:val="BookText"/>
        <w:rPr/>
      </w:pPr>
      <w:r>
        <w:rPr>
          <w:rFonts w:ascii="Amiri" w:hAnsi="Amiri" w:eastAsia="Amiri" w:cs="Amiri"/>
          <w:color w:val="111111"/>
          <w:sz w:val="28"/>
          <w:sz w:val="28"/>
          <w:szCs w:val="28"/>
          <w:rtl w:val="true"/>
          <w:lang w:bidi="ar-SA"/>
        </w:rPr>
        <w:t>ويدلّ عليه ما رواه عبد الأعلى مولى آل سام، وهذه الرواية مستند القوم في إجراء حكم الجبيرة على محلّ المسح، ولا قصور في دلالتها، لكنّ الإشكال في سندها، فإنّ عبد الأعلى مولى آل سام لم يوثّق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فالمتعين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مقتضٍ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فمقتضى إطلاق الأدلّة الصحّة ولو كانت ممّا لا تصحّ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تكفي قاعدة الميسور، وتؤيده رواية مولى آل سام</w:t>
      </w:r>
      <w:r>
        <w:rPr>
          <w:rStyle w:val="FootnoteAnchor"/>
          <w:rtl w:val="true"/>
        </w:rPr>
        <w:footnoteReference w:id="758"/>
      </w:r>
      <w:r>
        <w:rPr>
          <w:rFonts w:ascii="Amiri" w:hAnsi="Amiri" w:eastAsia="Amiri" w:cs="Amiri"/>
          <w:color w:val="111111"/>
          <w:sz w:val="28"/>
          <w:sz w:val="28"/>
          <w:szCs w:val="28"/>
          <w:rtl w:val="true"/>
          <w:lang w:bidi="ar-SA"/>
        </w:rPr>
        <w:t>، ولو قيل بالجبر تدل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التصرف في المغصوب عرفاً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مجبورة بالعمل، فتأمل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بالنزع يقتضي النهي </w:t>
      </w:r>
      <w:bookmarkStart w:id="254" w:name="pg15737_151734"/>
    </w:p>
    <w:p>
      <w:pPr>
        <w:pStyle w:val="BookText"/>
        <w:rPr/>
      </w:pPr>
      <w:bookmarkEnd w:id="254"/>
      <w:r>
        <w:rPr>
          <w:rFonts w:ascii="Amiri" w:hAnsi="Amiri" w:eastAsia="Amiri" w:cs="Amiri"/>
          <w:color w:val="111111"/>
          <w:sz w:val="28"/>
          <w:sz w:val="28"/>
          <w:szCs w:val="28"/>
          <w:rtl w:val="true"/>
          <w:lang w:bidi="ar-SA"/>
        </w:rPr>
        <w:t>بالمسح على الجبيرة الغصبية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2561740_2142443653"/>
      <w:bookmarkStart w:id="256" w:name="_Toc89"/>
      <w:bookmarkEnd w:id="255"/>
      <w:r>
        <w:rPr>
          <w:rtl w:val="true"/>
        </w:rPr>
        <w:t xml:space="preserve">المسألة </w:t>
      </w:r>
      <w:r>
        <w:rPr/>
        <w:t>122</w:t>
      </w:r>
      <w:r>
        <w:rPr>
          <w:rtl w:val="true"/>
        </w:rPr>
        <w:t xml:space="preserve">: </w:t>
      </w:r>
      <w:r>
        <w:rPr>
          <w:rtl w:val="true"/>
        </w:rPr>
        <w:t>لو ارتفع عذر صاحب الجبيرة</w:t>
      </w:r>
      <w:bookmarkEnd w:id="2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صاحب الجبيرة صحيح ما دام العذر، أمّا لو ارتفع فالأحوط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الوضوء للعمل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ارتفع في أثناء الوضوء فإنّه يستأنف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وجه ذلك أنّه بدل اضطراري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 التامّ، وليس في عرضه كي يترتّب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مجال لمساعدته، فإنّ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الجبيرة أنّها في حكم الوضوء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ضدِّه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متنافيين، لكن المحقق عدم الاقتضاء</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في هذه الصورة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الكلام، بل يحتمل كونه كالصلاة التامَّة والمقصورة باختلاف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تلقي العرف عن الأدلَّة أنَّه بدل اضطراري،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مناقشة صغروية، وأمَّا الكبرى، فلا دليل على أنَّ كل بدل اضطراري رافع في الجملة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اجزأه</w:t>
      </w:r>
      <w:r>
        <w:rPr>
          <w:rFonts w:eastAsia="IRNazanin" w:cs="IRNazanin"/>
          <w:color w:val="111111"/>
          <w:sz w:val="28"/>
          <w:szCs w:val="28"/>
          <w:rtl w:val="true"/>
          <w:lang w:bidi="fa-IR"/>
        </w:rPr>
        <w:t>»</w:t>
      </w:r>
      <w:r>
        <w:rPr>
          <w:rStyle w:val="FootnoteAnchor"/>
          <w:rtl w:val="true"/>
        </w:rPr>
        <w:footnoteReference w:id="760"/>
      </w:r>
      <w:r>
        <w:rPr>
          <w:rFonts w:ascii="Amiri" w:hAnsi="Amiri" w:eastAsia="Amiri" w:cs="Amiri"/>
          <w:color w:val="111111"/>
          <w:sz w:val="28"/>
          <w:sz w:val="28"/>
          <w:szCs w:val="28"/>
          <w:rtl w:val="true"/>
          <w:lang w:bidi="ar-SA"/>
        </w:rPr>
        <w:t xml:space="preserve">وإلاّ لم أجد ذلك </w:t>
      </w:r>
    </w:p>
    <w:p>
      <w:pPr>
        <w:pStyle w:val="BookText"/>
        <w:rPr/>
      </w:pPr>
      <w:r>
        <w:rPr>
          <w:rFonts w:ascii="Amiri" w:hAnsi="Amiri" w:eastAsia="Amiri" w:cs="Amiri"/>
          <w:color w:val="111111"/>
          <w:sz w:val="28"/>
          <w:sz w:val="28"/>
          <w:szCs w:val="28"/>
          <w:rtl w:val="true"/>
          <w:lang w:bidi="ar-SA"/>
        </w:rPr>
        <w:t>لكن يحتمل أن يترتب على الناقص مرتبة من الأثر الكامل، بحيث لا يبقى مجال لتدارك ما نقص من الأثر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الاحتمال كيف يمكن الالتزام بانتقاض الناقص عند زوال العذر؟</w:t>
      </w:r>
    </w:p>
    <w:p>
      <w:pPr>
        <w:pStyle w:val="BookText"/>
        <w:rPr/>
      </w:pPr>
      <w:r>
        <w:rPr>
          <w:rFonts w:ascii="Amiri" w:hAnsi="Amiri" w:eastAsia="Amiri" w:cs="Amiri"/>
          <w:color w:val="111111"/>
          <w:sz w:val="28"/>
          <w:sz w:val="28"/>
          <w:szCs w:val="28"/>
          <w:rtl w:val="true"/>
          <w:lang w:bidi="ar-SA"/>
        </w:rPr>
        <w:t>صريحاً في ما ذكر هنا من روايات</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شرب العصير فلم يجده فشرب الماء، فربما لا يبقى مجال للشرب، وكذا لو أراد أكل الرز والمرق فلم يجد فأكل الخبز والبصل، وقد مثلوا له بسقي الحديقة الماء المالح عندما لم يجد العذب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فإن تم الإطلاق المشار إليه فبها، وإلاّ أمكن التمسك بالاستصحاب، بناءً على جريانه في الشبهات الحكمية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257" w:name="pg15737_151736"/>
    </w:p>
    <w:p>
      <w:pPr>
        <w:pStyle w:val="Heading3"/>
        <w:numPr>
          <w:ilvl w:val="2"/>
          <w:numId w:val="1"/>
        </w:numPr>
        <w:rPr/>
      </w:pPr>
      <w:bookmarkStart w:id="258" w:name="__RefHeading___Toc12561742_2142443653"/>
      <w:bookmarkStart w:id="259" w:name="_Toc90"/>
      <w:bookmarkEnd w:id="257"/>
      <w:bookmarkEnd w:id="258"/>
      <w:r>
        <w:rPr>
          <w:rtl w:val="true"/>
        </w:rPr>
        <w:t>فصل</w:t>
      </w:r>
      <w:r>
        <w:rPr>
          <w:rtl w:val="true"/>
        </w:rPr>
        <w:t xml:space="preserve">: </w:t>
      </w:r>
      <w:r>
        <w:rPr>
          <w:rtl w:val="true"/>
        </w:rPr>
        <w:t>في أحكام الشكوك المتعلقة بالوضوء</w:t>
      </w:r>
      <w:bookmarkEnd w:id="259"/>
    </w:p>
    <w:p>
      <w:pPr>
        <w:pStyle w:val="Heading4"/>
        <w:numPr>
          <w:ilvl w:val="3"/>
          <w:numId w:val="1"/>
        </w:numPr>
        <w:rPr/>
      </w:pPr>
      <w:bookmarkStart w:id="260" w:name="__RefHeading___Toc12561744_2142443653"/>
      <w:bookmarkStart w:id="261" w:name="_Toc91"/>
      <w:bookmarkEnd w:id="260"/>
      <w:r>
        <w:rPr>
          <w:rtl w:val="true"/>
        </w:rPr>
        <w:t xml:space="preserve">المسألة </w:t>
      </w:r>
      <w:r>
        <w:rPr/>
        <w:t>123</w:t>
      </w:r>
      <w:r>
        <w:rPr>
          <w:rtl w:val="true"/>
        </w:rPr>
        <w:t xml:space="preserve">: </w:t>
      </w:r>
      <w:r>
        <w:rPr>
          <w:rtl w:val="true"/>
        </w:rPr>
        <w:t>من تيقن الحدث وشك في الوضوء</w:t>
      </w:r>
      <w:bookmarkEnd w:id="2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الحدث وشك في الوضوء يلزم أن يتوضأ، ومن تيقن الطهارة وشك في الحدث بنى على الطهارة، ومن تيقن بهما وشك في المتأخر منهما فله صور يلزم البناء على الطهارة في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كلاهما مجهولي التاريخ، وإمّا يكون تاريخ الوضوء معلوماً وتاريخ الحدث مجهولاً، وإمّا يكون عكس ذلك، فعلى ما ذهب إليه صاحب الكفاية من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القول بتعارض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الأصلين في الشقّ الأول واستصحاب الطهارة في الثاني، واستصحاب الحدث في الثالث، وأمّا على مسلك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المنصور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الأصلان في تمام الصور ولا 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ضرورة إحراز اتصال زمان اليقين بالشك، وقد مضى الكلام حول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يجريان لعدم إحراز الاتصال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الوضوء يحتاج إلى إحراز ولا محرز، لا وجداني ولا تعبدي في المقام</w:t>
      </w:r>
      <w:r>
        <w:rPr>
          <w:rFonts w:eastAsia="Amiri" w:cs="Amiri" w:ascii="Amiri" w:hAnsi="Amiri"/>
          <w:color w:val="111111"/>
          <w:sz w:val="28"/>
          <w:szCs w:val="28"/>
          <w:rtl w:val="true"/>
          <w:lang w:bidi="ar-SA"/>
        </w:rPr>
        <w:t xml:space="preserve">. </w:t>
      </w:r>
      <w:bookmarkStart w:id="262" w:name="pg15737_151737"/>
    </w:p>
    <w:p>
      <w:pPr>
        <w:pStyle w:val="Heading4"/>
        <w:numPr>
          <w:ilvl w:val="3"/>
          <w:numId w:val="1"/>
        </w:numPr>
        <w:rPr/>
      </w:pPr>
      <w:bookmarkStart w:id="263" w:name="__RefHeading___Toc12561746_2142443653"/>
      <w:bookmarkStart w:id="264" w:name="_Toc92"/>
      <w:bookmarkEnd w:id="262"/>
      <w:bookmarkEnd w:id="263"/>
      <w:r>
        <w:rPr>
          <w:rtl w:val="true"/>
        </w:rPr>
        <w:t xml:space="preserve">المسألة </w:t>
      </w:r>
      <w:r>
        <w:rPr/>
        <w:t>124</w:t>
      </w:r>
      <w:r>
        <w:rPr>
          <w:rtl w:val="true"/>
        </w:rPr>
        <w:t xml:space="preserve">: </w:t>
      </w:r>
      <w:r>
        <w:rPr>
          <w:rtl w:val="true"/>
        </w:rPr>
        <w:t>من شكّ في الوضوء بعد الصلاة</w:t>
      </w:r>
      <w:bookmarkEnd w:id="2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الوضوء بعد الصلاة بنى على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فيما لو علم بكون دخوله فيها مع الغفلة عن الوضوء، وفيما لو كان منشأ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قبلها، بحيث لو كان ملتفتاً لكان شاكّاً، فإنّ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هاتين الصورتين إعادة الصلاة بالوضوء، وأمّا بالنسبة إلى الصلاة المستقبلة فيلزم الوضوء في جميع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كون القاعدة معللة، بل يمكن أن تكون الجملة الأخيرة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يحرز وجود الوضوء، فإنّ القاعدة الجارية في الصلاة تصحّح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ناحية الشكّ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على يده صبغ لم يلتفت إليه حين الوضوء، بحيث لو التفت لشك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العلية، لكن كثر استعمال أمثال ذلك في الحكمة، وهذا لا يدفع الظهور، كما ذكروا في ظهور صيغة الأمر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يعلم أنَّها تصحح، بل الشارع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تعتن بالشك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أمارة، وإنَّ مثبتاتها حجة مطلقة، لثبت وجود الوضوء</w:t>
      </w:r>
      <w:r>
        <w:rPr>
          <w:rFonts w:eastAsia="Amiri" w:cs="Amiri" w:ascii="Amiri" w:hAnsi="Amiri"/>
          <w:color w:val="111111"/>
          <w:sz w:val="28"/>
          <w:szCs w:val="28"/>
          <w:rtl w:val="true"/>
          <w:lang w:bidi="ar-SA"/>
        </w:rPr>
        <w:t xml:space="preserve">. </w:t>
      </w:r>
      <w:bookmarkStart w:id="265" w:name="pg15737_151738"/>
    </w:p>
    <w:p>
      <w:pPr>
        <w:pStyle w:val="Heading4"/>
        <w:numPr>
          <w:ilvl w:val="3"/>
          <w:numId w:val="1"/>
        </w:numPr>
        <w:rPr/>
      </w:pPr>
      <w:bookmarkStart w:id="266" w:name="__RefHeading___Toc12561748_2142443653"/>
      <w:bookmarkStart w:id="267" w:name="_Toc93"/>
      <w:bookmarkEnd w:id="265"/>
      <w:bookmarkEnd w:id="266"/>
      <w:r>
        <w:rPr>
          <w:rtl w:val="true"/>
        </w:rPr>
        <w:t xml:space="preserve">المسألة </w:t>
      </w:r>
      <w:r>
        <w:rPr/>
        <w:t>125</w:t>
      </w:r>
      <w:r>
        <w:rPr>
          <w:rtl w:val="true"/>
        </w:rPr>
        <w:t xml:space="preserve">: </w:t>
      </w:r>
      <w:r>
        <w:rPr>
          <w:rtl w:val="true"/>
        </w:rPr>
        <w:t>لو شكّ في الطهارة في أثناء الصلاة</w:t>
      </w:r>
      <w:bookmarkEnd w:id="2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الصلاة فالأحوط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إعادتها بطهارة جديدة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2561750_2142443653"/>
      <w:bookmarkStart w:id="269" w:name="_Toc94"/>
      <w:bookmarkEnd w:id="268"/>
      <w:r>
        <w:rPr>
          <w:rtl w:val="true"/>
        </w:rPr>
        <w:t xml:space="preserve">المسألة </w:t>
      </w:r>
      <w:r>
        <w:rPr/>
        <w:t>127</w:t>
      </w:r>
      <w:r>
        <w:rPr>
          <w:rtl w:val="true"/>
        </w:rPr>
        <w:t xml:space="preserve">: </w:t>
      </w:r>
      <w:r>
        <w:rPr>
          <w:rtl w:val="true"/>
        </w:rPr>
        <w:t>من شكّ في شيء من أجزاء الوضوء</w:t>
      </w:r>
      <w:bookmarkEnd w:id="2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شيء من أجزاء الوضوء قبل الفراغ منه رجع إليه وبما بعده مع مراعاة الموالاة والترتيب وسائر الشرائط، من غير فرق بين الشكّ في الجزء والشرط، والظنّ هنا كالشكّ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الوجه فيه حرمة إبطال العمل، حيث إنه يحتمل الصحّة فلا يجوز إبطالها، لكنّ الشبهة مصداقية فلا يتمسك بالعام،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مقتضى الأصل عدم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الحدائق، وعن المدارك والمفاتيح، ونقل عن شرحي الدروس والمفاتيح دعوى الإجماع عليه، لأنّ مقتضى الأصل والقاعدة الأولية لزوم الرجوع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جارية في الشكوك الواقعة في الوضوء ما دام متشاغلاً به، لما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وضوئك فلم تدر أغسلت ذراعيك أم لا فأعد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الإعادة بطهارة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مغاير لما سبق، فما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 في الصحة، وهنا علم تعبدي بالبطلان، وذلك باستصحاب عدم الطهارة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من إحراز الامتثال إما وجداناً أو تعبداً، والوجدان لا يدل على ذلك، والتعبد خاص بغير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قمت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وفرغت منه وقد صرت في حال أخرى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رأسك فأصبت في لحيتك بللاً فامسح بها عليه وعلى ظهر قدميك</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ظاهرة في أنَّ الملاك هو الدخول في الغير، وظاهر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w:t>
      </w:r>
    </w:p>
    <w:p>
      <w:pPr>
        <w:pStyle w:val="BookText"/>
        <w:rPr/>
      </w:pPr>
      <w:r>
        <w:rPr>
          <w:rFonts w:ascii="Amiri" w:hAnsi="Amiri" w:eastAsia="Amiri" w:cs="Amiri"/>
          <w:color w:val="111111"/>
          <w:sz w:val="28"/>
          <w:sz w:val="28"/>
          <w:szCs w:val="28"/>
          <w:rtl w:val="true"/>
          <w:lang w:bidi="ar-SA"/>
        </w:rPr>
        <w:t>على وضوئك</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أنَّ الملاك الاشتغال بالوضوء، وحينئذٍ فإذا فرغ من الوضوء ولم يدخل في حالٍ أُخرى فشك فهل تجري قاعدة الفراغ أو لا؟</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قمت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فبها، وإلاّ تعارضت الشرطيتان وأصبحنا بلا دليل، فهل يحكم العموم الفوقاني،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قاعدة الفراغ كلياً أو لا؟</w:t>
      </w:r>
    </w:p>
    <w:p>
      <w:pPr>
        <w:pStyle w:val="BookText"/>
        <w:rPr/>
      </w:pPr>
      <w:r>
        <w:rPr>
          <w:rFonts w:ascii="Amiri" w:hAnsi="Amiri" w:eastAsia="Amiri" w:cs="Amiri"/>
          <w:color w:val="111111"/>
          <w:sz w:val="28"/>
          <w:sz w:val="28"/>
          <w:szCs w:val="28"/>
          <w:rtl w:val="true"/>
          <w:lang w:bidi="ar-SA"/>
        </w:rPr>
        <w:t>والمسألة بحاجة إلى تأمل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الصلاة أو غيرها،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الندب بقرينة ما قبله وما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ذلك بعدّة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ندّعي الظهور في العود إلى الوضوء، كما سيأتي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ندّعي الإجمال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عبرة بظنّ الإتيان ما لم يتيقّن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شكّك بشيء، 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وجوب الرجوع قبل الفراغ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الرواية على إجزاء الوضوء بنحو يرى العرف بين الروايتين 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رجوع الضمير إلى نفس الوضوء، ويؤيّد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حجّة الظنّ، وعدم دليل على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ندّعي الإطلاق فيقيد برواية زرارة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بالندب فخلاف الإجماع،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 يعتني بالإجماعات، فكيف اعتنى به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لأجل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الأقربية لا تصنع ظهوراً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خارجاً بالدليل، كالظنون الخاصَّة </w:t>
      </w:r>
    </w:p>
    <w:p>
      <w:pPr>
        <w:pStyle w:val="BookText"/>
        <w:rPr/>
      </w:pPr>
      <w:r>
        <w:rPr>
          <w:rFonts w:ascii="Amiri" w:hAnsi="Amiri" w:eastAsia="Amiri" w:cs="Amiri"/>
          <w:color w:val="111111"/>
          <w:sz w:val="28"/>
          <w:sz w:val="28"/>
          <w:szCs w:val="28"/>
          <w:rtl w:val="true"/>
          <w:lang w:bidi="ar-SA"/>
        </w:rPr>
        <w:t>كما لا عبرة بالشكّ من كثير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يمضي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حجّية في قول العدل الواحد في شيء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المشهور بينهم، ويشهد له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غير واحد من الروايات الناهية عن الاعتناء بالشكّ في الصلاة، لاحظ ما رواه زرارة وأبو بصير 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حتّى لا يدري كم صلّى ولا ما 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الأصول</w:t>
      </w:r>
      <w:r>
        <w:rPr>
          <w:rStyle w:val="FootnoteAnchor"/>
          <w:rtl w:val="true"/>
        </w:rPr>
        <w:footnoteReference w:id="768"/>
      </w:r>
      <w:r>
        <w:rPr>
          <w:rFonts w:ascii="Amiri" w:hAnsi="Amiri" w:eastAsia="Amiri" w:cs="Amiri"/>
          <w:color w:val="111111"/>
          <w:sz w:val="28"/>
          <w:sz w:val="28"/>
          <w:szCs w:val="28"/>
          <w:rtl w:val="true"/>
          <w:lang w:bidi="ar-SA"/>
        </w:rPr>
        <w:t>، وكالظن في القبلة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كلما أعاد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حجيته وحجية قول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العلة تعمم، ومنه يستفاد أنَّ الحكم يشمل جميع العبادات، بل جميع الأمور، فتأمل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يشك كثيراً،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عليه ذلك كلَّما أعاد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 أنَّ كثرة الشك لها مرتبتان، فتأمل وراجع كلمات الفقهاء</w:t>
      </w:r>
      <w:r>
        <w:rPr>
          <w:rFonts w:eastAsia="Amiri" w:cs="Amiri" w:ascii="Amiri" w:hAnsi="Amiri"/>
          <w:color w:val="111111"/>
          <w:sz w:val="28"/>
          <w:szCs w:val="28"/>
          <w:rtl w:val="true"/>
          <w:lang w:bidi="ar-SA"/>
        </w:rPr>
        <w:t xml:space="preserve">. </w:t>
      </w:r>
      <w:bookmarkStart w:id="270" w:name="pg15737_151742"/>
    </w:p>
    <w:p>
      <w:pPr>
        <w:pStyle w:val="Heading4"/>
        <w:numPr>
          <w:ilvl w:val="3"/>
          <w:numId w:val="1"/>
        </w:numPr>
        <w:rPr/>
      </w:pPr>
      <w:bookmarkStart w:id="271" w:name="__RefHeading___Toc12561752_2142443653"/>
      <w:bookmarkStart w:id="272" w:name="_Toc95"/>
      <w:bookmarkEnd w:id="270"/>
      <w:bookmarkEnd w:id="271"/>
      <w:r>
        <w:rPr>
          <w:rtl w:val="true"/>
        </w:rPr>
        <w:t xml:space="preserve">المسألة </w:t>
      </w:r>
      <w:r>
        <w:rPr/>
        <w:t>128</w:t>
      </w:r>
      <w:r>
        <w:rPr>
          <w:rtl w:val="true"/>
        </w:rPr>
        <w:t xml:space="preserve">: </w:t>
      </w:r>
      <w:r>
        <w:rPr>
          <w:rtl w:val="true"/>
        </w:rPr>
        <w:t>لو كان بعض مواضع وضوئه نجساً</w:t>
      </w:r>
      <w:bookmarkEnd w:id="2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مواضع وضوئه نجساً فشكّ بعد الوضوء في تطهيره بنى على صحة الوضوء، ولكن 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يطهر ذلك الموضع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فيه بأنّ ترتّب الحكم يتوقّف على إحراز كون الشكّ من الشيطان، وهو غير محرز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فإنه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أنّ كثرة الشك من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النجاسة، ولا مانع من الالتزام بأمرين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تفكيك بين الآثار بلا محذور مخالفة 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الكلام وهو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خاصة 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يكثرن نقض الصلاة</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كثرة الشك من الشيطان، فيشمله التعليل،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النفس الأمَّارة، والإنصاف أنَّ التشكيك المزبور له مجال بالنظر الدقي، وإن كان الظاهر أنَّه لا مجال له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متباينان ثبوتاً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مخالفة التزامية، راجع بحث المخالفة الالتزامية في الأصول</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المانع من جريان القاعدة في نفس الغسل، فإنّ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تحقّقه قبل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باشتراط طهارة الأعضاء، ولا يلزم أن يكون المشكوك فيه متعلّق الأمر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الغسل ليس متعلّق أمر الشارع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مقتضى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ودخلت في غيره</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وبقيّة الإطلاقات الواردة في هذا الباب جريان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أن يكون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الوضوء فقط، بل في التطهير الخبثي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النتيجة هنا بين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تقيد الوضوء بالطهارة هو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متعلق أمر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 كما ذكره المصنف</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التجاوز تشمل التجاوز عن المحل الشرعي قطعاً، 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كالمحل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وحينئذٍ فمحل التطهير شرعاً قبل الوضوء أو حينه، فلا يعتني بالشك، لأنَّه تجاوز محله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موضع علم بتلوثه برطوبته، إلاّ فيما علم بكون دخوله في الصلاة مع الغفلة عن أمر التطهير، فإنّه يلزم التطهير وإعادة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شرعي، وفي المقام كذلك فإنّه لو أحرز الغسل يترتب عليه الطهارة التي هي أثر شرعي، لكن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التقريب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أنَّ الغسل والتطهير ينحل بالدقة العقلية إلى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الوضوئي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w:t>
      </w:r>
      <w:r>
        <w:rPr>
          <w:rStyle w:val="FootnoteAnchor"/>
          <w:rtl w:val="true"/>
        </w:rPr>
        <w:footnoteReference w:id="774"/>
      </w:r>
      <w:r>
        <w:rPr>
          <w:rFonts w:ascii="IRNazanin" w:hAnsi="IRNazanin" w:eastAsia="IRNazanin"/>
          <w:color w:val="111111"/>
          <w:sz w:val="28"/>
          <w:sz w:val="28"/>
          <w:szCs w:val="28"/>
          <w:rtl w:val="true"/>
          <w:lang w:bidi="fa-IR"/>
        </w:rPr>
        <w:t>تثبت الأول</w:t>
      </w:r>
      <w:r>
        <w:rPr>
          <w:rStyle w:val="FootnoteAnchor"/>
          <w:rtl w:val="true"/>
        </w:rPr>
        <w:footnoteReference w:id="775"/>
      </w:r>
      <w:r>
        <w:rPr>
          <w:rFonts w:ascii="Amiri" w:hAnsi="Amiri" w:eastAsia="Amiri" w:cs="Amiri"/>
          <w:color w:val="111111"/>
          <w:sz w:val="28"/>
          <w:sz w:val="28"/>
          <w:szCs w:val="28"/>
          <w:rtl w:val="true"/>
          <w:lang w:bidi="ar-SA"/>
        </w:rPr>
        <w:t>لا الثاني</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 ملازم للثاني، لكن القاعدة لا تثبت اللوازم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والأمارة مطلقاً تثبت 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اللازم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خفية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الوضوء في صورة الغفلة احتياط غير لازم</w:t>
      </w:r>
      <w:r>
        <w:rPr>
          <w:rFonts w:eastAsia="Amiri" w:cs="Amiri" w:ascii="Amiri" w:hAnsi="Amiri"/>
          <w:color w:val="111111"/>
          <w:sz w:val="28"/>
          <w:szCs w:val="28"/>
          <w:rtl w:val="true"/>
          <w:lang w:bidi="ar-SA"/>
        </w:rPr>
        <w:t xml:space="preserve">. </w:t>
      </w:r>
      <w:bookmarkStart w:id="273" w:name="pg15737_151745"/>
    </w:p>
    <w:p>
      <w:pPr>
        <w:pStyle w:val="Heading3"/>
        <w:numPr>
          <w:ilvl w:val="2"/>
          <w:numId w:val="1"/>
        </w:numPr>
        <w:rPr/>
      </w:pPr>
      <w:bookmarkStart w:id="274" w:name="__RefHeading___Toc12561754_2142443653"/>
      <w:bookmarkStart w:id="275" w:name="_Toc96"/>
      <w:bookmarkEnd w:id="273"/>
      <w:bookmarkEnd w:id="274"/>
      <w:r>
        <w:rPr>
          <w:rtl w:val="true"/>
        </w:rPr>
        <w:t>فصل</w:t>
      </w:r>
      <w:r>
        <w:rPr>
          <w:rtl w:val="true"/>
        </w:rPr>
        <w:t xml:space="preserve">: </w:t>
      </w:r>
      <w:r>
        <w:rPr>
          <w:rtl w:val="true"/>
        </w:rPr>
        <w:t>في أحكام صاحب الحدث المستمر</w:t>
      </w:r>
      <w:bookmarkEnd w:id="275"/>
    </w:p>
    <w:p>
      <w:pPr>
        <w:pStyle w:val="Heading4"/>
        <w:numPr>
          <w:ilvl w:val="3"/>
          <w:numId w:val="1"/>
        </w:numPr>
        <w:rPr/>
      </w:pPr>
      <w:bookmarkStart w:id="276" w:name="__RefHeading___Toc12561756_2142443653"/>
      <w:bookmarkStart w:id="277" w:name="_Toc97"/>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الحدث المستمر بحيث لو أراد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الطهارة لكلّ حدث في أثناء الصلاة لزم الحرج الشديد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معظم الأحكام المذكورة يمكن استفادتها من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ثم يرجع</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خصوصية البطن،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التلوث فيستفاد من رواية منصور بن حازم</w:t>
      </w:r>
      <w:r>
        <w:rPr>
          <w:rStyle w:val="FootnoteAnchor"/>
          <w:rtl w:val="true"/>
        </w:rPr>
        <w:footnoteReference w:id="778"/>
      </w:r>
      <w:r>
        <w:rPr>
          <w:rFonts w:ascii="Amiri" w:hAnsi="Amiri" w:eastAsia="Amiri" w:cs="Amiri"/>
          <w:color w:val="111111"/>
          <w:sz w:val="28"/>
          <w:sz w:val="28"/>
          <w:szCs w:val="28"/>
          <w:rtl w:val="true"/>
          <w:lang w:bidi="ar-SA"/>
        </w:rPr>
        <w:t>، بضميمة إلغاء الخصوصية للسلس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زائدة إذ يأتي في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يجدد لكل حدث أثناء الصلاة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مطلق الحرج في رفع الحكم، وكذا الضرر والعسر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فترة تسع الطهارة والصلاة أتى بالصلاة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فإن أمكنه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الحدث مقدار أداء الطهارة والصلاة ولو بإدخال قطنة أو لفّ خرقة من غير تضرر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كان له فترة يمكنه فيها الصلاة مع الطهارة بتجديدها عند كلّ حدث والإتيان ببقية الصلاة، وهكذا أتى بصلاته فيها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إتمام الصلاة بالوضوء الأول ثمّ الإتيان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له ذلك أيضاً لكن كان له فترة تسع أقلّ الواجب من الصلاة، الذي هو عبارة عن الإيماء وتسبيحة واحدة في كلّ ركعة،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بالصلاة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فإن 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عرض الأول لا في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بلحاظ التضرر يمكن أن يكون في طوله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لزوم حرج أو عسر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المسلوس، والأقوى في المبطون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إلاّ أنه متوقف على فهم الفقهاء عدم الفرق بين المسلوس والمبطون، وإلاّ فإنْ عُدّ الوضوء فعلاً كثيراً فالأحوط التكرار، فتأمل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لهذا النحو من التقديم والتأخير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بالتحفظ على الطهارة في هذه المدّة، فالأحوط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بالصلاة كذلك بعد الإتيان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تامّة الأفعال على النحوين المذكورين، وإن لم يتمكن من شيء من ذلك لتواتر حدثه توضّأ لكلّ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وأتى بها بعده من غير مهلة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يعتني بما يصدر حال الصلاة، ويجب على مسلوس البول والمبطون أن يشد عليه خرقة، أو يضع له كيساً لمنع تعدي النجاسة بما أمكن من ثيابه وبدنه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تتصوّر في المقام صور،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الوقت واسعاً للصلاة مع بقاء الوضوء، ولا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الإتيان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لهذا النحو من التقديم والتأخير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المسلوس، وعلى الأقوى في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تكرار الوضوء عند كل حدث بمقدار لا يبلغ حدّ الحرج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بل هو مبني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البدار لذوي الأعذار</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بها مع الوضوء، وهذا على طبق القاعدة الأولية؛ إذ المكلّف مكلّف بإتيان العمل الجامع للشرائط، ولا تصل النوبة إلى الوظيفة الاضطرارية مع 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بالعمل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له فترة تسع الصلاة أو بعضها مع الوضوء، ومقتضى القاعدة في هذه الصورة عدم وجوب الصلاة مع الطهارة أي الوضوء؛ إذ لا أثر له، ويكتفي بالصلاة بلا طهارة من باب أنها لا تسقط بحال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الوضوء بما رواه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أنَّ الملاك الإمكان الفعلي، أو الإمكان على امتداد عمود الزمان،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أيقدر على حبسه</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أنَّه بمجرد أن يتوضأ يصدر منه الحدث، أو في أثنائها فلا يستطيع أن يؤدي بعض الصلاة بطهور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فمقتضى القاعدة سقوط الصلاة أيضاً؛ لأنَّ المشروط عدم عند عدم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وليتوضأ وليصلَّ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يشمل ما نحن فيه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الإنصاف أنَّ الرواية مجملة جداً؛ إذ يحتمل أنَّ مراده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القيح،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يشمل سلس البول، فإنَّه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أخذه تقطير من قرحة إمّا دم وإمّا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فليضع خريطة وليتوضأ وليصلّ، فإنّما ذلك بلاء ابتلي به، فلا يعيدنّ إلاّ من الحدث الذي يتوضأ منه</w:t>
      </w:r>
      <w:r>
        <w:rPr>
          <w:rFonts w:eastAsia="Amiri" w:cs="Amiri" w:ascii="Amiri" w:hAnsi="Amiri"/>
          <w:color w:val="111111"/>
          <w:sz w:val="28"/>
          <w:szCs w:val="28"/>
          <w:rtl w:val="true"/>
          <w:lang w:bidi="ar-SA"/>
        </w:rPr>
        <w:t>»</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لا اعتبار بها سنداً، حيث إنّ سماعة من 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يحرز عدم إضماره عن غير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الأولي في الإضمار عدم الاعتبار؛ إذ يحتمل أن يكون المراد من المرجع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جاء الاحتمال بطل الاستدلال، إلاّ أن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بأنّ مراد الراوي من المرجع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الإنصاف أنّه يستفاد حكم البول؛ إذ لا يتصوّر شيء غير البول يوجب فساد الصلاة،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w:t>
      </w:r>
    </w:p>
    <w:p>
      <w:pPr>
        <w:pStyle w:val="BookText"/>
        <w:rPr/>
      </w:pPr>
      <w:r>
        <w:rPr>
          <w:rFonts w:ascii="Amiri" w:hAnsi="Amiri" w:eastAsia="Amiri" w:cs="Amiri"/>
          <w:color w:val="111111"/>
          <w:sz w:val="28"/>
          <w:sz w:val="28"/>
          <w:szCs w:val="28"/>
          <w:rtl w:val="true"/>
          <w:lang w:bidi="ar-SA"/>
        </w:rPr>
        <w:t xml:space="preserve">حدث، وإنما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خريطة لئلا يتلوث بدنه أو ثيابه بالدم أو القيح،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الوقف لا مدخل له في المقام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لجلالة الراوي مثلاً، كما في مضمر زرارة في الاستصحاب</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الغير الغائط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يقطر منه البول والدم إذا كان حين الصلاة اتخذ كيساً، وجعل فيه قطناً ثمّ علّقه عليه وأدخل ذكره فيه ثمّ صلّى</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فلا يدلّ على وجوب الوضوء؛ إذ يمكن أن يكون أمر الإمام بالجمع بين الصلاتين من باب الإرشاد إلى الطريق الأسهل وعدم الابتلاء بالحرج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يمكنه أن يجدد الوضوء في أثناء الصلاة، وفي هذه الصورة لا يجب التجديد بمقتضى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العياشي</w:t>
      </w:r>
      <w:r>
        <w:rPr>
          <w:rStyle w:val="FootnoteAnchor"/>
          <w:rtl w:val="true"/>
        </w:rPr>
        <w:footnoteReference w:id="7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النضر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الملاك واحد عرفاً،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برواية البطن</w:t>
      </w:r>
      <w:r>
        <w:rPr>
          <w:rStyle w:val="FootnoteAnchor"/>
          <w:rtl w:val="true"/>
        </w:rPr>
        <w:footnoteReference w:id="785"/>
      </w:r>
      <w:r>
        <w:rPr>
          <w:rFonts w:ascii="Amiri" w:hAnsi="Amiri" w:eastAsia="Amiri" w:cs="Amiri"/>
          <w:color w:val="111111"/>
          <w:sz w:val="28"/>
          <w:sz w:val="28"/>
          <w:szCs w:val="28"/>
          <w:rtl w:val="true"/>
          <w:lang w:bidi="ar-SA"/>
        </w:rPr>
        <w:t>لانجبارها بالعمل، وعدم الفرق بين المسلوس والمبطون عرفاً ولفهم الفقهاء،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لتطهيره ثيابه وبدنه مكرراً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له فترة بعد الوضوء ليؤدي بعض الصلاة بطهارة، ويمكنه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الوضوء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مجبور بالعمل، فتأمل</w:t>
      </w:r>
      <w:r>
        <w:rPr>
          <w:rFonts w:eastAsia="Amiri" w:cs="Amiri" w:ascii="Amiri" w:hAnsi="Amiri"/>
          <w:color w:val="111111"/>
          <w:sz w:val="28"/>
          <w:szCs w:val="28"/>
          <w:rtl w:val="true"/>
          <w:lang w:bidi="ar-SA"/>
        </w:rPr>
        <w:t xml:space="preserve">. </w:t>
      </w:r>
      <w:bookmarkStart w:id="278" w:name="pg15737_151751"/>
    </w:p>
    <w:p>
      <w:pPr>
        <w:pStyle w:val="Heading4"/>
        <w:numPr>
          <w:ilvl w:val="3"/>
          <w:numId w:val="1"/>
        </w:numPr>
        <w:rPr/>
      </w:pPr>
      <w:bookmarkStart w:id="279" w:name="__RefHeading___Toc12561758_2142443653"/>
      <w:bookmarkStart w:id="280" w:name="_Toc98"/>
      <w:bookmarkEnd w:id="278"/>
      <w:bookmarkEnd w:id="279"/>
      <w:r>
        <w:rPr>
          <w:rtl w:val="true"/>
        </w:rPr>
        <w:t xml:space="preserve">المسألة </w:t>
      </w:r>
      <w:r>
        <w:rPr/>
        <w:t>129</w:t>
      </w:r>
      <w:r>
        <w:rPr>
          <w:rtl w:val="true"/>
        </w:rPr>
        <w:t xml:space="preserve">: </w:t>
      </w:r>
      <w:r>
        <w:rPr>
          <w:rtl w:val="true"/>
        </w:rPr>
        <w:t>غير ما مرّ من النواقض ليس ناقضاً عندنا</w:t>
      </w:r>
      <w:bookmarkEnd w:id="2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مرّ من النواقض من المذي والوذي والودي، وقصّ الظفر وحلق الرأس وغير ذلك مما هو ناقض عند العامّة ليس ناقضاً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تجديد الوضوء للمذي والودي بالدال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اعتبار به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المبطون، فلا يترك الاحتياط من جهة منع التعدي، فإنّ مناسبة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والموضوع تقتضي أن يكون المبطون كالمسلوس في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كون المذكورات ناقضة فهو على طبق القاعدة الأولية؛ إذ بعد ما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الشارع عدد النواقض يفهم عدم كون غيره ناقضاً، وإلا يلزم نقض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 مع الحكمة،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الملاك عدم التلوث لا عدم التلوث بالبول فقط، ويؤيده فهم الفقهاء،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الوضوء إلاّ من غائط أو بول أو ضرطة تسمع صوتها أو فسوة تجد ريحها</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تقريرات اُُخرى مذكورة في الأصول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التقرير</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مثل أنَّ الشارع مكلف بالأمر بالمعروف والنهي عن المنكر، ويكفي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بناءً على جريانه في </w:t>
      </w:r>
    </w:p>
    <w:p>
      <w:pPr>
        <w:pStyle w:val="BookText"/>
        <w:rPr/>
      </w:pPr>
      <w:r>
        <w:rPr>
          <w:rFonts w:ascii="Amiri" w:hAnsi="Amiri" w:eastAsia="Amiri" w:cs="Amiri"/>
          <w:color w:val="111111"/>
          <w:sz w:val="28"/>
          <w:sz w:val="28"/>
          <w:szCs w:val="28"/>
          <w:rtl w:val="true"/>
          <w:lang w:bidi="ar-SA"/>
        </w:rPr>
        <w:t>أضف إلى ذلك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 من ذكرك شيء من مذي أو ودي وأنت في الصلاة فلا تغسله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 الصلاة، ولا تنقض له الوضوء وإن بلغ عقبيك</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يقلّم أظفاره ويجز شاربه، ويأخذ من شعر لحيته ورأسه، هل ينقض وضوءه؟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هذا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فريضة، وليس شيء من السنة ينقض الفريضة</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حكمه باستحباب الوضوء للمذي والودي فيمكن أن يكون الوجه في نظره أحاديث محمّد بن إسماعيل،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المذي فأمرني بالوضوء منه، ثم أعدت عليه سنة أخرى</w:t>
      </w:r>
    </w:p>
    <w:p>
      <w:pPr>
        <w:pStyle w:val="BookText"/>
        <w:rPr/>
      </w:pPr>
      <w:r>
        <w:rPr>
          <w:rFonts w:ascii="Amiri" w:hAnsi="Amiri" w:eastAsia="Amiri" w:cs="Amiri"/>
          <w:color w:val="111111"/>
          <w:sz w:val="28"/>
          <w:sz w:val="28"/>
          <w:szCs w:val="28"/>
          <w:rtl w:val="true"/>
          <w:lang w:bidi="ar-SA"/>
        </w:rPr>
        <w:t>الشبهات الحكمية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في مقام توهم الوجوب لا يدل إلاّ على عدم الوجوب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المستحب لا ينقض الواجب، أو المراد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فأمرني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 منه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المذي يخرج 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لك فيه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على شهوة فتوضأ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على غير ذلك فليس عليك فيه وضوء</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المذي أينقض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شهوة 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استعمال مادة الأمر في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الظاهراً أنه مقوم لكونه ندباً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الاستحباب بقرينة الرواية السابقة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المني عليه لعله من باب المجاز، والمراد سائر الرطوبات، فتأمل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الندب بعيد، ولعل الأولى حمله على التقية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سنان يعني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يخرجن من الإحليل،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وفيه الغسل، والودي فمنه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الجمع بين النصوص يقتضي الالتزام بالاستحباب، لكن الجمع بالنحو المذكور غير مقبول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وبالنتيجة لا يمكن الجزم بالاستحباب والفتوى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الوجوب في الودي، إلاّ أنَّه بقرينة فهم الأصحاب وضرورة الفقه يحمل على الاستحباب، وقد يُحمل على التقية فلا يبقى دليل على الاستحباب، ولكن يكفي في الاستحباب فتوى الفقيه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عرفي</w:t>
      </w:r>
      <w:r>
        <w:rPr>
          <w:rFonts w:eastAsia="Amiri" w:cs="Amiri" w:ascii="Amiri" w:hAnsi="Amiri"/>
          <w:color w:val="111111"/>
          <w:sz w:val="28"/>
          <w:szCs w:val="28"/>
          <w:rtl w:val="true"/>
          <w:lang w:bidi="ar-SA"/>
        </w:rPr>
        <w:t xml:space="preserve">. </w:t>
      </w:r>
      <w:bookmarkStart w:id="281" w:name="pg15737_151755"/>
    </w:p>
    <w:p>
      <w:pPr>
        <w:pStyle w:val="Heading3"/>
        <w:numPr>
          <w:ilvl w:val="2"/>
          <w:numId w:val="1"/>
        </w:numPr>
        <w:rPr/>
      </w:pPr>
      <w:bookmarkStart w:id="282" w:name="__RefHeading___Toc12561760_2142443653"/>
      <w:bookmarkStart w:id="283" w:name="_Toc99"/>
      <w:bookmarkEnd w:id="281"/>
      <w:bookmarkEnd w:id="282"/>
      <w:r>
        <w:rPr>
          <w:rtl w:val="true"/>
        </w:rPr>
        <w:t>فصل</w:t>
      </w:r>
      <w:r>
        <w:rPr>
          <w:rtl w:val="true"/>
        </w:rPr>
        <w:t xml:space="preserve">: </w:t>
      </w:r>
      <w:r>
        <w:rPr>
          <w:rtl w:val="true"/>
        </w:rPr>
        <w:t>في سنن الوضوء وآدابه</w:t>
      </w:r>
      <w:bookmarkEnd w:id="283"/>
    </w:p>
    <w:p>
      <w:pPr>
        <w:pStyle w:val="BookText"/>
        <w:rPr/>
      </w:pPr>
      <w:r>
        <w:rPr>
          <w:rFonts w:ascii="Amiri" w:hAnsi="Amiri" w:eastAsia="Amiri" w:cs="Amiri"/>
          <w:color w:val="111111"/>
          <w:sz w:val="28"/>
          <w:sz w:val="28"/>
          <w:szCs w:val="28"/>
          <w:rtl w:val="true"/>
          <w:lang w:bidi="ar-SA"/>
        </w:rPr>
        <w:t>في سنن الوضوء وآدابه التي لا إشكال في إتيانها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أن يضع الإناء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يغترف منه على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أشلّ، والاغتراف بها حتّى لغسلها، والتسمية عند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w:t>
      </w:r>
      <w:r>
        <w:rPr>
          <w:rStyle w:val="FootnoteAnchor"/>
          <w:rtl w:val="true"/>
        </w:rPr>
        <w:footnoteReference w:id="796"/>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 الرجل حتى يسمي يقول قبل أن يمسّ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بسم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إتيانها بنية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قيد، أو أن الفتاوى مطلقة؟ فلو كان الإناء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كالقناني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يبقى الاستحباب؟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وظاهره البعدية لا العندية، وعلى كل ففتوى الفقيه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الفقيه كافية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مستحب قبل الوضع في </w:t>
      </w:r>
    </w:p>
    <w:p>
      <w:pPr>
        <w:pStyle w:val="BookText"/>
        <w:rPr/>
      </w:pPr>
      <w:r>
        <w:rPr>
          <w:rFonts w:ascii="Amiri" w:hAnsi="Amiri" w:eastAsia="Amiri" w:cs="Amiri"/>
          <w:color w:val="111111"/>
          <w:sz w:val="28"/>
          <w:sz w:val="28"/>
          <w:szCs w:val="28"/>
          <w:rtl w:val="true"/>
          <w:lang w:bidi="ar-SA"/>
        </w:rPr>
        <w:t>وأن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اجعلني من التوابين، واجعلني من المتطهرين، والدعاء بالمأثور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التسمية في أوّل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اليدين من الزندين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 قبل إدخالهما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وباللّه اللّهم اجعلني من التوابين واجعلني من المتطهرين</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وحين الوضع،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مستحب واحد ويتخير المكلف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غير التسمية؟ ظاهر المتن أنهما مستحبان، والشارح فسر الأول</w:t>
      </w:r>
      <w:r>
        <w:rPr>
          <w:rStyle w:val="FootnoteAnchor"/>
          <w:rtl w:val="true"/>
        </w:rPr>
        <w:footnoteReference w:id="799"/>
      </w:r>
      <w:r>
        <w:rPr>
          <w:rFonts w:ascii="Amiri" w:hAnsi="Amiri" w:eastAsia="Amiri" w:cs="Amiri"/>
          <w:color w:val="111111"/>
          <w:sz w:val="28"/>
          <w:sz w:val="28"/>
          <w:szCs w:val="28"/>
          <w:rtl w:val="true"/>
          <w:lang w:bidi="ar-SA"/>
        </w:rPr>
        <w:t>بالثاني</w:t>
      </w:r>
      <w:r>
        <w:rPr>
          <w:rStyle w:val="FootnoteAnchor"/>
          <w:rtl w:val="true"/>
        </w:rPr>
        <w:footnoteReference w:id="800"/>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والدعاء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المتن أنَّه غير ما سبق، لكن الشارح فسره بما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الدعاء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الماء طهوراً ولم يجعله نجساً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الزندين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 دليلاً في الروايات التي ذكرها، وفتوى الفقيه كافية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إدخالهما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وذلك لإطلاق الرواية الثانية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الإناء الذي يغترف منه، والزند المفصل بين الكفّ والساعد يغسلهما من حدث البول والنوم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الغائط مرّتين، والمضمضمة والاستنشاق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يبدأ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بظاهر ذراعيه في الغسلة الأولى، وبباطنهما في الثانية، بناء على مشروعية تثنية الغسلات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ما رواه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المضمضة والاستنشاق ممّا سنّ</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في البول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مجملة</w:t>
      </w:r>
      <w:r>
        <w:rPr>
          <w:rStyle w:val="FootnoteAnchor"/>
          <w:rtl w:val="true"/>
        </w:rPr>
        <w:footnoteReference w:id="803"/>
      </w:r>
      <w:r>
        <w:rPr>
          <w:rFonts w:ascii="Amiri" w:hAnsi="Amiri" w:eastAsia="Amiri" w:cs="Amiri"/>
          <w:color w:val="111111"/>
          <w:sz w:val="28"/>
          <w:sz w:val="28"/>
          <w:szCs w:val="28"/>
          <w:rtl w:val="true"/>
          <w:lang w:bidi="ar-SA"/>
        </w:rPr>
        <w:t xml:space="preserve">، إذ البدء فيها يحتمل البدء العددي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المرّة الأولى في قبال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الموضعي،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 كل واحدة من الغسلتين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بأس بما في المتن، لفتوى الفقيه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والفريضة</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والظاهر أنَّه لا يدل على أنَّه مستحب، بل يفهم ذلك بسائر الأدلَّة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الاستعانة فيه بالصبّ في اليد ونحوه، وكذا في سائر مقدماته القريبة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حسن بن علي الوشاء</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والسكوني، عن أبي عبد اللّه،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خصلتان لا أحبّ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w:t>
      </w:r>
      <w:r>
        <w:rPr>
          <w:rStyle w:val="FootnoteAnchor"/>
          <w:rtl w:val="true"/>
        </w:rPr>
        <w:footnoteReference w:id="805"/>
      </w:r>
      <w:r>
        <w:rPr>
          <w:rFonts w:ascii="Amiri" w:hAnsi="Amiri" w:eastAsia="Amiri" w:cs="Amiri"/>
          <w:color w:val="111111"/>
          <w:sz w:val="28"/>
          <w:sz w:val="28"/>
          <w:szCs w:val="28"/>
          <w:rtl w:val="true"/>
          <w:lang w:bidi="ar-SA"/>
        </w:rPr>
        <w:t>تدل على كراهة الصب والمشاركة، وهل أنّ كلمة المشاركة تشمل المقدمات القريبة كلّها كما ذكرنا، أم أنها مجملة؟ وعلى كلٍ ففتوى الفقه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شمول المشاركة للمقدمات البعيدة ففيه غموض، 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اتيني</w:t>
      </w:r>
    </w:p>
    <w:p>
      <w:pPr>
        <w:pStyle w:val="BookText"/>
        <w:rPr/>
      </w:pPr>
      <w:r>
        <w:rPr>
          <w:rFonts w:ascii="IRNazanin" w:hAnsi="IRNazanin" w:eastAsia="IRNazanin"/>
          <w:color w:val="111111"/>
          <w:sz w:val="28"/>
          <w:sz w:val="28"/>
          <w:szCs w:val="28"/>
          <w:rtl w:val="true"/>
          <w:lang w:bidi="fa-IR"/>
        </w:rPr>
        <w:t>بإناء</w:t>
      </w:r>
      <w:r>
        <w:rPr>
          <w:rFonts w:eastAsia="IRNazanin" w:cs="IRNazanin"/>
          <w:color w:val="111111"/>
          <w:sz w:val="28"/>
          <w:szCs w:val="28"/>
          <w:rtl w:val="true"/>
          <w:lang w:bidi="fa-IR"/>
        </w:rPr>
        <w:t>»</w:t>
      </w:r>
      <w:r>
        <w:rPr>
          <w:rStyle w:val="FootnoteAnchor"/>
          <w:rtl w:val="true"/>
        </w:rPr>
        <w:footnoteReference w:id="806"/>
      </w:r>
      <w:r>
        <w:rPr>
          <w:rFonts w:ascii="Amiri" w:hAnsi="Amiri" w:eastAsia="Amiri" w:cs="Amiri"/>
          <w:color w:val="111111"/>
          <w:sz w:val="28"/>
          <w:sz w:val="28"/>
          <w:szCs w:val="28"/>
          <w:rtl w:val="true"/>
          <w:lang w:bidi="ar-SA"/>
        </w:rPr>
        <w:t>يدل على عدم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Style w:val="FootnoteAnchor"/>
          <w:rtl w:val="true"/>
        </w:rPr>
        <w:footnoteReference w:id="807"/>
      </w:r>
      <w:r>
        <w:rPr>
          <w:rFonts w:ascii="Amiri" w:hAnsi="Amiri" w:eastAsia="Amiri" w:cs="Amiri"/>
          <w:color w:val="111111"/>
          <w:sz w:val="28"/>
          <w:sz w:val="28"/>
          <w:szCs w:val="28"/>
          <w:rtl w:val="true"/>
          <w:lang w:bidi="ar-SA"/>
        </w:rPr>
        <w:t>تدل على الحرمة لاستخدامها كلمة الوزر والشرك، لكن حيث إنها ضعيفة حملت على الكراهة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كلمة الشرك يمكن حملها على الكراهة؛ لأنَّ للشرك مراتب،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له إبقاء بلل الوضوء على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أمير المؤمنين بيننا هو ذات يوم جالس مع محمّد بن الحنفية،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ايتني بإناء من ماء أتوضّأ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وأعفه واستر عورتي، وحرّمها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w:t>
      </w:r>
    </w:p>
    <w:p>
      <w:pPr>
        <w:pStyle w:val="BookText"/>
        <w:rPr/>
      </w:pPr>
      <w:r>
        <w:rPr>
          <w:rFonts w:ascii="Amiri" w:hAnsi="Amiri" w:eastAsia="Amiri" w:cs="Amiri"/>
          <w:color w:val="111111"/>
          <w:sz w:val="28"/>
          <w:sz w:val="28"/>
          <w:szCs w:val="28"/>
          <w:rtl w:val="true"/>
          <w:lang w:bidi="ar-SA"/>
        </w:rPr>
        <w:t>أن يشاركني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فإنه من صلاتي، وصدقتي فإنّها من يدي إلى يد السائل، فإنّها تقع في يد الرحمان</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توضأ وتمندل كتبت له حسنة، ومن توضّأ ولم يتمندل حتى يجفّ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وضوؤه كتب له ثلاثون حسنة</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باعتبار أن العورة منشأ لكثير من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جميع المقدمات القريبة، فتأمل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بمدٍ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يشمل المقدمات كالمضمضة والاستنشاق أيضاً، وذلك لظهور الرواية</w:t>
      </w:r>
      <w:r>
        <w:rPr>
          <w:rStyle w:val="FootnoteAnchor"/>
          <w:rtl w:val="true"/>
        </w:rPr>
        <w:footnoteReference w:id="81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وجهي يوم تسودّ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 ولا تسوّد وجهي يوم تبيضّ فيه وجوه، ثمّ غسل يده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والخلد في الجنان بيساري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وحاسبني حساباً يسيراً</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سورة القدر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يكون الوضوء بمد من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الخزي، ولعله السواد الظاهري؛ لأنَّه خلق مشوه، وراجع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وَتَسْوَدُّ وُجُوهٌ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اليسر، ولعل المراد أنَّ ورقة الخلد تُعطى بالشمال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يعين موقعه، وهل أنَّه بعد الوضوء أو في أثنائه؟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يدل على أنَّ التمندل لا خصوصية له، بل المهم أن يتركه حتى يجف، فلا يجففه بالهواء الحارّ الصادر من بعض الوسائل الحدثية مثلاً، فتأمل</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5737_151762"/>
      <w:bookmarkStart w:id="285" w:name="pg15737_151762"/>
      <w:bookmarkEnd w:id="285"/>
    </w:p>
    <w:p>
      <w:pPr>
        <w:pStyle w:val="Heading2"/>
        <w:numPr>
          <w:ilvl w:val="1"/>
          <w:numId w:val="1"/>
        </w:numPr>
        <w:rPr/>
      </w:pPr>
      <w:bookmarkStart w:id="286" w:name="pg15737_151762"/>
      <w:bookmarkStart w:id="287" w:name="__RefHeading___Toc12561762_2142443653"/>
      <w:bookmarkStart w:id="288" w:name="_Toc100"/>
      <w:bookmarkEnd w:id="286"/>
      <w:bookmarkEnd w:id="287"/>
      <w:r>
        <w:rPr>
          <w:rtl w:val="true"/>
        </w:rPr>
        <w:t>فصل</w:t>
      </w:r>
      <w:r>
        <w:rPr>
          <w:rtl w:val="true"/>
        </w:rPr>
        <w:t xml:space="preserve">: </w:t>
      </w:r>
      <w:r>
        <w:rPr>
          <w:rtl w:val="true"/>
        </w:rPr>
        <w:t>في الأغسال</w:t>
      </w:r>
      <w:bookmarkEnd w:id="28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12561764_2142443653"/>
      <w:bookmarkStart w:id="290" w:name="_Toc101"/>
      <w:bookmarkEnd w:id="289"/>
      <w:r>
        <w:rPr>
          <w:rtl w:val="true"/>
        </w:rPr>
        <w:t>اشارة</w:t>
      </w:r>
      <w:bookmarkEnd w:id="29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5737_151764"/>
      <w:bookmarkStart w:id="292" w:name="pg15737_151764"/>
      <w:bookmarkEnd w:id="292"/>
    </w:p>
    <w:p>
      <w:pPr>
        <w:pStyle w:val="Heading3"/>
        <w:numPr>
          <w:ilvl w:val="2"/>
          <w:numId w:val="1"/>
        </w:numPr>
        <w:rPr/>
      </w:pPr>
      <w:bookmarkStart w:id="293" w:name="pg15737_151764"/>
      <w:bookmarkStart w:id="294" w:name="__RefHeading___Toc12561766_2142443653"/>
      <w:bookmarkStart w:id="295" w:name="_Toc102"/>
      <w:bookmarkEnd w:id="293"/>
      <w:bookmarkEnd w:id="294"/>
      <w:r>
        <w:rPr>
          <w:rtl w:val="true"/>
        </w:rPr>
        <w:t>فصل</w:t>
      </w:r>
      <w:r>
        <w:rPr>
          <w:rtl w:val="true"/>
        </w:rPr>
        <w:t xml:space="preserve">: </w:t>
      </w:r>
      <w:r>
        <w:rPr>
          <w:rtl w:val="true"/>
        </w:rPr>
        <w:t>في الأغسال</w:t>
      </w:r>
      <w:bookmarkEnd w:id="295"/>
    </w:p>
    <w:p>
      <w:pPr>
        <w:pStyle w:val="Heading4"/>
        <w:numPr>
          <w:ilvl w:val="3"/>
          <w:numId w:val="1"/>
        </w:numPr>
        <w:rPr/>
      </w:pPr>
      <w:bookmarkStart w:id="296" w:name="__RefHeading___Toc12561768_2142443653"/>
      <w:bookmarkStart w:id="297" w:name="_Toc103"/>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ومستحبّ، والواجب 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وغسل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غسل الجنابة فسببه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من الموضع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كونه بالاختيار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 ولا بين خروج الكثير منه أو القليل ولو بمقدار ذرّة، وفي حكم المني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 المشتبه الخارج قبل الاستبراء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الغسل بخروج المني من غير الموضع العادي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والخنثى غير المشكل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غسل الأموات، والملتزم بنذر وشبهه ليس واجباً نفسياً، بل هو واجب شرطي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تشمله أدلَّة رفع الاضطرار أو الإكراه؟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 وضعي، أو بقرينة أنَّه في المنام يوجب الغسل،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حكم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ذلك ما يخرج من المرأة عقيب الجماع وإنزال الرجل في فرجها، فإنَّه لا يجب عليها الغسل به في صورة الاشتباه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الاسبتراء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بالبول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صدق عنوان الإنزال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حكمه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المشكل منه فيتحقق جنابته بخروج المني من فرجيه، أو مما اعتاد خروجه منه، وفي غير هاتين الصورتين إشكال أقواه وجوب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وهو يحصل بغيبوبة الحشفة في قبل المرأة للرجل والمرأة، بل وكذا في دبرها على الأحوط إن لم يكن 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للرجل، وإن لم يخرج المني، وفي حصوله بوطء الذكر أو الخنثى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الحيوان إشكال، كالإشكال في حصوله لموطوء الميّت والحيوان، وكذا في حصوله لمقطوع الحشفة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فيما لو دخل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يترك الاحتياط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مما تقدم أنَّه لو خرج من غير المخرج الأصلي فالملاك صدق عنوان الإنزال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صدق عنوان الإنزال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فيه وجوب الغسل، فيما يجب الغسل منه على فرض الحياة، وكذا في موطوء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لمقطوع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فيه وجوب الغسل فيما يجب الغسل منه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الوجوب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من حيث الحكم الشرعي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ومستحب، والظاهر أنّ المراد بالوجوب في كلامه أعمّ من التكليفي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الجنابة مثلاً لا يكون واجباً في حد نفسه بالوجوب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صدق المني على الخارج من الخصية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منياً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النفسي والشرطي، فلا يجب إلاّ للمشروط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وضوحاً فقهياً، بل ربما تدعى ضرورة المذهب والدين،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إذ صدق عنوان المني لا يستدعي ترتب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دام الشارع قد قيد بالخروج من الإحليل، كالحيض الذي يكون أقل من ثلاثة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اثبات الشيء لا ينفي ما عداه، فالرواية</w:t>
      </w:r>
      <w:r>
        <w:rPr>
          <w:rStyle w:val="FootnoteAnchor"/>
          <w:rtl w:val="true"/>
        </w:rPr>
        <w:footnoteReference w:id="813"/>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يخرج من الإحليل، وليس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لا يخرج من الأحليل ليس منياً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دلّت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منها ما رواه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يضع ذكره على فرج المرأة فيمني أعليها 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أصابها من الماء شيء فلتغسله وليس عليها شيء إلا أن يدخله،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أمنت هي ولم يدخله،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الغسل</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دلت على عدّة اُمور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أمنت</w:t>
      </w:r>
      <w:r>
        <w:rPr>
          <w:rFonts w:eastAsia="IRNazanin" w:cs="IRNazanin"/>
          <w:color w:val="111111"/>
          <w:sz w:val="28"/>
          <w:szCs w:val="28"/>
          <w:rtl w:val="true"/>
          <w:lang w:bidi="fa-IR"/>
        </w:rPr>
        <w:t>»</w:t>
      </w:r>
      <w:r>
        <w:rPr>
          <w:rStyle w:val="FootnoteAnchor"/>
          <w:rtl w:val="true"/>
        </w:rPr>
        <w:footnoteReference w:id="815"/>
      </w:r>
      <w:r>
        <w:rPr>
          <w:rFonts w:ascii="Amiri" w:hAnsi="Amiri" w:eastAsia="Amiri" w:cs="Amiri"/>
          <w:color w:val="111111"/>
          <w:sz w:val="28"/>
          <w:sz w:val="28"/>
          <w:szCs w:val="28"/>
          <w:rtl w:val="true"/>
          <w:lang w:bidi="ar-SA"/>
        </w:rPr>
        <w:t>ليس عليها الغسل، وهي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فأمنت</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وهي صريحة، وقد جعل الملاك فيها الجماع نوماً أو 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وأمنت هي</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ليس عليها غسل، وهي كالسابقة، خاصَّة وأنَّ الراوي فرق بين الإمناء والإمذاء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الأعظم</w:t>
      </w:r>
      <w:r>
        <w:rPr>
          <w:rFonts w:eastAsia="IRNazanin" w:cs="IRNazanin"/>
          <w:color w:val="111111"/>
          <w:sz w:val="28"/>
          <w:szCs w:val="28"/>
          <w:rtl w:val="true"/>
          <w:lang w:bidi="fa-IR"/>
        </w:rPr>
        <w:t>»</w:t>
      </w:r>
      <w:r>
        <w:rPr>
          <w:rStyle w:val="FootnoteAnchor"/>
          <w:rtl w:val="true"/>
        </w:rPr>
        <w:footnoteReference w:id="818"/>
      </w:r>
      <w:r>
        <w:rPr>
          <w:rFonts w:ascii="Amiri" w:hAnsi="Amiri" w:eastAsia="Amiri" w:cs="Amiri"/>
          <w:color w:val="111111"/>
          <w:sz w:val="28"/>
          <w:sz w:val="28"/>
          <w:szCs w:val="28"/>
          <w:rtl w:val="true"/>
          <w:lang w:bidi="ar-SA"/>
        </w:rPr>
        <w:t>وهي ظاهرة في المني مع لحاظ الاحتلام،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المرأة غسل من جنابتها إذا لم يأتها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عليهن ذلك، وقد 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ذلك عليكم،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ذلك 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قبالها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أخرى تدلّ على الوجوب،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الاحتلام</w:t>
      </w:r>
      <w:r>
        <w:rPr>
          <w:rFonts w:eastAsia="IRNazanin" w:cs="IRNazanin"/>
          <w:color w:val="111111"/>
          <w:sz w:val="28"/>
          <w:szCs w:val="28"/>
          <w:rtl w:val="true"/>
          <w:lang w:bidi="fa-IR"/>
        </w:rPr>
        <w:t>»</w:t>
      </w:r>
      <w:r>
        <w:rPr>
          <w:rStyle w:val="FootnoteAnchor"/>
          <w:rtl w:val="true"/>
        </w:rPr>
        <w:footnoteReference w:id="820"/>
      </w:r>
      <w:r>
        <w:rPr>
          <w:rFonts w:ascii="Amiri" w:hAnsi="Amiri" w:eastAsia="Amiri" w:cs="Amiri"/>
          <w:color w:val="111111"/>
          <w:sz w:val="28"/>
          <w:sz w:val="28"/>
          <w:szCs w:val="28"/>
          <w:rtl w:val="true"/>
          <w:lang w:bidi="ar-SA"/>
        </w:rPr>
        <w:t>لا يوجب الغسل، ويدل بالإطلاق على العدم ولو أمنت، وآخرها صريح في اختصاص الخطاب بالرجال</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Style w:val="FootnoteAnchor"/>
          <w:rtl w:val="true"/>
        </w:rPr>
        <w:footnoteReference w:id="822"/>
      </w:r>
      <w:r>
        <w:rPr>
          <w:rFonts w:ascii="Amiri" w:hAnsi="Amiri" w:eastAsia="Amiri" w:cs="Amiri"/>
          <w:color w:val="111111"/>
          <w:sz w:val="28"/>
          <w:sz w:val="28"/>
          <w:szCs w:val="28"/>
          <w:rtl w:val="true"/>
          <w:lang w:bidi="ar-SA"/>
        </w:rPr>
        <w:t>خلاف قاعدة الاشتراك،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الجمع العرفي مشكل، فالأولى أن يقال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الأولى معرض عنها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إسماعيل بن سعد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يلمس فرج جاريته حتّى تنزل الماء من غير أن يباشر، يعبث بها بيده حتّى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الغسل</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غسل، ولكن لا تحدّثوهنّ بهذا فيتّخذنه 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تقية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بعد التعارض المستقر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الجمع العرفي بالحمل على الاستحباب، لكن لم يقل بذلك أحد فيما نعلم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متقوم بالخروج إلى خارج البدن، كما ذكروا نظيره في جنابة الرجل، وفي الحيض والنفاس والاستحاضة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مقوم لكونه منياً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تخرج إلى بيت صديقها مثلاً،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احتلمت، فتخرج بعنوان الحمام إلى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والأمّة من شهوة جامعها الرجل أو لم يجامعها في نوم كان ذلك أو في يقظة فإنّ عليها الغسل</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الطوائف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الإنزال بالنسبة إلى المرأة ناشئاً عن الشهوة يحكم بكونها جنباً، ويجب عليها الغسل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 المشتبة الخارج قبل الاستبراء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Style w:val="FootnoteAnchor"/>
          <w:rtl w:val="true"/>
        </w:rPr>
        <w:footnoteReference w:id="829"/>
      </w:r>
      <w:r>
        <w:rPr>
          <w:rFonts w:ascii="Amiri" w:hAnsi="Amiri" w:eastAsia="Amiri" w:cs="Amiri"/>
          <w:color w:val="111111"/>
          <w:sz w:val="28"/>
          <w:sz w:val="28"/>
          <w:szCs w:val="28"/>
          <w:rtl w:val="true"/>
          <w:lang w:bidi="ar-SA"/>
        </w:rPr>
        <w:t>تدل على أنَّ المرأة تمني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ليس جمعاً؛ إذ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مقومة لكونه منياً، فمقتضى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تجنب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الروايات</w:t>
      </w:r>
      <w:r>
        <w:rPr>
          <w:rStyle w:val="FootnoteAnchor"/>
          <w:rtl w:val="true"/>
        </w:rPr>
        <w:footnoteReference w:id="830"/>
      </w:r>
      <w:r>
        <w:rPr>
          <w:rFonts w:ascii="Amiri" w:hAnsi="Amiri" w:eastAsia="Amiri" w:cs="Amiri"/>
          <w:color w:val="111111"/>
          <w:sz w:val="28"/>
          <w:sz w:val="28"/>
          <w:szCs w:val="28"/>
          <w:rtl w:val="true"/>
          <w:lang w:bidi="ar-SA"/>
        </w:rPr>
        <w:t xml:space="preserve">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إمناءها لا غسل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الغسل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 عليها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الإنزال بشهوة وعدمه، وقد مضى ما في هذا الجمع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بكونه منياً، ويترتب عليه حكمه،مع أنّ مقتضى الأصل الأوّلي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الأولية عدم كونه مصداقاً له، والوجه في الخروج عن القاعدة الأولية عدة 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اغتسل وهو جنب قبل أن يبول ثمّ يجد بللاً فقد انتقض غسله، وإن كان بال ثمّ اغتسل ثمّ وجد بللاً فليس ينقض غسله، ولكن عليه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البول لم يدع شيئاً</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من إحليله بعد ما اغتسل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ويعيد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بال قبل أن يغتسل فإنّه لا يعيد غسله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يجنب ثمّ يغتسل قبل أن يبول فيجد بللاً بعدما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فإن كان بال قبل أن يغتسل فلا يعيد غسله، ولكن يتوضّأ ويستنجي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كونه منيّاً،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عدم أزلي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ترتب أحكام الجنابة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بأدلَّة الاستبراء بالخرطات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إن صلَّى بعد الخروج</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يطهر الموضع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أجنب فاغتسل قبل أن يبول فخرج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يخرج منها شيء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النصوص طائفة أخرى تدلّ على عدم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البلل المشتبه الخارج قبل الاستبراء بالبول بحكم المني، ولا يختص الحكم بالرجل، بل يعمّ المرأة، فإنّ الحديث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الثالث عشر من أبواب نواقض الوضوء، يشمل كلا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الرواية تدل على التفصيل في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 المصنف تضعيفها</w:t>
      </w:r>
      <w:r>
        <w:rPr>
          <w:rStyle w:val="FootnoteAnchor"/>
          <w:rtl w:val="true"/>
        </w:rPr>
        <w:footnoteReference w:id="835"/>
      </w:r>
      <w:r>
        <w:rPr>
          <w:rFonts w:ascii="Amiri" w:hAnsi="Amiri" w:eastAsia="Amiri" w:cs="Amiri"/>
          <w:color w:val="111111"/>
          <w:sz w:val="28"/>
          <w:sz w:val="28"/>
          <w:szCs w:val="28"/>
          <w:rtl w:val="true"/>
          <w:lang w:bidi="ar-SA"/>
        </w:rPr>
        <w:t>جميعاً، مضافاً إلى أنَّها معرض عنها ظاهراً، فلا تنهض للمقابلة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لو فرض اعتبارها فتدل على التفصيل بين الناسي وغيره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تطلق على الرجل والمرأة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الرواية الثانية</w:t>
      </w:r>
      <w:r>
        <w:rPr>
          <w:rStyle w:val="FootnoteAnchor"/>
          <w:rtl w:val="true"/>
        </w:rPr>
        <w:footnoteReference w:id="837"/>
      </w:r>
      <w:r>
        <w:rPr>
          <w:rFonts w:ascii="Amiri" w:hAnsi="Amiri" w:eastAsia="Amiri" w:cs="Amiri"/>
          <w:color w:val="111111"/>
          <w:sz w:val="28"/>
          <w:sz w:val="28"/>
          <w:szCs w:val="28"/>
          <w:rtl w:val="true"/>
          <w:lang w:bidi="ar-SA"/>
        </w:rPr>
        <w:t>بضميمة قاعدة الاشتراك، لكن قد ذكر في الأصول</w:t>
      </w:r>
      <w:r>
        <w:rPr>
          <w:rStyle w:val="FootnoteAnchor"/>
          <w:rtl w:val="true"/>
        </w:rPr>
        <w:footnoteReference w:id="838"/>
      </w:r>
      <w:r>
        <w:rPr>
          <w:rFonts w:ascii="Amiri" w:hAnsi="Amiri" w:eastAsia="Amiri" w:cs="Amiri"/>
          <w:color w:val="111111"/>
          <w:sz w:val="28"/>
          <w:sz w:val="28"/>
          <w:szCs w:val="28"/>
          <w:rtl w:val="true"/>
          <w:lang w:bidi="ar-SA"/>
        </w:rPr>
        <w:t>المناقشة في ذلك، لأنَّ الموضوع هو الرجل،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الثالثة والرابعة</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أبول ثم أتمسح بالأحجار، فيجئ مني البلل ما يفسد سراويلي،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فهي كالأولى، وأمَّا السادسة والسابعة والثامنة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بلت فلا أقدر</w:t>
      </w:r>
    </w:p>
    <w:p>
      <w:pPr>
        <w:pStyle w:val="BookText"/>
        <w:rPr/>
      </w:pPr>
      <w:r>
        <w:rPr>
          <w:rFonts w:ascii="Amiri" w:hAnsi="Amiri" w:eastAsia="Amiri" w:cs="Amiri"/>
          <w:color w:val="111111"/>
          <w:sz w:val="28"/>
          <w:sz w:val="28"/>
          <w:szCs w:val="28"/>
          <w:rtl w:val="true"/>
          <w:lang w:bidi="ar-SA"/>
        </w:rPr>
        <w:t>على الماء، ويشتد ذلك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وتمسحت فامسح ذكرك بريقك، فإن وجدت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الخصي يبول فيلقى من ذلك شدة، ويرى البلل بعد البلل؟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وينتضح في النهار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احتوت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يفُتِ كثير بذلك، بل حكموا بالطهارة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الخنثى غير المشكل واضح، فإنّ الآلة التي تكون بدلاً عن الآلة الأصلية واضحة، ولا يصير الأمر مشتبهاً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المشكل فإن خرج المني من كلا الفرجين يترتب عليه الحكم للعلم بتحقّق الموضوع، وأيضاً لو خرج من الموضع الذي اعتاد خروجه منه بحيث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عنوان الموضوع فهو واضح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له إلاّ مع صدق عنوان الإنزال الذي جعل في النصّ موضوعاً للحكم، وفي غير هذه الصورة يكون مقتضى الأصل الحكم بعدم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الجنابة وعدم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الجنابة تتحقّق بالجماع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خرج من غير المخرج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الملاك صدق عنوان الإنزال،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يصدق دائماً،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موضوعي، وما يليه</w:t>
      </w:r>
      <w:r>
        <w:rPr>
          <w:rStyle w:val="FootnoteAnchor"/>
          <w:rtl w:val="true"/>
        </w:rPr>
        <w:footnoteReference w:id="840"/>
      </w:r>
      <w:r>
        <w:rPr>
          <w:rFonts w:ascii="Amiri" w:hAnsi="Amiri" w:eastAsia="Amiri" w:cs="Amiri"/>
          <w:color w:val="111111"/>
          <w:sz w:val="28"/>
          <w:sz w:val="28"/>
          <w:szCs w:val="28"/>
          <w:rtl w:val="true"/>
          <w:lang w:bidi="ar-SA"/>
        </w:rPr>
        <w:t>أصل حكمي، لاحظ بحث هل تجري الأصول الحكمية والموضوعية معاً أو أنَّها مترتبة؟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المذكورة هنا هي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بغيبوبة الحشفة في قبل المرأة للرجل والمرأة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حديثا محمّد بن عذافر،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يجب على الرجل والمرأة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عليهما الغسل حين يدخله، وإذا التقى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الختانان فيغسلان فرجهما</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وعنبسة 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 شيء الغسل إلاّ في الماء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فضعيفان سنداً فلا يعتدّ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بغيبوبة الحشفة في الحديث</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الختان على الختان</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 الختان الختان</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التفسير لا مجال للبحث في معنى العناوين، خاصَّة مع ضم فهم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يجنبان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تأويله بصرف الالتقاء بلا غيبوبة، فتأمل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تأويله بأنَّه حصر إضافي،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يخرج </w:t>
      </w:r>
    </w:p>
    <w:p>
      <w:pPr>
        <w:pStyle w:val="BookText"/>
        <w:rPr/>
      </w:pPr>
      <w:r>
        <w:rPr>
          <w:rFonts w:ascii="Amiri" w:hAnsi="Amiri" w:eastAsia="Amiri" w:cs="Amiri"/>
          <w:color w:val="111111"/>
          <w:sz w:val="28"/>
          <w:sz w:val="28"/>
          <w:szCs w:val="28"/>
          <w:rtl w:val="true"/>
          <w:lang w:bidi="ar-SA"/>
        </w:rPr>
        <w:t>وصفوة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المدرك لعموم الحكم إمّا الإجماع وإمّا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ولو بحكم الانصراف لا يشمل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بتحقق الجنابة فيما أدخلت</w:t>
      </w:r>
    </w:p>
    <w:p>
      <w:pPr>
        <w:pStyle w:val="BookText"/>
        <w:rPr/>
      </w:pPr>
      <w:r>
        <w:rPr>
          <w:rFonts w:ascii="Amiri" w:hAnsi="Amiri" w:eastAsia="Amiri" w:cs="Amiri"/>
          <w:color w:val="111111"/>
          <w:sz w:val="28"/>
          <w:sz w:val="28"/>
          <w:szCs w:val="28"/>
          <w:rtl w:val="true"/>
          <w:lang w:bidi="ar-SA"/>
        </w:rPr>
        <w:t>لا يوجب الغسل إلاّ المني، فالمذي والوذي والودي لا توجب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إذ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مطلق، ولا انصراف له، وكذلك سائر العناوين المذكورة، فراجع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دل على الانحصار فيحتمل كونه إضافياً،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الجماع قريباً من الفرج، ومع هذا الاحتمال تكون الرواية مجملة، فلا تصلح لتقييد تلك المطلقات، فرواية ابن بزيع</w:t>
      </w:r>
      <w:r>
        <w:rPr>
          <w:rStyle w:val="FootnoteAnchor"/>
          <w:rtl w:val="true"/>
        </w:rPr>
        <w:footnoteReference w:id="850"/>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من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سائر الروايات مطلقة، فتأمل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بذلك، وما ذكره من الفرق</w:t>
      </w:r>
      <w:r>
        <w:rPr>
          <w:rStyle w:val="FootnoteAnchor"/>
          <w:rtl w:val="true"/>
        </w:rPr>
        <w:footnoteReference w:id="851"/>
      </w:r>
      <w:r>
        <w:rPr>
          <w:rFonts w:ascii="Amiri" w:hAnsi="Amiri" w:eastAsia="Amiri" w:cs="Amiri"/>
          <w:color w:val="111111"/>
          <w:sz w:val="28"/>
          <w:sz w:val="28"/>
          <w:szCs w:val="28"/>
          <w:rtl w:val="true"/>
          <w:lang w:bidi="ar-SA"/>
        </w:rPr>
        <w:t xml:space="preserve">غير </w:t>
      </w:r>
      <w:bookmarkStart w:id="298" w:name="pg15737_151777"/>
    </w:p>
    <w:p>
      <w:pPr>
        <w:pStyle w:val="Heading4"/>
        <w:numPr>
          <w:ilvl w:val="3"/>
          <w:numId w:val="1"/>
        </w:numPr>
        <w:rPr/>
      </w:pPr>
      <w:bookmarkStart w:id="299" w:name="__RefHeading___Toc12561770_2142443653"/>
      <w:bookmarkStart w:id="300" w:name="_Toc104"/>
      <w:bookmarkEnd w:id="298"/>
      <w:bookmarkEnd w:id="299"/>
      <w:r>
        <w:rPr>
          <w:rtl w:val="true"/>
        </w:rPr>
        <w:t xml:space="preserve">المسألة </w:t>
      </w:r>
      <w:r>
        <w:rPr/>
        <w:t>130</w:t>
      </w:r>
      <w:r>
        <w:rPr>
          <w:rtl w:val="true"/>
        </w:rPr>
        <w:t xml:space="preserve">: </w:t>
      </w:r>
      <w:r>
        <w:rPr>
          <w:rtl w:val="true"/>
        </w:rPr>
        <w:t>كيفيّة تشخيص المني واوصافه</w:t>
      </w:r>
      <w:bookmarkEnd w:id="3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إن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فلا إشكال سواء، في ذلك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وجود أحدها سواء علم بانتفاء الآخرين أم لا فلا يترك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الغسل والوضوء، وأمّا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فيه بالجمع بين الوضوء</w:t>
      </w:r>
    </w:p>
    <w:p>
      <w:pPr>
        <w:pStyle w:val="BookText"/>
        <w:rPr/>
      </w:pPr>
      <w:r>
        <w:rPr>
          <w:rFonts w:ascii="Amiri" w:hAnsi="Amiri" w:eastAsia="Amiri" w:cs="Amiri"/>
          <w:color w:val="111111"/>
          <w:sz w:val="28"/>
          <w:sz w:val="28"/>
          <w:szCs w:val="28"/>
          <w:rtl w:val="true"/>
          <w:lang w:bidi="ar-SA"/>
        </w:rPr>
        <w:t>المرأة ذكر الرجل الميت في قبلها، وهل يلتزم الخصم بهذا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أدخل مقداراً من الحشفة بحيث لم يتحقق الالتقاء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الموضوع، وأيضاً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 تمام الذكر مقطوع الحشفة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حجة ذاتية، والأمارات إنما جعلت في ظرف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المريض هو الشهوة والفتور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بغيبوبة الحشفة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إذ أدلَّة التقاء الختانين منصرفة لمَنْ له ختان، أمَّا المقطوع فتشمله المطلقات ولا تشمله المقيّدات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النساء فيعتبر فيهنّ الشهوة وفتور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الصحّة والمرض ولا يعتبر الدفق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المكلّف إن علم أنّه مني فلا إشكال في ترتب الحكم عليه، وهذا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البحث، وأمّا إذا لم يكن وشكّ في كونه منياً فمقتضى القاعدة الأولية الحكم بعدم كونه منياً بالاستصحاب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ما رواه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يلعب مع المرأة ويقبلّها فيخرج منه المني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الشهوة ودفع وفتر لخروجه فعليه الغسل، وإن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وفتور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بما ذكر في الحيض من أنَّ الشارع حدّد ترتب أحكام الحيض بصفات ومحددات</w:t>
      </w:r>
      <w:r>
        <w:rPr>
          <w:rStyle w:val="FootnoteAnchor"/>
          <w:rtl w:val="true"/>
        </w:rPr>
        <w:footnoteReference w:id="853"/>
      </w:r>
      <w:r>
        <w:rPr>
          <w:rFonts w:ascii="Amiri" w:hAnsi="Amiri" w:eastAsia="Amiri" w:cs="Amiri"/>
          <w:color w:val="111111"/>
          <w:sz w:val="28"/>
          <w:sz w:val="28"/>
          <w:szCs w:val="28"/>
          <w:rtl w:val="true"/>
          <w:lang w:bidi="ar-SA"/>
        </w:rPr>
        <w:t>، فمع عدمها لا يحكم بالحيضية وإن علم بذلك، فما فرقه عن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عدم أزلي،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منياً، فنستصحب عدم صيرورته منياً، والأصل عدم كونه وذياً أو مذياً لا أثر له، فلا يتعارضان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ترتب آثار الجنابة،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الحكمي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إنّما شيء لم يجد له فترة ولا شهوة فلا بأس</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فإنّ مقتضى الشرطية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الحكم بانتفاء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يحكم بالمنوية في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الشهوة والدفع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الشهوة والفتور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الدفع والفتور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وذيل الرواية</w:t>
      </w:r>
      <w:r>
        <w:rPr>
          <w:rStyle w:val="FootnoteAnchor"/>
          <w:rtl w:val="true"/>
        </w:rPr>
        <w:footnoteReference w:id="855"/>
      </w:r>
      <w:r>
        <w:rPr>
          <w:rFonts w:ascii="Amiri" w:hAnsi="Amiri" w:eastAsia="Amiri" w:cs="Amiri"/>
          <w:color w:val="111111"/>
          <w:sz w:val="28"/>
          <w:sz w:val="28"/>
          <w:szCs w:val="28"/>
          <w:rtl w:val="true"/>
          <w:lang w:bidi="ar-SA"/>
        </w:rPr>
        <w:t>يضمن الحالة الثالثة فقط،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الشهوة والفتور، وإذا كان للذيل مفهوم فمعناه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له فترة وشهوة فعليه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له فترة فعليه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له شهوة فعليه الغسل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الثلاثة</w:t>
      </w:r>
      <w:r>
        <w:rPr>
          <w:rStyle w:val="FootnoteAnchor"/>
          <w:rtl w:val="true"/>
        </w:rPr>
        <w:footnoteReference w:id="856"/>
      </w:r>
      <w:r>
        <w:rPr>
          <w:rFonts w:ascii="Amiri" w:hAnsi="Amiri" w:eastAsia="Amiri" w:cs="Amiri"/>
          <w:color w:val="111111"/>
          <w:sz w:val="28"/>
          <w:sz w:val="28"/>
          <w:szCs w:val="28"/>
          <w:rtl w:val="true"/>
          <w:lang w:bidi="ar-SA"/>
        </w:rPr>
        <w:t>فعليه الغسل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وتبقى حالة وجود الدفق فقط بلا فترة ولا شهوة، والظاهر أنَّها حالة غير ممكنة أو غير متعارفة،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في كل الحالات إلاّ حالة انتفاء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تعارضت الشرطيتان يكون مقتضى العلم الإجمالي وجوب الاحتياط بالغسل والوضوء، كما ذكره الماتن</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التفصيل بين سبق الحدث أو سبق الوضوء؛ إذ مع سبق الحدث لا يجب إلاّ الوضوء بمقتضى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 مفهوم الشرطية الأولى أقوى عرفاً، والثانية بيان لبعض مصاديق المفهوم كما ذكره الشارح</w:t>
      </w:r>
      <w:r>
        <w:rPr>
          <w:rStyle w:val="FootnoteAnchor"/>
          <w:rtl w:val="true"/>
        </w:rPr>
        <w:footnoteReference w:id="858"/>
      </w:r>
      <w:r>
        <w:rPr>
          <w:rFonts w:ascii="Amiri" w:hAnsi="Amiri" w:eastAsia="Amiri" w:cs="Amiri"/>
          <w:color w:val="111111"/>
          <w:sz w:val="28"/>
          <w:sz w:val="28"/>
          <w:szCs w:val="28"/>
          <w:rtl w:val="true"/>
          <w:lang w:bidi="ar-SA"/>
        </w:rPr>
        <w:t>، فهو مثل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عالم وكان مؤمناً تقياً فاكرمه، وإن لم يكن الجائي عالماً ولا تقياً فلا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تناولت الجملة الثانية</w:t>
      </w:r>
      <w:r>
        <w:rPr>
          <w:rStyle w:val="FootnoteAnchor"/>
          <w:rtl w:val="true"/>
        </w:rPr>
        <w:footnoteReference w:id="859"/>
      </w:r>
      <w:r>
        <w:rPr>
          <w:rFonts w:ascii="Amiri" w:hAnsi="Amiri" w:eastAsia="Amiri" w:cs="Amiri"/>
          <w:color w:val="111111"/>
          <w:sz w:val="28"/>
          <w:sz w:val="28"/>
          <w:szCs w:val="28"/>
          <w:rtl w:val="true"/>
          <w:lang w:bidi="ar-SA"/>
        </w:rPr>
        <w:t>هذه الحالة فقط؟</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الحالة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فتور ولا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لعدم الدفق، فتأمل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ذكرناه فهم مشهور الفقهاء،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الرجل المريض فيكفي فيه الشهوة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لاحظ ما رواه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يرى في المنام ويجد الشهوة فيستيقظ فينظر فلا يجد شيئاً، ثمّ يمكث الهوين بعد فيخرج،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مريضاً فليغتسل وإن لم يكن مريضاً فلا شيء عليه</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في ذلك بأن الظاهر من الروايتين</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رأى في منامه فوجد اللذة والشهوة، ثم قام فلم ير في ثوبه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مريضاً فعليه الغسل، وإن كان صحيحاً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إرادة نفي شرطية الدفق، فيبقى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الشهوة والفتور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الإطلاقات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مجملة، فتبقى الإطلاقات الأولية بالنسبة للفتور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الصحيح لا بد من تحقق الثلاثة،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الدفق والشهوة والفتور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المريض لا بد من تحقق الشهوة والفتور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لا بد من تحقق الشهوة فقط، فتأمل</w:t>
      </w:r>
      <w:r>
        <w:rPr>
          <w:rFonts w:eastAsia="Amiri" w:cs="Amiri" w:ascii="Amiri" w:hAnsi="Amiri"/>
          <w:color w:val="111111"/>
          <w:sz w:val="28"/>
          <w:szCs w:val="28"/>
          <w:rtl w:val="true"/>
          <w:lang w:bidi="ar-SA"/>
        </w:rPr>
        <w:t xml:space="preserve">. </w:t>
      </w:r>
      <w:bookmarkStart w:id="301" w:name="pg15737_151782"/>
    </w:p>
    <w:p>
      <w:pPr>
        <w:pStyle w:val="Heading4"/>
        <w:numPr>
          <w:ilvl w:val="3"/>
          <w:numId w:val="1"/>
        </w:numPr>
        <w:rPr/>
      </w:pPr>
      <w:bookmarkStart w:id="302" w:name="__RefHeading___Toc12561772_2142443653"/>
      <w:bookmarkStart w:id="303" w:name="_Toc105"/>
      <w:bookmarkEnd w:id="301"/>
      <w:bookmarkEnd w:id="302"/>
      <w:r>
        <w:rPr>
          <w:rtl w:val="true"/>
        </w:rPr>
        <w:t xml:space="preserve">المسألة </w:t>
      </w:r>
      <w:r>
        <w:rPr/>
        <w:t>131</w:t>
      </w:r>
      <w:r>
        <w:rPr>
          <w:rtl w:val="true"/>
        </w:rPr>
        <w:t xml:space="preserve">: </w:t>
      </w:r>
      <w:r>
        <w:rPr>
          <w:rtl w:val="true"/>
        </w:rPr>
        <w:t>احتلام المرأة وأحكامها</w:t>
      </w:r>
      <w:bookmarkEnd w:id="3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احتلام المرأة وإنزالها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الغسل عليها، ولزوم الإمساك عن النومة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ليالي شهر رمضان وغير ذلك</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2561774_2142443653"/>
      <w:bookmarkStart w:id="305" w:name="_Toc106"/>
      <w:bookmarkEnd w:id="304"/>
      <w:r>
        <w:rPr>
          <w:rtl w:val="true"/>
        </w:rPr>
        <w:t xml:space="preserve">المسألة </w:t>
      </w:r>
      <w:r>
        <w:rPr/>
        <w:t>132</w:t>
      </w:r>
      <w:r>
        <w:rPr>
          <w:rtl w:val="true"/>
        </w:rPr>
        <w:t xml:space="preserve">: </w:t>
      </w:r>
      <w:r>
        <w:rPr>
          <w:rtl w:val="true"/>
        </w:rPr>
        <w:t>لا يجب الغسل بمجرّد حركة المني</w:t>
      </w:r>
      <w:bookmarkEnd w:id="3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 بمجرّد حركة المني من محلّه ما لم يخرج من الحشفة أو ما في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الاحتياط الكامل لازم في المقام، وأمّا بحسب الصناعة فالالتزام بما ذكر مشكل مع أنّ الوارد في النصوص عنوان الرجل، وعنوان الرجل لا يصدق على المرأة، وقاعدة الاشتراط معناها أنّ الحكم المترتّب على عنوان لا يكون مختصاً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بجماعة دون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الموضوع للحكم إنزال المني وخروجه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دام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بشهوة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بعض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على تفصيل مذكور في كتاب الصوم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إذ هذا هو مقتضى الإطلاق، ولا يحتاج إلى قاعدة الاشتراك، فتأمل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العنوان في رواية ابن سنان</w:t>
      </w:r>
      <w:r>
        <w:rPr>
          <w:rStyle w:val="FootnoteAnchor"/>
          <w:rtl w:val="true"/>
        </w:rPr>
        <w:footnoteReference w:id="863"/>
      </w:r>
      <w:r>
        <w:rPr>
          <w:rFonts w:ascii="Amiri" w:hAnsi="Amiri" w:eastAsia="Amiri" w:cs="Amiri"/>
          <w:color w:val="111111"/>
          <w:sz w:val="28"/>
          <w:sz w:val="28"/>
          <w:szCs w:val="28"/>
          <w:rtl w:val="true"/>
          <w:lang w:bidi="ar-SA"/>
        </w:rPr>
        <w:t xml:space="preserve">، ولذلك </w:t>
      </w:r>
      <w:bookmarkStart w:id="306" w:name="pg15737_151783"/>
    </w:p>
    <w:p>
      <w:pPr>
        <w:pStyle w:val="Heading4"/>
        <w:numPr>
          <w:ilvl w:val="3"/>
          <w:numId w:val="1"/>
        </w:numPr>
        <w:rPr/>
      </w:pPr>
      <w:bookmarkStart w:id="307" w:name="__RefHeading___Toc12561776_2142443653"/>
      <w:bookmarkStart w:id="308" w:name="_Toc107"/>
      <w:bookmarkEnd w:id="306"/>
      <w:bookmarkEnd w:id="307"/>
      <w:r>
        <w:rPr>
          <w:rtl w:val="true"/>
        </w:rPr>
        <w:t xml:space="preserve">المسألة </w:t>
      </w:r>
      <w:r>
        <w:rPr/>
        <w:t>133</w:t>
      </w:r>
      <w:r>
        <w:rPr>
          <w:rtl w:val="true"/>
        </w:rPr>
        <w:t xml:space="preserve">: </w:t>
      </w:r>
      <w:r>
        <w:rPr>
          <w:rtl w:val="true"/>
        </w:rPr>
        <w:t>الاستمناء</w:t>
      </w:r>
      <w:bookmarkEnd w:id="3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وهو طلب خروج المني مع 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إذا كان بغير ملاعبة الزوجة أو الأمة وموجب للغسل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العنوان المذكور لا يترتّب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حراماً فمضافاً إلى كون حرمته مشهورة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الشرع، وارتكاز حرمته عندهم تدلّ عليه عدّة 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الرجل ينكح بهيمة أو يدلك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أنزل به الرجل ماءه من هذا وشبهه فهو 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لإبي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 شرّ أو شرب الخمر، وكيف صار في شرب الخمر ثمانين وفي الزنا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الحدّ واحد ولكن زيد هذا لتضييعه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نظائر ذكرها الفقهاء في الحيض وأخويه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يخرج فهو محكوم بأحكام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بالشهرة، مع أنَّ المصنف لا يقبل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التحريم، فإنَّه أظهر آثار الزنا وأحكامه، وكذا ضرب بيده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لتضييعه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التضييع حرام، راجع روايات</w:t>
      </w:r>
      <w:r>
        <w:rPr>
          <w:rStyle w:val="FootnoteAnchor"/>
          <w:rtl w:val="true"/>
        </w:rPr>
        <w:footnoteReference w:id="865"/>
      </w:r>
      <w:r>
        <w:rPr>
          <w:rFonts w:ascii="IRNazanin" w:hAnsi="IRNazanin" w:eastAsia="IRNazanin"/>
          <w:color w:val="111111"/>
          <w:sz w:val="28"/>
          <w:sz w:val="28"/>
          <w:szCs w:val="28"/>
          <w:rtl w:val="true"/>
          <w:lang w:bidi="fa-IR"/>
        </w:rPr>
        <w:t xml:space="preserve">العزل </w:t>
      </w:r>
    </w:p>
    <w:p>
      <w:pPr>
        <w:pStyle w:val="BookText"/>
        <w:rPr/>
      </w:pPr>
      <w:r>
        <w:rPr>
          <w:rFonts w:ascii="Amiri" w:hAnsi="Amiri" w:eastAsia="Amiri" w:cs="Amiri"/>
          <w:color w:val="111111"/>
          <w:sz w:val="28"/>
          <w:sz w:val="28"/>
          <w:szCs w:val="28"/>
          <w:rtl w:val="true"/>
          <w:lang w:bidi="ar-SA"/>
        </w:rPr>
        <w:t>النطفة، ولوضعه إياها في غير موضعه الذي أمره اللّه عزّ وجلّ به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محمّد بن عيسى في نوادره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الخضخضة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عظيم قد نهى اللّه عنه في كتابه، وفاعله كناكح نفسه، ولو علمت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يفعله ما أكلت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ذنب عظيم قد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الذنب أهون من بعض، والذنوب كلّها عظيم عند اللّه، لأنّها معاصي، وأنّ اللّه لا يحبّ من العباد العصيان، وقد نهانا اللّه عن ذلك لأنها من عمل الشيطان،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تَعْبُدُوا الشّيْطَانَ</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 إِنّمَا يَدْعُو حِزْبَهُ لِيَكُونُوا مِنْ أَصْحَابِ السّعِيرِ</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الحرة في كتاب النكاح</w:t>
      </w:r>
      <w:r>
        <w:rPr>
          <w:rStyle w:val="FootnoteAnchor"/>
          <w:rtl w:val="true"/>
        </w:rPr>
        <w:footnoteReference w:id="870"/>
      </w:r>
      <w:r>
        <w:rPr>
          <w:rFonts w:ascii="Amiri" w:hAnsi="Amiri" w:eastAsia="Amiri" w:cs="Amiri"/>
          <w:color w:val="111111"/>
          <w:sz w:val="28"/>
          <w:sz w:val="28"/>
          <w:szCs w:val="28"/>
          <w:rtl w:val="true"/>
          <w:lang w:bidi="ar-SA"/>
        </w:rPr>
        <w:t>، ومقتضاها تخصيص هذا الحكم،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ظاهرياً؛ إذ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مكلفين بالعمل بعلمهم الواقعي، فتأمل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هدف الشيطان هو ذلك</w:t>
      </w:r>
      <w:r>
        <w:rPr>
          <w:rFonts w:eastAsia="Amiri" w:cs="Amiri" w:ascii="Amiri" w:hAnsi="Amiri"/>
          <w:color w:val="111111"/>
          <w:sz w:val="28"/>
          <w:szCs w:val="28"/>
          <w:rtl w:val="true"/>
          <w:lang w:bidi="ar-SA"/>
        </w:rPr>
        <w:t xml:space="preserve">. </w:t>
      </w:r>
      <w:bookmarkStart w:id="309" w:name="pg15737_151785"/>
    </w:p>
    <w:p>
      <w:pPr>
        <w:pStyle w:val="Heading4"/>
        <w:numPr>
          <w:ilvl w:val="3"/>
          <w:numId w:val="1"/>
        </w:numPr>
        <w:rPr/>
      </w:pPr>
      <w:bookmarkStart w:id="310" w:name="__RefHeading___Toc12561778_2142443653"/>
      <w:bookmarkStart w:id="311" w:name="_Toc108"/>
      <w:bookmarkEnd w:id="309"/>
      <w:bookmarkEnd w:id="310"/>
      <w:r>
        <w:rPr>
          <w:rtl w:val="true"/>
        </w:rPr>
        <w:t xml:space="preserve">المسألة </w:t>
      </w:r>
      <w:r>
        <w:rPr/>
        <w:t>134</w:t>
      </w:r>
      <w:r>
        <w:rPr>
          <w:rtl w:val="true"/>
        </w:rPr>
        <w:t xml:space="preserve">: </w:t>
      </w:r>
      <w:r>
        <w:rPr>
          <w:rtl w:val="true"/>
        </w:rPr>
        <w:t>لو شكّ في خروج المني</w:t>
      </w:r>
      <w:bookmarkEnd w:id="3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خروج المني أو رأى في النوم خروجه بجماع أو غيره، ولم يجد أثراً له بعد الانتباه لم 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الطائفة حديثان يدلاّن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الأول فلا اعتبار بسنده إذ الواسطي لم يوثّق، وأمّا الحديث الثاني فأيضاً يكون سنده مخدوشاً، فإنّ ثعلبة وحسين لم يوثّقا في الرجال، وإن ذكرت لهما مدائح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القاعدة الأولية؛ إذ مع الشكّ يحكم بالعدم ببركة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حملهما</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وفي وسائل الشيعة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ثعلبة بن ميمون، وحسين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يعبث بيديه حتى ينزل،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ولم يبلغ به ذاك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أنه ليس عليه شيء موظف لا يجوز خلافه، بل عليه التعزير بحسب ما يراه الإمام، ويمكن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التقية، ثم إنهما معرض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بعض المدح يدل على الحُسن والاعتبار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استصحاب موضوعي،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الخروج، وهنالك استصحاب حكمي، وهل يجريان معاً، أو هما مترتبان؟ فيه بحث موكول إلى محله</w:t>
      </w:r>
      <w:r>
        <w:rPr>
          <w:rFonts w:eastAsia="Amiri" w:cs="Amiri" w:ascii="Amiri" w:hAnsi="Amiri"/>
          <w:color w:val="111111"/>
          <w:sz w:val="28"/>
          <w:szCs w:val="28"/>
          <w:rtl w:val="true"/>
          <w:lang w:bidi="ar-SA"/>
        </w:rPr>
        <w:t xml:space="preserve">. </w:t>
      </w:r>
      <w:bookmarkStart w:id="312" w:name="pg15737_151786"/>
    </w:p>
    <w:p>
      <w:pPr>
        <w:pStyle w:val="Heading4"/>
        <w:numPr>
          <w:ilvl w:val="3"/>
          <w:numId w:val="1"/>
        </w:numPr>
        <w:rPr/>
      </w:pPr>
      <w:bookmarkStart w:id="313" w:name="__RefHeading___Toc12561780_2142443653"/>
      <w:bookmarkStart w:id="314" w:name="_Toc109"/>
      <w:bookmarkEnd w:id="312"/>
      <w:bookmarkEnd w:id="313"/>
      <w:r>
        <w:rPr>
          <w:rtl w:val="true"/>
        </w:rPr>
        <w:t xml:space="preserve">المسألة </w:t>
      </w:r>
      <w:r>
        <w:rPr/>
        <w:t>135</w:t>
      </w:r>
      <w:r>
        <w:rPr>
          <w:rtl w:val="true"/>
        </w:rPr>
        <w:t xml:space="preserve">: </w:t>
      </w:r>
      <w:r>
        <w:rPr>
          <w:rtl w:val="true"/>
        </w:rPr>
        <w:t>لو خرج مني الرجل من المرأة</w:t>
      </w:r>
      <w:bookmarkEnd w:id="3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مني الرجل من المرأة أو وجدت منياً وشكّت في كونه لها أو للرجل أو ظنّت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 منها ولم تعلم بكونه لها أو للرجل لم يجب عليها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صورة وجدانها مني الرجل فعدم الوجوب ظاهر واضح؛ إذ المفروض أنّه ليس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للوجوب، وأمّا صورة الشكّ فبحكم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بعدم كونها منها، فلا موضوع للوجوب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ظنت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كلام في عدم حجية الظن في الأصول وقد ناقش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Style w:val="FootnoteAnchor"/>
          <w:rtl w:val="true"/>
        </w:rPr>
        <w:footnoteReference w:id="872"/>
      </w:r>
      <w:r>
        <w:rPr>
          <w:rFonts w:ascii="Amiri" w:hAnsi="Amiri" w:eastAsia="Amiri" w:cs="Amiri"/>
          <w:color w:val="111111"/>
          <w:sz w:val="28"/>
          <w:sz w:val="28"/>
          <w:szCs w:val="28"/>
          <w:rtl w:val="true"/>
          <w:lang w:bidi="ar-SA"/>
        </w:rPr>
        <w:t>، ولكن حتى لو فرض حجية الظن فلا أثر له في المقام؛ إذ المفروض أنَّها تشك أنَّه منها أو من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منصرفة إلى ما كان من نفس الإنسان، أو ظاهرة في 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أنزلت من شهوة</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ثم إنَّ الشهوة شرط، وهذا الشرط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عدم أزلي، إذ إنَّه من البداية إمَّا منيها أو مني الرجل؟</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عندما كان ماءً لم يكن منيها فتستصحب ذلك، فتأمل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فلو فرض عدم جريان الأصل الموضوعي، فالحكمي ثابت في المقام</w:t>
      </w:r>
      <w:r>
        <w:rPr>
          <w:rFonts w:eastAsia="Amiri" w:cs="Amiri" w:ascii="Amiri" w:hAnsi="Amiri"/>
          <w:color w:val="111111"/>
          <w:sz w:val="28"/>
          <w:szCs w:val="28"/>
          <w:rtl w:val="true"/>
          <w:lang w:bidi="ar-SA"/>
        </w:rPr>
        <w:t xml:space="preserve">. </w:t>
      </w:r>
      <w:bookmarkStart w:id="315" w:name="pg15737_151787"/>
    </w:p>
    <w:p>
      <w:pPr>
        <w:pStyle w:val="Heading4"/>
        <w:numPr>
          <w:ilvl w:val="3"/>
          <w:numId w:val="1"/>
        </w:numPr>
        <w:rPr/>
      </w:pPr>
      <w:bookmarkStart w:id="316" w:name="__RefHeading___Toc12561782_2142443653"/>
      <w:bookmarkStart w:id="317" w:name="_Toc110"/>
      <w:bookmarkEnd w:id="315"/>
      <w:bookmarkEnd w:id="316"/>
      <w:r>
        <w:rPr>
          <w:rtl w:val="true"/>
        </w:rPr>
        <w:t xml:space="preserve">المسألة </w:t>
      </w:r>
      <w:r>
        <w:rPr/>
        <w:t>136</w:t>
      </w:r>
      <w:r>
        <w:rPr>
          <w:rtl w:val="true"/>
        </w:rPr>
        <w:t xml:space="preserve">: </w:t>
      </w:r>
      <w:r>
        <w:rPr>
          <w:rtl w:val="true"/>
        </w:rPr>
        <w:t>خروج مني الرجل من المرأة مخلوطاً</w:t>
      </w:r>
      <w:bookmarkEnd w:id="3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مني الرجل من المرأة مخلوطاً بمنيها وجب عليها الغسل</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2561784_2142443653"/>
      <w:bookmarkStart w:id="319" w:name="_Toc111"/>
      <w:bookmarkEnd w:id="318"/>
      <w:r>
        <w:rPr>
          <w:rtl w:val="true"/>
        </w:rPr>
        <w:t xml:space="preserve">المسألة </w:t>
      </w:r>
      <w:r>
        <w:rPr/>
        <w:t>137</w:t>
      </w:r>
      <w:r>
        <w:rPr>
          <w:rtl w:val="true"/>
        </w:rPr>
        <w:t xml:space="preserve">: </w:t>
      </w:r>
      <w:r>
        <w:rPr>
          <w:rtl w:val="true"/>
        </w:rPr>
        <w:t>لو وجد منياً في ثوبه</w:t>
      </w:r>
      <w:bookmarkEnd w:id="3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منياً في ثوبه المختص به وعلم بكونه منه، وأنّه لم يغتسل منه وجب عليه الغسل، وإعادة الصلوات التي علم بسبقه عليها مع 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التفاته إلى حاله عند كلّ صلاة وإلاّ ففيه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أفاده؛ إذ المفروض أنّ المني خرج منها فقد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وذلك لجريان قاعدة الفراغ في المشكوك حتى مع العلم بالغفلة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قيد في أنَّه يعيد ما علم بالسبق فقط ولا يعيد المشكوك؛ إذ المصنف يشترط الالتفات أو احتمال الالتفات</w:t>
      </w:r>
      <w:r>
        <w:rPr>
          <w:rStyle w:val="FootnoteAnchor"/>
          <w:rtl w:val="true"/>
        </w:rPr>
        <w:footnoteReference w:id="874"/>
      </w:r>
      <w:r>
        <w:rPr>
          <w:rFonts w:ascii="Amiri" w:hAnsi="Amiri" w:eastAsia="Amiri" w:cs="Amiri"/>
          <w:color w:val="111111"/>
          <w:sz w:val="28"/>
          <w:sz w:val="28"/>
          <w:szCs w:val="28"/>
          <w:rtl w:val="true"/>
          <w:lang w:bidi="ar-SA"/>
        </w:rPr>
        <w:t>، وأمَّا مع الغفلة فيعيد المشكوك أيضاً، لعدم جريان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الجريان مطلقاً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مما ذكره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الثوب مشتركاً فهل يجب عليهما الغسل، أو لا غسل عليهما؟</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الغسل، فهل يجري استصحاب عدم الغسل، أم تجري قاعدة الفراغ، أم يفصل بين الالتفات والغفلة واحتمال الالتفات؟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المشكوك سبقها ما هو حكمها؟ </w:t>
      </w:r>
    </w:p>
    <w:p>
      <w:pPr>
        <w:pStyle w:val="BookText"/>
        <w:rPr/>
      </w:pPr>
      <w:r>
        <w:rPr>
          <w:rFonts w:ascii="IRNazanin" w:hAnsi="IRNazanin" w:eastAsia="IRNazanin"/>
          <w:color w:val="111111"/>
          <w:sz w:val="28"/>
          <w:sz w:val="28"/>
          <w:szCs w:val="28"/>
          <w:rtl w:val="true"/>
          <w:lang w:bidi="fa-IR"/>
        </w:rPr>
        <w:t>فرض تحقّق الموضوع</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والمختار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غسل،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البحث فيه</w:t>
      </w:r>
      <w:r>
        <w:rPr>
          <w:rStyle w:val="FootnoteAnchor"/>
          <w:rtl w:val="true"/>
        </w:rPr>
        <w:footnoteReference w:id="875"/>
      </w:r>
      <w:r>
        <w:rPr>
          <w:rFonts w:ascii="Amiri" w:hAnsi="Amiri" w:eastAsia="Amiri" w:cs="Amiri"/>
          <w:color w:val="111111"/>
          <w:sz w:val="28"/>
          <w:sz w:val="28"/>
          <w:szCs w:val="28"/>
          <w:rtl w:val="true"/>
          <w:lang w:bidi="ar-SA"/>
        </w:rPr>
        <w:t>، 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الصلوات مطلقاً، إلاّ ما علم كونه مع الحدث</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القليل والكثير</w:t>
      </w:r>
      <w:r>
        <w:rPr>
          <w:rFonts w:eastAsia="Amiri" w:cs="Amiri" w:ascii="Amiri" w:hAnsi="Amiri"/>
          <w:color w:val="111111"/>
          <w:sz w:val="28"/>
          <w:szCs w:val="28"/>
          <w:rtl w:val="true"/>
          <w:lang w:bidi="ar-SA"/>
        </w:rPr>
        <w:t xml:space="preserve">. </w:t>
      </w:r>
      <w:bookmarkStart w:id="320" w:name="pg15737_151789"/>
    </w:p>
    <w:p>
      <w:pPr>
        <w:pStyle w:val="Heading3"/>
        <w:numPr>
          <w:ilvl w:val="2"/>
          <w:numId w:val="1"/>
        </w:numPr>
        <w:rPr/>
      </w:pPr>
      <w:bookmarkStart w:id="321" w:name="__RefHeading___Toc12561786_2142443653"/>
      <w:bookmarkStart w:id="322" w:name="_Toc112"/>
      <w:bookmarkEnd w:id="320"/>
      <w:bookmarkEnd w:id="321"/>
      <w:r>
        <w:rPr>
          <w:rtl w:val="true"/>
        </w:rPr>
        <w:t>فصل</w:t>
      </w:r>
      <w:r>
        <w:rPr>
          <w:rtl w:val="true"/>
        </w:rPr>
        <w:t xml:space="preserve">: </w:t>
      </w:r>
      <w:r>
        <w:rPr>
          <w:rtl w:val="true"/>
        </w:rPr>
        <w:t>فيما يشترط بالغسل</w:t>
      </w:r>
      <w:bookmarkEnd w:id="322"/>
    </w:p>
    <w:p>
      <w:pPr>
        <w:pStyle w:val="BookText"/>
        <w:rPr/>
      </w:pPr>
      <w:r>
        <w:rPr>
          <w:rFonts w:ascii="IRNazanin" w:hAnsi="IRNazanin" w:eastAsia="IRNazanin"/>
          <w:color w:val="111111"/>
          <w:sz w:val="28"/>
          <w:sz w:val="28"/>
          <w:szCs w:val="28"/>
          <w:rtl w:val="true"/>
          <w:lang w:bidi="fa-IR"/>
        </w:rPr>
        <w:t>وهو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واجبة كانت أو مستحبة أو احتياطية، وفي حكمها الركعات الاحتياطية والأجزاء المنسية، بل وسجود السهو على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يشترط صلاة الميت وسجود التلاوة بالطهارة،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الواجب كما يأتي تفصيله في بابه،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أسماء اللّه تعالى من غير فرق بين اسم الجلالة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وكتابة القرآن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المستحب فلا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دخول المسجد الحرام جنباً، وتظهر الثمرة لو طاف ناسياً، فإنَّه صحيح في المستحب، وملاك المستحب أن لا يكون جزءاً من حج ولا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 إلى استثناء الدراهم والدنانير المنقوش عليها أسماء اللّه تعالى، أو آيات القرآن الكريم؟ وكذا الكلام في مبحث الوضوء سابقاً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 وصفاته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يشترط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مسهما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أسماء الأنبياء وأئمة الهدى والصديقة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مسّها مع الجنابة إن لم يكن هو الأقوى في بعضها، بل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مسّ أسماء الملائكة أيضاً، لكن يشترط في حرمة مسّ هذه الأسماء غير اسم الجلالة أن يكون المقصود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نفوسهم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يجوز للجنب العبور في المسجد، بأن يدخل من باب ويخرج من باب آخر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مكث إلاّ في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ولو أجنب في أحدهما أو دخل مع الجنابة عمداً أو سهواً تيمم للخروج، ولو كان زمان الخروج أقصر من زمان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الأول</w:t>
      </w:r>
      <w:r>
        <w:rPr>
          <w:rStyle w:val="FootnoteAnchor"/>
          <w:rtl w:val="true"/>
        </w:rPr>
        <w:footnoteReference w:id="876"/>
      </w:r>
      <w:r>
        <w:rPr>
          <w:rFonts w:ascii="Amiri" w:hAnsi="Amiri" w:eastAsia="Amiri" w:cs="Amiri"/>
          <w:color w:val="111111"/>
          <w:sz w:val="28"/>
          <w:sz w:val="28"/>
          <w:szCs w:val="28"/>
          <w:rtl w:val="true"/>
          <w:lang w:bidi="ar-SA"/>
        </w:rPr>
        <w:t>، والأقوى في الثاني</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ينبغي 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الصدق العرفي لا القصد، فتأمل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 لا من نفس الباب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التيمم بادر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الخروج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المشاهد المشرّفة في حكم المسجدين، فلا يدخلها الجنب ولو جوازاً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أجنب في أحدها 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والأحوط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الرواق في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تأمل؛ إذ يحتمل وجوب التيمم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إذ الحكم خاص بالمسجدين، فمن أين التعدية؟</w:t>
      </w:r>
    </w:p>
    <w:p>
      <w:pPr>
        <w:pStyle w:val="BookText"/>
        <w:rPr/>
      </w:pPr>
      <w:r>
        <w:rPr>
          <w:rFonts w:ascii="Amiri" w:hAnsi="Amiri" w:eastAsia="Amiri" w:cs="Amiri"/>
          <w:color w:val="111111"/>
          <w:sz w:val="28"/>
          <w:sz w:val="28"/>
          <w:szCs w:val="28"/>
          <w:rtl w:val="true"/>
          <w:lang w:bidi="ar-SA"/>
        </w:rPr>
        <w:t>إلاّ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أعظم من الكعبة، فحكمها كحكم الكعبة، قال السيّد مهدي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حديث كربلاء والكعبة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لكربلاء بان علو الرتبة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يحتاج لتأمل؛ إذ يصدق عليه عنوان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بالانصراف، ثم لاحظ فهم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العروة</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يصدق بيوت على الصحن، مثل بيت زيدٍ؟ فتأمل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إذ البيت بمعنى الغرفة،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تستحيي يا أعرابي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المساجد لوضع شيء فيها، والأحوط عدم وضع شيء فيها ولو في حال العبور أو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للنذر وشبهه من العهد واليمين مع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بإتيانه بقصد غاية من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تدخل على إمامك وأنت جنب</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فيشك في صدقه على الأروقة، ومنه يعلم الكلام في الصحن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الصور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والوضع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حال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للأخذ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حال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موضوع فيكون محرّماً بكل أنواعه، والدخول للأخذ مشمول لأدلَّة حرمة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اختصاص التحريم بخصوص آية السجدة منها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وكذا في ما يليه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في استحباب الغسل لنفسه أيضاً تأمل، فالاحيتاط إتيانه لغاية من الغايات أيضاً، ولو للكون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فرق بين كونها واجبة أو مستحبة أو احتياطية، وهذا من الواضحات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فبدونه لا يمكن تحقّقها، وأمّا الركعات الاحتياطية فحيث إنّها نوع صلاة يلزم أن تكون مع الطهور بالتقريب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عبارته غموضاً، والظاهر أنَّ المراد أن المنذور هو الغسل لغاية حتى يكون متعلق النذر راجحاً، لا أنَّه ينذر الغسل مطلقاً ثم يأتي به لغاية، لكن العبارة موهمة،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يدل عليه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والروايات</w:t>
      </w:r>
      <w:r>
        <w:rPr>
          <w:rStyle w:val="FootnoteAnchor"/>
          <w:rtl w:val="true"/>
        </w:rPr>
        <w:footnoteReference w:id="883"/>
      </w:r>
      <w:r>
        <w:rPr>
          <w:rFonts w:ascii="Amiri" w:hAnsi="Amiri" w:eastAsia="Amiri" w:cs="Amiri"/>
          <w:color w:val="111111"/>
          <w:sz w:val="28"/>
          <w:sz w:val="28"/>
          <w:szCs w:val="28"/>
          <w:rtl w:val="true"/>
          <w:lang w:bidi="ar-SA"/>
        </w:rPr>
        <w:t>والإجماع والضرورة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صلاة، وقد دل الدليل</w:t>
      </w:r>
      <w:r>
        <w:rPr>
          <w:rStyle w:val="FootnoteAnchor"/>
          <w:rtl w:val="true"/>
        </w:rPr>
        <w:footnoteReference w:id="885"/>
      </w:r>
      <w:r>
        <w:rPr>
          <w:rFonts w:ascii="Amiri" w:hAnsi="Amiri" w:eastAsia="Amiri" w:cs="Amiri"/>
          <w:color w:val="111111"/>
          <w:sz w:val="28"/>
          <w:sz w:val="28"/>
          <w:szCs w:val="28"/>
          <w:rtl w:val="true"/>
          <w:lang w:bidi="ar-SA"/>
        </w:rPr>
        <w:t>على اشتراط الصلاة بالطهارة مطلقاً، مضافاً إلى الإجماع</w:t>
      </w:r>
      <w:r>
        <w:rPr>
          <w:rStyle w:val="FootnoteAnchor"/>
          <w:rtl w:val="true"/>
        </w:rPr>
        <w:footnoteReference w:id="886"/>
      </w:r>
      <w:r>
        <w:rPr>
          <w:rFonts w:ascii="Amiri" w:hAnsi="Amiri" w:eastAsia="Amiri" w:cs="Amiri"/>
          <w:color w:val="111111"/>
          <w:sz w:val="28"/>
          <w:sz w:val="28"/>
          <w:szCs w:val="28"/>
          <w:rtl w:val="true"/>
          <w:lang w:bidi="ar-SA"/>
        </w:rPr>
        <w:t>والضرورة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سجود السهو فلا يشترط فيه الطهارة لعدم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الجنازة فمضافاً إلى ارتكاز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مشروطة بالطهارة، والسيرة جارية على المنوال المذكور يكون عدم الاشتراط مقتضى الأصل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الأدلَّة ومناقشتها</w:t>
      </w:r>
      <w:r>
        <w:rPr>
          <w:rStyle w:val="FootnoteAnchor"/>
          <w:rtl w:val="true"/>
        </w:rPr>
        <w:footnoteReference w:id="887"/>
      </w:r>
      <w:r>
        <w:rPr>
          <w:rFonts w:ascii="Amiri" w:hAnsi="Amiri" w:eastAsia="Amiri" w:cs="Amiri"/>
          <w:color w:val="111111"/>
          <w:sz w:val="28"/>
          <w:sz w:val="28"/>
          <w:szCs w:val="28"/>
          <w:rtl w:val="true"/>
          <w:lang w:bidi="ar-SA"/>
        </w:rPr>
        <w:t>، وحيث لا دليل يكون الإطلاق محكماً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كذلك، أم أنَّه معروف عند بعض المتدينين؟ ولعله نشأ من الفتاوى، راجع بحث الارتكاز</w:t>
      </w:r>
      <w:r>
        <w:rPr>
          <w:rStyle w:val="FootnoteAnchor"/>
          <w:rtl w:val="true"/>
        </w:rPr>
        <w:footnoteReference w:id="888"/>
      </w:r>
      <w:r>
        <w:rPr>
          <w:rFonts w:ascii="Amiri" w:hAnsi="Amiri" w:eastAsia="Amiri" w:cs="Amiri"/>
          <w:color w:val="111111"/>
          <w:sz w:val="28"/>
          <w:sz w:val="28"/>
          <w:szCs w:val="28"/>
          <w:rtl w:val="true"/>
          <w:lang w:bidi="ar-SA"/>
        </w:rPr>
        <w:t>والسيرة في الأصول</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جديد، وهو النص على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الدليل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أنَّها ليست بصلاة</w:t>
      </w:r>
      <w:r>
        <w:rPr>
          <w:rStyle w:val="FootnoteAnchor"/>
          <w:rtl w:val="true"/>
        </w:rPr>
        <w:footnoteReference w:id="890"/>
      </w:r>
      <w:r>
        <w:rPr>
          <w:rFonts w:ascii="Amiri" w:hAnsi="Amiri" w:eastAsia="Amiri" w:cs="Amiri"/>
          <w:color w:val="111111"/>
          <w:sz w:val="28"/>
          <w:sz w:val="28"/>
          <w:szCs w:val="28"/>
          <w:rtl w:val="true"/>
          <w:lang w:bidi="ar-SA"/>
        </w:rPr>
        <w:t>، فمقتضى الأصل عدم الشرطية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تفجأه الجنازة وهو على غير 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فليكبّر معهم</w:t>
      </w:r>
      <w:r>
        <w:rPr>
          <w:rFonts w:eastAsia="Amiri" w:cs="Amiri" w:ascii="Amiri" w:hAnsi="Amiri"/>
          <w:color w:val="111111"/>
          <w:sz w:val="28"/>
          <w:szCs w:val="28"/>
          <w:rtl w:val="true"/>
          <w:lang w:bidi="ar-SA"/>
        </w:rPr>
        <w:t>«</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سجود التلاوة فلا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اشتراطه بالطهارة، فالحقّ ما أفاده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الطهارة في الطواف الواجب، وقد تقدم في بحث الوضوء ما يستدل به على اشتراط الطهارة في الطواف الواجب فراجع ما ذكرناه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الحديث الثاني الدالّ على الجواز أحدث يكون الترجيح بالأحدثية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لكن مقتضى التورّع عدم ترك الاحتياط، هذا على 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بالدراهم هي التي يكون عليها اسمه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عدم وجوب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مقتضى إطلاق دليله كفاية إتيانه ولو بلا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هناك فيه غموض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العرفي يقتضي الحمل على الكراهة، والأحدثية ليست مرجحة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ذلك، وإلاّ فلا خصوصية للدراهم البيض</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لمس الدرهم الأبيض غير لمس اسم اللّه تعالى المنقوش عليه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يحرم اللبث في المسجد للجنب، وهذا هو المشهور بين أهل الشرع ومركوز في أذهانهم، وتدلّ على المدّعى جملة من النصوص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جميل،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الجنب يجلس في المساجد،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يمرّ فيها كلّها إلاّ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ويعارضها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ينام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ولا بأس أن ينام في المسجد ويمرّ فيه</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أحدث من الطائفة الأولى، ولكن كيف يمكن الأخذ</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ملازم له عرفاً، بل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الدرهم إلاّ بلمس الكتابة المنقوشة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النصوص</w:t>
      </w:r>
      <w:r>
        <w:rPr>
          <w:rStyle w:val="FootnoteAnchor"/>
          <w:rtl w:val="true"/>
        </w:rPr>
        <w:footnoteReference w:id="894"/>
      </w:r>
      <w:r>
        <w:rPr>
          <w:rFonts w:ascii="Amiri" w:hAnsi="Amiri" w:eastAsia="Amiri" w:cs="Amiri"/>
          <w:color w:val="111111"/>
          <w:sz w:val="28"/>
          <w:sz w:val="28"/>
          <w:szCs w:val="28"/>
          <w:rtl w:val="true"/>
          <w:lang w:bidi="ar-SA"/>
        </w:rPr>
        <w:t xml:space="preserve">في الجلوس لا مطلق اللبث، وقد يعمم تنقيح المناط عرفاً، أو بقرينة المقابلة بالمرور، بل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 لا حق له أن يقف فيها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أنَّه لا معارضة، بل هو تخصيص</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بها مع كونها مخالفة مع ما ارتكز في أذهان المتشرعة، مضافاً إلى أنّها تخالف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 وَلاَ جُنُباً إِلاّ عَابِرِي سَبِيلٍ حَتّىَ تَغْتَسِلُواْ</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فإنّ الآية الشريفة وإن لم يذكر فيها عنوان المسجد لكن لا إشكال في أنّ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النهي عن مكث الجنب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الحكم المذكور بين كون حدوث الجنابة قبل الدخول أو في المسجد، ولا بين كونه بالاحتلام أو غيره، والوجه فيه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يعبر بأن يدخل من 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العبور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نوقش فيه أمكن الاستدلال بتنقيح المناط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المناقشة في رواية محمد بن القاسم</w:t>
      </w:r>
      <w:r>
        <w:rPr>
          <w:rStyle w:val="FootnoteAnchor"/>
          <w:rtl w:val="true"/>
        </w:rPr>
        <w:footnoteReference w:id="897"/>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عنها، والعجب أنَّ صاحب التنقيح</w:t>
      </w:r>
      <w:r>
        <w:rPr>
          <w:rStyle w:val="FootnoteAnchor"/>
          <w:rtl w:val="true"/>
        </w:rPr>
        <w:footnoteReference w:id="898"/>
      </w:r>
      <w:r>
        <w:rPr>
          <w:rFonts w:ascii="IRNazanin" w:hAnsi="IRNazanin" w:eastAsia="IRNazanin"/>
          <w:color w:val="111111"/>
          <w:sz w:val="28"/>
          <w:sz w:val="28"/>
          <w:szCs w:val="28"/>
          <w:rtl w:val="true"/>
          <w:lang w:bidi="fa-IR"/>
        </w:rPr>
        <w:t>استند إلى الإعراض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موافقة للعامة، وفيه نظر؛ إذ الترجيح بذلك فرع التعارض، ولا تعارض للجمع العرفي بالتخصيص</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الرواية محل إشكال فهي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ويخرج من باب آخر</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مكث إلاّ في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ولو أجنب في أحدهما أو 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الجنابة عمداً أو سهواً تيمم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المركوز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عنها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موافقة للعامَّة، والعمدة الثالث، كما ظهر لما تقدم،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نفس الباب ففيه خلاف، والظاهر أنَّه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يمشي صادق، كما ورد في رواية محمد بن القاسم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لتنقيح المناط عرفاً، وإلاّ فالموجود في النص</w:t>
      </w:r>
      <w:r>
        <w:rPr>
          <w:rStyle w:val="FootnoteAnchor"/>
          <w:rtl w:val="true"/>
        </w:rPr>
        <w:footnoteReference w:id="900"/>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اقتصر على ما في النص لزم الاقتصار على الرجل لا المرأة، وكونه نائماً، و الاحتلام لا الدخول أو الإنزال، وهذا كلَّه غير 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زمان الخروج أقصر من زمان التيمم بادر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الخروج، 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فإنّ مقتضى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حمزة وجوب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تلحق المشاهد المشرّفة والأروقة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الشريفين، بتقريب أنّها في حكم المسجد، بل أعظم، وبجملة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بكر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من المدينة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لانصراف الدليل، فيكون مشمولاً للإطلاقات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المشي فيه خصوصية، أو لعله نوع احترام للمسجد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عليها، لكن مضى التأمل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بيوت</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يشمل حتى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تلحق بالمساجد،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w:t>
      </w:r>
      <w:r>
        <w:rPr>
          <w:rStyle w:val="FootnoteAnchor"/>
          <w:rtl w:val="true"/>
        </w:rPr>
        <w:footnoteReference w:id="903"/>
      </w:r>
      <w:r>
        <w:rPr>
          <w:rFonts w:ascii="Amiri" w:hAnsi="Amiri" w:eastAsia="Amiri" w:cs="Amiri"/>
          <w:color w:val="111111"/>
          <w:sz w:val="28"/>
          <w:sz w:val="28"/>
          <w:szCs w:val="28"/>
          <w:rtl w:val="true"/>
          <w:lang w:bidi="ar-SA"/>
        </w:rPr>
        <w:t xml:space="preserve">منصرف عن صورة إرادة العبور فقط، لكن الظاهر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Style w:val="FootnoteAnchor"/>
          <w:rtl w:val="true"/>
        </w:rPr>
        <w:footnoteReference w:id="904"/>
      </w:r>
      <w:r>
        <w:rPr>
          <w:rFonts w:ascii="Amiri" w:hAnsi="Amiri" w:eastAsia="Amiri" w:cs="Amiri"/>
          <w:color w:val="111111"/>
          <w:sz w:val="28"/>
          <w:sz w:val="28"/>
          <w:szCs w:val="28"/>
          <w:rtl w:val="true"/>
          <w:lang w:bidi="ar-SA"/>
        </w:rPr>
        <w:t>صحيحة، وأكثر روايات الباب ضعاف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نريد منزل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فلحقنا أبو بصير خارجاً من زقاق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تعلم أنّه لا ينبغي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لجنب أن يدخل بيوت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بصير ودخلنا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المفيد في الإرشاد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المدينة وكانت معي جويرية لي فأصبت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أما علمت أن بيوت الأنبياء وأولاد الأنبياء لا يدخلها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فاستحييت</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على التحريم، أو على الكراهة، أو أنها مجملة؟ اختار في التنقيح</w:t>
      </w:r>
      <w:r>
        <w:rPr>
          <w:rStyle w:val="FootnoteAnchor"/>
          <w:rtl w:val="true"/>
        </w:rPr>
        <w:footnoteReference w:id="907"/>
      </w:r>
      <w:r>
        <w:rPr>
          <w:rFonts w:ascii="Amiri" w:hAnsi="Amiri" w:eastAsia="Amiri" w:cs="Amiri"/>
          <w:color w:val="111111"/>
          <w:sz w:val="28"/>
          <w:sz w:val="28"/>
          <w:szCs w:val="28"/>
          <w:rtl w:val="true"/>
          <w:lang w:bidi="ar-SA"/>
        </w:rPr>
        <w:t>الدلالة على الحرمة، لكنَّه غير واضح،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تدل على التحريم لكن السند ضعيف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تدخل علي وأنت جنب</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فهو عتاب، ولا يدل على التحريم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تستحيي</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فالاستحياء كما يكون من الحرام يكون من القبيح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الثاني فإن النصوص المشار إليها إما قاصرة عن الإثبات سنداً وإما دلالة، وإما من كلتا الناحيتين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يجوز الدخول لوضع شيء فيها، بل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 شيء فيها حال العبور أو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ما رواه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والجنب لا يدخلان المسجد إلاّ مجتازين،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ويأخذان من المسجد ولا يضعان فيه شيئاً،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 xml:space="preserve">نعم، الغضب قد يدل على التحريم،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غضب اللّه وغضبك</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جبرها بالعمل لكفى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وللتنقيح</w:t>
      </w:r>
      <w:r>
        <w:rPr>
          <w:rStyle w:val="FootnoteAnchor"/>
          <w:rtl w:val="true"/>
        </w:rPr>
        <w:footnoteReference w:id="911"/>
      </w:r>
      <w:r>
        <w:rPr>
          <w:rFonts w:ascii="Amiri" w:hAnsi="Amiri" w:eastAsia="Amiri" w:cs="Amiri"/>
          <w:color w:val="111111"/>
          <w:sz w:val="28"/>
          <w:sz w:val="28"/>
          <w:szCs w:val="28"/>
          <w:rtl w:val="true"/>
          <w:lang w:bidi="ar-SA"/>
        </w:rPr>
        <w:t>كلام سبق</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الموضوع هو الوضع، فيشمل جميع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يضعان فيه شيئاً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بالهما يأخذان منه ولا يضعان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لا يقدران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أخذ ما فيه إلاّ منه، ويقدران على وضع ما بيدهما في غيره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الدخول لأخذ شيء منها؛ لإطلاق النهي عن الدخول إلاّ مجتازاً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الأخذ منها من الخارج، فإنّ القاعدة الأولية تقتضي الجواز، مضافاً إلى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أنَّه لو أراد 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منه، أمَّا لو كان عنده متاع فيمكن أن يضعه في مكان آخر،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فيشمل الأخذ في حال الدخول،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مقام البيان من هذه الجهة، وحينئذٍ يشمل النهي لدخول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النسبة المنطقية 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الأخذ بغير دخول أم بالدخول للأخذ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بالدخول للأخذ أم الدخول لغير الأخذ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فمورد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بالدخول للأخذ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حيث لا إطلاق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المحكم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يدخلان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لإطلاقه، فإنَّه يشمل الأخذ من الخارج والأخذ حال الاجتياز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تحرم على الجنب قراءة سور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حديثي زرارة ومحمد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هل يقرءان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ويذكران اللّه على كلّ حال</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تعيين مورد العزائم فيما ذكر فتدل عليه جملة من النصوص،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والنجم وتنزيل السجدة وحم السجدة</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شيئاً من العزائم التي يسجد فيها فلا تكبّر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سجودك، ولكن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منها آية السجدة، أو على الأقل هو القدر المتيقن، ويرجع في غيرها إلى البراءة، وكذا ما بعده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اللفظ فيه واحد،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تنزيل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في مقام توهم الوجوب لا يفيد إلاّ نفي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تكبّر حين ترفع رأسك، والعزائم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 وتنزيل والنجم واقرأ باسم ربك</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يجب الغسل للنذر وشبهه، والوجه فيه أنّ متعلق النذر إذا كان راجحاً وتعلق به النذر يجب، وكذلك بواقي المذكورات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والمفروض أنّ غسل الجنابة أمر راجح، بل ادّعي عن بعض وجوبه النفسي، ولكنّ الحقّ أنه مستحب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لايحتاج فإنّ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أنه بنفسه يوجب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الشريفة أنّ الغسل بنفسه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اليمين لا يشترط الرجحان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وَيُحِبُّ الْمُتَطَهِّرِينَ</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ولا شك أنه طهارة، والمغتسل متطهر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ّالمستفاد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بقصد الكون على الطهارة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محفوف بما يمنع الإطلاق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ففي هذا الظرف تكون الطهارة محبوبة لله تعالى، وما هو محفوف بما يصلح للقرينية يمنع الإطلاق</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323" w:name="pg15737_151805"/>
    </w:p>
    <w:p>
      <w:pPr>
        <w:pStyle w:val="Heading3"/>
        <w:numPr>
          <w:ilvl w:val="2"/>
          <w:numId w:val="1"/>
        </w:numPr>
        <w:rPr/>
      </w:pPr>
      <w:bookmarkStart w:id="324" w:name="__RefHeading___Toc12561788_2142443653"/>
      <w:bookmarkStart w:id="325" w:name="_Toc113"/>
      <w:bookmarkEnd w:id="323"/>
      <w:bookmarkEnd w:id="324"/>
      <w:r>
        <w:rPr>
          <w:rtl w:val="true"/>
        </w:rPr>
        <w:t>فصل</w:t>
      </w:r>
      <w:r>
        <w:rPr>
          <w:rtl w:val="true"/>
        </w:rPr>
        <w:t xml:space="preserve">: </w:t>
      </w:r>
      <w:r>
        <w:rPr>
          <w:rtl w:val="true"/>
        </w:rPr>
        <w:t>فيما يكره للجنب</w:t>
      </w:r>
      <w:bookmarkEnd w:id="325"/>
    </w:p>
    <w:p>
      <w:pPr>
        <w:pStyle w:val="BookText"/>
        <w:rPr/>
      </w:pPr>
      <w:r>
        <w:rPr>
          <w:rFonts w:ascii="Amiri" w:hAnsi="Amiri" w:eastAsia="Amiri" w:cs="Amiri"/>
          <w:color w:val="111111"/>
          <w:sz w:val="28"/>
          <w:sz w:val="28"/>
          <w:szCs w:val="28"/>
          <w:rtl w:val="true"/>
          <w:lang w:bidi="ar-SA"/>
        </w:rPr>
        <w:t>فيما يكره للجنب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إلاّ أن يتوضأ قبلهما، أو يتمضمض ويستنشق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ما زاد على سبع آيات من القرآن غير سور العزائم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هل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الماتن والشارح يرد سؤال، وهو أنَّه لِمَ لَمْ يذكرا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يستشكلان في قاعدة التسامح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ويغسل يديه قبلهما، والقبلية مبنية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 تفيد الترتيب،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 وتسبيح وتهليل، فإنَّ ظاهره الترتيب،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لمطلق الجمع،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قراءة آية السجدة كما سبق</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يدل على ست أو سبع، أو أنَّ البين تدل على عدم بلوغ السبع؟ </w:t>
      </w:r>
    </w:p>
    <w:p>
      <w:pPr>
        <w:pStyle w:val="BookText"/>
        <w:rPr/>
      </w:pPr>
      <w:r>
        <w:rPr>
          <w:rFonts w:ascii="Amiri" w:hAnsi="Amiri" w:eastAsia="Amiri" w:cs="Amiri"/>
          <w:color w:val="111111"/>
          <w:sz w:val="28"/>
          <w:sz w:val="28"/>
          <w:szCs w:val="28"/>
          <w:rtl w:val="true"/>
          <w:lang w:bidi="ar-SA"/>
        </w:rPr>
        <w:t>وأشدّ كراهة قراءة 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عدم قراءة شيء من القرآن حتى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غير الكتابة من القرآن كحواشيه وبين سطوره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حديث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ما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يحجزه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قراءة القرآن إلاّ الجنابة</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الجنب والحائض يفتحان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من وراء الثوب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مجملة، وكذا ما قبلها</w:t>
      </w:r>
      <w:r>
        <w:rPr>
          <w:rStyle w:val="FootnoteAnchor"/>
          <w:rtl w:val="true"/>
        </w:rPr>
        <w:footnoteReference w:id="925"/>
      </w:r>
      <w:r>
        <w:rPr>
          <w:rFonts w:ascii="Amiri" w:hAnsi="Amiri" w:eastAsia="Amiri" w:cs="Amiri"/>
          <w:color w:val="111111"/>
          <w:sz w:val="28"/>
          <w:sz w:val="28"/>
          <w:szCs w:val="28"/>
          <w:rtl w:val="true"/>
          <w:lang w:bidi="ar-SA"/>
        </w:rPr>
        <w:t>، فهل بينه وبين السبعين؟ ولو كان كذلك فلماذا جعل ما فوق السبع مكروهاً، وجعل السبعين مكروهاً لا فوق السبعين؟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المرجوحية، وإلاّ لقرأ، وراجع بحث أن الكراهة في العبادة ماذا تعني</w:t>
      </w:r>
      <w:r>
        <w:rPr>
          <w:rStyle w:val="FootnoteAnchor"/>
          <w:rtl w:val="true"/>
        </w:rPr>
        <w:footnoteReference w:id="926"/>
      </w:r>
      <w:r>
        <w:rPr>
          <w:rFonts w:ascii="IRNazanin" w:hAnsi="IRNazanin" w:eastAsia="IRNazanin"/>
          <w:color w:val="111111"/>
          <w:sz w:val="28"/>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تدل على استحباب ذلك، أو كراهة ضدَّه؟ </w:t>
      </w:r>
    </w:p>
    <w:p>
      <w:pPr>
        <w:pStyle w:val="BookText"/>
        <w:rPr/>
      </w:pPr>
      <w:r>
        <w:rPr>
          <w:rFonts w:ascii="Amiri" w:hAnsi="Amiri" w:eastAsia="Amiri" w:cs="Amiri"/>
          <w:color w:val="111111"/>
          <w:sz w:val="28"/>
          <w:sz w:val="28"/>
          <w:szCs w:val="28"/>
          <w:rtl w:val="true"/>
          <w:lang w:bidi="ar-SA"/>
        </w:rPr>
        <w:t>والأفضل له تعجيل الغسل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بالحناء وغيره، كما أنّه يكره له إجناب نفسه إذا كان مختضباً قبل أن يأخذ الخضاب مأخذه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غير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ويقرآن من القرآن ما شاءا إلاّ السجدة</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فإنّ المستفاد من الخبر حرمة مسّ غير الكتابة أيضاً، وحيث إنّه لا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بمفاده يحمل على الكراهة، والسند مخدوش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محبوبية الطهارة، فإنّ اللّه يحب التوابين ويحب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فتوى الفقيه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مستمرة ما دام عليه نفس الخضاب، فليس الملاك أن يأخذ الخضاب مأخذه، بل ما دام عليه خضاب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لأنَّه خلاف الإجماع والسيرة،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روايات اُُخر ظاهرها 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لنكسل</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326" w:name="pg15737_151808"/>
    </w:p>
    <w:p>
      <w:pPr>
        <w:pStyle w:val="Heading3"/>
        <w:numPr>
          <w:ilvl w:val="2"/>
          <w:numId w:val="1"/>
        </w:numPr>
        <w:rPr/>
      </w:pPr>
      <w:bookmarkStart w:id="327" w:name="__RefHeading___Toc12561790_2142443653"/>
      <w:bookmarkStart w:id="328" w:name="_Toc114"/>
      <w:bookmarkEnd w:id="326"/>
      <w:bookmarkEnd w:id="327"/>
      <w:r>
        <w:rPr>
          <w:rtl w:val="true"/>
        </w:rPr>
        <w:t>فصل</w:t>
      </w:r>
      <w:r>
        <w:rPr>
          <w:rtl w:val="true"/>
        </w:rPr>
        <w:t xml:space="preserve">: </w:t>
      </w:r>
      <w:r>
        <w:rPr>
          <w:rtl w:val="true"/>
        </w:rPr>
        <w:t>فيما ينبغي عند الاغتسال</w:t>
      </w:r>
      <w:bookmarkEnd w:id="328"/>
    </w:p>
    <w:p>
      <w:pPr>
        <w:pStyle w:val="Heading4"/>
        <w:numPr>
          <w:ilvl w:val="3"/>
          <w:numId w:val="1"/>
        </w:numPr>
        <w:rPr/>
      </w:pPr>
      <w:bookmarkStart w:id="329" w:name="__RefHeading___Toc12561792_2142443653"/>
      <w:bookmarkStart w:id="330" w:name="_Toc115"/>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فصل فيما ينبغي عند الاغتسال، وهو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من المرفقين ثلاث مرّات قبل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الروايات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إدخالهما الإناء</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فلعله لا يشمل الغسل تحت الدوش</w:t>
      </w:r>
      <w:r>
        <w:rPr>
          <w:rStyle w:val="FootnoteAnchor"/>
          <w:rtl w:val="true"/>
        </w:rPr>
        <w:footnoteReference w:id="930"/>
      </w:r>
      <w:r>
        <w:rPr>
          <w:rFonts w:ascii="Amiri" w:hAnsi="Amiri" w:eastAsia="Amiri" w:cs="Amiri"/>
          <w:color w:val="111111"/>
          <w:sz w:val="28"/>
          <w:sz w:val="28"/>
          <w:szCs w:val="28"/>
          <w:rtl w:val="true"/>
          <w:lang w:bidi="ar-SA"/>
        </w:rPr>
        <w:t>مثلاً، إذ لعل للإدخال خصوصية،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أدلَّة التسامح لفتوى الفقيه، أو بإلغاء الخصوصية عرفاً،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سائر روايات الباب مثلاً رواية زرارة</w:t>
      </w:r>
      <w:r>
        <w:rPr>
          <w:rStyle w:val="FootnoteAnchor"/>
          <w:rtl w:val="true"/>
        </w:rPr>
        <w:footnoteReference w:id="931"/>
      </w:r>
      <w:r>
        <w:rPr>
          <w:rFonts w:ascii="Amiri" w:hAnsi="Amiri" w:eastAsia="Amiri" w:cs="Amiri"/>
          <w:color w:val="111111"/>
          <w:sz w:val="28"/>
          <w:sz w:val="28"/>
          <w:szCs w:val="28"/>
          <w:rtl w:val="true"/>
          <w:lang w:bidi="ar-SA"/>
        </w:rPr>
        <w:t>فهي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الروايتين الأوليين</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اليمنى قبل أن يدخلها في الإناء؟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واثنتان من حدث الغائط، وثلاث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في شرح منتخب المسائل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أحمد محمد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غسل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يدك اليمنى من المرفق إلى أصابعك، ثم تدخلها في الإناء، ثم اغسل ما أصاب منك، ثم أفض على رأسك وسائر جسدك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الدلائل في شرح منتخب المسائل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فيهما غسل اليد اليمنى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المضمضمة كذلك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ولعل غسل اليمنى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الرواية الثانية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ذلك يشير إلى درجتين من درجات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الثانية مطلقة من حيث العدد، والأولى والثالثة</w:t>
      </w:r>
      <w:r>
        <w:rPr>
          <w:rStyle w:val="FootnoteAnchor"/>
          <w:rtl w:val="true"/>
        </w:rPr>
        <w:footnoteReference w:id="934"/>
      </w:r>
      <w:r>
        <w:rPr>
          <w:rFonts w:ascii="Amiri" w:hAnsi="Amiri" w:eastAsia="Amiri" w:cs="Amiri"/>
          <w:color w:val="111111"/>
          <w:sz w:val="28"/>
          <w:sz w:val="28"/>
          <w:szCs w:val="28"/>
          <w:rtl w:val="true"/>
          <w:lang w:bidi="ar-SA"/>
        </w:rPr>
        <w:t>حدّدت العدد بثلاثة، والظاهر أنهما مرتبتان من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المضمضة كذلك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الرواية السابقة</w:t>
      </w:r>
      <w:r>
        <w:rPr>
          <w:rStyle w:val="FootnoteAnchor"/>
          <w:rtl w:val="true"/>
        </w:rPr>
        <w:footnoteReference w:id="935"/>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w:t>
      </w:r>
      <w:r>
        <w:rPr>
          <w:rStyle w:val="FootnoteAnchor"/>
          <w:rtl w:val="true"/>
        </w:rPr>
        <w:footnoteReference w:id="936"/>
      </w:r>
      <w:r>
        <w:rPr>
          <w:rFonts w:ascii="Amiri" w:hAnsi="Amiri" w:eastAsia="Amiri" w:cs="Amiri"/>
          <w:color w:val="111111"/>
          <w:sz w:val="28"/>
          <w:sz w:val="28"/>
          <w:szCs w:val="28"/>
          <w:rtl w:val="true"/>
          <w:lang w:bidi="ar-SA"/>
        </w:rPr>
        <w:t>ذكرت الثلاث إلاّ أنها مجملة لا يعلم عودها للأخير فقط أو لما سبقه أيضاً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عودها للثلاثة معاً، وعلى كلٍ فتكفي فتوى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الاستنشاق كذلك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اليد على ما تصل إليه من جميع بدنه خصوصاً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الترتيبي، بل ينبغي كمال الاستظهار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إيصال الماء، وتخليل الشعر المجتمع الذي لعلّه لا يصل تحته الماء كاللحية وشعر الإباط، وإخراج الخاتم ونحوه من اليد، وإيصال الماء إلى العكن</w:t>
      </w:r>
      <w:r>
        <w:rPr>
          <w:rStyle w:val="FootnoteAnchor"/>
          <w:rtl w:val="true"/>
        </w:rPr>
        <w:footnoteReference w:id="9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العدد في الرواية</w:t>
      </w:r>
      <w:r>
        <w:rPr>
          <w:rStyle w:val="FootnoteAnchor"/>
          <w:rtl w:val="true"/>
        </w:rPr>
        <w:footnoteReference w:id="938"/>
      </w:r>
      <w:r>
        <w:rPr>
          <w:rFonts w:ascii="Amiri" w:hAnsi="Amiri" w:eastAsia="Amiri" w:cs="Amiri"/>
          <w:color w:val="111111"/>
          <w:sz w:val="28"/>
          <w:sz w:val="28"/>
          <w:szCs w:val="28"/>
          <w:rtl w:val="true"/>
          <w:lang w:bidi="ar-SA"/>
        </w:rPr>
        <w:t>، ولاحظ رواية أبي بصير</w:t>
      </w:r>
      <w:r>
        <w:rPr>
          <w:rStyle w:val="FootnoteAnchor"/>
          <w:rtl w:val="true"/>
        </w:rPr>
        <w:footnoteReference w:id="939"/>
      </w:r>
      <w:r>
        <w:rPr>
          <w:rFonts w:ascii="Amiri" w:hAnsi="Amiri" w:eastAsia="Amiri" w:cs="Amiri"/>
          <w:color w:val="111111"/>
          <w:sz w:val="28"/>
          <w:sz w:val="28"/>
          <w:szCs w:val="28"/>
          <w:rtl w:val="true"/>
          <w:lang w:bidi="ar-SA"/>
        </w:rPr>
        <w:t>، ويكفي فتوى الفقيه،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الاستنشاق منصرف إلى الثلاث بقرينة الوضوء، وفيه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الخصوصية كونه مورداً للروايتين</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الإرتماسي فلعله لإلغاء الخصوصية، أو لأدلَّة الاحتياط العامَّة، وعلى كلٍ فتكفي فتوى الفقيه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يصل إلى درجة الوسوسة</w:t>
      </w:r>
      <w:r>
        <w:rPr>
          <w:rFonts w:eastAsia="Amiri" w:cs="Amiri" w:ascii="Amiri" w:hAnsi="Amiri"/>
          <w:color w:val="111111"/>
          <w:sz w:val="28"/>
          <w:szCs w:val="28"/>
          <w:rtl w:val="true"/>
          <w:lang w:bidi="ar-SA"/>
        </w:rPr>
        <w:t xml:space="preserve">. </w:t>
      </w:r>
      <w:bookmarkStart w:id="331" w:name="pg15737_151811"/>
    </w:p>
    <w:p>
      <w:pPr>
        <w:pStyle w:val="BookText"/>
        <w:rPr/>
      </w:pPr>
      <w:bookmarkEnd w:id="331"/>
      <w:r>
        <w:rPr>
          <w:rFonts w:ascii="Amiri" w:hAnsi="Amiri" w:eastAsia="Amiri" w:cs="Amiri"/>
          <w:color w:val="111111"/>
          <w:sz w:val="28"/>
          <w:sz w:val="28"/>
          <w:szCs w:val="28"/>
          <w:rtl w:val="true"/>
          <w:lang w:bidi="ar-SA"/>
        </w:rPr>
        <w:t>لكمال الاستظهار، وأمّا مع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وصول الماء بدون ذلك فيجب مقدمة لحصول العلم بتحقق الغسل</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2561794_2142443653"/>
      <w:bookmarkStart w:id="333" w:name="_Toc116"/>
      <w:bookmarkEnd w:id="332"/>
      <w:r>
        <w:rPr>
          <w:rtl w:val="true"/>
        </w:rPr>
        <w:t xml:space="preserve">المسألة </w:t>
      </w:r>
      <w:r>
        <w:rPr/>
        <w:t>138</w:t>
      </w:r>
      <w:r>
        <w:rPr>
          <w:rtl w:val="true"/>
        </w:rPr>
        <w:t xml:space="preserve">: </w:t>
      </w:r>
      <w:r>
        <w:rPr>
          <w:rtl w:val="true"/>
        </w:rPr>
        <w:t>غسل الجنابة يجزي عن الوضوء</w:t>
      </w:r>
      <w:bookmarkEnd w:id="3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يجزي عن الوضوء لكلّ ما يتوقف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تامّ؛ إذ مع الشكّ لا يحصل العلم بالامتثال، فتكون قاعدة الاشتغال محكمة على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مرجعاً على المسلك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الواضحات التي لا تكون قابلة للبحث والخدش، ومورد الاتفاق قديماً وحديثاً،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فإن الآية الشريفة قسّمت المكلّف إلى قسمين، وبيّنت وظيفة كل فريق،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الظن ما لم يبلغ مرحلة الاطمئنان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بجريانهما معاً، لاحظ بحث الأُصول</w:t>
      </w:r>
      <w:r>
        <w:rPr>
          <w:rStyle w:val="FootnoteAnchor"/>
          <w:rtl w:val="true"/>
        </w:rPr>
        <w:footnoteReference w:id="942"/>
      </w:r>
      <w:r>
        <w:rPr>
          <w:rFonts w:ascii="Amiri" w:hAnsi="Amiri" w:eastAsia="Amiri" w:cs="Amiri"/>
          <w:color w:val="111111"/>
          <w:sz w:val="28"/>
          <w:sz w:val="28"/>
          <w:szCs w:val="28"/>
          <w:rtl w:val="true"/>
          <w:lang w:bidi="ar-SA"/>
        </w:rPr>
        <w:t>السببية والمسببية المتوافقة</w:t>
      </w:r>
      <w:r>
        <w:rPr>
          <w:rFonts w:eastAsia="Amiri" w:cs="Amiri" w:ascii="Amiri" w:hAnsi="Amiri"/>
          <w:color w:val="111111"/>
          <w:sz w:val="28"/>
          <w:szCs w:val="28"/>
          <w:rtl w:val="true"/>
          <w:lang w:bidi="ar-SA"/>
        </w:rPr>
        <w:t xml:space="preserve">. </w:t>
      </w:r>
      <w:bookmarkStart w:id="334" w:name="pg15737_151812"/>
    </w:p>
    <w:p>
      <w:pPr>
        <w:pStyle w:val="Heading4"/>
        <w:numPr>
          <w:ilvl w:val="3"/>
          <w:numId w:val="1"/>
        </w:numPr>
        <w:rPr/>
      </w:pPr>
      <w:bookmarkStart w:id="335" w:name="__RefHeading___Toc12561796_2142443653"/>
      <w:bookmarkStart w:id="336" w:name="_Toc117"/>
      <w:bookmarkEnd w:id="334"/>
      <w:bookmarkEnd w:id="335"/>
      <w:r>
        <w:rPr>
          <w:rtl w:val="true"/>
        </w:rPr>
        <w:t xml:space="preserve">المسألة </w:t>
      </w:r>
      <w:r>
        <w:rPr/>
        <w:t>139</w:t>
      </w:r>
      <w:r>
        <w:rPr>
          <w:rtl w:val="true"/>
        </w:rPr>
        <w:t xml:space="preserve">: </w:t>
      </w:r>
      <w:r>
        <w:rPr>
          <w:rtl w:val="true"/>
        </w:rPr>
        <w:t>لو أحدث في أثناء الغسل</w:t>
      </w:r>
      <w:bookmarkEnd w:id="3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في أثناء غسل الجنابة بالحدث الأصغر لا يلزم إتمام الغسل وإعادته، بل يكفي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الغسل من أوّله بقصد ما هو عليه واقعاً من التمام، أو الإتمام ويتوضّأ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يشترط بالوضوء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والتقسيم قاطع للشركة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ميسرة،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الجنب ينتهي إلى الماء القليل في الطريق، ويريد أن يغتسل منه، وليس معه إناء يغرف به، ويداه قذرتان،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ثمّ يتوضّأ ثم يغتسل</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وتقريب المدعى أن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الشريفة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الإتمام والوضوء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أثنائه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الآية الكريمة في خصوص الصلاة، إلاّ أن يتم المدعى بعدم القول بالفصل أو بالمناط،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المراد بالوضوء التطهر، راجع كتاب الأطعمة والأشربة، بحث الوضوء قبل الأكل</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في خصوص الصلاة، ويتم الأمر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قرأ بعد الوضوء أو غسل الجنابة هذا الدعاء سقطت عنه ذنوبه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يسقط ورق الشجر</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المحدث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محدث بالحدث الأصغر، وقسم محدث بالحدث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المجنب قبل تمامية غسله لا يخرج عن كونه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الأثناء فلا أثر له؛ إذ الحدث الأصغر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w:t>
      </w:r>
    </w:p>
    <w:p>
      <w:pPr>
        <w:pStyle w:val="BookText"/>
        <w:rPr/>
      </w:pPr>
      <w:r>
        <w:rPr>
          <w:rFonts w:ascii="Amiri" w:hAnsi="Amiri" w:eastAsia="Amiri" w:cs="Amiri"/>
          <w:color w:val="111111"/>
          <w:sz w:val="28"/>
          <w:sz w:val="28"/>
          <w:szCs w:val="28"/>
          <w:rtl w:val="true"/>
          <w:lang w:bidi="ar-SA"/>
        </w:rPr>
        <w:t>في غيرها بفهم الملاك عرفاً، أو بفهم عدم الخصوصية، أو 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سؤال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الفقهاء يشترطون سقوط الذنوب بالتوبة المصطلحة فمعها لاحاجة إلى ذلك، وبدونها لا يجدي ذلك شيئاً، وهذا الكلام سيال في أبواب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 وإن كان مشروطاً بشرط،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منصرف عنه ولو بقرينة فهم المشهور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الاستدلال بأنه ليس طاهراً، والحدث بعد </w:t>
      </w:r>
    </w:p>
    <w:p>
      <w:pPr>
        <w:pStyle w:val="BookText"/>
        <w:rPr/>
      </w:pPr>
      <w:r>
        <w:rPr>
          <w:rFonts w:ascii="Amiri" w:hAnsi="Amiri" w:eastAsia="Amiri" w:cs="Amiri"/>
          <w:color w:val="111111"/>
          <w:sz w:val="28"/>
          <w:sz w:val="28"/>
          <w:szCs w:val="28"/>
          <w:rtl w:val="true"/>
          <w:lang w:bidi="ar-SA"/>
        </w:rPr>
        <w:t>المحدث بالأكبر غير مؤثر في شيء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الحدث لا معنى له؛ لكونه تحصيلاً للحاصل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هنالك رواية تدل على لزوم الإعادة من رأس</w:t>
      </w:r>
      <w:r>
        <w:rPr>
          <w:rStyle w:val="FootnoteAnchor"/>
          <w:rtl w:val="true"/>
        </w:rPr>
        <w:footnoteReference w:id="946"/>
      </w:r>
      <w:r>
        <w:rPr>
          <w:rFonts w:ascii="Amiri" w:hAnsi="Amiri" w:eastAsia="Amiri" w:cs="Amiri"/>
          <w:color w:val="111111"/>
          <w:sz w:val="28"/>
          <w:sz w:val="28"/>
          <w:szCs w:val="28"/>
          <w:rtl w:val="true"/>
          <w:lang w:bidi="ar-SA"/>
        </w:rPr>
        <w:t>، لكن الظاهر ضعف سندها</w:t>
      </w:r>
      <w:r>
        <w:rPr>
          <w:rFonts w:eastAsia="Amiri" w:cs="Amiri" w:ascii="Amiri" w:hAnsi="Amiri"/>
          <w:color w:val="111111"/>
          <w:sz w:val="28"/>
          <w:szCs w:val="28"/>
          <w:rtl w:val="true"/>
          <w:lang w:bidi="ar-SA"/>
        </w:rPr>
        <w:t xml:space="preserve">. </w:t>
      </w:r>
      <w:bookmarkStart w:id="337" w:name="pg15737_151815"/>
    </w:p>
    <w:p>
      <w:pPr>
        <w:pStyle w:val="Heading3"/>
        <w:numPr>
          <w:ilvl w:val="2"/>
          <w:numId w:val="1"/>
        </w:numPr>
        <w:rPr/>
      </w:pPr>
      <w:bookmarkStart w:id="338" w:name="__RefHeading___Toc12561798_2142443653"/>
      <w:bookmarkStart w:id="339" w:name="_Toc118"/>
      <w:bookmarkEnd w:id="337"/>
      <w:bookmarkEnd w:id="338"/>
      <w:r>
        <w:rPr>
          <w:rtl w:val="true"/>
        </w:rPr>
        <w:t>فصل</w:t>
      </w:r>
      <w:r>
        <w:rPr>
          <w:rtl w:val="true"/>
        </w:rPr>
        <w:t xml:space="preserve">: </w:t>
      </w:r>
      <w:r>
        <w:rPr>
          <w:rtl w:val="true"/>
        </w:rPr>
        <w:t>في كيفية غسل الجنابة</w:t>
      </w:r>
      <w:bookmarkEnd w:id="339"/>
    </w:p>
    <w:p>
      <w:pPr>
        <w:pStyle w:val="Heading4"/>
        <w:numPr>
          <w:ilvl w:val="3"/>
          <w:numId w:val="1"/>
        </w:numPr>
        <w:rPr/>
      </w:pPr>
      <w:bookmarkStart w:id="340" w:name="__RefHeading___Toc12561800_2142443653"/>
      <w:bookmarkStart w:id="341" w:name="_Toc119"/>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وهو قسمان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ترتيبي وارتماسي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الترتيبي فهو عبارة عن غسلات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الجانب الأيمن من العنق مع الطرف الأيمن، وغسل الجانب الأيسر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الطرف الأيسر أيضاً، ويلزم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النصف الأيمن من العورة والسرّة مع الطرف الأيمن، والنصف الأيسر منهما مع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غسل تمامهما مع كل من الطرفين بقصد ما هو عليه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الغسل قسمان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وعاء الشرع، وتدلّ على المدّعى السيرة وارتكاز أهل الشرع والشهرة في الألسن والكلمات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المدعى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العم 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تحت المطر، لكن الظاهر أنه ملحق بالارتماسي،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لزوم الترتيب بين الجانبين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لا ترتيب بين الجانبين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إضافة قسم 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ثمّ تغسل فرجك، ثمّ تصب على رأسك ثلاثاً، ثم تصب على سائر جسدك مرتين، فما جرى عليه الماء فقد طهر</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المحققين من علمائنا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الرأس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معانٍ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 الرأس التي هي منبت الشعر وهو رأس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ذلك مع الأُذنين، وهو رأس الصائم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ذلك مع الوجه وهو رأس الجناية في الشجاج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المدّعى بما رواه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الاستدلال أنّه 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غسل العنق ولم يذكر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 الروايات الثلاث</w:t>
      </w:r>
      <w:r>
        <w:rPr>
          <w:rStyle w:val="FootnoteAnchor"/>
          <w:rtl w:val="true"/>
        </w:rPr>
        <w:footnoteReference w:id="948"/>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ويحتاج للتحقيق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الأُذنين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بالرأس ما فوق الرقبة بتمامه</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تغسل جسدك من لدن </w:t>
      </w:r>
    </w:p>
    <w:p>
      <w:pPr>
        <w:pStyle w:val="BookText"/>
        <w:rPr/>
      </w:pPr>
      <w:r>
        <w:rPr>
          <w:rFonts w:ascii="Amiri" w:hAnsi="Amiri" w:eastAsia="Amiri" w:cs="Amiri"/>
          <w:color w:val="111111"/>
          <w:sz w:val="28"/>
          <w:sz w:val="28"/>
          <w:szCs w:val="28"/>
          <w:rtl w:val="true"/>
          <w:lang w:bidi="ar-SA"/>
        </w:rPr>
        <w:t>أضف إلى ذلك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الخارجية الجارية بين أهل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الطرف الأيمن من البدن، ويمكن الاستدلال على المدعى بما رواه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المستفاد من الحديث الترتيب بين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الترتيب، وأمّا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إلاّ على الجمع، لكن هل يمكن الإذعان بما ذكر، مثلاً إذا ورد في الدليل يستحب في يوم السبت لكلّ مكلف أن يصلي ركعتين ويذكر الحوقلة مئة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مئة مرة ويتصدق على المسكين، ماذا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قرنك إلى قدمك</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يفيض الماء على جسده كلّه</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يفيد العكس،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يدل على تأخر البدن عن الرأس،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 على منكبه الأيمن</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مما يدل على عدم الترتيب بين الجانبين، ولا أقل من الإجمال مع هذه القرينة، فالمرجع البراءة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لا يبعد الترتيب،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ويمكن تقريب المدّعى بنحو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زرارة أنّ الغسل له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على المدّعى بما رواه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مخدوش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بإبراهيم بن مهزيار، لكن يكفي لإثبات المدعى ما تقدم في حديث زرارة مؤيداً بالسيرة الخارجية، بحيث لا يبعد أن يكون خلافها مستنكراً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الشرع،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النصف الأيمن من العورة مع الجانب الأيمن، وغسل النصف الأيسر منها مع الجانب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الترتيب أساساً، قال ابن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فاعطف بواو سابقاً أو لاحقاً</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لكن مع القرينة المزبورة لا 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ذلك أصلاً، وإنما ذُكر المنكبان ليصل الماء إلى جميع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التشبيه من ذلك الجانب لا هذا الجانب،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غسل الميت بغسل الجنب لا العكس،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كالأسد، لم يُستفد أن كل حكم لزيد فهو للأسد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جداً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الترتيب أولى</w:t>
      </w:r>
      <w:r>
        <w:rPr>
          <w:rFonts w:eastAsia="Amiri" w:cs="Amiri" w:ascii="Amiri" w:hAnsi="Amiri"/>
          <w:color w:val="111111"/>
          <w:sz w:val="28"/>
          <w:szCs w:val="28"/>
          <w:rtl w:val="true"/>
          <w:lang w:bidi="ar-SA"/>
        </w:rPr>
        <w:t xml:space="preserve">. </w:t>
      </w:r>
      <w:bookmarkStart w:id="342" w:name="pg15737_151819"/>
    </w:p>
    <w:p>
      <w:pPr>
        <w:pStyle w:val="Heading4"/>
        <w:numPr>
          <w:ilvl w:val="3"/>
          <w:numId w:val="1"/>
        </w:numPr>
        <w:rPr/>
      </w:pPr>
      <w:bookmarkStart w:id="343" w:name="__RefHeading___Toc12561802_2142443653"/>
      <w:bookmarkStart w:id="344" w:name="_Toc120"/>
      <w:bookmarkEnd w:id="342"/>
      <w:bookmarkEnd w:id="343"/>
      <w:r>
        <w:rPr>
          <w:rtl w:val="true"/>
        </w:rPr>
        <w:t xml:space="preserve">المسألة </w:t>
      </w:r>
      <w:r>
        <w:rPr/>
        <w:t>140</w:t>
      </w:r>
      <w:r>
        <w:rPr>
          <w:rtl w:val="true"/>
        </w:rPr>
        <w:t xml:space="preserve">: </w:t>
      </w:r>
      <w:r>
        <w:rPr>
          <w:rtl w:val="true"/>
        </w:rPr>
        <w:t>إيصال الماء إلى البدن في الغسل</w:t>
      </w:r>
      <w:bookmarkEnd w:id="3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الغسل هو إيصال الماء إلى البدن بأي نحو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خصوص الصب ولا إمرار اليد</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2561804_2142443653"/>
      <w:bookmarkStart w:id="346" w:name="_Toc121"/>
      <w:bookmarkEnd w:id="345"/>
      <w:r>
        <w:rPr>
          <w:rtl w:val="true"/>
        </w:rPr>
        <w:t xml:space="preserve">المسألة </w:t>
      </w:r>
      <w:r>
        <w:rPr/>
        <w:t>142</w:t>
      </w:r>
      <w:r>
        <w:rPr>
          <w:rtl w:val="true"/>
        </w:rPr>
        <w:t xml:space="preserve">: </w:t>
      </w:r>
      <w:r>
        <w:rPr>
          <w:rtl w:val="true"/>
        </w:rPr>
        <w:t>كيفية الغسل في الماء</w:t>
      </w:r>
      <w:bookmarkEnd w:id="3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الماء فحرّك رأسه تحت الماء بقصد الغسل، ثمّ حرك طرفه الأيمن ثم الأيسر كفى وصح الغسل، وأما الارتماسي وهو عبارة عن غسل جميع البدن بالتغطية في الماء دفعة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في آن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يكفي الدخول في الماء تدريجاً بالثاني، بل اللازم دخول أجزاء البدن في الماء متعاقباً بلا تراخي، بحيث يشتمل الماء على جميع الأجزاء في</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غسل تمام العورة مع كلّ من الطرفين بقصد ما هو عليه واقعاً، والظاهر أنّه 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يسمى غسلاً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ومنه يظهر الكلام فيما يأتي</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إدخال العضو في الماء</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وإن تنظرنا فيه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أن البعض أفتى بلزومه</w:t>
      </w:r>
      <w:r>
        <w:rPr>
          <w:rStyle w:val="FootnoteAnchor"/>
          <w:rtl w:val="true"/>
        </w:rPr>
        <w:footnoteReference w:id="956"/>
      </w:r>
      <w:r>
        <w:rPr>
          <w:rFonts w:ascii="Amiri" w:hAnsi="Amiri" w:eastAsia="Amiri" w:cs="Amiri"/>
          <w:color w:val="111111"/>
          <w:sz w:val="28"/>
          <w:sz w:val="28"/>
          <w:szCs w:val="28"/>
          <w:rtl w:val="true"/>
          <w:lang w:bidi="ar-SA"/>
        </w:rPr>
        <w:t>، وهذا كافٍ في 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تلك التغطية، ولا يصل إلى شي‌ء من البدن مانع عن الماء إلى دخول تمامه فيه، والغسل الترتيبي أفضل من الارتماسي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واحتاط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منهاجه بلزوم الإدخال في الماء، بتقريب أن الأمر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الإحداث، ولا يتحقق الغسل بالإحداث إلاّ بإدخال العضو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 الأمر ظاهراً في الإحداث، وقلنا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أمر المولى عبده بكونه في المكان الفلاني من الظهر، والعبد دخل ذلك المكان قبل الظهر وبقي هناك إلى ساعة بعد الظهر، فلا إشكال في تحقق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اللازم في الارتماسي غسل جميع البدن بالتغطية في الماء دفعة، والظاهر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فيه أنّ الوارد في النص عنوان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إدامة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أنه لا يلزم التحريك أيضاً، بل يكفي الإبقاء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يعلم أن المقصود الكينونة، ولا تعلم في مسألة الغسل،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هنا عرفاً،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الارتماس مفهوم عرفي، وهو يصدق وإن خرج بعض رجله قبل دخول رأسه، أو دخل بعض رجله في الطين، فتأمل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957"/>
      </w:r>
      <w:r>
        <w:rPr>
          <w:rFonts w:ascii="Amiri" w:hAnsi="Amiri" w:eastAsia="Amiri" w:cs="Amiri"/>
          <w:color w:val="111111"/>
          <w:sz w:val="28"/>
          <w:sz w:val="28"/>
          <w:szCs w:val="28"/>
          <w:rtl w:val="true"/>
          <w:lang w:bidi="ar-SA"/>
        </w:rPr>
        <w:t xml:space="preserve">كلام في ذلك، إذ ذكر أنه مقتضى الجمع </w:t>
      </w:r>
    </w:p>
    <w:p>
      <w:pPr>
        <w:pStyle w:val="BookText"/>
        <w:rPr/>
      </w:pPr>
      <w:r>
        <w:rPr>
          <w:rFonts w:ascii="Amiri" w:hAnsi="Amiri" w:eastAsia="Amiri" w:cs="Amiri"/>
          <w:color w:val="111111"/>
          <w:sz w:val="28"/>
          <w:sz w:val="28"/>
          <w:szCs w:val="28"/>
          <w:rtl w:val="true"/>
          <w:lang w:bidi="ar-SA"/>
        </w:rPr>
        <w:t>الارتماس، والارتماس فسر في اللغة بالستر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والستر عنوان يتحقق دفعة؛ إذ ما دام لا يكون مستوراً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عنوان الستر، وإذا تحقق فلا تدرج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في الستر التدرج، فيلزم في الغسل الارتماسي الدفعة، لكن يكفي الدفعة العرفية، ولا يعقل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الترتيبي أفضل من الارتماسي، ويمكن أن يكون الوجه فيه حديث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المستفاد من الحديث أنّ الوظيفة الأولية الغسل الترتيبي، لكن يجوز للمكلف الإتيان بالارتماسي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جرى عليه الماء</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جلدك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تنظر في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عرفاً بمعنى الدخول في الماء</w:t>
      </w:r>
      <w:r>
        <w:rPr>
          <w:rStyle w:val="FootnoteAnchor"/>
          <w:rtl w:val="true"/>
        </w:rPr>
        <w:footnoteReference w:id="959"/>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دقة عقلية لا تتحملها الأذهان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 فيما لو كان تحت الماء ونوى الغسل بالتحريك، فتأمل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فإنه يمكن أن يكون ذكره كذلك لسهولته ووفرته بخلاف الارتماسي، وتكفي فيه فتوى الفقيه،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مسارعة في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حصول تطهر أسرع، فتأمل، فإن الموارد تختلف</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رأي المصنف قد يتعارضان، فقد نحتاج في الارتماسي إلى ثلاث دقائق، بينما الترتيبي خمس دقائق، فهنا يتعارض الارتماسي مع الترتيبي، وهنا يوجد عنوانان متزاحمان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للخير في الارتماسي، وأن الترتيبي أفضل، وقد يكون الوجه أن الترتيبي بطبعه أحمز، فتأمل</w:t>
      </w:r>
      <w:r>
        <w:rPr>
          <w:rFonts w:eastAsia="Amiri" w:cs="Amiri" w:ascii="Amiri" w:hAnsi="Amiri"/>
          <w:color w:val="111111"/>
          <w:sz w:val="28"/>
          <w:szCs w:val="28"/>
          <w:rtl w:val="true"/>
          <w:lang w:bidi="ar-SA"/>
        </w:rPr>
        <w:t xml:space="preserve">. </w:t>
      </w:r>
      <w:bookmarkStart w:id="347" w:name="pg15737_151823"/>
    </w:p>
    <w:p>
      <w:pPr>
        <w:pStyle w:val="Heading3"/>
        <w:numPr>
          <w:ilvl w:val="2"/>
          <w:numId w:val="1"/>
        </w:numPr>
        <w:rPr/>
      </w:pPr>
      <w:bookmarkStart w:id="348" w:name="__RefHeading___Toc12561806_2142443653"/>
      <w:bookmarkStart w:id="349" w:name="_Toc122"/>
      <w:bookmarkEnd w:id="347"/>
      <w:bookmarkEnd w:id="348"/>
      <w:r>
        <w:rPr>
          <w:rtl w:val="true"/>
        </w:rPr>
        <w:t>فصل</w:t>
      </w:r>
      <w:r>
        <w:rPr>
          <w:rtl w:val="true"/>
        </w:rPr>
        <w:t xml:space="preserve">: </w:t>
      </w:r>
      <w:r>
        <w:rPr>
          <w:rtl w:val="true"/>
        </w:rPr>
        <w:t>فيما يعتبر في الغسل</w:t>
      </w:r>
      <w:bookmarkEnd w:id="349"/>
    </w:p>
    <w:p>
      <w:pPr>
        <w:pStyle w:val="BookText"/>
        <w:rPr/>
      </w:pPr>
      <w:r>
        <w:rPr>
          <w:rFonts w:ascii="Amiri" w:hAnsi="Amiri" w:eastAsia="Amiri" w:cs="Amiri"/>
          <w:color w:val="111111"/>
          <w:sz w:val="28"/>
          <w:sz w:val="28"/>
          <w:szCs w:val="28"/>
          <w:rtl w:val="true"/>
          <w:lang w:bidi="ar-SA"/>
        </w:rPr>
        <w:t>يعتبر في الغسل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وهو القصد إلى العمل الخاص بداعي القربة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المذكور في الوضوء، ويجوز الجمع بين أغسال متعددة في عمل واحد، بأن ينوي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الجميع بتغطية واحدة مثلاً، سواء كانت واجبة أم مستحبة، وأما لو كان بعضها واجباً وبعضها مستحباً فينوي الواجب مع الالتفات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كفايته عن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جميع ظاهر البدن وعدم ترك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ما يشكّ كونه من ظاهر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البدن قبل الغسل، ويكفي طهارة العضو الذي يريد غسله وإن كان غيره نجساً، وإن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الخلوص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غير متوقف على نية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حصول الثواب موقوف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في المقام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جميع البدن قبل الشروع في الغسل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الأولى مراعاتها بمعنى المتابعة على ما 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تجب الموالاة بالنذر وشبهه أو لضيق الوقت وأمثال ذلك، لكن لو تركها في تلك الحال أيضاً كان الغسل صحيحاً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وذلك للرواية</w:t>
      </w:r>
      <w:r>
        <w:rPr>
          <w:rStyle w:val="FootnoteAnchor"/>
          <w:rtl w:val="true"/>
        </w:rPr>
        <w:footnoteReference w:id="960"/>
      </w:r>
      <w:r>
        <w:rPr>
          <w:rFonts w:ascii="Amiri" w:hAnsi="Amiri" w:eastAsia="Amiri" w:cs="Amiri"/>
          <w:color w:val="111111"/>
          <w:sz w:val="28"/>
          <w:sz w:val="28"/>
          <w:szCs w:val="28"/>
          <w:rtl w:val="true"/>
          <w:lang w:bidi="ar-SA"/>
        </w:rPr>
        <w:t>، بضميمة عدم الفرق عرفاً بين الموضع وغيره؛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أولاً للتسهيل على المكلف،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فتوى الفقيه، ويشمله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لنكسل</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وكذلك هو مشمول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وَيُحِبُّ الْمُتَطَهِّرِينَ</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فإنه قبل تمام الغسل لا يصدق التطهر، وهو نوع مسارعة إلى البر، وتساعده ظواهر بعض الأدلَّة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ضيق الوقت لو نوى الغسل من جهة الصلاة التي ضاق وقتها على نحو التقييد كان باطلاً؛ لأنه غير مأمور به لها، بل هو مأمور بالغسل الذي تراعى فيه الموالاة، إلاّ في ضيق الوقت لو نوى الغسل بلا موالاة للصلاة التي ضاق وقتها على نحو التقييد، فإنه لا يبعد البطلان حينئذٍ، وكذا في المستحاضة والمسلوس والمبطون لو اتفق خروج الحدث،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التداخل في المسببات، وإن كان على خلاف القاعدة الأولية، ولكن يجوز في الاغسال المتعددة بلحاظ النص الخاص، لاحظ ما رواه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بعد طلوع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أجزأك غسلك ذلك للجنابة والحجامة، وعرفة والنحر والحلق والذبح والزيارة</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بين كونها واجبة أو مندوبة أو مختلفة، فإنه قد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المتن من أنه لو كان بعضها واجباً وبعضها مستحباً ينوي الواجب مع الالتفات إلى كفايته عن المستحب، فلا أدري ما مراده من عبارته، وأي 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للالتفات مع عدم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كفاية نيّة واحدة منها فلا تستفاد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وإن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التقييد باعتبار أن بعض المذكورات تبدأ من اليوم، كالنحر والحلق والذبح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يفرض في الحديث</w:t>
      </w:r>
      <w:r>
        <w:rPr>
          <w:rStyle w:val="FootnoteAnchor"/>
          <w:rtl w:val="true"/>
        </w:rPr>
        <w:footnoteReference w:id="964"/>
      </w:r>
      <w:r>
        <w:rPr>
          <w:rFonts w:ascii="Amiri" w:hAnsi="Amiri" w:eastAsia="Amiri" w:cs="Amiri"/>
          <w:color w:val="111111"/>
          <w:sz w:val="28"/>
          <w:sz w:val="28"/>
          <w:szCs w:val="28"/>
          <w:rtl w:val="true"/>
          <w:lang w:bidi="ar-SA"/>
        </w:rPr>
        <w:t>المندوبة وحدها، فالعمدة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القصد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اُعطي الحديث</w:t>
      </w:r>
      <w:r>
        <w:rPr>
          <w:rStyle w:val="FootnoteAnchor"/>
          <w:rtl w:val="true"/>
        </w:rPr>
        <w:footnoteReference w:id="965"/>
      </w:r>
      <w:r>
        <w:rPr>
          <w:rFonts w:ascii="Amiri" w:hAnsi="Amiri" w:eastAsia="Amiri" w:cs="Amiri"/>
          <w:color w:val="111111"/>
          <w:sz w:val="28"/>
          <w:sz w:val="28"/>
          <w:szCs w:val="28"/>
          <w:rtl w:val="true"/>
          <w:lang w:bidi="ar-SA"/>
        </w:rPr>
        <w:t>للعرف لم يفهم لزوم تعدد النية، بل يراه مجزياً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شئت فقل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على خلاف القاعدة، ويلزم تعدد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عدم كفاية غسل واحد عن أسباب عديدة إلاّ مع نية الجميع؛ إذ المستفاد من دليل الكفاية وحدة الغسل، ولا يكون المولى مع بقية الجهات في مقام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غسل جميع البدن ورفع كلّ مانع عن وصول الماء، وهذا ظاهر واضح؛ إذ الواجب بحسب المستفاد من الدليل وجوب غسل تمام البدن، فلو بقي شيء يسير لم يتحقق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يصنع النساء في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هذه المشطة إنّما كنّ يجمعنه، ثمّ وصف أربعة أمكنة</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تعدد الغسل وتعدد النية، والقدر المتيقن من الحديث</w:t>
      </w:r>
      <w:r>
        <w:rPr>
          <w:rStyle w:val="FootnoteAnchor"/>
          <w:rtl w:val="true"/>
        </w:rPr>
        <w:footnoteReference w:id="967"/>
      </w:r>
      <w:r>
        <w:rPr>
          <w:rFonts w:ascii="Amiri" w:hAnsi="Amiri" w:eastAsia="Amiri" w:cs="Amiri"/>
          <w:color w:val="111111"/>
          <w:sz w:val="28"/>
          <w:sz w:val="28"/>
          <w:szCs w:val="28"/>
          <w:rtl w:val="true"/>
          <w:lang w:bidi="ar-SA"/>
        </w:rPr>
        <w:t>رفع اليد عن الأول فيبقى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كون المولى في مقام البيان من تمام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إغراء بالجهل لو كان الواجب تعدد النية،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عرفاً يتحقق</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يعد جزءاً من البدن</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إنّه لا يجب غسل الشعر، واستدل عليه بجملة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غياث بن إبراهيم، 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شعرها إذا اغتسلت من الجنابة</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يحيى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النساء اليوم أحدثن مشطاً تعمد إحداهن إلى القرامل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الصوف تفعله الماشطة تصنعه مع الشعر، ثمّ تحشوه بالرياحين ثمّ تجعل عليه خرقة رقيقة، ثمّ تخيطه بمسلة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تجعله في رأسها، ثم تصيبها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النساء الأول إنّما يتمشطن المقاديم، فإذا أصابهن الغسل تغدر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أن تروي رأسها من الماء وتعصره حتى يروي، فإذا روى فلا بأس عليها</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إليه الماء أو يحتمل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تصله المرأة بشعرها من صوف أو شعر أو إبريسم</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 الكبار</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الشعر على حاله ولا تنقضه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النصوص ضعيفة سنداً فلا يعتد بها، ودعوى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لا أثر لها بعد ما ثبت في محلّه من عدم اعتبار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شك في جزء من البدن من الظاهر أو الباطن حكم بعدم ترك غسله، والحق أنّ مقتضى القاعدة عدم الوجوب؛ إذ بمقتضى الأصل الأزلي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بعدم كونه من الظاهر فلا يجب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يشترط طهارة العضو المغسول، مثل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الموالاة لا تجب في الغسل الترتيبي، والدليل عليه مضافاً إلى الشهرة والارتكاز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الشرع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تقدم، هذا ويمكن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تقضي لغسل الشعر؛ إذ الأدلَّة لا تشمله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رأسك، سائر جسدك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جسده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الإجمال،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والأولى الاستدلال بالبراءة أو استصحاب البراءة،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الحكمي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الرواية</w:t>
      </w:r>
      <w:r>
        <w:rPr>
          <w:rStyle w:val="FootnoteAnchor"/>
          <w:rtl w:val="true"/>
        </w:rPr>
        <w:footnoteReference w:id="975"/>
      </w:r>
      <w:r>
        <w:rPr>
          <w:rFonts w:ascii="Amiri" w:hAnsi="Amiri" w:eastAsia="Amiri" w:cs="Amiri"/>
          <w:color w:val="111111"/>
          <w:sz w:val="28"/>
          <w:sz w:val="28"/>
          <w:szCs w:val="28"/>
          <w:rtl w:val="true"/>
          <w:lang w:bidi="ar-SA"/>
        </w:rPr>
        <w:t>وجوب تقدم غسل العورة قبل الغسل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نشوؤه من الفتاوى،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الوضوء يجفّ،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جف الأوّل قبل أن اغسل الذي يليه،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أو لم يجف اغسل ما بقي،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بتلك المنزلة وابدأ بالرأس ثمّ افض على سائر جسدك</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بتبعيض الغسل، تغسل يدك وفرجك ورأسك، وتؤخّر غسل جسدك إلى وقت الصلاة، ثمّ تغسل جسدك إذا أردت ذلك، فإن أحدثت حدثاً من بول أو غائط أو ريح أو مني بعد ما غسلت رأسك من قبل أن تغسل جسدك فأعد الغسل من أوله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عدم لزوم الموالاة في الوضوء، فتأمل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ينافي ما تقدم من المصنف، لكن الظاهر ضعف السند</w:t>
      </w:r>
      <w:r>
        <w:rPr>
          <w:rFonts w:eastAsia="Amiri" w:cs="Amiri" w:ascii="Amiri" w:hAnsi="Amiri"/>
          <w:color w:val="111111"/>
          <w:sz w:val="28"/>
          <w:szCs w:val="28"/>
          <w:rtl w:val="true"/>
          <w:lang w:bidi="ar-SA"/>
        </w:rPr>
        <w:t xml:space="preserve">. </w:t>
      </w:r>
      <w:bookmarkStart w:id="350" w:name="pg15737_151830"/>
    </w:p>
    <w:p>
      <w:pPr>
        <w:pStyle w:val="Heading3"/>
        <w:numPr>
          <w:ilvl w:val="2"/>
          <w:numId w:val="1"/>
        </w:numPr>
        <w:rPr/>
      </w:pPr>
      <w:bookmarkStart w:id="351" w:name="__RefHeading___Toc12561808_2142443653"/>
      <w:bookmarkStart w:id="352" w:name="_Toc123"/>
      <w:bookmarkEnd w:id="350"/>
      <w:bookmarkEnd w:id="351"/>
      <w:r>
        <w:rPr>
          <w:rtl w:val="true"/>
        </w:rPr>
        <w:t>فصل</w:t>
      </w:r>
      <w:r>
        <w:rPr>
          <w:rtl w:val="true"/>
        </w:rPr>
        <w:t xml:space="preserve">: </w:t>
      </w:r>
      <w:r>
        <w:rPr>
          <w:rtl w:val="true"/>
        </w:rPr>
        <w:t>في الأغسال المندوبة</w:t>
      </w:r>
      <w:bookmarkEnd w:id="352"/>
    </w:p>
    <w:p>
      <w:pPr>
        <w:pStyle w:val="BookText"/>
        <w:rPr/>
      </w:pPr>
      <w:r>
        <w:rPr>
          <w:rFonts w:ascii="Amiri" w:hAnsi="Amiri" w:eastAsia="Amiri" w:cs="Amiri"/>
          <w:color w:val="111111"/>
          <w:sz w:val="28"/>
          <w:sz w:val="28"/>
          <w:szCs w:val="28"/>
          <w:rtl w:val="true"/>
          <w:lang w:bidi="ar-SA"/>
        </w:rPr>
        <w:t>في الأغسال المندوبة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ولا يبعد انتهائها إلى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ووقت أدائه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الصادق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رواه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يوم الجمعة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والنساء في الحضر، وعلى الرجال في السفر وليس على النساء في السفر</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استحباب بعضها إلاّ بقاعدة التسامح، فلِمَ لَمْ يقل المصنف والشارح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مبناهما؟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رأي المصنف له أربعة 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فجر الجمعة إلى الظهر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الجمعة إلى المغرب أو الغروب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السبت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قضاءً</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الوجوب، لكن يرفع اليد عن ذلك بالقرائن الخارجية،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يوم الجمعة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قضائه من الزوال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الغروب من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به في ليلة السبت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عن دعائم الإسلام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الغسل يوم الجمعة فإنّه من السنة، وليكن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غسلك قبل الزوال</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فاته غسل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زوال الجمعة إلى غروب يوم السبت، فله وقتان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الجمعة وظهرها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الجمعة وغروب السبت قضاءً، لكن سيأتي التربيع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الرواية المذكورة</w:t>
      </w:r>
      <w:r>
        <w:rPr>
          <w:rStyle w:val="FootnoteAnchor"/>
          <w:rtl w:val="true"/>
        </w:rPr>
        <w:footnoteReference w:id="980"/>
      </w:r>
      <w:r>
        <w:rPr>
          <w:rFonts w:ascii="Amiri" w:hAnsi="Amiri" w:eastAsia="Amiri" w:cs="Amiri"/>
          <w:color w:val="111111"/>
          <w:sz w:val="28"/>
          <w:sz w:val="28"/>
          <w:szCs w:val="28"/>
          <w:rtl w:val="true"/>
          <w:lang w:bidi="ar-SA"/>
        </w:rPr>
        <w:t>تدل على يوم السبت، ولا تشمل بعد ظهر الجمعة ولا ليلة السبت لإجمالها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الإتيان به استحباباً، لفهم الأولوية، فتأمل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الشرطية في المركبات،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المندوبات يفيد المثبتان تعدد المطلوب لا التقيد،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الأحوط إتيانه بقصد القربة المطلقة، لا القضاء بعد الزوال إلى آخر يوم الجمعة، بل لا يترك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خاف عدم التمكن من الماء في يوم الجمعة جاز إتيانه يوم الخميس، أو ليلة الجمعة بنية 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يوم الجمعة فليقضه يوم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لعدم دليل على قضائه بعد الزوال من يوم الجمعة، لكن يدل على جواز القضاء بعد الزوال ما رواه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فاته الغسل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الليل، فإن فاته اغتسل يوم السبت</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تأتون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ليلة السبت؟ المصنف احتاط، والظاهر أنه عرفاً لا يشمل الليلة،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كونه قضاءً إلاّ سكوت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ظهور له، فهو كقول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فاتته الصلاة أول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فوت وقت الفضيلة نوع فوت، فتأمل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عندنا 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وليكن قبل الزوال؛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فليقضه يوم السبت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خاف عدم التمكن منه لعذر آخر قدمه فيهما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تمكن منه يوم الجمعة قبل الزوال أعاده في الصورتين، فإن لم يعده قضاه في مدة القضاء، أمّا إذا لم يتمكن إلا من القضاء لم يعده واكتفى بالتقديم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منزلاً ليس فيه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فاغتسلوا اليوم لغد، فاغتسلنا يوم الخميس للجمعة</w:t>
      </w:r>
      <w:r>
        <w:rPr>
          <w:rFonts w:eastAsia="Amiri" w:cs="Amiri" w:ascii="Amiri" w:hAnsi="Amiri"/>
          <w:color w:val="111111"/>
          <w:sz w:val="28"/>
          <w:szCs w:val="28"/>
          <w:rtl w:val="true"/>
          <w:lang w:bidi="ar-SA"/>
        </w:rPr>
        <w:t>«</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النص يختص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به يوم الخميس، وأمّا جواز إتيانه ليلة الجمعة فلم أجد له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إذا لم يتمكن يوم الجمعة لا يكون وجه للقضاء؛ إذ من الواضح أنّ التقديم وقع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الإتيان به استحباباً، لفهم العرف عدم خصوصية لعدم الماء،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تختص بصورة العلم بعدم الماء، وأمّا صورة الخوف فتكفي فيها فتوى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فتوى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فوت حتى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اقضوا بعد ذلك، فتأمل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يُنظّر له بتقديم وقوف المشعر الاضطراري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عيد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الأضحى، والأحوط أن يأتي بهذين الغسلين من الفجر إلى الزول، وأما بعد الزوال فلا يقصد فيه الورود، بل يأتي بهما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التروية وهو الثامن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رواه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يوم الفطر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طلع الفجر من يوم العيد فاغتسل، وهو أول أوقات الغسل ثم إلى وقت الزوال،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في الغسل إذا 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يجزي من غسل العيدين</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المحدث القمي في مفاتيح الجنان أن الشيخ الشهيد 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الغسل في هذا اليوم،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يعم الوجوب والاستحباب فلا ينهض دليلاً على الوجوب، مع وضوح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زواله أي انعدامه،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الفجر، فيكون من التداخل، أو الزوال،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منتصف الليل، فتأمل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الفقيه كافية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الغدير وهو اليوم الثامن عشر من ذي الحجة، ووقته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نهاره، وفي أخرى قبل الزوال بنصف 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أرسله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سبعة عشر من شهر رمضان</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بنصف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w:t>
      </w:r>
      <w:r>
        <w:rPr>
          <w:rStyle w:val="FootnoteAnchor"/>
          <w:rtl w:val="true"/>
        </w:rPr>
        <w:footnoteReference w:id="987"/>
      </w:r>
      <w:r>
        <w:rPr>
          <w:rFonts w:ascii="Amiri" w:hAnsi="Amiri" w:eastAsia="Amiri" w:cs="Amiri"/>
          <w:color w:val="111111"/>
          <w:sz w:val="28"/>
          <w:sz w:val="28"/>
          <w:szCs w:val="28"/>
          <w:rtl w:val="true"/>
          <w:lang w:bidi="ar-SA"/>
        </w:rPr>
        <w:t>وارد في استحباب الصلاة مع الغسل، وعليه يختص الاستحباب المذكور في المتن بصدر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المستحبات تقيد وحدة المطلوب أو تعددها؟ وما هو معنى صدر النار، فهل هو أوّله؟</w:t>
      </w:r>
    </w:p>
    <w:p>
      <w:pPr>
        <w:pStyle w:val="BookText"/>
        <w:rPr/>
      </w:pPr>
      <w:r>
        <w:rPr>
          <w:rFonts w:ascii="Amiri" w:hAnsi="Amiri" w:eastAsia="Amiri" w:cs="Amiri"/>
          <w:color w:val="111111"/>
          <w:sz w:val="28"/>
          <w:sz w:val="28"/>
          <w:szCs w:val="28"/>
          <w:rtl w:val="true"/>
          <w:lang w:bidi="ar-SA"/>
        </w:rPr>
        <w:t>نعم، لا بأس بالتداخل، لكن هل يمكن اجتماعهما؟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النهار ونصف ساعة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معنى الساعة</w:t>
      </w:r>
      <w:r>
        <w:rPr>
          <w:rStyle w:val="FootnoteAnchor"/>
          <w:rtl w:val="true"/>
        </w:rPr>
        <w:footnoteReference w:id="988"/>
      </w:r>
      <w:r>
        <w:rPr>
          <w:rFonts w:ascii="Amiri" w:hAnsi="Amiri" w:eastAsia="Amiri" w:cs="Amiri"/>
          <w:color w:val="111111"/>
          <w:sz w:val="28"/>
          <w:sz w:val="28"/>
          <w:szCs w:val="28"/>
          <w:rtl w:val="true"/>
          <w:lang w:bidi="ar-SA"/>
        </w:rPr>
        <w:t>في مصطلح الرواية؟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البحث في مرسلاته، فالرواية مشمولة لأدلَّة التسامح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غيرهما يأتي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المباهلة، وهو اليوم الرابع والعشرون من ذي الحجة على أصحّ الروايات على ما في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شهر رجب وهو في اليوم الأوّل ويوم النصف واليوم الآخر وفي ليالي هذه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صبيحة ذلك اليوم 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صدر نهاره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رواه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في الإقبال في أعمال يوم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الاستخارة يستحبّ، لكن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ولاحظ ما رواه هشام بن حسان، عن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أدرك شهر رجب فاغتسل في أوله وفي وسطه، وفي آخره خرج من ذنوبه كيوم ولدته أمّه</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هل هنالك فتوى بالاستحباب المطلق؟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ثبت،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 فتوى الفقيه لذلك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كفاية فتوى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شهر رمضان وهو في أول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عنوان أول رجب يصدق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 اليوم والليلة، وكذلك عنوان النصف وعنوان الآخر، فتكون النتيجة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الغسل في هذه الليالي والأيام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رواه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شعبان واغتسلوا ليلة النصف منه، ذلك تخفيف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ورحمة</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الغسل في أول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وليلة النصف منه</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الظاهر النهار كما ذكر في غسل يوم الجمعة،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إذ يكفي الغسل في الليل أو النهار لا هما معاً، كما هو ظاهر عبارة الماتن وقاله الشارح</w:t>
      </w:r>
      <w:r>
        <w:rPr>
          <w:rStyle w:val="FootnoteAnchor"/>
          <w:rtl w:val="true"/>
        </w:rPr>
        <w:footnoteReference w:id="994"/>
      </w:r>
      <w:r>
        <w:rPr>
          <w:rFonts w:ascii="Amiri" w:hAnsi="Amiri" w:eastAsia="Amiri" w:cs="Amiri"/>
          <w:color w:val="111111"/>
          <w:sz w:val="28"/>
          <w:sz w:val="28"/>
          <w:szCs w:val="28"/>
          <w:rtl w:val="true"/>
          <w:lang w:bidi="ar-SA"/>
        </w:rPr>
        <w:t>؛ إذ الطبيعي يمتثل بالفرد الواحد، لكن يكفي لإثبات المدّعى فتوى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تخفيف للذنوب، فتأمل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مدعى الماتن أول الشهر لا أوّل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أوّل </w:t>
      </w:r>
    </w:p>
    <w:p>
      <w:pPr>
        <w:pStyle w:val="BookText"/>
        <w:rPr/>
      </w:pPr>
      <w:r>
        <w:rPr>
          <w:rFonts w:ascii="Amiri" w:hAnsi="Amiri" w:eastAsia="Amiri" w:cs="Amiri"/>
          <w:color w:val="111111"/>
          <w:sz w:val="28"/>
          <w:sz w:val="28"/>
          <w:szCs w:val="28"/>
          <w:rtl w:val="true"/>
          <w:lang w:bidi="ar-SA"/>
        </w:rPr>
        <w:t>والليالي الأفراد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في ليالي القدر</w:t>
      </w:r>
      <w:r>
        <w:rPr>
          <w:rFonts w:eastAsia="Amiri" w:cs="Amiri" w:ascii="Amiri" w:hAnsi="Amiri"/>
          <w:color w:val="111111"/>
          <w:sz w:val="28"/>
          <w:szCs w:val="28"/>
          <w:rtl w:val="true"/>
          <w:lang w:bidi="ar-SA"/>
        </w:rPr>
        <w:t>(</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والظاهر استحبابه في كلّ ليلة من ليالي العشر الأواخر</w:t>
      </w:r>
      <w:r>
        <w:rPr>
          <w:rFonts w:eastAsia="Amiri" w:cs="Amiri" w:ascii="Amiri" w:hAnsi="Amiri"/>
          <w:b/>
          <w:b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الظاهر أنّه لو أتى بغسل ليلة الثالث والعشرين في أول الليل استحب له غسل آخر في آخرها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رواه عيسى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الغسل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يغتسل في ليلة تسع عشرة، وإحدى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وعشرين وثلاث وعشرين وخمس وعشرين</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ما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يغتسل في شهر رمضان في العشر الأواخر</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ليلة</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 يشمل أول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في شهر رمضان عشرون غسلاً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فتوى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عطف،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إحدى وعشرين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العشر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إحدى وعشرين إلى ثلاثين، فهل المراد ليلة إحدى وعشرين واثنتين وعشرين، وحينئذٍ يتحد مع المتن؟ </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عيد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للأغسال المذكورة التي لم يذكر لها وقت خاصّ في أوقاتها المزبورة وقت معيّن، لكن الأولى إتيانها في أوائل أوقاتها، إلا في غسل الجمعة الذي صرّح الفقهاء بأنّه كلّما قرب إلى الظهر 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رواه الحسن بن 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يقولون إنّ المغفرة تنزل على من صام شهر رمضان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القار يجار إنّما يعطى أجرته عند فراغه وذلك ليلة العيد،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ينبغي لنا أن نعمل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فاغتسل</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عبارة عن الإرسال، ولعل ما أفاده من الأولوية من باب أن في التأخير آفات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الغروب قبل الليل، فلا ينهض على ما في المتن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وسائر أدلَّة المسارعة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الأغسال لا ينقضها الحدث الأصغر ولا الأكبر بمعنى عدم استحباب إعادتها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يغتسل يوم الجمعة عند الرواح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مقتضى القاعدة الأولية، فإن الانتقاض يتوقف على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أرسله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 ليلة سبعة عشر من شهر رمضان وليلة تسعة عشر منه، وليلة إحدى وعشرين، والعيدين وإذا دخلت 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الرواح إلى الجمعة أو معنى آخر؟ وعلى كل ٍ لو كان معناه وقت الرواح إلى الجمعة لم يدل على ما في المتن؛ إذ لعل رواحه كان قبل ساعتين، لكن الظاهر أن الرواح بمعنى الظهر،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والطبيعي يمتثل بالمرة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كونه بمعنى المسجد الحرام، بل يحتمل كونه بمعنى حرم مكة وحرم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يدخل البيت</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روضته المقدسة، لكن كون استحباب الغسل في الأخير للمكان غير معلوم</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ما أرسله الصدوق المتقدّم آنفاً</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الأغسال المكانية، بل يكون داخلاً في الأغسال لأجل جملة من الأفعال، وبعبارة أخرى يكون للزيارة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كون دخول البيت بمعنى دخول الكعبة، بل يحتمل كونه بمعنى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يذكر الشارح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معنى الزيارة حضور الزائر عند المزور أو غيره؟</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مكانياً أو فعلياً؟ ثم هل تنتقض الأغسال المكانية بالحدث؟</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يبعد كفاية غسل واحد في أول اليوم، أو أول الليل للدخول في آخره</w:t>
      </w:r>
      <w:r>
        <w:rPr>
          <w:rFonts w:eastAsia="Amiri" w:cs="Amiri" w:ascii="Amiri" w:hAnsi="Amiri"/>
          <w:color w:val="111111"/>
          <w:sz w:val="28"/>
          <w:szCs w:val="28"/>
          <w:rtl w:val="true"/>
          <w:lang w:bidi="ar-SA"/>
        </w:rPr>
        <w:t>»</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ينتقض الأغسال الفعلية من القسم الأول، والمكانية بالحدث الأصغر</w:t>
      </w:r>
      <w:r>
        <w:rPr>
          <w:rFonts w:eastAsia="Amiri" w:cs="Amiri" w:ascii="Amiri" w:hAnsi="Amiri"/>
          <w:color w:val="111111"/>
          <w:sz w:val="28"/>
          <w:szCs w:val="28"/>
          <w:rtl w:val="true"/>
          <w:lang w:bidi="ar-SA"/>
        </w:rPr>
        <w:t>»</w:t>
      </w:r>
      <w:r>
        <w:rPr>
          <w:rStyle w:val="FootnoteAnchor"/>
          <w:rtl w:val="true"/>
        </w:rPr>
        <w:footnoteReference w:id="1006"/>
      </w:r>
      <w:r>
        <w:rPr>
          <w:rFonts w:ascii="IRNazanin" w:hAnsi="IRNazanin" w:eastAsia="IRNazanin"/>
          <w:color w:val="111111"/>
          <w:sz w:val="28"/>
          <w:sz w:val="28"/>
          <w:szCs w:val="28"/>
          <w:rtl w:val="true"/>
          <w:lang w:bidi="fa-IR"/>
        </w:rPr>
        <w:t>واحتمل عدم انتقاضهما</w:t>
      </w:r>
      <w:r>
        <w:rPr>
          <w:rStyle w:val="FootnoteAnchor"/>
          <w:rtl w:val="true"/>
        </w:rPr>
        <w:footnoteReference w:id="10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التي يؤتى لبعض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الغسل للإحرام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رواه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الجنابة ويوم الجمعة والعيدين،</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008"/>
      </w:r>
      <w:r>
        <w:rPr>
          <w:rFonts w:ascii="Amiri" w:hAnsi="Amiri" w:eastAsia="Amiri" w:cs="Amiri"/>
          <w:color w:val="111111"/>
          <w:sz w:val="28"/>
          <w:sz w:val="28"/>
          <w:szCs w:val="28"/>
          <w:rtl w:val="true"/>
          <w:lang w:bidi="ar-SA"/>
        </w:rPr>
        <w:t xml:space="preserve">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انتقاضها أقرب مع استحباب إعادتها، وكذا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بالنسبة إلى الأغسال التي يؤتى بها لأجل الفعل الذي يريد أن يفعله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وقسمها في العروة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مستحباً لأجل الفعل الذي يريد أن يفعله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مستحباً لأجل الفعل الذي فعله</w:t>
      </w:r>
      <w:r>
        <w:rPr>
          <w:rStyle w:val="FootnoteAnchor"/>
          <w:rtl w:val="true"/>
        </w:rPr>
        <w:footnoteReference w:id="1011"/>
      </w:r>
      <w:r>
        <w:rPr>
          <w:rFonts w:ascii="Amiri" w:hAnsi="Amiri" w:eastAsia="Amiri" w:cs="Amiri"/>
          <w:color w:val="111111"/>
          <w:sz w:val="28"/>
          <w:sz w:val="28"/>
          <w:szCs w:val="28"/>
          <w:rtl w:val="true"/>
          <w:lang w:bidi="ar-SA"/>
        </w:rPr>
        <w:t xml:space="preserve">، وقد ذكر الماتن القسم الأول في الصفحة </w:t>
      </w:r>
      <w:r>
        <w:rPr>
          <w:rFonts w:eastAsia="Amiri" w:cs="Amiri" w:ascii="Amiri" w:hAnsi="Amiri"/>
          <w:color w:val="111111"/>
          <w:sz w:val="28"/>
          <w:szCs w:val="28"/>
          <w:lang w:bidi="ar-SA"/>
        </w:rPr>
        <w:t>546</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وللطواف وللوقوف</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وللوقوف بالمشعر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وللنحر أو الذبح وللحلق، وللزيارات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والأئمة صلوات اللّه عليهم، ولمن أراد أن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تحرم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من الفقهاء رحمهم اللّه، ولكن لم 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يدلّ عليه،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Style w:val="FootnoteAnchor"/>
          <w:rtl w:val="true"/>
        </w:rPr>
        <w:footnoteReference w:id="1014"/>
      </w:r>
      <w:r>
        <w:rPr>
          <w:rFonts w:ascii="Amiri" w:hAnsi="Amiri" w:eastAsia="Amiri" w:cs="Amiri"/>
          <w:color w:val="111111"/>
          <w:sz w:val="28"/>
          <w:sz w:val="28"/>
          <w:szCs w:val="28"/>
          <w:rtl w:val="true"/>
          <w:lang w:bidi="ar-SA"/>
        </w:rPr>
        <w:t>الواردة لا تدل على ذلك، بل تدل على أنه بعد زوال الشمس يغتسل، فلعله لأعمال عرفة، أو ليكون متطهراً في وقت الوقوف،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هو صرف الحضور أو الزيارة المصطلحة الفعلية؟ قد ذكرنا ذلك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الأولي بعد الإحرام، لكن قد يعبر بالفعل ويراد إرادة الفعل كما في المغني</w:t>
      </w:r>
      <w:r>
        <w:rPr>
          <w:rStyle w:val="FootnoteAnchor"/>
          <w:rtl w:val="true"/>
        </w:rPr>
        <w:footnoteReference w:id="1015"/>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العكس وارد أيضاً، ومناسبة الحكم والموضوع تقتضي تقديم الغسل،كما أنَّ فهم الفقهاء والسيرة يؤيدان ذلك أيضاً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فتوى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منامه لمعرفة مقامه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نفس 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الرواية</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يناجي بنا، فإنه يرانا، ويغفر له بنا، ولا يخفى عليه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الغسل ثلاث ليالٍ، والماتن أطلق، إلاّ أن يستفاد تعدد المطلوب في المندوبات عموماً، فيغتسل ثلاث ليالٍ يناجي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Style w:val="FootnoteAnchor"/>
          <w:rtl w:val="true"/>
        </w:rPr>
        <w:footnoteReference w:id="1017"/>
      </w:r>
      <w:r>
        <w:rPr>
          <w:rFonts w:ascii="Amiri" w:hAnsi="Amiri" w:eastAsia="Amiri" w:cs="Amiri"/>
          <w:color w:val="111111"/>
          <w:sz w:val="28"/>
          <w:sz w:val="28"/>
          <w:szCs w:val="28"/>
          <w:rtl w:val="true"/>
          <w:lang w:bidi="ar-SA"/>
        </w:rPr>
        <w:t>تدل على التوبة من الأمور العظيمة لا مطلقاً، وكذلك الرواية</w:t>
      </w:r>
      <w:r>
        <w:rPr>
          <w:rStyle w:val="FootnoteAnchor"/>
          <w:rtl w:val="true"/>
        </w:rPr>
        <w:footnoteReference w:id="1018"/>
      </w:r>
      <w:r>
        <w:rPr>
          <w:rFonts w:ascii="Amiri" w:hAnsi="Amiri" w:eastAsia="Amiri" w:cs="Amiri"/>
          <w:color w:val="111111"/>
          <w:sz w:val="28"/>
          <w:sz w:val="28"/>
          <w:szCs w:val="28"/>
          <w:rtl w:val="true"/>
          <w:lang w:bidi="ar-SA"/>
        </w:rPr>
        <w:t>اللاحقة،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ولطلب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وللاستخارة يعني لطلب تقدير الخير من اللّه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غسل طلب الحاجة غير مختصّ بصلاة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بالإطلاق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المستفاد من حديث القصير وأمثاله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 الساعة واغتسل</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على التوبة لا يدل على تفرعها على كل توبة، بل على التوبة في خصوص المقام،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Style w:val="FootnoteAnchor"/>
          <w:rtl w:val="true"/>
        </w:rPr>
        <w:footnoteReference w:id="1020"/>
      </w:r>
      <w:r>
        <w:rPr>
          <w:rFonts w:ascii="Amiri" w:hAnsi="Amiri" w:eastAsia="Amiri" w:cs="Amiri"/>
          <w:color w:val="111111"/>
          <w:sz w:val="28"/>
          <w:sz w:val="28"/>
          <w:szCs w:val="28"/>
          <w:rtl w:val="true"/>
          <w:lang w:bidi="ar-SA"/>
        </w:rPr>
        <w:t>لها كيفية خاصة، ولا تدل على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الاستخارة بمعناها اللغوي، أو لها معنى اصطلاحي جديد؟ وما حكم الشك؟ وهل هنالك علم بالنقل؟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إذ نسبه صاحب التذكرة</w:t>
      </w:r>
      <w:r>
        <w:rPr>
          <w:rStyle w:val="FootnoteAnchor"/>
          <w:rtl w:val="true"/>
        </w:rPr>
        <w:footnoteReference w:id="1021"/>
      </w:r>
      <w:r>
        <w:rPr>
          <w:rFonts w:ascii="IRNazanin" w:hAnsi="IRNazanin" w:eastAsia="IRNazanin"/>
          <w:color w:val="111111"/>
          <w:sz w:val="28"/>
          <w:sz w:val="28"/>
          <w:szCs w:val="28"/>
          <w:rtl w:val="true"/>
          <w:lang w:bidi="fa-IR"/>
        </w:rPr>
        <w:t xml:space="preserve">لعلمائنا،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ونفى البعد عنه في الجواهر</w:t>
      </w:r>
      <w:r>
        <w:rPr>
          <w:rStyle w:val="FootnoteAnchor"/>
          <w:rtl w:val="true"/>
        </w:rPr>
        <w:footnoteReference w:id="1022"/>
      </w:r>
      <w:r>
        <w:rPr>
          <w:rFonts w:ascii="Amiri" w:hAnsi="Amiri" w:eastAsia="Amiri" w:cs="Amiri"/>
          <w:color w:val="111111"/>
          <w:sz w:val="28"/>
          <w:sz w:val="28"/>
          <w:szCs w:val="28"/>
          <w:rtl w:val="true"/>
          <w:lang w:bidi="ar-SA"/>
        </w:rPr>
        <w:t>، وللرضوي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حاجة إلى اللّه تبارك وتعالى فصم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والخميس والجمعة، فإذا كان يوم الجمعة فابرز إلى اللّه تبارك وتعالى قبل الزوال وأنت على غسل فصلّ ركعتين</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353" w:name="pg15737_151847"/>
    </w:p>
    <w:p>
      <w:pPr>
        <w:pStyle w:val="Heading3"/>
        <w:numPr>
          <w:ilvl w:val="2"/>
          <w:numId w:val="1"/>
        </w:numPr>
        <w:rPr/>
      </w:pPr>
      <w:bookmarkStart w:id="354" w:name="__RefHeading___Toc12561810_2142443653"/>
      <w:bookmarkStart w:id="355" w:name="_Toc124"/>
      <w:bookmarkEnd w:id="353"/>
      <w:bookmarkEnd w:id="354"/>
      <w:r>
        <w:rPr>
          <w:rtl w:val="true"/>
        </w:rPr>
        <w:t>فصل</w:t>
      </w:r>
      <w:r>
        <w:rPr>
          <w:rtl w:val="true"/>
        </w:rPr>
        <w:t xml:space="preserve">: </w:t>
      </w:r>
      <w:r>
        <w:rPr>
          <w:rtl w:val="true"/>
        </w:rPr>
        <w:t>الغسل بعد حصول بعض الأفعال</w:t>
      </w:r>
      <w:bookmarkEnd w:id="355"/>
    </w:p>
    <w:p>
      <w:pPr>
        <w:pStyle w:val="Heading4"/>
        <w:numPr>
          <w:ilvl w:val="3"/>
          <w:numId w:val="1"/>
        </w:numPr>
        <w:rPr/>
      </w:pPr>
      <w:bookmarkStart w:id="356" w:name="__RefHeading___Toc12561812_2142443653"/>
      <w:bookmarkStart w:id="357" w:name="_Toc125"/>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وقد يستحب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بعض الأفعال، ومن ذلك الغسل لقضاء صلاة الكسوف للمفرط فيه مع احتراق القرص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ومن ذلك الغسل لرؤية المصلوب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حسن الاحتياط، وأما وجوبه فعلى خلاف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الأغسال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غسل لما تقدم، أو للصلاة القادمة؟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فتوى الفقيه، وإن كانت الرواية</w:t>
      </w:r>
      <w:r>
        <w:rPr>
          <w:rStyle w:val="FootnoteAnchor"/>
          <w:rtl w:val="true"/>
        </w:rPr>
        <w:footnoteReference w:id="1024"/>
      </w:r>
      <w:r>
        <w:rPr>
          <w:rFonts w:ascii="Amiri" w:hAnsi="Amiri" w:eastAsia="Amiri" w:cs="Amiri"/>
          <w:color w:val="111111"/>
          <w:sz w:val="28"/>
          <w:sz w:val="28"/>
          <w:szCs w:val="28"/>
          <w:rtl w:val="true"/>
          <w:lang w:bidi="ar-SA"/>
        </w:rPr>
        <w:t xml:space="preserve">مقيدة، كما ذكره الشارح، ولاحظ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باعتبار الارتكاز، أو لوكان لبان</w:t>
      </w:r>
      <w:r>
        <w:rPr>
          <w:rFonts w:eastAsia="Amiri" w:cs="Amiri" w:ascii="Amiri" w:hAnsi="Amiri"/>
          <w:color w:val="111111"/>
          <w:sz w:val="28"/>
          <w:szCs w:val="28"/>
          <w:rtl w:val="true"/>
          <w:lang w:bidi="ar-SA"/>
        </w:rPr>
        <w:t xml:space="preserve">. </w:t>
      </w:r>
      <w:bookmarkStart w:id="358" w:name="pg15737_151848"/>
    </w:p>
    <w:p>
      <w:pPr>
        <w:pStyle w:val="Heading4"/>
        <w:numPr>
          <w:ilvl w:val="3"/>
          <w:numId w:val="1"/>
        </w:numPr>
        <w:rPr/>
      </w:pPr>
      <w:bookmarkStart w:id="359" w:name="__RefHeading___Toc12561814_2142443653"/>
      <w:bookmarkStart w:id="360" w:name="_Toc126"/>
      <w:bookmarkEnd w:id="358"/>
      <w:bookmarkEnd w:id="359"/>
      <w:r>
        <w:rPr>
          <w:rtl w:val="true"/>
        </w:rPr>
        <w:t xml:space="preserve">المسألة </w:t>
      </w:r>
      <w:r>
        <w:rPr/>
        <w:t>143</w:t>
      </w:r>
      <w:r>
        <w:rPr>
          <w:rtl w:val="true"/>
        </w:rPr>
        <w:t xml:space="preserve">: </w:t>
      </w:r>
      <w:r>
        <w:rPr>
          <w:rtl w:val="true"/>
        </w:rPr>
        <w:t>كفاية الغسل أول النهار لذلك اليوم وأول الليل لتلك الليلة في بعض الأعمال</w:t>
      </w:r>
      <w:bookmarkEnd w:id="3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فيما يؤتى به لبعض الأعمال، كالغسل للزيارة ولصلاة الحاجة وأمثال ذلك كفاية الغسل في أوّل النهار لذلك اليوم، وفي أول الليل لتلك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انتقاضه بالحدث بينه وبين ذلك العمل إشكال، فالأحوط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مقتضى القاعدة الأولية؛ إذ لا وجه لبطلانه ما دام لم يترتب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ذلك الفعل الذي اغتسل لأجله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وجه للإشكال؛ إذ 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بطلانه بالحدث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البطلان إلاّ في الغسل للطواف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ترتب انتهى مفعوله بانتهاء موضوعه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دل في الطواف</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361" w:name="pg15737_151849"/>
    </w:p>
    <w:p>
      <w:pPr>
        <w:pStyle w:val="Heading3"/>
        <w:numPr>
          <w:ilvl w:val="2"/>
          <w:numId w:val="1"/>
        </w:numPr>
        <w:rPr/>
      </w:pPr>
      <w:bookmarkStart w:id="362" w:name="__RefHeading___Toc12561816_2142443653"/>
      <w:bookmarkStart w:id="363" w:name="_Toc127"/>
      <w:bookmarkEnd w:id="361"/>
      <w:bookmarkEnd w:id="362"/>
      <w:r>
        <w:rPr>
          <w:rtl w:val="true"/>
        </w:rPr>
        <w:t>فصل</w:t>
      </w:r>
      <w:r>
        <w:rPr>
          <w:rtl w:val="true"/>
        </w:rPr>
        <w:t xml:space="preserve">: </w:t>
      </w:r>
      <w:r>
        <w:rPr>
          <w:rtl w:val="true"/>
        </w:rPr>
        <w:t>في الحيض</w:t>
      </w:r>
      <w:bookmarkEnd w:id="363"/>
    </w:p>
    <w:p>
      <w:pPr>
        <w:pStyle w:val="BookText"/>
        <w:rPr/>
      </w:pPr>
      <w:r>
        <w:rPr>
          <w:rFonts w:ascii="Amiri" w:hAnsi="Amiri" w:eastAsia="Amiri" w:cs="Amiri"/>
          <w:color w:val="111111"/>
          <w:sz w:val="28"/>
          <w:sz w:val="28"/>
          <w:szCs w:val="28"/>
          <w:rtl w:val="true"/>
          <w:lang w:bidi="ar-SA"/>
        </w:rPr>
        <w:t>وهو دم يكون في الغالب أحمر غليظاً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عبيطاً يخرج بدفق وحرقة ولدغ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الحيض ثلاثة أيّام، فلو رأت الدم يوماً أو يومين مثلاً فليس بحيض، وأكثره عشرة أيّام فلا يزيد عليها، كما أنّ أقلّ الطهر بين الحيضين عشرة أيّام فلا ينقص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تعريف دم الحيض مأخوذ من حديث حفص بن البختري،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فسألته عن المرأة يستمر بها الدم فلا تدري حيض هو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الحيض حارّ عبيط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له دفع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ودم الاستحاضة أصفر بارد، فإذا كان للدم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النصوص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عبارة أُخرى عن الحرقة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 ولكن المتعارف في الدم المحتبس أنه لا يكون طرياً، بخلافه في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بدفق بخلاف الاستحاضة فإنَّه يخرج بفتور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تأكيد للحار، ولعله عبارة عن اللدغ واللذع،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ومحرق،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حرارة ودفع وسواد فلتدع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لو كان امرأة ما زاد على هذا</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المذكورة في النصوص معرفات، ولا تكون دخيلة في حقيقة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في حديث إسحاق بن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سألتني امرأة منّا أن أدخلها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لها فأذن لها فدخلت إلى أن قال</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من الذيل أن الحار والحرارة شيء واحد،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الحار لأنه ملازم للحرارة، ولم يذكر العبيط لأنه عادة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نظر؛ إذ الشارع زاد ونقص في شرائط بعض الموضوعات، فدم الحيض قبل البلوغ ليس بحيض، وكذا بعد اليأس، وكذلك ما نقص عن ثلاثة، فالأولى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دم حيض، والروايات التي ذكرت فيها الأوصاف أنها وردت في مورد التحير</w:t>
      </w:r>
      <w:r>
        <w:rPr>
          <w:rStyle w:val="FootnoteAnchor"/>
          <w:rtl w:val="true"/>
        </w:rPr>
        <w:footnoteReference w:id="1029"/>
      </w:r>
      <w:r>
        <w:rPr>
          <w:rFonts w:ascii="Amiri" w:hAnsi="Amiri" w:eastAsia="Amiri" w:cs="Amiri"/>
          <w:color w:val="111111"/>
          <w:sz w:val="28"/>
          <w:sz w:val="28"/>
          <w:szCs w:val="28"/>
          <w:rtl w:val="true"/>
          <w:lang w:bidi="ar-SA"/>
        </w:rPr>
        <w:t>،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علمها به</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هذه الرواية وصف زائد؛ إذ الحرقة هي عبارة عن الحرارة المذكورة في رواية حفص</w:t>
      </w:r>
      <w:r>
        <w:rPr>
          <w:rStyle w:val="FootnoteAnchor"/>
          <w:rtl w:val="true"/>
        </w:rPr>
        <w:footnoteReference w:id="1031"/>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 يدل بالمفهوم على الحكم بعدم الحيضية في صورة عدم اجتماع الصفات، ومنطوق هذه الرواية يقيد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بمنطوق حديث ابن جرير، فالنتيجة أنّه لو شكّ يلزم اجتماع الحرارة والطراوة، والسواد والدفع والحرارة والحرقة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النظر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والحرارة والحرقة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الحرقة نفس الحرارة، فتأمل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الجزء الثاني من تعليقة على كتاب الدلائل في شرح منتخب المسائل</w:t>
      </w:r>
      <w:r>
        <w:rPr>
          <w:rFonts w:eastAsia="Amiri" w:cs="Amiri" w:ascii="Amiri" w:hAnsi="Amiri"/>
          <w:color w:val="111111"/>
          <w:sz w:val="28"/>
          <w:szCs w:val="28"/>
          <w:rtl w:val="true"/>
          <w:lang w:bidi="ar-SA"/>
        </w:rPr>
        <w:t xml:space="preserve">. </w:t>
      </w:r>
      <w:bookmarkStart w:id="364" w:name="pg15737_151852"/>
    </w:p>
    <w:p>
      <w:pPr>
        <w:pStyle w:val="Heading2"/>
        <w:numPr>
          <w:ilvl w:val="1"/>
          <w:numId w:val="1"/>
        </w:numPr>
        <w:rPr/>
      </w:pPr>
      <w:bookmarkStart w:id="365" w:name="__RefHeading___Toc12561818_2142443653"/>
      <w:bookmarkStart w:id="366" w:name="_Toc128"/>
      <w:bookmarkEnd w:id="364"/>
      <w:bookmarkEnd w:id="365"/>
      <w:r>
        <w:rPr>
          <w:rtl w:val="true"/>
        </w:rPr>
        <w:t>فهرس المحتويات</w:t>
      </w:r>
      <w:bookmarkEnd w:id="366"/>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التخلي</w:t>
      </w:r>
    </w:p>
    <w:p>
      <w:pPr>
        <w:pStyle w:val="BookText"/>
        <w:rPr/>
      </w:pPr>
      <w:r>
        <w:rPr>
          <w:rFonts w:ascii="Amiri" w:hAnsi="Amiri" w:eastAsia="Amiri" w:cs="Amiri"/>
          <w:color w:val="111111"/>
          <w:sz w:val="28"/>
          <w:sz w:val="28"/>
          <w:szCs w:val="28"/>
          <w:rtl w:val="true"/>
          <w:lang w:bidi="ar-SA"/>
        </w:rPr>
        <w:t xml:space="preserve">ستر العورة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النظر إلى عورة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استقبال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محل البول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غسل الأغلف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مخرج 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غسل 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مسح موضع الغائط أن يكون بثلاثة اشياء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كفايه كل جسم قالع في المسح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آداب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الاستنجاء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 الغائط عن المحلّ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ماء طاهر بماء 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ماء مطلق بماء مضاف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الماء المباح بالمغصوب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في غسل مخرج البول مسح الموضع باليد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الماء القليل بمجرّد الملاقاة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اعتصام الماء الكرّ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يستبرئ وقطع بعدم بقاء البول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الاستبراء مع قطع الذكر أو الحشفة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المباشرة في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استبراء على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احكام الوضوء </w:t>
      </w:r>
    </w:p>
    <w:p>
      <w:pPr>
        <w:pStyle w:val="BookText"/>
        <w:rPr/>
      </w:pPr>
      <w:r>
        <w:rPr>
          <w:rFonts w:ascii="Amiri" w:hAnsi="Amiri" w:eastAsia="Amiri" w:cs="Amiri"/>
          <w:color w:val="111111"/>
          <w:sz w:val="28"/>
          <w:sz w:val="28"/>
          <w:szCs w:val="28"/>
          <w:rtl w:val="true"/>
          <w:lang w:bidi="ar-SA"/>
        </w:rPr>
        <w:t>في ما يجب له الوضوع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كتابة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النذر وشبهه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فصل في موجبات الوضوء ومبطلاته</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الغائط والريح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الخامس و 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والإغماء والسكر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تقديم الوضوء في موارد الجمع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حصول هذه النواقض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الوضوء</w:t>
      </w:r>
    </w:p>
    <w:p>
      <w:pPr>
        <w:pStyle w:val="BookText"/>
        <w:rPr/>
      </w:pPr>
      <w:r>
        <w:rPr>
          <w:rFonts w:ascii="Amiri" w:hAnsi="Amiri" w:eastAsia="Amiri" w:cs="Amiri"/>
          <w:color w:val="111111"/>
          <w:sz w:val="28"/>
          <w:sz w:val="28"/>
          <w:szCs w:val="28"/>
          <w:rtl w:val="true"/>
          <w:lang w:bidi="ar-SA"/>
        </w:rPr>
        <w:t xml:space="preserve">حقيقة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المسح بباطن الكفّ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المسح على الخفّ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الجفاف في محل المسح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بغمس اليد في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 ما في اليد من بلّة ماء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حفظ نداوة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تحت المطر أو الميزاب للغسل أو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كرّر المسح لم يضرّ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في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إتيان الصلاة الواجبة بالوضوء المستحبّ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الوضوء قبل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فصل في شرائط الوضوء</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جفّت اليد اليمنى قبل الشروع في اليسرى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مع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الخوف من استعمال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الثامن والسادس من الشرائط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غسالة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مشتبهاً بالنجس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مواضع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مكان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مصبّ ماء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محلّ المتوضّي مغصوباً وهواؤه مباحاً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الحمّام المغصوب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الطهورين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فصل في حكم صاحب الجبيرة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العضو جرح أو قرح مكشوف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الجبيرة 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مانع غير الجبيرة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الجبيرة على الماسح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كون الجبيرة في محلّ الغسل أو المسح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طهارة الجبيرة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صحة الوضوء أن تكون الجبيرة ممّا تصحّ الصلاة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ارتفع عذر صاحب الجبيرة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فصل في أحكام الشكوك المتعلقة بالوضوء</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تيقن الحدث وشك في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الوضوء بعد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الطهارة في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شيء من أجزاء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بعض مواضع وضوئه نجساً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فصل في أحكام صاحب الحدث المستمر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مرّ من النواقض ليس ناقضاً عندنا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سنن الوضوء وآدابه</w:t>
      </w:r>
    </w:p>
    <w:p>
      <w:pPr>
        <w:pStyle w:val="BookText"/>
        <w:rPr/>
      </w:pPr>
      <w:r>
        <w:rPr>
          <w:rFonts w:ascii="Amiri" w:hAnsi="Amiri" w:eastAsia="Amiri" w:cs="Amiri"/>
          <w:color w:val="111111"/>
          <w:sz w:val="28"/>
          <w:sz w:val="28"/>
          <w:szCs w:val="28"/>
          <w:rtl w:val="true"/>
          <w:lang w:bidi="ar-SA"/>
        </w:rPr>
        <w:t>فصل في الأغسال</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تشخيص المني واوصافه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احتلام المرأة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الغسل بمجرّد حركة المني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خروج المني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مني الرجل من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مني الرجل من المرأة مخلوطاً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منياً في ثوبه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فصل فيما يشترط بالغسل</w:t>
      </w:r>
    </w:p>
    <w:p>
      <w:pPr>
        <w:pStyle w:val="BookText"/>
        <w:rPr/>
      </w:pPr>
      <w:r>
        <w:rPr>
          <w:rFonts w:ascii="Amiri" w:hAnsi="Amiri" w:eastAsia="Amiri" w:cs="Amiri"/>
          <w:color w:val="111111"/>
          <w:sz w:val="28"/>
          <w:sz w:val="28"/>
          <w:szCs w:val="28"/>
          <w:rtl w:val="true"/>
          <w:lang w:bidi="ar-SA"/>
        </w:rPr>
        <w:t>فصل فيما يكره للجنب</w:t>
      </w:r>
    </w:p>
    <w:p>
      <w:pPr>
        <w:pStyle w:val="BookText"/>
        <w:rPr/>
      </w:pPr>
      <w:r>
        <w:rPr>
          <w:rFonts w:ascii="Amiri" w:hAnsi="Amiri" w:eastAsia="Amiri" w:cs="Amiri"/>
          <w:color w:val="111111"/>
          <w:sz w:val="28"/>
          <w:sz w:val="28"/>
          <w:szCs w:val="28"/>
          <w:rtl w:val="true"/>
          <w:lang w:bidi="ar-SA"/>
        </w:rPr>
        <w:t>فصل فيما ينبغي عند الاغتسال</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يجزي عن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في أثناء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فصل في الدعاء المأثور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كيفية غسل الجنابة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الماء إلى البدن في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الغسل في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فصل فيما يعتبر في الغسل</w:t>
      </w:r>
    </w:p>
    <w:p>
      <w:pPr>
        <w:pStyle w:val="BookText"/>
        <w:rPr/>
      </w:pPr>
      <w:r>
        <w:rPr>
          <w:rFonts w:ascii="Amiri" w:hAnsi="Amiri" w:eastAsia="Amiri" w:cs="Amiri"/>
          <w:color w:val="111111"/>
          <w:sz w:val="28"/>
          <w:sz w:val="28"/>
          <w:szCs w:val="28"/>
          <w:rtl w:val="true"/>
          <w:lang w:bidi="ar-SA"/>
        </w:rPr>
        <w:t>فصل في الأغسال المندوبة</w:t>
      </w:r>
    </w:p>
    <w:p>
      <w:pPr>
        <w:pStyle w:val="BookText"/>
        <w:rPr/>
      </w:pPr>
      <w:r>
        <w:rPr>
          <w:rFonts w:ascii="IRNazanin" w:hAnsi="IRNazanin" w:eastAsia="IRNazanin"/>
          <w:color w:val="111111"/>
          <w:sz w:val="28"/>
          <w:sz w:val="28"/>
          <w:szCs w:val="28"/>
          <w:rtl w:val="true"/>
          <w:lang w:bidi="fa-IR"/>
        </w:rPr>
        <w:t>فصل الغسل بعد حصول بعض الأفعال</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الغسل أول النهار لذلك اليوم وأول الليل لتلك الليلة في بعض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فصل في الحيض</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السيد الخوئي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ذلك في مجلس الدرس، وكتب آية اللّه العظمى السيد صادق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طور الطباعة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فيرجع تفصيل الحديث إلى مخازن الوحي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فإنهم أهل البيت، وهم أعرف بما في البيت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رفعه عليّ بن ابراهيم القمّي،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 أبو حنيفة من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وهو غلام، فقال له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 أين يضع الغريب ببلدكم؟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 أفنية المساجد وشطوط الأنهار ومساقط الثمار، ومنازل النزّال ولا تستقبل القبلة بغائط ولا بول، وارفع ثوبك وضع حيث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رفعه محمد بن يحيى،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حد الغائط؟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تستقبل القبلة ولا تستدبرها ولا تستقبل الريح ولا تستدبرها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شرح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أُصول المظفر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رسائل الكركي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يجزي من الغائط المسح بالأحجار إذا لم يتجاوز محل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الصفار، عن السندي بن محمد، 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الذي افترضه اللّه على العباد لمن جاء من الغائط أو بال،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 ذكره ويذهب الغائط ثم يتوضأ مرتين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إبراهيم بن أبي محمود،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يستنجي ويغسل ما ظهر منه على الشرج، ولا تدخل فيه الأنملة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البالية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يحيى، عن عاصم بن حميد،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رجل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يتوضأ الغرباء؟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يتقي شطوط الأنهار، والطرق النافذة، وتحت الأشجار المثمرة، ومواضع اللعن،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مواضع اللعن؟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أن يبول الرجل في الماء الجاري إلا من ضرورة،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للماء أهلاً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البول في الماء الراكد يورث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 عمر بن يزيد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التسبيح في المخرج، وقراءة القرآن،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يرخص في الكنيف أكثر من آية الكرسي ويحمد اللّه، أو آية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رواية عمر بن يزيد المتقدمة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الصدوق في الخصال في حديث الأربعمائة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يبولن من سطح في الهواء، ولا يبولن في ماء حار فإن فعل ذلك فأصابه شيء فلا يلومن إلا نفسه، فإن للماء أهلاً وللهواء أهلاً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أحمد بن أبي محمود رفعه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 الماء من قيام بالنهار يمرئ الطعام، وشرب الماء من قيام بالليل يورث الماء الأصفر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الدهن والزهومة من اللحم، قال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اللحم والسهك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غمرت يدي من اللحم فهي غمرة،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زهمة، كما تقول من 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سهكة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الأحول أنه قال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الرجل يستنجي فيقع ثوبه في الماء الذي استنجى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فسكت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تدري لم صار لا بأس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الماء أكثر من القذر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رجلاً سأل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ربما بلت فلا أقدر على الماء، ويشتد ذلك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بلت وتمسحت، فامسح ذكرك بريقك، فإن وجدت شيئاً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سعيد، عن أحمد بن محمد بن أبي نصر،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يدخل يده في الإناء وهي قذرة،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يكفئ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المستند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المستند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ذكره في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وبين أن يكون موروداً للنجاسة فينفعل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ذكره في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مفهوم أدلة اعتصام الكر فليس فيه عموم أفرادي فضلاً عن الأحوالي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الحكم، عن شهاب بن عبد ربه،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أتيت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فابتدأني،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فسل يا شهاب، وإن شئت أخبرناك بما جئت 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تسألني عن الغدير يكون في جانبه الجيفة، أتوضأ منه أو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 من الجانب الآخر، إلا أن يغلب الماء الريح فينتن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وجئت تسأل عن الماء الراكد من الكر مما لم يكن فيه تغير أو ريح غالبة،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التغير؟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الصفرة، فتوضأ منه، وكلما غلب عليه كثرة الماء فهو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إسماعيل بن بزيع،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رجل أسأله أن يسأل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البئر واسع لا يفسده شيء إلا أن يتغير ريحه أو طعمه، فينزح منه حتى يذهب الريح ويطيب طعمه؛ لأن له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يكون فيما لو تغيّر برائحة كريهة، وطعم خبيث، وكراهة الريح والطعم تختص بما لو تغيّر بالنجاسة؛ لأنّ المتنجس ربّما يكون طيب الرائحة كالعطور، أو طيب الطعم كالسكر والدبس وأمثالهما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بزيع المتقدمة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المبالاة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قاله في مجلس درسه، ولآية اللّه العظمى السيد صادق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طور الطباعة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يَمَسّهُ إِلّا الْمُطَهّرُونَ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الأحوط إلحاق أسماء الملائكة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كتابة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والعهد واليمين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ينقض الوضوء إلا ما خرج من طرفيك، أو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أحمد بن محمد بن عيسى، عن عبد اللّه بن المغيرة ومحمد بن عبد اللّه،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سألنا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ينام على دابته؟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النوم بالعقل فليعد الوضوء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محمد بن الفضيل، عن أبي الصباح الكناني،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يخفق وهو في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لا يحفظ حدثاً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الوضوء وإعادة الصلاة، وإن كان يستيقن أنه لم يحدث فليس عليه وضوء ولا إعادة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محمد بن الفضيل، عن أبي الصباح الكناني،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يخفق وهو في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لا يحفظ حدثاً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الوضوء وإعادة الصلاة، وإن كان يستيقن أنه لم يحدث فليس عليه وضوء ولا إعادة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أقصد فيه قصد المصنفين في إيراد جميع ما رووه، بل قصدت إلى إيراد ما أفتي به وأحكم بصحته، واعتقد فيه أنه حجة فيما بيني وبين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تقدس ذكره وتعالت قدرته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ما فيه مستخرج من كتب مشهورة، عليها المعول وإليها المرجع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أنّ التفصيل المستفاد من رواية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 عن عبد اللّه بن المغيرة ومحمد بن عبد اللّه،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سألنا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ينام على دابته؟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النوم بالعقل فليعد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في توضيح الكفاية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وجوب غسل الوجه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أي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هذا المعنى ظاهر من الجملة بحيث يفهمه العرف بلا عناية وتكلف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دارت عليه الوسطى والإبهام من قصاص شعر الرأس إلى الذقن، وما جرت عليه الإصبعان مستديراً فهو من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ذكره البهائي لا يحصل منه دائرة حقيقة، بل شبه دائرة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السطر الأخير،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إلى أنا قوّينا الاشتغال في أمثال المقام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المظفر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 فِي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روى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زوج بريرة كان عبداً أسود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مغيث، كأني أنظر إليه يطوف خلفها يبكي ودموعه تجري على لحيته،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عباس، ألا تعجب من حب مغيث بريرة، ومن بغض بريرة مغيثا؟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راجعته، فإنه أبو ولدك،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 تأمروني؟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إنما أنا شفيع،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لي فيه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شيء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عن جعفر، عن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من الجنابة والوضوء يجزي منه ما أجزأ من الدهن الذي يبل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يتوضأ أيبطن لحيته؟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بين الفقهاء، بل هو المتبادر عرفاً، ويكفي به دليلاً، وإن اختلفوا فيه على أقوال واحتمالات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مجموع العظمين المتداخلين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رأس العظمين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المقدار المتداخل منهما لا المقدار الخارج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الثلاثة يجمعها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مجمع عظمي الذراع والعضد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الخط الموهوم المشترك بين سطحي الذراع والعضد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طرفا العضد والذراع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وهذان يجمعهما قولهم أنه موصل الذراع بالعضد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إِذَا قُمْتُمْ إِلَى الصّلاةِ فاغْسِلُواْ وُجُوهَكُمْ وَأَيْدِيَكُمْ إِلَى الْمَرَافِقِ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المحكم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سعيد، عن ابن أبي عمير، عن</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الخلاف بين الفقهاء في أن إعراض المشهور مسقط للرواية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نهاية الدراية في شرح الكفاية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شاذان بن الخليل النيسابوري، عن معمر بن عمر،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يجزئ من المسح على الرأس موضع ثلاث أصابع وكذلك الرجل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معمر بن عمر،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يجزئ من المسح على الرأس موضع ثلاث أصابع وكذلك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وهاتان الروايتان لا بأس بهما من حيث الدلالة على الوجوب لكن قاصرتان عن الدلالة على الإلزام من حيث السند فلا يعتدّ بهما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أنها تدل على الوجوب، فراجع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 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زبدة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يتقى في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أبي الورد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أبا ظبيان حدثني أنه رأى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أراق الماء ثم مسح على الخفين،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أبو ظبيان، أما بلغك 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 ، سبق الكتاب الخفين؟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فيهما رخصة؟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من عدو تتقيه أو ثلج تخاف على رجليك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العرف يشهد بأن العمل التقيي يسمى تقية وإن كانت مندوحة، بل الغالب وجود المندوحة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وقع قليل من الماء المغصوب في حوض مباح، فإن أمكن رده إلى مالكه وكان قابلاً لذلك لم يجز التصرف في ذلك الحوض، وإن لم يمكن رده يمكن أن يقال بجواز التصرف فيه؛ لأن المغصوب محسوب تالفاً، لكنه مشكل من دون رضى مالكه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وتمسح ببلة يمناك ناصيتك، وما بقي من بله يمناك ظهر قدمك 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نسيت مسح رأسك فامسح عليه وعلى رجليك من بلة وضوئك، فإن لم يكن بقي في يدك من نداوة وضوئك شيء فخذ ما بقي منه في لحيتك، وامسح به رأسك ورجليك، وإن لم يكن لك لحية فخذ من حاجبيك، وأشفار عينيك، وامسح به رأسك ورجليك، وإن لم يبق من بلة وضوئك شيء أعدت الوضوء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والأولى تقديم ماء اللحية والحاجبين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منتقى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وَامْسَحُواْ بِرُؤُوسِكُمْ وَأَرْجُلَكُمْ إِلَى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الميسور، واستصحاب وجوب الوضوء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الاستصحاب في الشبهات الحكمية مورد خلاف بين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قُمْتُمْ إِلَى الصَّلاةِ فاغْسِلُواْ وُجُوهَكُمْ وَأَيْدِيَكُمْ إِلَى الْمَرَافِقِ وَامْسَحُواْ بِرُؤُوسِكُمْ وَأَرْجُلَكُمْ إِلَى الْكَعْبَينِ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 إناء صغير من صفر أو خزف يشرب منه ويؤكل ويتوضأ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الحسين بن سعيد، وأبيه محمد بن عيسى، عن محمد بن أبي عمير، عن ابن أذينة، عن زرارة وبكير ابني أعين،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في المسح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تمسح على النعلين ولا تدخل يدك تحت الشراك، وإذا مسحت بشيء من رأسك، أو بشيء من قدميك ما بين كعبيك إلى أطراف الأصابع فقد أجزأك</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وإذا مسحت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من تعبير صاحب الحدائق أن الرواية غير معتبرة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أحمد بن محمد بن أبي نصر،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المسح على القدمين كيف هو؟ فوضع كفه على الأصابع فمسحها إلى الكعبين إلى ظاهر القدم،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لو أن رجلاً قال بإصبعين من أصابعه هكذا؟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بكفه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أحمد بن محمد بن أبي نصر،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المسح على القدمين كيف هو؟ فوضع كفه على الأصابع فمسحها إلى الكعبين إلى ظاهر القدم،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لو أن رجلاً قال بإصبعين من أصابعه هكذا؟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بكفه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الكعبان؟ قال، ههنا يعني المفصل دون عظم الساق،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عظم الساق والكعب أسفل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وَامْسَحُواْ بِرُؤُوسِكُمْ وَأَرْجُلَكُمْ إِلَى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وبكير ابني أعين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نهاية الدراية في شرح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حيث ذهب البعض إلى سقوط الدلالة الالتزامية عند سقوط المطابقية، وفصل آخرون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وَامْسَحُوا بِرُؤُوسِكُمْ وَأَرْجُلَكُمْ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بمسح القدمين مقبلاً ومدبراً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لرعاية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وهي رواية علي بن يقطين، عن أبي الحسن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أردت أن تغتسل للجمعة فتوضأ واغتسل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نهاية الدراية في شرح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إلى أنها مخدوشة سنداً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أبي طالب الطبرسي في الاحتجاج، عن محمد بن عبد اللّه بن جعفر الحميري،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أنه كتب إليه يسأله عن المسح على الرجلين بأيهما يبدأ باليمين، أو يمسح عليهما جميعاً معا؟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يمسح عليهما جميعاً معاً، فإن بدأ بإحداهما قبل الأخرى فلا يبدأ إلا باليمين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فوات المولاة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علي بن جعفر المذكورة في المتن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السيد الخوئي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غسله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المغيرة، عن حريز في الوضوء يجف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جف الأول قبل أن أغسل الذي يليه؟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أو لم يجف اغسل ما بقي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فضالة بن أيوب، عن سماعة، 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توضأت بعض وضوئك وعرضت لك حاجة حتى يبس وضوؤك فأعد وضوءك ، فإن الوضوء لا يبعض</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توضأت فنفد الماء فدعوت الجارية فأبطأت علي بالماء فيجف وضوئي،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فضالة بن أيوب، عن الحسين بن عثمان، عن سماعة، 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نسيت غسل وجهك فغسلت ذراعيك قبل وجهك فأعد غسل وجهك، ثم اغسل ذراعيك بعد الوجه، فإن بدأت بذراعك الأيسر قبل الأيمن فأعد على غسل الأيمن ثم اغسل اليسار، وإن نسيت مسح رأسك حتى تغسل رجليك فأمسح رأسك ثم اغسل رجليك</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لو لم يمكن التحفّظ على بقاء رطوبة السابق حين الشروع في اللاحق لحرارة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هبوب الرياح أو حرارة البدن مثلاٌ سقط اعتبارها، وأتى بالوضوء متتابعاً من غير فصل، كما أنّه فيما تبقى رطوبة السابق مدّة مديدة لنداوة الهواء لا عبرة بها على الأحوط إن لم يكن أقوى، فالمعيار هو المعتدل من الهواء والمزاج وغيرهما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شرح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عمل عملاً مما أمر اللّه به مراءاة الناس فهو مشرك، ولا يقبل اللّه عمل مراء</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إبراهيم، عن أبيه، عن ابن أبي عمير، عن محمد بن مسكين وغيره،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أصابته جنابة وهو مجدور فغسلوه فمات،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ألا سألوا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يمموه؟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شفاء العي السؤال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وعن فضالة، عن حسين بن عثمان، عن ابن مسكان، عن عبد اللّه بن سليمان جميعاً،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حديث أنه كان وجعاً شديد الوجع فأصابته جنابة، وهو في مكان بارد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فدعوت الغلمة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احملوني فاغسلوني، فحملوني ووضعوني على خشبات، ثم صبوا على الماء فغسلوني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إتمام الأمر بحسب القاعدة مشكل، وقياس الوضوء بباب الغسل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يترك الميسور بالمعسور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إبراهيم، عن أبيه، عن ابن أبي عمير، عن محمد بن مسكين وغيره،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أصابته جنابة وهو مجدور فغسلوه فمات،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ألا سألوا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يمموه؟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شفاء العي السؤال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وأنزلنا من السماء ماءً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يوم الورد بين الظمئين، وهو وقتان، وورد الوارد يرد وروداً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والورد أيضاً اسم من ورد يرد يوم الورد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كتاب 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كتاب الطهارة، السيد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قُمْتُمْ إِلَى الصَّلاةِ فاغْسِلُواْ وُجُوهَكُمْ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لم يعلم أن عبد اللّه بن المغيرة رواها عن أحد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نقلها عن بعض الصادقين، والمراد به بعض العدول؛ لأن صيغة الصادقين التي هي صيغة جمع في الرواية لمكان البعض لم ير استعمالها، وإرادة الأئمة منها في شئ من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الصادقين بصيغة التثنية يطلق على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التغليب، كالشمسين والقمرين، وقد عرفت أن الصادقين في المقام ليس بتثنية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إن تعبيره ببعض الصادقين مشعر بعدم إرادته المعصوم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الجملة فلا يثبت بهذه الرواية على علاتها حكم مخالف لما كاد أن يكون ضرورياً من مذهب الشيعة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دل دليل على جواز التصرف في المال لا يقتضي بإطلاقه جواز ضرب اليتيم،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اليتيم بالعصا تصرف في المال وهو جائر مطلقاً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محمد بن سنان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سألته عن ماء الوادي،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المسلمين شركاء في الماء والنار والكلاء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حيث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رحمه اللّه تعالى في المختلف والمنتهى كثيراً ما يستصح الحديث وفي الطريق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وسيجئ في كلام أبي عمرو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يروي عن محمد بن سنان جماعة من العدول والثقات وأهل العلم، وذلك آية حسن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وثقه الشيخ المفيد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سألته عن ماء الوادي،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المسلمين شركاء في الماء والنار والكلأ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والنار والكلأ</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الملح إلى الأربعة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كانت عنده أمانة فليؤدها إلى من ائتمنه عليها فإنه لا يحل دم امرئ مسلم ولا ماله إلا بطيبة نفسه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اتفاقاً كما في الحدائق، واستدل عليه بعدم تعلق النهي في حال الجهل، فلا مانع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بن موسى،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عما تشرب منه الحمامة،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اُكل لحمه فتوضأ من سؤره واشرب، وعما شرب منه باز أو صقر أو عقاب،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من الطير توضأ مما يشرب منه إلا أن ترى في منقاره دماً، فإن رأيت في منقاره دماً فلا توضأ منه ولا تشرب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زرعة، عن سماعة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معه الماء في السفر فيخاف قلته؟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يتيمم بالصعيد ويستبقي الماء، فإن اللّه عز وجل جعلهما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السرحان،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الرجل تصيبه الجنابة وبه جروح أو قروح أو يخاف على نفسه من البرد،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يغتسل، ويتيمم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الرجل تصيبه الجنابة وبه قروح أو جروح أو يكون يخاف على نفسه من البرد،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يغتسل، يتيمم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ذلك في الكسير والمبطون يتيمم ولا يغتسل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مسكين وغيره،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أصابته جنابة وهو مجدور فغسلوه فمات،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ألا سألوا؟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يمموه؟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شفاء العي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أذينة، عن زرارة،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يجد المسافر الماء فليطلب ما دام في الوقت، فإذا خاف أن يفوته الوقت فليتيمم وليصل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تقدمت في المتن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الساباطي،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صلى من الغداة ركعة ثم طلعت الشمس فليتم الصلاة وقد جازت صلاته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الخوف في استعمال الماء من حدوث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وهو قوله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لو كان أحدهما كراً مع جعله أخيراً في الاستعمال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الْغَآئِطِ أَوْ لاَمَسْتُمُ النِّسَاء فَلَمْ تَجِدُواْ مَاء فَتَيَمَّمُواْ صَعِيداً طَيِّباً فَامْسَحُواْ بِوُجُوهِكُمْ وَأَيْدِيكُمْ إِنَّ اللّهَ كَانَ عَفُوّاً غَفُوراً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رجل معه إناء ان فيهما ماء وقع في أحدهما قذر ولا يدري أيهما هو وليس يقدر على ماء غيره؟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يهريقهما جميعا ويتيمم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حكم بن حكيم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غسل الجنابة؟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 على كفك اليمنى من الماء فاغسلها، ثم اغسل ما أصاب جسدك من أذى، ثم اغسل فرجك وأفض على رأسك وجسدك فاغتسل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انقطع عنها الدم وإلا فهي مستحاضة تصنع مثل النفساء سواء، ثم تصلي ولا تدع الصلاة على حال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ضعفها الشارح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حديث الوشاء لا اعتبار به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الوشاء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الدواء إذا كان على يدي الرجل أيجزيه أن يمسح على طلي الدواء؟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يجزيه أن يمسح عليه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ضعفها الشارح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حديث الوشاء لا اعتبار به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عند قوله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لا يترك الاحتياط بالجمع بينه وبين مسح الجبيرة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الإشكال في سندها، فإنّ عبد الأعلى مولى آل سام لم يوثق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الاعلى مولى آل سام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عثرت فانقطع ظفري فجعلت على أصبعي مرارة، فكيف أصنع بالوضوء؟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هذا وأشباهه من كتاب اللّه عز وجل،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 عليه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الإشكال في سندها، فإنّ عبد الأعلى مولى آل سام لم يوثق</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أن يأتي بالمسح قربة إلى اللّه، فإنّ المأمور به ليس دائراً بين الأمرين، بل المأمور به هو المسح</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سئل عن</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قُمْتُمْ إِلَى الصَّلاةِ فاغْسِلُواْ وُجُوهَكُمْ وَأَيْدِيَكُمْ إِلَى الْمَرَافِقِ وَامْسَحُواْ بِرُؤُوسِكُمْ وَأَرْجُلَكُمْ إِلَى الْكَعْبَينِ وَإِن كُنتُمْ جُنُباً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تعذر ذلك أيضاً فالأحوط الجمع بين الوضوء بغسل أطرافه فقط والتيمم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الجرح كيف يصنع صاحبه؟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 ما حوله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تنقيح المناط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كنت قاعداً على وضوئك فلم تدر أغسلت ذراعيك أم لا فأعد عليهما، وعلى جميع ما شككت فيه أنك لم تغسله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الوصول إلى 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بداية الوصول في شرح كفاية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المحكم في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شككت في شيء من الوضوء وقد دخلت في غيره فليس شكك بشيء إنما الشك إذا كنت في شيء لم تجزه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التطهير الوضوئي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التطهير المطلق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 يعتريه البول ولا يقدر على حبسه،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يقدر على حبسه فاللّه أولى بالعذر يجعل خريطة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ينام وهو على وضوء أتوجب الخفقة والخفقتان عليه الوضوء؟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قد تنام العين ولا ينام القلب والاُذن، فإذا نامت العين والاُذن والقلب فقد وجب الوضوء،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حرك إلى جنبه شيء ولم يعلم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حتى يستيقن أنه قد نام حتى يجيئ من ذلك أمر بين، وإلا فإنه على يقين من وضوئه، ولا ينقض اليقين أبداً بالشك ولكن ينقضه بيقين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أبي نصر، عن ابن بكير، عن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المبطون،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يبني على صلاته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المعالم الجديدة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إسماعيل،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المذي؟ فأمرني بالوضوء منه، ثم أعدت عليه سنة أخرى، فأمرني بالوضوء منه،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المقداد أن يسأل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واستحيى أن يسأله،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أتوضأ،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عيسى، عن حريز،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يغسل الرجل يده من النوم مرة، ومن الغائط والبول مرتين، ومن الجنابة ثلاثاً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إسماعيل بن بزيع ،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 اللّه على النساء في الوضوء للصلاة أن يبدأن بباطن أذرعتهن، وفي الرجال بظاهر الذراع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السنة هي السيرة المستمرة من بدو تشريع مناسك الحج من زمن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قبله أيضاً، وإن المراد بالفرض هنا هو وقوع تشريع المفروض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تقرير بحث المحقق الداماد للآملي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الوشاء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يديه إبريق يريد أن يتهيأ منه للصلاة، فدنوت منه لأصب عليه، فأبى 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يا حسن،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تنهاني أن أصب على يدك، تكره أن أوجر؟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توجر أنت وأوزر أنا،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كان يرجو لقاء ربه فليعمل عملاً صالحاً ولا يشرك بعبادة ربه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 أنا ذا أتوضأ للصلاة وهي العبادة، فأكره أن يشركني فيها أحد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عن حريز، 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يتوضأ بمد، ويغتسل بصاع، والمد رطل ونصف، والصاع ستة أرطال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عن 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يخرجن من الإحليل، 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 وفيه الغسل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كيف جعل على المرأة إذا رأت في النوم أن الرجل يجامعها في فرجها الغسل، ولم يجعل عليها الغسل إذا جامعها دون الفرج في اليقظة فأمنت؟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رأت في منامها أن الرجل يجامعها في فرجها فوجب عليها الغسل، والآخر إنما جامعها دون الفرج فلم يجب عليها الغسل؛ لأنه لم يدخله، ولو كان أدخله في اليقظة وجب عليها الغسل، أمنت أو لم 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على المرأة غسل من جنابتها إذا لم يأتها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وأيكم يرضى أن يرى أو يصبر على ذلك أن يرى ابنته أو أخته، أو أمه، أو زوجته، أو أحداً من قرابته قائمة تغتسل،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احتلمت وليس لها 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ليس عليهن ذلك وقد وضع اللّه ذلك عليكم،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كُنْتُمْ جُنُباً فَاطَّهَّرُوا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يقل ذلك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وحيث إنها لا اعتبار بأسنادها لا تكون قابلة للمعارضة مع الطائفة الأولى</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حريز،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اغتسل وهو جنب قبل أن يبول ثم يجد بللاً، فقد انتقض غسله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الملك بن عمرو،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الرجل يبول ثم يستنجي، ثم يجد بعد ذلك بللاً،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بال فخرط ما بين المقعدة والأنثيين ثلاث مرات، وغمز ما بينهما، ثم استنجى، فإن سال حتى يبلغ السوق فلا يبالي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حفص بن البختري،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الرجل يبول،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ينتره ثلاثاً، ثم إن سال حتى يبلغ السوق فلا يبالي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وعدم وجوب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محمد بن إسماعيل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يجامع المرأة قريباً من الفرج فلا ينزلان متى يجب الغسل؟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التقى الختانان فقد وجب الغسل،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التقاء الختانين هو غيبوبة الحشفة؟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ابن بزيع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يجامع المرأة قريباً من الفرج فلا ينزلان متى يجب الغسل؟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التقى الختانان فقد وجب الغسل،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التقاء الختانين هو غيبوبة الحشفة؟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يلزم الحكم بتحقّق الجنابة فيما آدخلت المرأة ذكر الرجل الميّت في قبلها، وهل يلتزم الخصم بهذا اللازم؟ مضافاً إلى أنّ العرف لا يفهم من النصوص شمول الحكم لصورة كون أحد الطرفين ميّتاً، وهذا العرف ببابك، ولا أقلّ من عدم الجزم بالإطلاق، والنتيجة انتفاء الحكم بالأصل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محمد بن إسماعيل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يجامع المرأة قريباً من الفرج فلا ينزلان متى يجب الغسل؟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التقى الختانان فقد وجب الغسل،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التقاء الختانين هو غيبوبة الحشفة؟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علي بن جعفر، عن أخيه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يلعب مع المرأة ويقبلها فيخرج منه المني فما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جاءت الشهوة ودفع وفتر لخروجه فعليه الغسل، وإن كان إنما هو شيء لم يجد له فترة ولا شهوة فلا بأس</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 والدفع والفتور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يترك الاحتياط بالجمع بين الوضوء والغسل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يجد له فترة ولا 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 عن عبد اللّه بن أبي يعفور،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 الرجل يرى في المنام ويجد الشهوة فيستيقظ فينظر فلا يجد شيئاً، ثم يمكث الهوين بعد فيخرج،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مريضاً فليغتسل، وإن لم يكن مريضاً فلا شيء عليه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زرارة بن أعين،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الدلك،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ناكح نفسه لا شيء عليه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أنّ في استحباب الغسل لنفسه أيضاً تأمل، فالاحتياط إتيانه لغاية من الغايات أيضاً، ولو للكون على الطهارة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إلا بطهور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صلاة الاّ بطهور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عن بعض الأعلام ذلك، واستدلّ عليه تارة بأنّهما جابرتان للصلاة التي مشروطة بطهارة، وأخرى بأنّ دليل وجوبهما منصرف إلى المشروط بالطهارة، وثالثاً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موافق للاحتياط، وظاهر أنّ شيئاً من هذه الوجوه لا يرجع إلى محصل صحيح، أمّا كونهما جابرتين فلا يلازم اشتراطهما بما يشترط به المنجبر، وأمّا الانصراف فلا وجه له، وأمّا الاحتياط فحسن لكنّه غير لازم مع وجود المعذر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الكفاية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جوزنا الصلاة على الميت بغير وضوء لأنه ليس فيها ركوع، ولا سجود، وإنما يجب الوضوء في الصلاة التي فيها ركوع وسجود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لا يباين الكتاب كي يضرب عرض الجدار، بل يكون مخصصاً 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تقدمت قبل قليل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حيث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أن ينام في المسجد ويمر فيه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إذا كان الرجل نائماً في المسجد الحرام أو مسجد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فاحتلم فأصابته جنابة، فليتيمم ولا يمر في المسجد إلا متيمماً، ولا بأس أن يمر في سائر المساجد، ولا يجلس في شيء من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قدمنا أن الوضع محرم في نفسه لا من جهة حرمة الدخول، فلو وضع فيه شيئاً من الخارج ارتكب محرماً، كما لا محالة أنه لو وضعه فيه بالدخول ارتكب محرمين، ولكن الأخذ جائز، والفارق ما ورد في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الجنب لا يتمكن من أخذ ما في المسجد إلا من المسجد، ولكنه يتمكن من الوضع في غير المسجد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بينه وبين سبع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الفقهاء أن الكراهة في العبادة تعني قلّة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يوضع على فوهة الأنبوب حاجز فيه ثقوب ويسمّى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متعارف في هذه 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غسل الجنابة،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تبدأ فتغسل كفيك، ثم تفرغ بيمينك على شمالك فتغسل فرحك ومرافقك، ثم تمضمض واستنشق</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علي الحلبي،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الوضوء كم يفرغ الرجل على يده</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وتغسل يديك إلى المفصل ثلاثاً قبل أن تدخلهما الإناء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غسل الجنابة،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تبدأ فتغسل كفيك، ثم تفرغ بيمينك على شمالك فتغسل فرجك ومرافقك، ثم تمضمض واستنشق، ثم تغسل جسدك من لدن قرنك إلى قدميك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ذكرت المضمضمة فقط، ولم تذكر ثلاث مرات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غسل الجنابة،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 على يديك الماء فتغسل كفيك، ثم تدخل يدك فتغسل فرجك، ثم تمضمض وتستنشق وتصب الماء على رأسك ثلاث مرات، وتغسل وجهك وتفيض على جسدك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 الذي في البطن من السمن، والجمع عكن وأعكان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وتعكن البطن، إذا صار ذا عكن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غسل الجنابة،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تبدأ فتغسل كفيك، ثم تفرغ بيمينك على شمالك فتغسل فرجك ومرافقك، ثم تمضمض واستنشق، ثم تغسل جسدك من لدن قرنك إلى قدميك</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والتي تقدمت قبل قليل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الينابيع الفقهية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بتبعيض الغسل تغسل يدك وفرجك ورأسك، وتؤخر غسل جسدك إلى وقت الصلاة، ثم تغسل جسدك إذا أردت ذلك، فإن أحدثت حدثاً من بول أو غائط أو ريح أو مني بعدما غسلت رأسك من قبل أن تغسل جسدك فأعد الغسل من أوله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الحواشي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في المتن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في المتن،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اجتمعت عليك حقوق أجزأها عنك غسل واحد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في المتن،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اجتمعت عليك حقوق أجزأها عنك غسل واحد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غسل الجنابة،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تبدأ فتغسل كفيك، ثم تفرغ بيمينك على شمالك فتغسل فرجك ومرافقك، ثم تمضمض واستنشق، ثم تغسل جسدك من لدن قرنك إلى قدميك</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فاته غسل يوم الجمعة، فليقضه يوم السبت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قال مولانا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يوم 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صلى فيه ركعتين يغتسل لهما قبل الزوال بنصف الساعة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جزء مؤقت من أجزاء الليل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 يجار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كاريگار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الحصاد الذي يحصد بالفرجون، بمعنى الداس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 ليلة عيد الفطر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ويحتمل عدم انتقاضها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عن ابن ادريس،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الانتقاض مطلقاً، وهنا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بالتفصيل بين النوم فالنقض، وبين غيره فعدم النقض، كما عن جماعة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ما ذكرنا، من القول الأول، والأقرب عندنا هو الثاني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يستحب الغسل بعد حصول بعض الأفعال، ومن ذلك الغسل لقضاء صلاة الكسوف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أبي المغرا، 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كانت له إلى اللّه حاجة، وأراد أن يرانا وأن يعرف موضعه، فليغتسل ثلاث ليال</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مسعدة بن زياد،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إني أدخل كنيفاً ولي جيران وعندهم جوار يتغنين ويضربن بالعود، فربما أطلت الجلوس استماعاً مني لهن،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تفعل،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آتيهن، إنما هو سماع أسمعه بأذني،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لله أنت، أما سمعت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السمع والبصر والفؤاد كل أولئك كان عنه مسؤولاً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واللّه، لكأني لم أسمع بهذه الآية من كتاب اللّه من عربي ولا عجمي، لا جرم إني لا أعود إن شاء اللّه، وإني أستغفر اللّه،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فاغتسل وصلّ ما بدا لك، فإنك كنت مقيماً على أمر عظيم، ما كان أسوأ حالك لو مت على ذلك، أحمد اللّه، وسله التوبة من كل ما يكره، فإنه لا يكره إلا كل قبيح، والقبيح دعه لأهله، فإنّ لكل أهلاً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بينما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يوم على جبل من جبال تهامة والمسلمون حوله إذ أقبل شيخ وبيده عصا، فنظر إليه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مشية الجن ونغمتهم وعجبهم، فأتى فسلم فرد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هامة بن الهيم بن لاقيس بن إبليس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نوح انني ممن شرك في دم العبد الصالح الشهيد السعيد هابيل بن آدم، هل تدري عند ربك من توبة،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هام، هم بخير وافعله قبل الحسرة والندامة، إني وجدت فيما أنزل اللّه تبارك وتعالى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من عبد عمل ذنباً كائناً ما كان، وبالغاً ما بلغ ثم تاب إلا تاب اللّه تعالى عليه، فقم الساعة واغتسل، وخر لله ساجداً، ففعلت ما أمرني، إذ نادى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رأسك قبلت توبتك ، فخررت لله ساجداً حولاً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عبد الرحيم القصير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إني اخترعت دعاءً،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دعني من اختراعك، إذا نزل بك أمر فافزع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وصلّ ركعتين تهديهما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تغتسل وتصلي ركعتين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ويستحب غسل صلاة الحاجة والاستخارة عند علمائنا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وغسل الاستخارة وغسل طلب الحوائج من اللّه تبارك وتعالى، وليس فيهما ذكر الصلاة، بل ظاهرهما الاستحباب لنفس الأمرين ، كالمحكي لنا من عبارة التذكرة ناسبا لها إلى علمائنا، ولعله غير بعيد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قصد إلى مصلوب فنظر إليه وجب عليه الغسل 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استحبابه هو المشهور، بل لم يعرف الخلاف إلا عن ظاهر الصدوق، وأبي الصلاح، حيث قالا بوجوبه، بل عن الغنية دعوى الإجماع على استحبابه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علي بن أبي حمزة،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اغتسلت بمكة ثم نمت قبل أن تطوف فأعد غسلك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69664</Words>
  <Characters>326991</Characters>
  <CharactersWithSpaces>393148</CharactersWithSpaces>
  <Paragraphs>3967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2026-08-25T03:50:47Z</dcterms:created>
  <dc:creator>ghaemiyeh.com</dc:creator>
  <dc:description/>
  <dc:language>en-US</dc:language>
  <cp:lastModifiedBy/>
  <dcterms:modified xsi:type="dcterms:W3CDTF">2026-08-25T07:21:00Z</dcterms:modified>
  <cp:revision>1</cp:revision>
  <dc:subject/>
  <dc:title>موسوعة الفقیه الشیرازی جلد 19</dc:title>
</cp:coreProperties>
</file>

<file path=docProps/custom.xml><?xml version="1.0" encoding="utf-8"?>
<Properties xmlns="http://schemas.openxmlformats.org/officeDocument/2006/custom-properties" xmlns:vt="http://schemas.openxmlformats.org/officeDocument/2006/docPropsVTypes"/>
</file>