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72570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1572572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572574_2142443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1572576_2142443653">
            <w:r>
              <w:rPr>
                <w:webHidden/>
                <w:rStyle w:val="IndexLink"/>
                <w:rtl w:val="true"/>
              </w:rPr>
              <w:t>المسألة الأولى</w:t>
            </w:r>
            <w:r>
              <w:rPr>
                <w:rStyle w:val="IndexLink"/>
                <w:rtl w:val="true"/>
              </w:rPr>
              <w:tab/>
            </w:r>
            <w:r>
              <w:rPr>
                <w:rStyle w:val="IndexLink"/>
              </w:rPr>
              <w:t>14</w:t>
            </w:r>
          </w:hyperlink>
        </w:p>
        <w:p>
          <w:pPr>
            <w:pStyle w:val="Contents2"/>
            <w:tabs>
              <w:tab w:val="clear" w:pos="8743"/>
              <w:tab w:val="right" w:pos="9026" w:leader="dot"/>
            </w:tabs>
            <w:rPr/>
          </w:pPr>
          <w:hyperlink w:anchor="__RefHeading___Toc11572578_2142443653">
            <w:r>
              <w:rPr>
                <w:webHidden/>
                <w:rStyle w:val="IndexLink"/>
                <w:rtl w:val="true"/>
              </w:rPr>
              <w:t xml:space="preserve">المسألة الأولى </w:t>
            </w:r>
            <w:r>
              <w:rPr>
                <w:rStyle w:val="IndexLink"/>
                <w:rtl w:val="true"/>
              </w:rPr>
              <w:t xml:space="preserve">: </w:t>
            </w:r>
            <w:r>
              <w:rPr>
                <w:rStyle w:val="IndexLink"/>
                <w:rtl w:val="true"/>
              </w:rPr>
              <w:t>المبتذلات اللاتي إذا نهين لا ينتهين</w:t>
            </w:r>
            <w:r>
              <w:rPr>
                <w:rStyle w:val="IndexLink"/>
                <w:rtl w:val="true"/>
              </w:rPr>
              <w:tab/>
            </w:r>
            <w:r>
              <w:rPr>
                <w:rStyle w:val="IndexLink"/>
              </w:rPr>
              <w:t>14</w:t>
            </w:r>
          </w:hyperlink>
        </w:p>
        <w:p>
          <w:pPr>
            <w:pStyle w:val="Contents3"/>
            <w:tabs>
              <w:tab w:val="clear" w:pos="8459"/>
              <w:tab w:val="right" w:pos="9026" w:leader="dot"/>
            </w:tabs>
            <w:rPr/>
          </w:pPr>
          <w:hyperlink w:anchor="__RefHeading___Toc11572580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1572582_2142443653">
            <w:r>
              <w:rPr>
                <w:webHidden/>
                <w:rStyle w:val="IndexLink"/>
                <w:rtl w:val="true"/>
              </w:rPr>
              <w:t>المسألة الأولى</w:t>
            </w:r>
            <w:r>
              <w:rPr>
                <w:rStyle w:val="IndexLink"/>
                <w:rtl w:val="true"/>
              </w:rPr>
              <w:t xml:space="preserve">: </w:t>
            </w:r>
            <w:r>
              <w:rPr>
                <w:rStyle w:val="IndexLink"/>
                <w:rtl w:val="true"/>
              </w:rPr>
              <w:t>المبتذلات اللاتي إذا نهين لا ينتهين</w:t>
            </w:r>
            <w:r>
              <w:rPr>
                <w:rStyle w:val="IndexLink"/>
                <w:rtl w:val="true"/>
              </w:rPr>
              <w:tab/>
            </w:r>
            <w:r>
              <w:rPr>
                <w:rStyle w:val="IndexLink"/>
              </w:rPr>
              <w:t>16</w:t>
            </w:r>
          </w:hyperlink>
        </w:p>
        <w:p>
          <w:pPr>
            <w:pStyle w:val="Contents4"/>
            <w:tabs>
              <w:tab w:val="clear" w:pos="8176"/>
              <w:tab w:val="right" w:pos="9026" w:leader="dot"/>
            </w:tabs>
            <w:rPr/>
          </w:pPr>
          <w:hyperlink w:anchor="__RefHeading___Toc11572584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1572586_2142443653">
            <w:r>
              <w:rPr>
                <w:webHidden/>
                <w:rStyle w:val="IndexLink"/>
                <w:rtl w:val="true"/>
              </w:rPr>
              <w:t>فروع المسألة الأولى</w:t>
            </w:r>
            <w:r>
              <w:rPr>
                <w:rStyle w:val="IndexLink"/>
                <w:rtl w:val="true"/>
              </w:rPr>
              <w:tab/>
            </w:r>
            <w:r>
              <w:rPr>
                <w:rStyle w:val="IndexLink"/>
              </w:rPr>
              <w:t>16</w:t>
            </w:r>
          </w:hyperlink>
        </w:p>
        <w:p>
          <w:pPr>
            <w:pStyle w:val="Contents5"/>
            <w:tabs>
              <w:tab w:val="clear" w:pos="7892"/>
              <w:tab w:val="right" w:pos="9026" w:leader="dot"/>
            </w:tabs>
            <w:rPr/>
          </w:pPr>
          <w:hyperlink w:anchor="__RefHeading___Toc11572588_2142443653">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11572590_2142443653">
            <w:r>
              <w:rPr>
                <w:webHidden/>
                <w:rStyle w:val="IndexLink"/>
                <w:rtl w:val="true"/>
              </w:rPr>
              <w:t>الفرع الأول</w:t>
            </w:r>
            <w:r>
              <w:rPr>
                <w:rStyle w:val="IndexLink"/>
                <w:rtl w:val="true"/>
              </w:rPr>
              <w:t xml:space="preserve">: </w:t>
            </w:r>
            <w:r>
              <w:rPr>
                <w:rStyle w:val="IndexLink"/>
                <w:rtl w:val="true"/>
              </w:rPr>
              <w:t>في حكم النظر إليهن</w:t>
            </w:r>
            <w:r>
              <w:rPr>
                <w:rStyle w:val="IndexLink"/>
                <w:rtl w:val="true"/>
              </w:rPr>
              <w:tab/>
            </w:r>
            <w:r>
              <w:rPr>
                <w:rStyle w:val="IndexLink"/>
              </w:rPr>
              <w:t>16</w:t>
            </w:r>
          </w:hyperlink>
        </w:p>
        <w:p>
          <w:pPr>
            <w:pStyle w:val="Contents6"/>
            <w:tabs>
              <w:tab w:val="clear" w:pos="7609"/>
              <w:tab w:val="right" w:pos="9026" w:leader="dot"/>
            </w:tabs>
            <w:rPr/>
          </w:pPr>
          <w:hyperlink w:anchor="__RefHeading___Toc11572592_2142443653">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11572594_2142443653">
            <w:r>
              <w:rPr>
                <w:webHidden/>
                <w:rStyle w:val="IndexLink"/>
                <w:rtl w:val="true"/>
              </w:rPr>
              <w:t>أدلة جواز النظر</w:t>
            </w:r>
            <w:r>
              <w:rPr>
                <w:rStyle w:val="IndexLink"/>
                <w:rtl w:val="true"/>
              </w:rPr>
              <w:tab/>
            </w:r>
            <w:r>
              <w:rPr>
                <w:rStyle w:val="IndexLink"/>
              </w:rPr>
              <w:t>17</w:t>
            </w:r>
          </w:hyperlink>
        </w:p>
        <w:p>
          <w:pPr>
            <w:pStyle w:val="Contents6"/>
            <w:tabs>
              <w:tab w:val="clear" w:pos="7609"/>
              <w:tab w:val="right" w:pos="9026" w:leader="dot"/>
            </w:tabs>
            <w:rPr/>
          </w:pPr>
          <w:hyperlink w:anchor="__RefHeading___Toc11572596_2142443653">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11572598_2142443653">
            <w:r>
              <w:rPr>
                <w:webHidden/>
                <w:rStyle w:val="IndexLink"/>
                <w:rtl w:val="true"/>
              </w:rPr>
              <w:t>الدليل الأول</w:t>
            </w:r>
            <w:r>
              <w:rPr>
                <w:rStyle w:val="IndexLink"/>
                <w:rtl w:val="true"/>
              </w:rPr>
              <w:t xml:space="preserve">: </w:t>
            </w:r>
            <w:r>
              <w:rPr>
                <w:rStyle w:val="IndexLink"/>
                <w:rtl w:val="true"/>
              </w:rPr>
              <w:t>رواية عباد بن صهيب</w:t>
            </w:r>
            <w:r>
              <w:rPr>
                <w:rStyle w:val="IndexLink"/>
                <w:rtl w:val="true"/>
              </w:rPr>
              <w:tab/>
            </w:r>
            <w:r>
              <w:rPr>
                <w:rStyle w:val="IndexLink"/>
              </w:rPr>
              <w:t>17</w:t>
            </w:r>
          </w:hyperlink>
        </w:p>
        <w:p>
          <w:pPr>
            <w:pStyle w:val="Contents6"/>
            <w:tabs>
              <w:tab w:val="clear" w:pos="7609"/>
              <w:tab w:val="right" w:pos="9026" w:leader="dot"/>
            </w:tabs>
            <w:rPr/>
          </w:pPr>
          <w:hyperlink w:anchor="__RefHeading___Toc11572600_2142443653">
            <w:r>
              <w:rPr>
                <w:webHidden/>
                <w:rStyle w:val="IndexLink"/>
                <w:rtl w:val="true"/>
              </w:rPr>
              <w:t>الدليل الثاني</w:t>
            </w:r>
            <w:r>
              <w:rPr>
                <w:rStyle w:val="IndexLink"/>
                <w:rtl w:val="true"/>
              </w:rPr>
              <w:t xml:space="preserve">: </w:t>
            </w:r>
            <w:r>
              <w:rPr>
                <w:rStyle w:val="IndexLink"/>
                <w:rtl w:val="true"/>
              </w:rPr>
              <w:t>رفع الحرج</w:t>
            </w:r>
            <w:r>
              <w:rPr>
                <w:rStyle w:val="IndexLink"/>
                <w:rtl w:val="true"/>
              </w:rPr>
              <w:tab/>
            </w:r>
            <w:r>
              <w:rPr>
                <w:rStyle w:val="IndexLink"/>
              </w:rPr>
              <w:t>38</w:t>
            </w:r>
          </w:hyperlink>
        </w:p>
        <w:p>
          <w:pPr>
            <w:pStyle w:val="Contents6"/>
            <w:tabs>
              <w:tab w:val="clear" w:pos="7609"/>
              <w:tab w:val="right" w:pos="9026" w:leader="dot"/>
            </w:tabs>
            <w:rPr/>
          </w:pPr>
          <w:hyperlink w:anchor="__RefHeading___Toc11572602_2142443653">
            <w:r>
              <w:rPr>
                <w:webHidden/>
                <w:rStyle w:val="IndexLink"/>
                <w:rtl w:val="true"/>
              </w:rPr>
              <w:t>الدليل الثالث</w:t>
            </w:r>
            <w:r>
              <w:rPr>
                <w:rStyle w:val="IndexLink"/>
                <w:rtl w:val="true"/>
              </w:rPr>
              <w:t xml:space="preserve">: </w:t>
            </w:r>
            <w:r>
              <w:rPr>
                <w:rStyle w:val="IndexLink"/>
                <w:rtl w:val="true"/>
              </w:rPr>
              <w:t>سيرة المتشرعة</w:t>
            </w:r>
            <w:r>
              <w:rPr>
                <w:rStyle w:val="IndexLink"/>
                <w:rtl w:val="true"/>
              </w:rPr>
              <w:tab/>
            </w:r>
            <w:r>
              <w:rPr>
                <w:rStyle w:val="IndexLink"/>
              </w:rPr>
              <w:t>39</w:t>
            </w:r>
          </w:hyperlink>
        </w:p>
        <w:p>
          <w:pPr>
            <w:pStyle w:val="Contents5"/>
            <w:tabs>
              <w:tab w:val="clear" w:pos="7892"/>
              <w:tab w:val="right" w:pos="9026" w:leader="dot"/>
            </w:tabs>
            <w:rPr/>
          </w:pPr>
          <w:hyperlink w:anchor="__RefHeading___Toc11572604_2142443653">
            <w:r>
              <w:rPr>
                <w:webHidden/>
                <w:rStyle w:val="IndexLink"/>
                <w:rtl w:val="true"/>
              </w:rPr>
              <w:t>الفرع الثاني</w:t>
            </w:r>
            <w:r>
              <w:rPr>
                <w:rStyle w:val="IndexLink"/>
                <w:rtl w:val="true"/>
              </w:rPr>
              <w:t xml:space="preserve">: </w:t>
            </w:r>
            <w:r>
              <w:rPr>
                <w:rStyle w:val="IndexLink"/>
                <w:rtl w:val="true"/>
              </w:rPr>
              <w:t>في حكم التردد في الأسواق</w:t>
            </w:r>
            <w:r>
              <w:rPr>
                <w:rStyle w:val="IndexLink"/>
                <w:rtl w:val="true"/>
              </w:rPr>
              <w:tab/>
            </w:r>
            <w:r>
              <w:rPr>
                <w:rStyle w:val="IndexLink"/>
              </w:rPr>
              <w:t>40</w:t>
            </w:r>
          </w:hyperlink>
        </w:p>
        <w:p>
          <w:pPr>
            <w:pStyle w:val="Contents6"/>
            <w:tabs>
              <w:tab w:val="clear" w:pos="7609"/>
              <w:tab w:val="right" w:pos="9026" w:leader="dot"/>
            </w:tabs>
            <w:rPr/>
          </w:pPr>
          <w:hyperlink w:anchor="__RefHeading___Toc11572606_2142443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1572608_2142443653">
            <w:r>
              <w:rPr>
                <w:webHidden/>
                <w:rStyle w:val="IndexLink"/>
                <w:rtl w:val="true"/>
              </w:rPr>
              <w:t>أدلة جواز النظر</w:t>
            </w:r>
            <w:r>
              <w:rPr>
                <w:rStyle w:val="IndexLink"/>
                <w:rtl w:val="true"/>
              </w:rPr>
              <w:tab/>
            </w:r>
            <w:r>
              <w:rPr>
                <w:rStyle w:val="IndexLink"/>
              </w:rPr>
              <w:t>41</w:t>
            </w:r>
          </w:hyperlink>
        </w:p>
        <w:p>
          <w:pPr>
            <w:pStyle w:val="Contents6"/>
            <w:tabs>
              <w:tab w:val="clear" w:pos="7609"/>
              <w:tab w:val="right" w:pos="9026" w:leader="dot"/>
            </w:tabs>
            <w:rPr/>
          </w:pPr>
          <w:hyperlink w:anchor="__RefHeading___Toc11572610_2142443653">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11572612_2142443653">
            <w:r>
              <w:rPr>
                <w:webHidden/>
                <w:rStyle w:val="IndexLink"/>
                <w:rtl w:val="true"/>
              </w:rPr>
              <w:t>الدليل الأول</w:t>
            </w:r>
            <w:r>
              <w:rPr>
                <w:rStyle w:val="IndexLink"/>
                <w:rtl w:val="true"/>
              </w:rPr>
              <w:t xml:space="preserve">: </w:t>
            </w:r>
            <w:r>
              <w:rPr>
                <w:rStyle w:val="IndexLink"/>
                <w:rtl w:val="true"/>
              </w:rPr>
              <w:t>الإجماع</w:t>
            </w:r>
            <w:r>
              <w:rPr>
                <w:rStyle w:val="IndexLink"/>
                <w:rtl w:val="true"/>
              </w:rPr>
              <w:tab/>
            </w:r>
            <w:r>
              <w:rPr>
                <w:rStyle w:val="IndexLink"/>
              </w:rPr>
              <w:t>41</w:t>
            </w:r>
          </w:hyperlink>
        </w:p>
        <w:p>
          <w:pPr>
            <w:pStyle w:val="Contents6"/>
            <w:tabs>
              <w:tab w:val="clear" w:pos="7609"/>
              <w:tab w:val="right" w:pos="9026" w:leader="dot"/>
            </w:tabs>
            <w:rPr/>
          </w:pPr>
          <w:hyperlink w:anchor="__RefHeading___Toc11572614_2142443653">
            <w:r>
              <w:rPr>
                <w:webHidden/>
                <w:rStyle w:val="IndexLink"/>
                <w:rtl w:val="true"/>
              </w:rPr>
              <w:t>الدليل الثاني</w:t>
            </w:r>
            <w:r>
              <w:rPr>
                <w:rStyle w:val="IndexLink"/>
                <w:rtl w:val="true"/>
              </w:rPr>
              <w:t xml:space="preserve">: </w:t>
            </w:r>
            <w:r>
              <w:rPr>
                <w:rStyle w:val="IndexLink"/>
                <w:rtl w:val="true"/>
              </w:rPr>
              <w:t>العسر والحرج</w:t>
            </w:r>
            <w:r>
              <w:rPr>
                <w:rStyle w:val="IndexLink"/>
                <w:rtl w:val="true"/>
              </w:rPr>
              <w:tab/>
            </w:r>
            <w:r>
              <w:rPr>
                <w:rStyle w:val="IndexLink"/>
              </w:rPr>
              <w:t>41</w:t>
            </w:r>
          </w:hyperlink>
        </w:p>
        <w:p>
          <w:pPr>
            <w:pStyle w:val="Contents6"/>
            <w:tabs>
              <w:tab w:val="clear" w:pos="7609"/>
              <w:tab w:val="right" w:pos="9026" w:leader="dot"/>
            </w:tabs>
            <w:rPr/>
          </w:pPr>
          <w:hyperlink w:anchor="__RefHeading___Toc11572616_2142443653">
            <w:r>
              <w:rPr>
                <w:webHidden/>
                <w:rStyle w:val="IndexLink"/>
                <w:rtl w:val="true"/>
              </w:rPr>
              <w:t>الدليل الثالث</w:t>
            </w:r>
            <w:r>
              <w:rPr>
                <w:rStyle w:val="IndexLink"/>
                <w:rtl w:val="true"/>
              </w:rPr>
              <w:t xml:space="preserve">: </w:t>
            </w:r>
            <w:r>
              <w:rPr>
                <w:rStyle w:val="IndexLink"/>
                <w:rtl w:val="true"/>
              </w:rPr>
              <w:t>إنه القدر المتيقن</w:t>
            </w:r>
            <w:r>
              <w:rPr>
                <w:rStyle w:val="IndexLink"/>
                <w:rtl w:val="true"/>
              </w:rPr>
              <w:tab/>
            </w:r>
            <w:r>
              <w:rPr>
                <w:rStyle w:val="IndexLink"/>
              </w:rPr>
              <w:t>42</w:t>
            </w:r>
          </w:hyperlink>
        </w:p>
        <w:p>
          <w:pPr>
            <w:pStyle w:val="Contents6"/>
            <w:tabs>
              <w:tab w:val="clear" w:pos="7609"/>
              <w:tab w:val="right" w:pos="9026" w:leader="dot"/>
            </w:tabs>
            <w:rPr/>
          </w:pPr>
          <w:hyperlink w:anchor="__RefHeading___Toc11572618_2142443653">
            <w:r>
              <w:rPr>
                <w:webHidden/>
                <w:rStyle w:val="IndexLink"/>
                <w:rtl w:val="true"/>
              </w:rPr>
              <w:t>الدليل الرابع</w:t>
            </w:r>
            <w:r>
              <w:rPr>
                <w:rStyle w:val="IndexLink"/>
                <w:rtl w:val="true"/>
              </w:rPr>
              <w:t xml:space="preserve">: </w:t>
            </w:r>
            <w:r>
              <w:rPr>
                <w:rStyle w:val="IndexLink"/>
                <w:rtl w:val="true"/>
              </w:rPr>
              <w:t>السيرة القطعية</w:t>
            </w:r>
            <w:r>
              <w:rPr>
                <w:rStyle w:val="IndexLink"/>
                <w:rtl w:val="true"/>
              </w:rPr>
              <w:tab/>
            </w:r>
            <w:r>
              <w:rPr>
                <w:rStyle w:val="IndexLink"/>
              </w:rPr>
              <w:t>42</w:t>
            </w:r>
          </w:hyperlink>
        </w:p>
        <w:p>
          <w:pPr>
            <w:pStyle w:val="Contents5"/>
            <w:tabs>
              <w:tab w:val="clear" w:pos="7892"/>
              <w:tab w:val="right" w:pos="9026" w:leader="dot"/>
            </w:tabs>
            <w:rPr/>
          </w:pPr>
          <w:hyperlink w:anchor="__RefHeading___Toc11572620_2142443653">
            <w:r>
              <w:rPr>
                <w:webHidden/>
                <w:rStyle w:val="IndexLink"/>
                <w:rtl w:val="true"/>
              </w:rPr>
              <w:t>الفرع الثالث</w:t>
            </w:r>
            <w:r>
              <w:rPr>
                <w:rStyle w:val="IndexLink"/>
                <w:rtl w:val="true"/>
              </w:rPr>
              <w:t xml:space="preserve">: </w:t>
            </w:r>
            <w:r>
              <w:rPr>
                <w:rStyle w:val="IndexLink"/>
                <w:rtl w:val="true"/>
              </w:rPr>
              <w:t>في حدود المنظور إليه</w:t>
            </w:r>
            <w:r>
              <w:rPr>
                <w:rStyle w:val="IndexLink"/>
                <w:rtl w:val="true"/>
              </w:rPr>
              <w:tab/>
            </w:r>
            <w:r>
              <w:rPr>
                <w:rStyle w:val="IndexLink"/>
              </w:rPr>
              <w:t>43</w:t>
            </w:r>
          </w:hyperlink>
        </w:p>
        <w:p>
          <w:pPr>
            <w:pStyle w:val="Contents5"/>
            <w:tabs>
              <w:tab w:val="clear" w:pos="7892"/>
              <w:tab w:val="right" w:pos="9026" w:leader="dot"/>
            </w:tabs>
            <w:rPr/>
          </w:pPr>
          <w:hyperlink w:anchor="__RefHeading___Toc11572622_2142443653">
            <w:r>
              <w:rPr>
                <w:webHidden/>
                <w:rStyle w:val="IndexLink"/>
                <w:rtl w:val="true"/>
              </w:rPr>
              <w:t>الفرع الرابع</w:t>
            </w:r>
            <w:r>
              <w:rPr>
                <w:rStyle w:val="IndexLink"/>
                <w:rtl w:val="true"/>
              </w:rPr>
              <w:t xml:space="preserve">: </w:t>
            </w:r>
            <w:r>
              <w:rPr>
                <w:rStyle w:val="IndexLink"/>
                <w:rtl w:val="true"/>
              </w:rPr>
              <w:t>الكلام في الانتهاء المقيد</w:t>
            </w:r>
            <w:r>
              <w:rPr>
                <w:rStyle w:val="IndexLink"/>
                <w:rtl w:val="true"/>
              </w:rPr>
              <w:tab/>
            </w:r>
            <w:r>
              <w:rPr>
                <w:rStyle w:val="IndexLink"/>
              </w:rPr>
              <w:t>45</w:t>
            </w:r>
          </w:hyperlink>
        </w:p>
        <w:p>
          <w:pPr>
            <w:pStyle w:val="Contents5"/>
            <w:tabs>
              <w:tab w:val="clear" w:pos="7892"/>
              <w:tab w:val="right" w:pos="9026" w:leader="dot"/>
            </w:tabs>
            <w:rPr/>
          </w:pPr>
          <w:hyperlink w:anchor="__RefHeading___Toc11572624_2142443653">
            <w:r>
              <w:rPr>
                <w:webHidden/>
                <w:rStyle w:val="IndexLink"/>
                <w:rtl w:val="true"/>
              </w:rPr>
              <w:t>الفرع الخامس</w:t>
            </w:r>
            <w:r>
              <w:rPr>
                <w:rStyle w:val="IndexLink"/>
                <w:rtl w:val="true"/>
              </w:rPr>
              <w:t xml:space="preserve">: </w:t>
            </w:r>
            <w:r>
              <w:rPr>
                <w:rStyle w:val="IndexLink"/>
                <w:rtl w:val="true"/>
              </w:rPr>
              <w:t>العلم بعدم الانتهاء</w:t>
            </w:r>
            <w:r>
              <w:rPr>
                <w:rStyle w:val="IndexLink"/>
                <w:rtl w:val="true"/>
              </w:rPr>
              <w:tab/>
            </w:r>
            <w:r>
              <w:rPr>
                <w:rStyle w:val="IndexLink"/>
              </w:rPr>
              <w:t>46</w:t>
            </w:r>
          </w:hyperlink>
        </w:p>
        <w:p>
          <w:pPr>
            <w:pStyle w:val="Contents5"/>
            <w:tabs>
              <w:tab w:val="clear" w:pos="7892"/>
              <w:tab w:val="right" w:pos="9026" w:leader="dot"/>
            </w:tabs>
            <w:rPr/>
          </w:pPr>
          <w:hyperlink w:anchor="__RefHeading___Toc11572626_2142443653">
            <w:r>
              <w:rPr>
                <w:webHidden/>
                <w:rStyle w:val="IndexLink"/>
                <w:rtl w:val="true"/>
              </w:rPr>
              <w:t>الفرع السادس</w:t>
            </w:r>
            <w:r>
              <w:rPr>
                <w:rStyle w:val="IndexLink"/>
                <w:rtl w:val="true"/>
              </w:rPr>
              <w:t xml:space="preserve">: </w:t>
            </w:r>
            <w:r>
              <w:rPr>
                <w:rStyle w:val="IndexLink"/>
                <w:rtl w:val="true"/>
              </w:rPr>
              <w:t>شرائط جواز النظر</w:t>
            </w:r>
            <w:r>
              <w:rPr>
                <w:rStyle w:val="IndexLink"/>
                <w:rtl w:val="true"/>
              </w:rPr>
              <w:tab/>
            </w:r>
            <w:r>
              <w:rPr>
                <w:rStyle w:val="IndexLink"/>
              </w:rPr>
              <w:t>48</w:t>
            </w:r>
          </w:hyperlink>
        </w:p>
        <w:p>
          <w:pPr>
            <w:pStyle w:val="Contents5"/>
            <w:tabs>
              <w:tab w:val="clear" w:pos="7892"/>
              <w:tab w:val="right" w:pos="9026" w:leader="dot"/>
            </w:tabs>
            <w:rPr/>
          </w:pPr>
          <w:hyperlink w:anchor="__RefHeading___Toc11572628_2142443653">
            <w:r>
              <w:rPr>
                <w:webHidden/>
                <w:rStyle w:val="IndexLink"/>
                <w:rtl w:val="true"/>
              </w:rPr>
              <w:t>الفرع السابع</w:t>
            </w:r>
            <w:r>
              <w:rPr>
                <w:rStyle w:val="IndexLink"/>
                <w:rtl w:val="true"/>
              </w:rPr>
              <w:t xml:space="preserve">: </w:t>
            </w:r>
            <w:r>
              <w:rPr>
                <w:rStyle w:val="IndexLink"/>
                <w:rtl w:val="true"/>
              </w:rPr>
              <w:t>حكم اللمس وغيره</w:t>
            </w:r>
            <w:r>
              <w:rPr>
                <w:rStyle w:val="IndexLink"/>
                <w:rtl w:val="true"/>
              </w:rPr>
              <w:tab/>
            </w:r>
            <w:r>
              <w:rPr>
                <w:rStyle w:val="IndexLink"/>
              </w:rPr>
              <w:t>48</w:t>
            </w:r>
          </w:hyperlink>
        </w:p>
        <w:p>
          <w:pPr>
            <w:pStyle w:val="Contents2"/>
            <w:tabs>
              <w:tab w:val="clear" w:pos="8743"/>
              <w:tab w:val="right" w:pos="9026" w:leader="dot"/>
            </w:tabs>
            <w:rPr/>
          </w:pPr>
          <w:hyperlink w:anchor="__RefHeading___Toc11572630_2142443653">
            <w:r>
              <w:rPr>
                <w:webHidden/>
                <w:rStyle w:val="IndexLink"/>
                <w:rtl w:val="true"/>
              </w:rPr>
              <w:t xml:space="preserve">المسألة الثانية </w:t>
            </w:r>
            <w:r>
              <w:rPr>
                <w:rStyle w:val="IndexLink"/>
                <w:rtl w:val="true"/>
              </w:rPr>
              <w:t xml:space="preserve">: </w:t>
            </w:r>
            <w:r>
              <w:rPr>
                <w:rStyle w:val="IndexLink"/>
                <w:rtl w:val="true"/>
              </w:rPr>
              <w:t>النظر إلى نساء أهل الذمة ومطلق الكوافر</w:t>
            </w:r>
            <w:r>
              <w:rPr>
                <w:rStyle w:val="IndexLink"/>
                <w:rtl w:val="true"/>
              </w:rPr>
              <w:tab/>
            </w:r>
            <w:r>
              <w:rPr>
                <w:rStyle w:val="IndexLink"/>
              </w:rPr>
              <w:t>50</w:t>
            </w:r>
          </w:hyperlink>
        </w:p>
        <w:p>
          <w:pPr>
            <w:pStyle w:val="Contents3"/>
            <w:tabs>
              <w:tab w:val="clear" w:pos="8459"/>
              <w:tab w:val="right" w:pos="9026" w:leader="dot"/>
            </w:tabs>
            <w:rPr/>
          </w:pPr>
          <w:hyperlink w:anchor="__RefHeading___Toc11572632_2142443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1572634_2142443653">
            <w:r>
              <w:rPr>
                <w:webHidden/>
                <w:rStyle w:val="IndexLink"/>
                <w:rtl w:val="true"/>
              </w:rPr>
              <w:t>المسألة الثانية</w:t>
            </w:r>
            <w:r>
              <w:rPr>
                <w:rStyle w:val="IndexLink"/>
                <w:rtl w:val="true"/>
              </w:rPr>
              <w:t xml:space="preserve">: </w:t>
            </w:r>
            <w:r>
              <w:rPr>
                <w:rStyle w:val="IndexLink"/>
                <w:rtl w:val="true"/>
              </w:rPr>
              <w:t>النظر إلى نساء أهل الذمة ومطلق الكوافر</w:t>
            </w:r>
            <w:r>
              <w:rPr>
                <w:rStyle w:val="IndexLink"/>
                <w:rtl w:val="true"/>
              </w:rPr>
              <w:tab/>
            </w:r>
            <w:r>
              <w:rPr>
                <w:rStyle w:val="IndexLink"/>
              </w:rPr>
              <w:t>52</w:t>
            </w:r>
          </w:hyperlink>
        </w:p>
        <w:p>
          <w:pPr>
            <w:pStyle w:val="Contents4"/>
            <w:tabs>
              <w:tab w:val="clear" w:pos="8176"/>
              <w:tab w:val="right" w:pos="9026" w:leader="dot"/>
            </w:tabs>
            <w:rPr/>
          </w:pPr>
          <w:hyperlink w:anchor="__RefHeading___Toc11572636_2142443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572638_2142443653">
            <w:r>
              <w:rPr>
                <w:webHidden/>
                <w:rStyle w:val="IndexLink"/>
                <w:rtl w:val="true"/>
              </w:rPr>
              <w:t>فروع المسألة الثانية</w:t>
            </w:r>
            <w:r>
              <w:rPr>
                <w:rStyle w:val="IndexLink"/>
                <w:rtl w:val="true"/>
              </w:rPr>
              <w:tab/>
            </w:r>
            <w:r>
              <w:rPr>
                <w:rStyle w:val="IndexLink"/>
              </w:rPr>
              <w:t>52</w:t>
            </w:r>
          </w:hyperlink>
        </w:p>
        <w:p>
          <w:pPr>
            <w:pStyle w:val="Contents5"/>
            <w:tabs>
              <w:tab w:val="clear" w:pos="7892"/>
              <w:tab w:val="right" w:pos="9026" w:leader="dot"/>
            </w:tabs>
            <w:rPr/>
          </w:pPr>
          <w:hyperlink w:anchor="__RefHeading___Toc11572640_2142443653">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572642_2142443653">
            <w:r>
              <w:rPr>
                <w:webHidden/>
                <w:rStyle w:val="IndexLink"/>
                <w:rtl w:val="true"/>
              </w:rPr>
              <w:t>الفرع الأول</w:t>
            </w:r>
            <w:r>
              <w:rPr>
                <w:rStyle w:val="IndexLink"/>
                <w:rtl w:val="true"/>
              </w:rPr>
              <w:t xml:space="preserve">: </w:t>
            </w:r>
            <w:r>
              <w:rPr>
                <w:rStyle w:val="IndexLink"/>
                <w:rtl w:val="true"/>
              </w:rPr>
              <w:t>في أصل جواز النظر إلى نساء أهل الذمة</w:t>
            </w:r>
            <w:r>
              <w:rPr>
                <w:rStyle w:val="IndexLink"/>
                <w:rtl w:val="true"/>
              </w:rPr>
              <w:tab/>
            </w:r>
            <w:r>
              <w:rPr>
                <w:rStyle w:val="IndexLink"/>
              </w:rPr>
              <w:t>52</w:t>
            </w:r>
          </w:hyperlink>
        </w:p>
        <w:p>
          <w:pPr>
            <w:pStyle w:val="Contents6"/>
            <w:tabs>
              <w:tab w:val="clear" w:pos="7609"/>
              <w:tab w:val="right" w:pos="9026" w:leader="dot"/>
            </w:tabs>
            <w:rPr/>
          </w:pPr>
          <w:hyperlink w:anchor="__RefHeading___Toc11572644_2142443653">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1572646_2142443653">
            <w:r>
              <w:rPr>
                <w:webHidden/>
                <w:rStyle w:val="IndexLink"/>
                <w:rtl w:val="true"/>
              </w:rPr>
              <w:t>أدلة جواز النظر إلى نساء أهل الذمة</w:t>
            </w:r>
            <w:r>
              <w:rPr>
                <w:rStyle w:val="IndexLink"/>
                <w:rtl w:val="true"/>
              </w:rPr>
              <w:tab/>
            </w:r>
            <w:r>
              <w:rPr>
                <w:rStyle w:val="IndexLink"/>
              </w:rPr>
              <w:t>53</w:t>
            </w:r>
          </w:hyperlink>
        </w:p>
        <w:p>
          <w:pPr>
            <w:pStyle w:val="Contents6"/>
            <w:tabs>
              <w:tab w:val="clear" w:pos="7609"/>
              <w:tab w:val="right" w:pos="9026" w:leader="dot"/>
            </w:tabs>
            <w:rPr/>
          </w:pPr>
          <w:hyperlink w:anchor="__RefHeading___Toc11572648_2142443653">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1572650_2142443653">
            <w:r>
              <w:rPr>
                <w:webHidden/>
                <w:rStyle w:val="IndexLink"/>
                <w:rtl w:val="true"/>
              </w:rPr>
              <w:t>الدليل الأول</w:t>
            </w:r>
            <w:r>
              <w:rPr>
                <w:rStyle w:val="IndexLink"/>
                <w:rtl w:val="true"/>
              </w:rPr>
              <w:t xml:space="preserve">: </w:t>
            </w:r>
            <w:r>
              <w:rPr>
                <w:rStyle w:val="IndexLink"/>
                <w:rtl w:val="true"/>
              </w:rPr>
              <w:t>موثقة عباد بن صهيب المتقدمة</w:t>
            </w:r>
            <w:r>
              <w:rPr>
                <w:rStyle w:val="IndexLink"/>
                <w:rtl w:val="true"/>
              </w:rPr>
              <w:tab/>
            </w:r>
            <w:r>
              <w:rPr>
                <w:rStyle w:val="IndexLink"/>
              </w:rPr>
              <w:t>53</w:t>
            </w:r>
          </w:hyperlink>
        </w:p>
        <w:p>
          <w:pPr>
            <w:pStyle w:val="Contents6"/>
            <w:tabs>
              <w:tab w:val="clear" w:pos="7609"/>
              <w:tab w:val="right" w:pos="9026" w:leader="dot"/>
            </w:tabs>
            <w:rPr/>
          </w:pPr>
          <w:hyperlink w:anchor="__RefHeading___Toc11572652_2142443653">
            <w:r>
              <w:rPr>
                <w:webHidden/>
                <w:rStyle w:val="IndexLink"/>
                <w:rtl w:val="true"/>
              </w:rPr>
              <w:t>الدليل الثاني</w:t>
            </w:r>
            <w:r>
              <w:rPr>
                <w:rStyle w:val="IndexLink"/>
                <w:rtl w:val="true"/>
              </w:rPr>
              <w:t xml:space="preserve">: </w:t>
            </w:r>
            <w:r>
              <w:rPr>
                <w:rStyle w:val="IndexLink"/>
                <w:rtl w:val="true"/>
              </w:rPr>
              <w:t>رواية السكوني</w:t>
            </w:r>
            <w:r>
              <w:rPr>
                <w:rStyle w:val="IndexLink"/>
                <w:rtl w:val="true"/>
              </w:rPr>
              <w:tab/>
            </w:r>
            <w:r>
              <w:rPr>
                <w:rStyle w:val="IndexLink"/>
              </w:rPr>
              <w:t>55</w:t>
            </w:r>
          </w:hyperlink>
        </w:p>
        <w:p>
          <w:pPr>
            <w:pStyle w:val="Contents6"/>
            <w:tabs>
              <w:tab w:val="clear" w:pos="7609"/>
              <w:tab w:val="right" w:pos="9026" w:leader="dot"/>
            </w:tabs>
            <w:rPr/>
          </w:pPr>
          <w:hyperlink w:anchor="__RefHeading___Toc11572654_2142443653">
            <w:r>
              <w:rPr>
                <w:webHidden/>
                <w:rStyle w:val="IndexLink"/>
                <w:rtl w:val="true"/>
              </w:rPr>
              <w:t>الدليل الثالث</w:t>
            </w:r>
            <w:r>
              <w:rPr>
                <w:rStyle w:val="IndexLink"/>
                <w:rtl w:val="true"/>
              </w:rPr>
              <w:t xml:space="preserve">: </w:t>
            </w:r>
            <w:r>
              <w:rPr>
                <w:rStyle w:val="IndexLink"/>
                <w:rtl w:val="true"/>
              </w:rPr>
              <w:t>رواية عبد اللّه بن جعفر</w:t>
            </w:r>
            <w:r>
              <w:rPr>
                <w:rStyle w:val="IndexLink"/>
                <w:rtl w:val="true"/>
              </w:rPr>
              <w:tab/>
            </w:r>
            <w:r>
              <w:rPr>
                <w:rStyle w:val="IndexLink"/>
              </w:rPr>
              <w:t>60</w:t>
            </w:r>
          </w:hyperlink>
        </w:p>
        <w:p>
          <w:pPr>
            <w:pStyle w:val="Contents6"/>
            <w:tabs>
              <w:tab w:val="clear" w:pos="7609"/>
              <w:tab w:val="right" w:pos="9026" w:leader="dot"/>
            </w:tabs>
            <w:rPr/>
          </w:pPr>
          <w:hyperlink w:anchor="__RefHeading___Toc11572656_2142443653">
            <w:r>
              <w:rPr>
                <w:webHidden/>
                <w:rStyle w:val="IndexLink"/>
                <w:rtl w:val="true"/>
              </w:rPr>
              <w:t>الدليل الرابع</w:t>
            </w:r>
            <w:r>
              <w:rPr>
                <w:rStyle w:val="IndexLink"/>
                <w:rtl w:val="true"/>
              </w:rPr>
              <w:t xml:space="preserve">: </w:t>
            </w:r>
            <w:r>
              <w:rPr>
                <w:rStyle w:val="IndexLink"/>
                <w:rtl w:val="true"/>
              </w:rPr>
              <w:t>السيرة</w:t>
            </w:r>
            <w:r>
              <w:rPr>
                <w:rStyle w:val="IndexLink"/>
                <w:rtl w:val="true"/>
              </w:rPr>
              <w:tab/>
            </w:r>
            <w:r>
              <w:rPr>
                <w:rStyle w:val="IndexLink"/>
              </w:rPr>
              <w:t>60</w:t>
            </w:r>
          </w:hyperlink>
        </w:p>
        <w:p>
          <w:pPr>
            <w:pStyle w:val="Contents6"/>
            <w:tabs>
              <w:tab w:val="clear" w:pos="7609"/>
              <w:tab w:val="right" w:pos="9026" w:leader="dot"/>
            </w:tabs>
            <w:rPr/>
          </w:pPr>
          <w:hyperlink w:anchor="__RefHeading___Toc11572658_2142443653">
            <w:r>
              <w:rPr>
                <w:webHidden/>
                <w:rStyle w:val="IndexLink"/>
                <w:rtl w:val="true"/>
              </w:rPr>
              <w:t>الدليل الخامس</w:t>
            </w:r>
            <w:r>
              <w:rPr>
                <w:rStyle w:val="IndexLink"/>
                <w:rtl w:val="true"/>
              </w:rPr>
              <w:t xml:space="preserve">: </w:t>
            </w:r>
            <w:r>
              <w:rPr>
                <w:rStyle w:val="IndexLink"/>
                <w:rtl w:val="true"/>
              </w:rPr>
              <w:t>الحرج</w:t>
            </w:r>
            <w:r>
              <w:rPr>
                <w:rStyle w:val="IndexLink"/>
                <w:rtl w:val="true"/>
              </w:rPr>
              <w:tab/>
            </w:r>
            <w:r>
              <w:rPr>
                <w:rStyle w:val="IndexLink"/>
              </w:rPr>
              <w:t>62</w:t>
            </w:r>
          </w:hyperlink>
        </w:p>
        <w:p>
          <w:pPr>
            <w:pStyle w:val="Contents6"/>
            <w:tabs>
              <w:tab w:val="clear" w:pos="7609"/>
              <w:tab w:val="right" w:pos="9026" w:leader="dot"/>
            </w:tabs>
            <w:rPr/>
          </w:pPr>
          <w:hyperlink w:anchor="__RefHeading___Toc11572660_2142443653">
            <w:r>
              <w:rPr>
                <w:webHidden/>
                <w:rStyle w:val="IndexLink"/>
                <w:rtl w:val="true"/>
              </w:rPr>
              <w:t>الدليل السادس</w:t>
            </w:r>
            <w:r>
              <w:rPr>
                <w:rStyle w:val="IndexLink"/>
                <w:rtl w:val="true"/>
              </w:rPr>
              <w:t xml:space="preserve">: </w:t>
            </w:r>
            <w:r>
              <w:rPr>
                <w:rStyle w:val="IndexLink"/>
                <w:rtl w:val="true"/>
              </w:rPr>
              <w:t xml:space="preserve">أهل الذمة مماليك للإمام </w:t>
            </w:r>
            <w:r>
              <w:rPr>
                <w:rStyle w:val="IndexLink"/>
                <w:rtl w:val="true"/>
              </w:rPr>
              <w:t>(</w:t>
            </w:r>
            <w:r>
              <w:rPr>
                <w:rStyle w:val="IndexLink"/>
                <w:rtl w:val="true"/>
              </w:rPr>
              <w:t>عليه السلام</w:t>
            </w:r>
            <w:r>
              <w:rPr>
                <w:rStyle w:val="IndexLink"/>
                <w:rtl w:val="true"/>
              </w:rPr>
              <w:t>)</w:t>
              <w:tab/>
            </w:r>
            <w:r>
              <w:rPr>
                <w:rStyle w:val="IndexLink"/>
              </w:rPr>
              <w:t>62</w:t>
            </w:r>
          </w:hyperlink>
        </w:p>
        <w:p>
          <w:pPr>
            <w:pStyle w:val="Contents6"/>
            <w:tabs>
              <w:tab w:val="clear" w:pos="7609"/>
              <w:tab w:val="right" w:pos="9026" w:leader="dot"/>
            </w:tabs>
            <w:rPr/>
          </w:pPr>
          <w:hyperlink w:anchor="__RefHeading___Toc11572662_2142443653">
            <w:r>
              <w:rPr>
                <w:webHidden/>
                <w:rStyle w:val="IndexLink"/>
                <w:rtl w:val="true"/>
              </w:rPr>
              <w:t>الدليل السابع</w:t>
            </w:r>
            <w:r>
              <w:rPr>
                <w:rStyle w:val="IndexLink"/>
                <w:rtl w:val="true"/>
              </w:rPr>
              <w:t xml:space="preserve">: </w:t>
            </w:r>
            <w:r>
              <w:rPr>
                <w:rStyle w:val="IndexLink"/>
                <w:rtl w:val="true"/>
              </w:rPr>
              <w:t>السيرة جارية على النظر إلى الإماء</w:t>
            </w:r>
            <w:r>
              <w:rPr>
                <w:rStyle w:val="IndexLink"/>
                <w:rtl w:val="true"/>
              </w:rPr>
              <w:tab/>
            </w:r>
            <w:r>
              <w:rPr>
                <w:rStyle w:val="IndexLink"/>
              </w:rPr>
              <w:t>73</w:t>
            </w:r>
          </w:hyperlink>
        </w:p>
        <w:p>
          <w:pPr>
            <w:pStyle w:val="Contents6"/>
            <w:tabs>
              <w:tab w:val="clear" w:pos="7609"/>
              <w:tab w:val="right" w:pos="9026" w:leader="dot"/>
            </w:tabs>
            <w:rPr/>
          </w:pPr>
          <w:hyperlink w:anchor="__RefHeading___Toc11572664_2142443653">
            <w:r>
              <w:rPr>
                <w:webHidden/>
                <w:rStyle w:val="IndexLink"/>
                <w:rtl w:val="true"/>
              </w:rPr>
              <w:t>الدليل الثامن</w:t>
            </w:r>
            <w:r>
              <w:rPr>
                <w:rStyle w:val="IndexLink"/>
                <w:rtl w:val="true"/>
              </w:rPr>
              <w:t xml:space="preserve">: </w:t>
            </w:r>
            <w:r>
              <w:rPr>
                <w:rStyle w:val="IndexLink"/>
                <w:rtl w:val="true"/>
              </w:rPr>
              <w:t>فحوى ما دلّ على جواز النظر إلى عورة غير المسلم</w:t>
            </w:r>
            <w:r>
              <w:rPr>
                <w:rStyle w:val="IndexLink"/>
                <w:rtl w:val="true"/>
              </w:rPr>
              <w:tab/>
            </w:r>
            <w:r>
              <w:rPr>
                <w:rStyle w:val="IndexLink"/>
              </w:rPr>
              <w:t>76</w:t>
            </w:r>
          </w:hyperlink>
        </w:p>
        <w:p>
          <w:pPr>
            <w:pStyle w:val="Contents6"/>
            <w:tabs>
              <w:tab w:val="clear" w:pos="7609"/>
              <w:tab w:val="right" w:pos="9026" w:leader="dot"/>
            </w:tabs>
            <w:rPr/>
          </w:pPr>
          <w:hyperlink w:anchor="__RefHeading___Toc11572666_2142443653">
            <w:r>
              <w:rPr>
                <w:webHidden/>
                <w:rStyle w:val="IndexLink"/>
                <w:rtl w:val="true"/>
              </w:rPr>
              <w:t>الدليل التاسع</w:t>
            </w:r>
            <w:r>
              <w:rPr>
                <w:rStyle w:val="IndexLink"/>
                <w:rtl w:val="true"/>
              </w:rPr>
              <w:t xml:space="preserve">: </w:t>
            </w:r>
            <w:r>
              <w:rPr>
                <w:rStyle w:val="IndexLink"/>
                <w:rtl w:val="true"/>
              </w:rPr>
              <w:t>كون الكافرات فيء للمسلمين</w:t>
            </w:r>
            <w:r>
              <w:rPr>
                <w:rStyle w:val="IndexLink"/>
                <w:rtl w:val="true"/>
              </w:rPr>
              <w:tab/>
            </w:r>
            <w:r>
              <w:rPr>
                <w:rStyle w:val="IndexLink"/>
              </w:rPr>
              <w:t>83</w:t>
            </w:r>
          </w:hyperlink>
        </w:p>
        <w:p>
          <w:pPr>
            <w:pStyle w:val="Contents6"/>
            <w:tabs>
              <w:tab w:val="clear" w:pos="7609"/>
              <w:tab w:val="right" w:pos="9026" w:leader="dot"/>
            </w:tabs>
            <w:rPr/>
          </w:pPr>
          <w:hyperlink w:anchor="__RefHeading___Toc11572668_2142443653">
            <w:r>
              <w:rPr>
                <w:webHidden/>
                <w:rStyle w:val="IndexLink"/>
                <w:rtl w:val="true"/>
              </w:rPr>
              <w:t>الدليل العاشر</w:t>
            </w:r>
            <w:r>
              <w:rPr>
                <w:rStyle w:val="IndexLink"/>
                <w:rtl w:val="true"/>
              </w:rPr>
              <w:t xml:space="preserve">: </w:t>
            </w:r>
            <w:r>
              <w:rPr>
                <w:rStyle w:val="IndexLink"/>
                <w:rtl w:val="true"/>
              </w:rPr>
              <w:t>قاعدة الإلزام</w:t>
            </w:r>
            <w:r>
              <w:rPr>
                <w:rStyle w:val="IndexLink"/>
                <w:rtl w:val="true"/>
              </w:rPr>
              <w:tab/>
            </w:r>
            <w:r>
              <w:rPr>
                <w:rStyle w:val="IndexLink"/>
              </w:rPr>
              <w:t>86</w:t>
            </w:r>
          </w:hyperlink>
        </w:p>
        <w:p>
          <w:pPr>
            <w:pStyle w:val="Contents6"/>
            <w:tabs>
              <w:tab w:val="clear" w:pos="7609"/>
              <w:tab w:val="right" w:pos="9026" w:leader="dot"/>
            </w:tabs>
            <w:rPr/>
          </w:pPr>
          <w:hyperlink w:anchor="__RefHeading___Toc11572670_2142443653">
            <w:r>
              <w:rPr>
                <w:webHidden/>
                <w:rStyle w:val="IndexLink"/>
                <w:rtl w:val="true"/>
              </w:rPr>
              <w:t>الدليل الحادي عشر</w:t>
            </w:r>
            <w:r>
              <w:rPr>
                <w:rStyle w:val="IndexLink"/>
                <w:rtl w:val="true"/>
              </w:rPr>
              <w:t xml:space="preserve">: </w:t>
            </w:r>
            <w:r>
              <w:rPr>
                <w:rStyle w:val="IndexLink"/>
                <w:rtl w:val="true"/>
              </w:rPr>
              <w:t xml:space="preserve">تحليل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الكافرات للشيعة</w:t>
            </w:r>
            <w:r>
              <w:rPr>
                <w:rStyle w:val="IndexLink"/>
                <w:rtl w:val="true"/>
              </w:rPr>
              <w:tab/>
            </w:r>
            <w:r>
              <w:rPr>
                <w:rStyle w:val="IndexLink"/>
              </w:rPr>
              <w:t>87</w:t>
            </w:r>
          </w:hyperlink>
        </w:p>
        <w:p>
          <w:pPr>
            <w:pStyle w:val="Contents6"/>
            <w:tabs>
              <w:tab w:val="clear" w:pos="7609"/>
              <w:tab w:val="right" w:pos="9026" w:leader="dot"/>
            </w:tabs>
            <w:rPr/>
          </w:pPr>
          <w:hyperlink w:anchor="__RefHeading___Toc11572672_2142443653">
            <w:r>
              <w:rPr>
                <w:webHidden/>
                <w:rStyle w:val="IndexLink"/>
                <w:rtl w:val="true"/>
              </w:rPr>
              <w:t>الدليل الثاني عشر</w:t>
            </w:r>
            <w:r>
              <w:rPr>
                <w:rStyle w:val="IndexLink"/>
                <w:rtl w:val="true"/>
              </w:rPr>
              <w:t xml:space="preserve">: </w:t>
            </w:r>
            <w:r>
              <w:rPr>
                <w:rStyle w:val="IndexLink"/>
                <w:rtl w:val="true"/>
              </w:rPr>
              <w:t xml:space="preserve">رضا الأئمة </w:t>
            </w:r>
            <w:r>
              <w:rPr>
                <w:rStyle w:val="IndexLink"/>
                <w:rtl w:val="true"/>
              </w:rPr>
              <w:t>(</w:t>
            </w:r>
            <w:r>
              <w:rPr>
                <w:rStyle w:val="IndexLink"/>
                <w:rtl w:val="true"/>
              </w:rPr>
              <w:t>عليهم السلام</w:t>
            </w:r>
            <w:r>
              <w:rPr>
                <w:rStyle w:val="IndexLink"/>
                <w:rtl w:val="true"/>
              </w:rPr>
              <w:t>)</w:t>
              <w:tab/>
            </w:r>
            <w:r>
              <w:rPr>
                <w:rStyle w:val="IndexLink"/>
              </w:rPr>
              <w:t>88</w:t>
            </w:r>
          </w:hyperlink>
        </w:p>
        <w:p>
          <w:pPr>
            <w:pStyle w:val="Contents6"/>
            <w:tabs>
              <w:tab w:val="clear" w:pos="7609"/>
              <w:tab w:val="right" w:pos="9026" w:leader="dot"/>
            </w:tabs>
            <w:rPr/>
          </w:pPr>
          <w:hyperlink w:anchor="__RefHeading___Toc11572674_2142443653">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1572676_2142443653">
            <w:r>
              <w:rPr>
                <w:webHidden/>
                <w:rStyle w:val="IndexLink"/>
                <w:rtl w:val="true"/>
              </w:rPr>
              <w:t>الدليل الثالث عشر</w:t>
            </w:r>
            <w:r>
              <w:rPr>
                <w:rStyle w:val="IndexLink"/>
                <w:rtl w:val="true"/>
              </w:rPr>
              <w:t xml:space="preserve">: </w:t>
            </w:r>
            <w:r>
              <w:rPr>
                <w:rStyle w:val="IndexLink"/>
                <w:rtl w:val="true"/>
              </w:rPr>
              <w:t>ما ورد في الجعفريات</w:t>
            </w:r>
            <w:r>
              <w:rPr>
                <w:rStyle w:val="IndexLink"/>
                <w:rtl w:val="true"/>
              </w:rPr>
              <w:tab/>
            </w:r>
            <w:r>
              <w:rPr>
                <w:rStyle w:val="IndexLink"/>
              </w:rPr>
              <w:t>88</w:t>
            </w:r>
          </w:hyperlink>
        </w:p>
        <w:p>
          <w:pPr>
            <w:pStyle w:val="Contents5"/>
            <w:tabs>
              <w:tab w:val="clear" w:pos="7892"/>
              <w:tab w:val="right" w:pos="9026" w:leader="dot"/>
            </w:tabs>
            <w:rPr/>
          </w:pPr>
          <w:hyperlink w:anchor="__RefHeading___Toc11572678_2142443653">
            <w:r>
              <w:rPr>
                <w:webHidden/>
                <w:rStyle w:val="IndexLink"/>
                <w:rtl w:val="true"/>
              </w:rPr>
              <w:t>الفرع الثاني</w:t>
            </w:r>
            <w:r>
              <w:rPr>
                <w:rStyle w:val="IndexLink"/>
                <w:rtl w:val="true"/>
              </w:rPr>
              <w:t xml:space="preserve">: </w:t>
            </w:r>
            <w:r>
              <w:rPr>
                <w:rStyle w:val="IndexLink"/>
                <w:rtl w:val="true"/>
              </w:rPr>
              <w:t>في أصل جواز النظر إلى سائر الكافرات غير أهل الذمة</w:t>
            </w:r>
            <w:r>
              <w:rPr>
                <w:rStyle w:val="IndexLink"/>
                <w:rtl w:val="true"/>
              </w:rPr>
              <w:tab/>
            </w:r>
            <w:r>
              <w:rPr>
                <w:rStyle w:val="IndexLink"/>
              </w:rPr>
              <w:t>91</w:t>
            </w:r>
          </w:hyperlink>
        </w:p>
        <w:p>
          <w:pPr>
            <w:pStyle w:val="Contents6"/>
            <w:tabs>
              <w:tab w:val="clear" w:pos="7609"/>
              <w:tab w:val="right" w:pos="9026" w:leader="dot"/>
            </w:tabs>
            <w:rPr/>
          </w:pPr>
          <w:hyperlink w:anchor="__RefHeading___Toc11572680_2142443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1572682_2142443653">
            <w:r>
              <w:rPr>
                <w:webHidden/>
                <w:rStyle w:val="IndexLink"/>
                <w:rtl w:val="true"/>
              </w:rPr>
              <w:t>الدليل الأول</w:t>
            </w:r>
            <w:r>
              <w:rPr>
                <w:rStyle w:val="IndexLink"/>
                <w:rtl w:val="true"/>
              </w:rPr>
              <w:t xml:space="preserve">: </w:t>
            </w:r>
            <w:r>
              <w:rPr>
                <w:rStyle w:val="IndexLink"/>
                <w:rtl w:val="true"/>
              </w:rPr>
              <w:t>شمول لفظ العلوج للكافرات</w:t>
            </w:r>
            <w:r>
              <w:rPr>
                <w:rStyle w:val="IndexLink"/>
                <w:rtl w:val="true"/>
              </w:rPr>
              <w:tab/>
            </w:r>
            <w:r>
              <w:rPr>
                <w:rStyle w:val="IndexLink"/>
              </w:rPr>
              <w:t>91</w:t>
            </w:r>
          </w:hyperlink>
        </w:p>
        <w:p>
          <w:pPr>
            <w:pStyle w:val="Contents6"/>
            <w:tabs>
              <w:tab w:val="clear" w:pos="7609"/>
              <w:tab w:val="right" w:pos="9026" w:leader="dot"/>
            </w:tabs>
            <w:rPr/>
          </w:pPr>
          <w:hyperlink w:anchor="__RefHeading___Toc11572684_2142443653">
            <w:r>
              <w:rPr>
                <w:webHidden/>
                <w:rStyle w:val="IndexLink"/>
                <w:rtl w:val="true"/>
              </w:rPr>
              <w:t>الدليل الثاني</w:t>
            </w:r>
            <w:r>
              <w:rPr>
                <w:rStyle w:val="IndexLink"/>
                <w:rtl w:val="true"/>
              </w:rPr>
              <w:t xml:space="preserve">: </w:t>
            </w:r>
            <w:r>
              <w:rPr>
                <w:rStyle w:val="IndexLink"/>
                <w:rtl w:val="true"/>
              </w:rPr>
              <w:t>ورود التعليل في موثقة عباد</w:t>
            </w:r>
            <w:r>
              <w:rPr>
                <w:rStyle w:val="IndexLink"/>
                <w:rtl w:val="true"/>
              </w:rPr>
              <w:tab/>
            </w:r>
            <w:r>
              <w:rPr>
                <w:rStyle w:val="IndexLink"/>
              </w:rPr>
              <w:t>91</w:t>
            </w:r>
          </w:hyperlink>
        </w:p>
        <w:p>
          <w:pPr>
            <w:pStyle w:val="Contents6"/>
            <w:tabs>
              <w:tab w:val="clear" w:pos="7609"/>
              <w:tab w:val="right" w:pos="9026" w:leader="dot"/>
            </w:tabs>
            <w:rPr/>
          </w:pPr>
          <w:hyperlink w:anchor="__RefHeading___Toc11572686_2142443653">
            <w:r>
              <w:rPr>
                <w:webHidden/>
                <w:rStyle w:val="IndexLink"/>
                <w:rtl w:val="true"/>
              </w:rPr>
              <w:t>الدليل الثالث</w:t>
            </w:r>
            <w:r>
              <w:rPr>
                <w:rStyle w:val="IndexLink"/>
                <w:rtl w:val="true"/>
              </w:rPr>
              <w:t xml:space="preserve">: </w:t>
            </w:r>
            <w:r>
              <w:rPr>
                <w:rStyle w:val="IndexLink"/>
                <w:rtl w:val="true"/>
              </w:rPr>
              <w:t>فحوى موثقة السكوني</w:t>
            </w:r>
            <w:r>
              <w:rPr>
                <w:rStyle w:val="IndexLink"/>
                <w:rtl w:val="true"/>
              </w:rPr>
              <w:tab/>
            </w:r>
            <w:r>
              <w:rPr>
                <w:rStyle w:val="IndexLink"/>
              </w:rPr>
              <w:t>91</w:t>
            </w:r>
          </w:hyperlink>
        </w:p>
        <w:p>
          <w:pPr>
            <w:pStyle w:val="Contents6"/>
            <w:tabs>
              <w:tab w:val="clear" w:pos="7609"/>
              <w:tab w:val="right" w:pos="9026" w:leader="dot"/>
            </w:tabs>
            <w:rPr/>
          </w:pPr>
          <w:hyperlink w:anchor="__RefHeading___Toc11572688_2142443653">
            <w:r>
              <w:rPr>
                <w:webHidden/>
                <w:rStyle w:val="IndexLink"/>
                <w:rtl w:val="true"/>
              </w:rPr>
              <w:t>الدليل الرابع</w:t>
            </w:r>
            <w:r>
              <w:rPr>
                <w:rStyle w:val="IndexLink"/>
                <w:rtl w:val="true"/>
              </w:rPr>
              <w:t xml:space="preserve">: </w:t>
            </w:r>
            <w:r>
              <w:rPr>
                <w:rStyle w:val="IndexLink"/>
                <w:rtl w:val="true"/>
              </w:rPr>
              <w:t>قاعدة الإلزام</w:t>
            </w:r>
            <w:r>
              <w:rPr>
                <w:rStyle w:val="IndexLink"/>
                <w:rtl w:val="true"/>
              </w:rPr>
              <w:tab/>
            </w:r>
            <w:r>
              <w:rPr>
                <w:rStyle w:val="IndexLink"/>
              </w:rPr>
              <w:t>93</w:t>
            </w:r>
          </w:hyperlink>
        </w:p>
        <w:p>
          <w:pPr>
            <w:pStyle w:val="Contents6"/>
            <w:tabs>
              <w:tab w:val="clear" w:pos="7609"/>
              <w:tab w:val="right" w:pos="9026" w:leader="dot"/>
            </w:tabs>
            <w:rPr/>
          </w:pPr>
          <w:hyperlink w:anchor="__RefHeading___Toc11572690_2142443653">
            <w:r>
              <w:rPr>
                <w:webHidden/>
                <w:rStyle w:val="IndexLink"/>
                <w:rtl w:val="true"/>
              </w:rPr>
              <w:t>الدليل الخامس</w:t>
            </w:r>
            <w:r>
              <w:rPr>
                <w:rStyle w:val="IndexLink"/>
                <w:rtl w:val="true"/>
              </w:rPr>
              <w:t xml:space="preserve">: </w:t>
            </w:r>
            <w:r>
              <w:rPr>
                <w:rStyle w:val="IndexLink"/>
                <w:rtl w:val="true"/>
              </w:rPr>
              <w:t>الإجماع</w:t>
            </w:r>
            <w:r>
              <w:rPr>
                <w:rStyle w:val="IndexLink"/>
                <w:rtl w:val="true"/>
              </w:rPr>
              <w:tab/>
            </w:r>
            <w:r>
              <w:rPr>
                <w:rStyle w:val="IndexLink"/>
              </w:rPr>
              <w:t>93</w:t>
            </w:r>
          </w:hyperlink>
        </w:p>
        <w:p>
          <w:pPr>
            <w:pStyle w:val="Contents5"/>
            <w:tabs>
              <w:tab w:val="clear" w:pos="7892"/>
              <w:tab w:val="right" w:pos="9026" w:leader="dot"/>
            </w:tabs>
            <w:rPr/>
          </w:pPr>
          <w:hyperlink w:anchor="__RefHeading___Toc11572692_2142443653">
            <w:r>
              <w:rPr>
                <w:webHidden/>
                <w:rStyle w:val="IndexLink"/>
                <w:rtl w:val="true"/>
              </w:rPr>
              <w:t>الفرع الثالث</w:t>
            </w:r>
            <w:r>
              <w:rPr>
                <w:rStyle w:val="IndexLink"/>
                <w:rtl w:val="true"/>
              </w:rPr>
              <w:t xml:space="preserve">: </w:t>
            </w:r>
            <w:r>
              <w:rPr>
                <w:rStyle w:val="IndexLink"/>
                <w:rtl w:val="true"/>
              </w:rPr>
              <w:t>في حدود المنظور إليه بلحاظ الجواز والحرمة</w:t>
            </w:r>
            <w:r>
              <w:rPr>
                <w:rStyle w:val="IndexLink"/>
                <w:rtl w:val="true"/>
              </w:rPr>
              <w:tab/>
            </w:r>
            <w:r>
              <w:rPr>
                <w:rStyle w:val="IndexLink"/>
              </w:rPr>
              <w:t>95</w:t>
            </w:r>
          </w:hyperlink>
        </w:p>
        <w:p>
          <w:pPr>
            <w:pStyle w:val="Contents6"/>
            <w:tabs>
              <w:tab w:val="clear" w:pos="7609"/>
              <w:tab w:val="right" w:pos="9026" w:leader="dot"/>
            </w:tabs>
            <w:rPr/>
          </w:pPr>
          <w:hyperlink w:anchor="__RefHeading___Toc11572694_2142443653">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1572696_2142443653">
            <w:r>
              <w:rPr>
                <w:webHidden/>
                <w:rStyle w:val="IndexLink"/>
                <w:rtl w:val="true"/>
              </w:rPr>
              <w:t>الاحتمال الأول</w:t>
            </w:r>
            <w:r>
              <w:rPr>
                <w:rStyle w:val="IndexLink"/>
                <w:rtl w:val="true"/>
              </w:rPr>
              <w:t xml:space="preserve">: </w:t>
            </w:r>
            <w:r>
              <w:rPr>
                <w:rStyle w:val="IndexLink"/>
                <w:rtl w:val="true"/>
              </w:rPr>
              <w:t>الجواز مطلقاً</w:t>
            </w:r>
            <w:r>
              <w:rPr>
                <w:rStyle w:val="IndexLink"/>
                <w:rtl w:val="true"/>
              </w:rPr>
              <w:tab/>
            </w:r>
            <w:r>
              <w:rPr>
                <w:rStyle w:val="IndexLink"/>
              </w:rPr>
              <w:t>95</w:t>
            </w:r>
          </w:hyperlink>
        </w:p>
        <w:p>
          <w:pPr>
            <w:pStyle w:val="Contents6"/>
            <w:tabs>
              <w:tab w:val="clear" w:pos="7609"/>
              <w:tab w:val="right" w:pos="9026" w:leader="dot"/>
            </w:tabs>
            <w:rPr/>
          </w:pPr>
          <w:hyperlink w:anchor="__RefHeading___Toc11572698_2142443653">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1572700_2142443653">
            <w:r>
              <w:rPr>
                <w:webHidden/>
                <w:rStyle w:val="IndexLink"/>
                <w:rtl w:val="true"/>
              </w:rPr>
              <w:t>الدليل الأول</w:t>
            </w:r>
            <w:r>
              <w:rPr>
                <w:rStyle w:val="IndexLink"/>
                <w:rtl w:val="true"/>
              </w:rPr>
              <w:t xml:space="preserve">: </w:t>
            </w:r>
            <w:r>
              <w:rPr>
                <w:rStyle w:val="IndexLink"/>
                <w:rtl w:val="true"/>
              </w:rPr>
              <w:t>قاعدة الإلزام</w:t>
            </w:r>
            <w:r>
              <w:rPr>
                <w:rStyle w:val="IndexLink"/>
                <w:rtl w:val="true"/>
              </w:rPr>
              <w:tab/>
            </w:r>
            <w:r>
              <w:rPr>
                <w:rStyle w:val="IndexLink"/>
              </w:rPr>
              <w:t>95</w:t>
            </w:r>
          </w:hyperlink>
        </w:p>
        <w:p>
          <w:pPr>
            <w:pStyle w:val="Contents6"/>
            <w:tabs>
              <w:tab w:val="clear" w:pos="7609"/>
              <w:tab w:val="right" w:pos="9026" w:leader="dot"/>
            </w:tabs>
            <w:rPr/>
          </w:pPr>
          <w:hyperlink w:anchor="__RefHeading___Toc11572702_2142443653">
            <w:r>
              <w:rPr>
                <w:webHidden/>
                <w:rStyle w:val="IndexLink"/>
                <w:rtl w:val="true"/>
              </w:rPr>
              <w:t>الدليل الثاني</w:t>
            </w:r>
            <w:r>
              <w:rPr>
                <w:rStyle w:val="IndexLink"/>
                <w:rtl w:val="true"/>
              </w:rPr>
              <w:t xml:space="preserve">: </w:t>
            </w:r>
            <w:r>
              <w:rPr>
                <w:rStyle w:val="IndexLink"/>
                <w:rtl w:val="true"/>
              </w:rPr>
              <w:t>التعليل في موثقة عباد</w:t>
            </w:r>
            <w:r>
              <w:rPr>
                <w:rStyle w:val="IndexLink"/>
                <w:rtl w:val="true"/>
              </w:rPr>
              <w:tab/>
            </w:r>
            <w:r>
              <w:rPr>
                <w:rStyle w:val="IndexLink"/>
              </w:rPr>
              <w:t>96</w:t>
            </w:r>
          </w:hyperlink>
        </w:p>
        <w:p>
          <w:pPr>
            <w:pStyle w:val="Contents6"/>
            <w:tabs>
              <w:tab w:val="clear" w:pos="7609"/>
              <w:tab w:val="right" w:pos="9026" w:leader="dot"/>
            </w:tabs>
            <w:rPr/>
          </w:pPr>
          <w:hyperlink w:anchor="__RefHeading___Toc11572704_2142443653">
            <w:r>
              <w:rPr>
                <w:webHidden/>
                <w:rStyle w:val="IndexLink"/>
                <w:rtl w:val="true"/>
              </w:rPr>
              <w:t>الدليل الثالث</w:t>
            </w:r>
            <w:r>
              <w:rPr>
                <w:rStyle w:val="IndexLink"/>
                <w:rtl w:val="true"/>
              </w:rPr>
              <w:t xml:space="preserve">: </w:t>
            </w:r>
            <w:r>
              <w:rPr>
                <w:rStyle w:val="IndexLink"/>
                <w:rtl w:val="true"/>
              </w:rPr>
              <w:t>ما ذكره السيد الخوئي</w:t>
            </w:r>
            <w:r>
              <w:rPr>
                <w:rStyle w:val="IndexLink"/>
                <w:rtl w:val="true"/>
              </w:rPr>
              <w:tab/>
            </w:r>
            <w:r>
              <w:rPr>
                <w:rStyle w:val="IndexLink"/>
              </w:rPr>
              <w:t>96</w:t>
            </w:r>
          </w:hyperlink>
        </w:p>
        <w:p>
          <w:pPr>
            <w:pStyle w:val="Contents6"/>
            <w:tabs>
              <w:tab w:val="clear" w:pos="7609"/>
              <w:tab w:val="right" w:pos="9026" w:leader="dot"/>
            </w:tabs>
            <w:rPr/>
          </w:pPr>
          <w:hyperlink w:anchor="__RefHeading___Toc11572706_2142443653">
            <w:r>
              <w:rPr>
                <w:webHidden/>
                <w:rStyle w:val="IndexLink"/>
                <w:rtl w:val="true"/>
              </w:rPr>
              <w:t>الدليل الرابع</w:t>
            </w:r>
            <w:r>
              <w:rPr>
                <w:rStyle w:val="IndexLink"/>
                <w:rtl w:val="true"/>
              </w:rPr>
              <w:t xml:space="preserve">: </w:t>
            </w:r>
            <w:r>
              <w:rPr>
                <w:rStyle w:val="IndexLink"/>
                <w:rtl w:val="true"/>
              </w:rPr>
              <w:t xml:space="preserve">ما ذكره السيد الوالد </w:t>
            </w:r>
            <w:r>
              <w:rPr>
                <w:rStyle w:val="IndexLink"/>
                <w:rtl w:val="true"/>
              </w:rPr>
              <w:t>(</w:t>
            </w:r>
            <w:r>
              <w:rPr>
                <w:rStyle w:val="IndexLink"/>
                <w:rtl w:val="true"/>
              </w:rPr>
              <w:t>رحمه اللّه</w:t>
            </w:r>
            <w:r>
              <w:rPr>
                <w:rStyle w:val="IndexLink"/>
                <w:rtl w:val="true"/>
              </w:rPr>
              <w:t>)</w:t>
              <w:tab/>
            </w:r>
            <w:r>
              <w:rPr>
                <w:rStyle w:val="IndexLink"/>
              </w:rPr>
              <w:t>97</w:t>
            </w:r>
          </w:hyperlink>
        </w:p>
        <w:p>
          <w:pPr>
            <w:pStyle w:val="Contents6"/>
            <w:tabs>
              <w:tab w:val="clear" w:pos="7609"/>
              <w:tab w:val="right" w:pos="9026" w:leader="dot"/>
            </w:tabs>
            <w:rPr/>
          </w:pPr>
          <w:hyperlink w:anchor="__RefHeading___Toc11572708_2142443653">
            <w:r>
              <w:rPr>
                <w:webHidden/>
                <w:rStyle w:val="IndexLink"/>
                <w:rtl w:val="true"/>
              </w:rPr>
              <w:t>الدليل الخامس</w:t>
            </w:r>
            <w:r>
              <w:rPr>
                <w:rStyle w:val="IndexLink"/>
                <w:rtl w:val="true"/>
              </w:rPr>
              <w:t xml:space="preserve">: </w:t>
            </w:r>
            <w:r>
              <w:rPr>
                <w:rStyle w:val="IndexLink"/>
                <w:rtl w:val="true"/>
              </w:rPr>
              <w:t>ما ذكره السيد الروحاني</w:t>
            </w:r>
            <w:r>
              <w:rPr>
                <w:rStyle w:val="IndexLink"/>
                <w:rtl w:val="true"/>
              </w:rPr>
              <w:tab/>
            </w:r>
            <w:r>
              <w:rPr>
                <w:rStyle w:val="IndexLink"/>
              </w:rPr>
              <w:t>98</w:t>
            </w:r>
          </w:hyperlink>
        </w:p>
        <w:p>
          <w:pPr>
            <w:pStyle w:val="Contents6"/>
            <w:tabs>
              <w:tab w:val="clear" w:pos="7609"/>
              <w:tab w:val="right" w:pos="9026" w:leader="dot"/>
            </w:tabs>
            <w:rPr/>
          </w:pPr>
          <w:hyperlink w:anchor="__RefHeading___Toc11572710_2142443653">
            <w:r>
              <w:rPr>
                <w:webHidden/>
                <w:rStyle w:val="IndexLink"/>
                <w:rtl w:val="true"/>
              </w:rPr>
              <w:t>الدليل السادس</w:t>
            </w:r>
            <w:r>
              <w:rPr>
                <w:rStyle w:val="IndexLink"/>
                <w:rtl w:val="true"/>
              </w:rPr>
              <w:t xml:space="preserve">: </w:t>
            </w:r>
            <w:r>
              <w:rPr>
                <w:rStyle w:val="IndexLink"/>
                <w:rtl w:val="true"/>
              </w:rPr>
              <w:t>كونهن بمنزلة الإماء يقتضي العموم</w:t>
            </w:r>
            <w:r>
              <w:rPr>
                <w:rStyle w:val="IndexLink"/>
                <w:rtl w:val="true"/>
              </w:rPr>
              <w:tab/>
            </w:r>
            <w:r>
              <w:rPr>
                <w:rStyle w:val="IndexLink"/>
              </w:rPr>
              <w:t>98</w:t>
            </w:r>
          </w:hyperlink>
        </w:p>
        <w:p>
          <w:pPr>
            <w:pStyle w:val="Contents6"/>
            <w:tabs>
              <w:tab w:val="clear" w:pos="7609"/>
              <w:tab w:val="right" w:pos="9026" w:leader="dot"/>
            </w:tabs>
            <w:rPr/>
          </w:pPr>
          <w:hyperlink w:anchor="__RefHeading___Toc11572712_2142443653">
            <w:r>
              <w:rPr>
                <w:webHidden/>
                <w:rStyle w:val="IndexLink"/>
                <w:rtl w:val="true"/>
              </w:rPr>
              <w:t>الاحتمال الثاني</w:t>
            </w:r>
            <w:r>
              <w:rPr>
                <w:rStyle w:val="IndexLink"/>
                <w:rtl w:val="true"/>
              </w:rPr>
              <w:t xml:space="preserve">: </w:t>
            </w:r>
            <w:r>
              <w:rPr>
                <w:rStyle w:val="IndexLink"/>
                <w:rtl w:val="true"/>
              </w:rPr>
              <w:t>جواز النظر إلى ما جرت عادتهن من كشفه</w:t>
            </w:r>
            <w:r>
              <w:rPr>
                <w:rStyle w:val="IndexLink"/>
                <w:rtl w:val="true"/>
              </w:rPr>
              <w:tab/>
            </w:r>
            <w:r>
              <w:rPr>
                <w:rStyle w:val="IndexLink"/>
              </w:rPr>
              <w:t>99</w:t>
            </w:r>
          </w:hyperlink>
        </w:p>
        <w:p>
          <w:pPr>
            <w:pStyle w:val="Contents6"/>
            <w:tabs>
              <w:tab w:val="clear" w:pos="7609"/>
              <w:tab w:val="right" w:pos="9026" w:leader="dot"/>
            </w:tabs>
            <w:rPr/>
          </w:pPr>
          <w:hyperlink w:anchor="__RefHeading___Toc11572714_2142443653">
            <w:r>
              <w:rPr>
                <w:webHidden/>
                <w:rStyle w:val="IndexLink"/>
                <w:rtl w:val="true"/>
              </w:rPr>
              <w:t>الاحتمال الثالث</w:t>
            </w:r>
            <w:r>
              <w:rPr>
                <w:rStyle w:val="IndexLink"/>
                <w:rtl w:val="true"/>
              </w:rPr>
              <w:t xml:space="preserve">: </w:t>
            </w:r>
            <w:r>
              <w:rPr>
                <w:rStyle w:val="IndexLink"/>
                <w:rtl w:val="true"/>
              </w:rPr>
              <w:t xml:space="preserve">جواز النظر إلى ما كانت عادتهن على عدم ستره زمن النبي </w:t>
            </w:r>
            <w:r>
              <w:rPr>
                <w:rStyle w:val="IndexLink"/>
                <w:rtl w:val="true"/>
              </w:rPr>
              <w:t>(</w:t>
            </w:r>
            <w:r>
              <w:rPr>
                <w:rStyle w:val="IndexLink"/>
                <w:rtl w:val="true"/>
              </w:rPr>
              <w:t>صلی اللّه عليه وآله وسلم</w:t>
            </w:r>
            <w:r>
              <w:rPr>
                <w:rStyle w:val="IndexLink"/>
                <w:rtl w:val="true"/>
              </w:rPr>
              <w:t>)</w:t>
              <w:tab/>
            </w:r>
            <w:r>
              <w:rPr>
                <w:rStyle w:val="IndexLink"/>
              </w:rPr>
              <w:t>99</w:t>
            </w:r>
          </w:hyperlink>
        </w:p>
        <w:p>
          <w:pPr>
            <w:pStyle w:val="Contents6"/>
            <w:tabs>
              <w:tab w:val="clear" w:pos="7609"/>
              <w:tab w:val="right" w:pos="9026" w:leader="dot"/>
            </w:tabs>
            <w:rPr/>
          </w:pPr>
          <w:hyperlink w:anchor="__RefHeading___Toc11572716_2142443653">
            <w:r>
              <w:rPr>
                <w:webHidden/>
                <w:rStyle w:val="IndexLink"/>
                <w:rtl w:val="true"/>
              </w:rPr>
              <w:t>الاحتمال الرابع</w:t>
            </w:r>
            <w:r>
              <w:rPr>
                <w:rStyle w:val="IndexLink"/>
                <w:rtl w:val="true"/>
              </w:rPr>
              <w:t xml:space="preserve">: </w:t>
            </w:r>
            <w:r>
              <w:rPr>
                <w:rStyle w:val="IndexLink"/>
                <w:rtl w:val="true"/>
              </w:rPr>
              <w:t xml:space="preserve">ما ذكره السيد الوالد </w:t>
            </w:r>
            <w:r>
              <w:rPr>
                <w:rStyle w:val="IndexLink"/>
                <w:rtl w:val="true"/>
              </w:rPr>
              <w:t>(</w:t>
            </w:r>
            <w:r>
              <w:rPr>
                <w:rStyle w:val="IndexLink"/>
                <w:rtl w:val="true"/>
              </w:rPr>
              <w:t>رحمه اللّه</w:t>
            </w:r>
            <w:r>
              <w:rPr>
                <w:rStyle w:val="IndexLink"/>
                <w:rtl w:val="true"/>
              </w:rPr>
              <w:t>)</w:t>
              <w:tab/>
            </w:r>
            <w:r>
              <w:rPr>
                <w:rStyle w:val="IndexLink"/>
              </w:rPr>
              <w:t>101</w:t>
            </w:r>
          </w:hyperlink>
        </w:p>
        <w:p>
          <w:pPr>
            <w:pStyle w:val="Contents6"/>
            <w:tabs>
              <w:tab w:val="clear" w:pos="7609"/>
              <w:tab w:val="right" w:pos="9026" w:leader="dot"/>
            </w:tabs>
            <w:rPr/>
          </w:pPr>
          <w:hyperlink w:anchor="__RefHeading___Toc11572718_2142443653">
            <w:r>
              <w:rPr>
                <w:webHidden/>
                <w:rStyle w:val="IndexLink"/>
                <w:rtl w:val="true"/>
              </w:rPr>
              <w:t>الاحتمال الخامس</w:t>
            </w:r>
            <w:r>
              <w:rPr>
                <w:rStyle w:val="IndexLink"/>
                <w:rtl w:val="true"/>
              </w:rPr>
              <w:t xml:space="preserve">: </w:t>
            </w:r>
            <w:r>
              <w:rPr>
                <w:rStyle w:val="IndexLink"/>
                <w:rtl w:val="true"/>
              </w:rPr>
              <w:t>لزوم الاقتصار على خصوص الشعور والأيدي</w:t>
            </w:r>
            <w:r>
              <w:rPr>
                <w:rStyle w:val="IndexLink"/>
                <w:rtl w:val="true"/>
              </w:rPr>
              <w:tab/>
            </w:r>
            <w:r>
              <w:rPr>
                <w:rStyle w:val="IndexLink"/>
              </w:rPr>
              <w:t>101</w:t>
            </w:r>
          </w:hyperlink>
        </w:p>
        <w:p>
          <w:pPr>
            <w:pStyle w:val="Contents5"/>
            <w:tabs>
              <w:tab w:val="clear" w:pos="7892"/>
              <w:tab w:val="right" w:pos="9026" w:leader="dot"/>
            </w:tabs>
            <w:rPr/>
          </w:pPr>
          <w:hyperlink w:anchor="__RefHeading___Toc11572720_2142443653">
            <w:r>
              <w:rPr>
                <w:webHidden/>
                <w:rStyle w:val="IndexLink"/>
                <w:rtl w:val="true"/>
              </w:rPr>
              <w:t>الفرع الرابع</w:t>
            </w:r>
            <w:r>
              <w:rPr>
                <w:rStyle w:val="IndexLink"/>
                <w:rtl w:val="true"/>
              </w:rPr>
              <w:t xml:space="preserve">: </w:t>
            </w:r>
            <w:r>
              <w:rPr>
                <w:rStyle w:val="IndexLink"/>
                <w:rtl w:val="true"/>
              </w:rPr>
              <w:t>عدم الفرق بين عدم الستر مطلقاً أو مقيداً</w:t>
            </w:r>
            <w:r>
              <w:rPr>
                <w:rStyle w:val="IndexLink"/>
                <w:rtl w:val="true"/>
              </w:rPr>
              <w:tab/>
            </w:r>
            <w:r>
              <w:rPr>
                <w:rStyle w:val="IndexLink"/>
              </w:rPr>
              <w:t>102</w:t>
            </w:r>
          </w:hyperlink>
        </w:p>
        <w:p>
          <w:pPr>
            <w:pStyle w:val="Contents5"/>
            <w:tabs>
              <w:tab w:val="clear" w:pos="7892"/>
              <w:tab w:val="right" w:pos="9026" w:leader="dot"/>
            </w:tabs>
            <w:rPr/>
          </w:pPr>
          <w:hyperlink w:anchor="__RefHeading___Toc11572722_2142443653">
            <w:r>
              <w:rPr>
                <w:webHidden/>
                <w:rStyle w:val="IndexLink"/>
                <w:rtl w:val="true"/>
              </w:rPr>
              <w:t>الفرع الخامس</w:t>
            </w:r>
            <w:r>
              <w:rPr>
                <w:rStyle w:val="IndexLink"/>
                <w:rtl w:val="true"/>
              </w:rPr>
              <w:t xml:space="preserve">: </w:t>
            </w:r>
            <w:r>
              <w:rPr>
                <w:rStyle w:val="IndexLink"/>
                <w:rtl w:val="true"/>
              </w:rPr>
              <w:t>في شروط جواز النظر</w:t>
            </w:r>
            <w:r>
              <w:rPr>
                <w:rStyle w:val="IndexLink"/>
                <w:rtl w:val="true"/>
              </w:rPr>
              <w:tab/>
            </w:r>
            <w:r>
              <w:rPr>
                <w:rStyle w:val="IndexLink"/>
              </w:rPr>
              <w:t>102</w:t>
            </w:r>
          </w:hyperlink>
        </w:p>
        <w:p>
          <w:pPr>
            <w:pStyle w:val="Contents6"/>
            <w:tabs>
              <w:tab w:val="clear" w:pos="7609"/>
              <w:tab w:val="right" w:pos="9026" w:leader="dot"/>
            </w:tabs>
            <w:rPr/>
          </w:pPr>
          <w:hyperlink w:anchor="__RefHeading___Toc11572724_2142443653">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1572726_2142443653">
            <w:r>
              <w:rPr>
                <w:webHidden/>
                <w:rStyle w:val="IndexLink"/>
                <w:rtl w:val="true"/>
              </w:rPr>
              <w:t>الشرط الأول</w:t>
            </w:r>
            <w:r>
              <w:rPr>
                <w:rStyle w:val="IndexLink"/>
                <w:rtl w:val="true"/>
              </w:rPr>
              <w:t xml:space="preserve">: </w:t>
            </w:r>
            <w:r>
              <w:rPr>
                <w:rStyle w:val="IndexLink"/>
                <w:rtl w:val="true"/>
              </w:rPr>
              <w:t>عدم اللذة</w:t>
            </w:r>
            <w:r>
              <w:rPr>
                <w:rStyle w:val="IndexLink"/>
                <w:rtl w:val="true"/>
              </w:rPr>
              <w:tab/>
            </w:r>
            <w:r>
              <w:rPr>
                <w:rStyle w:val="IndexLink"/>
              </w:rPr>
              <w:t>102</w:t>
            </w:r>
          </w:hyperlink>
        </w:p>
        <w:p>
          <w:pPr>
            <w:pStyle w:val="Contents6"/>
            <w:tabs>
              <w:tab w:val="clear" w:pos="7609"/>
              <w:tab w:val="right" w:pos="9026" w:leader="dot"/>
            </w:tabs>
            <w:rPr/>
          </w:pPr>
          <w:hyperlink w:anchor="__RefHeading___Toc11572728_2142443653">
            <w:r>
              <w:rPr>
                <w:webHidden/>
                <w:rStyle w:val="IndexLink"/>
                <w:rtl w:val="true"/>
              </w:rPr>
              <w:t>الشرط الثاني</w:t>
            </w:r>
            <w:r>
              <w:rPr>
                <w:rStyle w:val="IndexLink"/>
                <w:rtl w:val="true"/>
              </w:rPr>
              <w:t xml:space="preserve">: </w:t>
            </w:r>
            <w:r>
              <w:rPr>
                <w:rStyle w:val="IndexLink"/>
                <w:rtl w:val="true"/>
              </w:rPr>
              <w:t>عدم خوف الوقوع في الحرام</w:t>
            </w:r>
            <w:r>
              <w:rPr>
                <w:rStyle w:val="IndexLink"/>
                <w:rtl w:val="true"/>
              </w:rPr>
              <w:tab/>
            </w:r>
            <w:r>
              <w:rPr>
                <w:rStyle w:val="IndexLink"/>
              </w:rPr>
              <w:t>108</w:t>
            </w:r>
          </w:hyperlink>
        </w:p>
        <w:p>
          <w:pPr>
            <w:pStyle w:val="Contents6"/>
            <w:tabs>
              <w:tab w:val="clear" w:pos="7609"/>
              <w:tab w:val="right" w:pos="9026" w:leader="dot"/>
            </w:tabs>
            <w:rPr/>
          </w:pPr>
          <w:hyperlink w:anchor="__RefHeading___Toc11572730_2142443653">
            <w:r>
              <w:rPr>
                <w:webHidden/>
                <w:rStyle w:val="IndexLink"/>
                <w:rtl w:val="true"/>
              </w:rPr>
              <w:t>الشرط الثالث</w:t>
            </w:r>
            <w:r>
              <w:rPr>
                <w:rStyle w:val="IndexLink"/>
                <w:rtl w:val="true"/>
              </w:rPr>
              <w:t xml:space="preserve">: </w:t>
            </w:r>
            <w:r>
              <w:rPr>
                <w:rStyle w:val="IndexLink"/>
                <w:rtl w:val="true"/>
              </w:rPr>
              <w:t>عدم الريبة</w:t>
            </w:r>
            <w:r>
              <w:rPr>
                <w:rStyle w:val="IndexLink"/>
                <w:rtl w:val="true"/>
              </w:rPr>
              <w:tab/>
            </w:r>
            <w:r>
              <w:rPr>
                <w:rStyle w:val="IndexLink"/>
              </w:rPr>
              <w:t>112</w:t>
            </w:r>
          </w:hyperlink>
        </w:p>
        <w:p>
          <w:pPr>
            <w:pStyle w:val="Contents6"/>
            <w:tabs>
              <w:tab w:val="clear" w:pos="7609"/>
              <w:tab w:val="right" w:pos="9026" w:leader="dot"/>
            </w:tabs>
            <w:rPr/>
          </w:pPr>
          <w:hyperlink w:anchor="__RefHeading___Toc11572732_2142443653">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1572734_2142443653">
            <w:r>
              <w:rPr>
                <w:webHidden/>
                <w:rStyle w:val="IndexLink"/>
                <w:rtl w:val="true"/>
              </w:rPr>
              <w:t>المقام الأول</w:t>
            </w:r>
            <w:r>
              <w:rPr>
                <w:rStyle w:val="IndexLink"/>
                <w:rtl w:val="true"/>
              </w:rPr>
              <w:t xml:space="preserve">: </w:t>
            </w:r>
            <w:r>
              <w:rPr>
                <w:rStyle w:val="IndexLink"/>
                <w:rtl w:val="true"/>
              </w:rPr>
              <w:t>في معنى الريبة</w:t>
            </w:r>
            <w:r>
              <w:rPr>
                <w:rStyle w:val="IndexLink"/>
                <w:rtl w:val="true"/>
              </w:rPr>
              <w:tab/>
            </w:r>
            <w:r>
              <w:rPr>
                <w:rStyle w:val="IndexLink"/>
              </w:rPr>
              <w:t>113</w:t>
            </w:r>
          </w:hyperlink>
        </w:p>
        <w:p>
          <w:pPr>
            <w:pStyle w:val="Contents6"/>
            <w:tabs>
              <w:tab w:val="clear" w:pos="7609"/>
              <w:tab w:val="right" w:pos="9026" w:leader="dot"/>
            </w:tabs>
            <w:rPr/>
          </w:pPr>
          <w:hyperlink w:anchor="__RefHeading___Toc11572736_2142443653">
            <w:r>
              <w:rPr>
                <w:webHidden/>
                <w:rStyle w:val="IndexLink"/>
                <w:rtl w:val="true"/>
              </w:rPr>
              <w:t>المقام الثاني</w:t>
            </w:r>
            <w:r>
              <w:rPr>
                <w:rStyle w:val="IndexLink"/>
                <w:rtl w:val="true"/>
              </w:rPr>
              <w:t xml:space="preserve">: </w:t>
            </w:r>
            <w:r>
              <w:rPr>
                <w:rStyle w:val="IndexLink"/>
                <w:rtl w:val="true"/>
              </w:rPr>
              <w:t>في الدليل على حرمة النظر بريبة</w:t>
            </w:r>
            <w:r>
              <w:rPr>
                <w:rStyle w:val="IndexLink"/>
                <w:rtl w:val="true"/>
              </w:rPr>
              <w:tab/>
            </w:r>
            <w:r>
              <w:rPr>
                <w:rStyle w:val="IndexLink"/>
              </w:rPr>
              <w:t>115</w:t>
            </w:r>
          </w:hyperlink>
        </w:p>
        <w:p>
          <w:pPr>
            <w:pStyle w:val="Contents5"/>
            <w:tabs>
              <w:tab w:val="clear" w:pos="7892"/>
              <w:tab w:val="right" w:pos="9026" w:leader="dot"/>
            </w:tabs>
            <w:rPr/>
          </w:pPr>
          <w:hyperlink w:anchor="__RefHeading___Toc11572738_2142443653">
            <w:r>
              <w:rPr>
                <w:webHidden/>
                <w:rStyle w:val="IndexLink"/>
                <w:rtl w:val="true"/>
              </w:rPr>
              <w:t>الفرع السادس</w:t>
            </w:r>
            <w:r>
              <w:rPr>
                <w:rStyle w:val="IndexLink"/>
                <w:rtl w:val="true"/>
              </w:rPr>
              <w:t xml:space="preserve">: </w:t>
            </w:r>
            <w:r>
              <w:rPr>
                <w:rStyle w:val="IndexLink"/>
                <w:rtl w:val="true"/>
              </w:rPr>
              <w:t>في حكم الالتذاذ غير الشهوي</w:t>
            </w:r>
            <w:r>
              <w:rPr>
                <w:rStyle w:val="IndexLink"/>
                <w:rtl w:val="true"/>
              </w:rPr>
              <w:tab/>
            </w:r>
            <w:r>
              <w:rPr>
                <w:rStyle w:val="IndexLink"/>
              </w:rPr>
              <w:t>118</w:t>
            </w:r>
          </w:hyperlink>
        </w:p>
        <w:p>
          <w:pPr>
            <w:pStyle w:val="Contents5"/>
            <w:tabs>
              <w:tab w:val="clear" w:pos="7892"/>
              <w:tab w:val="right" w:pos="9026" w:leader="dot"/>
            </w:tabs>
            <w:rPr/>
          </w:pPr>
          <w:hyperlink w:anchor="__RefHeading___Toc11572740_2142443653">
            <w:r>
              <w:rPr>
                <w:webHidden/>
                <w:rStyle w:val="IndexLink"/>
                <w:rtl w:val="true"/>
              </w:rPr>
              <w:t>الفرع السابع</w:t>
            </w:r>
            <w:r>
              <w:rPr>
                <w:rStyle w:val="IndexLink"/>
                <w:rtl w:val="true"/>
              </w:rPr>
              <w:t xml:space="preserve">: </w:t>
            </w:r>
            <w:r>
              <w:rPr>
                <w:rStyle w:val="IndexLink"/>
                <w:rtl w:val="true"/>
              </w:rPr>
              <w:t>أنواع الالتذاذ المحرم</w:t>
            </w:r>
            <w:r>
              <w:rPr>
                <w:rStyle w:val="IndexLink"/>
                <w:rtl w:val="true"/>
              </w:rPr>
              <w:tab/>
            </w:r>
            <w:r>
              <w:rPr>
                <w:rStyle w:val="IndexLink"/>
              </w:rPr>
              <w:t>121</w:t>
            </w:r>
          </w:hyperlink>
        </w:p>
        <w:p>
          <w:pPr>
            <w:pStyle w:val="Contents5"/>
            <w:tabs>
              <w:tab w:val="clear" w:pos="7892"/>
              <w:tab w:val="right" w:pos="9026" w:leader="dot"/>
            </w:tabs>
            <w:rPr/>
          </w:pPr>
          <w:hyperlink w:anchor="__RefHeading___Toc11572742_2142443653">
            <w:r>
              <w:rPr>
                <w:webHidden/>
                <w:rStyle w:val="IndexLink"/>
                <w:rtl w:val="true"/>
              </w:rPr>
              <w:t>الفرع الثامن</w:t>
            </w:r>
            <w:r>
              <w:rPr>
                <w:rStyle w:val="IndexLink"/>
                <w:rtl w:val="true"/>
              </w:rPr>
              <w:t xml:space="preserve">: </w:t>
            </w:r>
            <w:r>
              <w:rPr>
                <w:rStyle w:val="IndexLink"/>
                <w:rtl w:val="true"/>
              </w:rPr>
              <w:t>منشأ الوقوع بالحرام بسبب النظر</w:t>
            </w:r>
            <w:r>
              <w:rPr>
                <w:rStyle w:val="IndexLink"/>
                <w:rtl w:val="true"/>
              </w:rPr>
              <w:tab/>
            </w:r>
            <w:r>
              <w:rPr>
                <w:rStyle w:val="IndexLink"/>
              </w:rPr>
              <w:t>122</w:t>
            </w:r>
          </w:hyperlink>
        </w:p>
        <w:p>
          <w:pPr>
            <w:pStyle w:val="Contents5"/>
            <w:tabs>
              <w:tab w:val="clear" w:pos="7892"/>
              <w:tab w:val="right" w:pos="9026" w:leader="dot"/>
            </w:tabs>
            <w:rPr/>
          </w:pPr>
          <w:hyperlink w:anchor="__RefHeading___Toc11572744_2142443653">
            <w:r>
              <w:rPr>
                <w:webHidden/>
                <w:rStyle w:val="IndexLink"/>
                <w:rtl w:val="true"/>
              </w:rPr>
              <w:t>الفرع التاسع</w:t>
            </w:r>
            <w:r>
              <w:rPr>
                <w:rStyle w:val="IndexLink"/>
                <w:rtl w:val="true"/>
              </w:rPr>
              <w:t xml:space="preserve">: </w:t>
            </w:r>
            <w:r>
              <w:rPr>
                <w:rStyle w:val="IndexLink"/>
                <w:rtl w:val="true"/>
              </w:rPr>
              <w:t>في المراد بالنهي في قوله</w:t>
            </w:r>
            <w:r>
              <w:rPr>
                <w:rStyle w:val="IndexLink"/>
                <w:rtl w:val="true"/>
              </w:rPr>
              <w:t xml:space="preserve">: </w:t>
            </w:r>
            <w:r>
              <w:rPr>
                <w:rStyle w:val="IndexLink"/>
                <w:rtl w:val="true"/>
              </w:rPr>
              <w:t>إذا نهين لا ينتهين</w:t>
            </w:r>
            <w:r>
              <w:rPr>
                <w:rStyle w:val="IndexLink"/>
                <w:rtl w:val="true"/>
              </w:rPr>
              <w:tab/>
            </w:r>
            <w:r>
              <w:rPr>
                <w:rStyle w:val="IndexLink"/>
              </w:rPr>
              <w:t>123</w:t>
            </w:r>
          </w:hyperlink>
        </w:p>
        <w:p>
          <w:pPr>
            <w:pStyle w:val="Contents5"/>
            <w:tabs>
              <w:tab w:val="clear" w:pos="7892"/>
              <w:tab w:val="right" w:pos="9026" w:leader="dot"/>
            </w:tabs>
            <w:rPr/>
          </w:pPr>
          <w:hyperlink w:anchor="__RefHeading___Toc11572746_2142443653">
            <w:r>
              <w:rPr>
                <w:webHidden/>
                <w:rStyle w:val="IndexLink"/>
                <w:rtl w:val="true"/>
              </w:rPr>
              <w:t>الفرع العاشر</w:t>
            </w:r>
            <w:r>
              <w:rPr>
                <w:rStyle w:val="IndexLink"/>
                <w:rtl w:val="true"/>
              </w:rPr>
              <w:t xml:space="preserve">: </w:t>
            </w:r>
            <w:r>
              <w:rPr>
                <w:rStyle w:val="IndexLink"/>
                <w:rtl w:val="true"/>
              </w:rPr>
              <w:t>في حكم النظر إلى الفرق المحكوم بكفرهم</w:t>
            </w:r>
            <w:r>
              <w:rPr>
                <w:rStyle w:val="IndexLink"/>
                <w:rtl w:val="true"/>
              </w:rPr>
              <w:tab/>
            </w:r>
            <w:r>
              <w:rPr>
                <w:rStyle w:val="IndexLink"/>
              </w:rPr>
              <w:t>124</w:t>
            </w:r>
          </w:hyperlink>
        </w:p>
        <w:p>
          <w:pPr>
            <w:pStyle w:val="Contents5"/>
            <w:tabs>
              <w:tab w:val="clear" w:pos="7892"/>
              <w:tab w:val="right" w:pos="9026" w:leader="dot"/>
            </w:tabs>
            <w:rPr/>
          </w:pPr>
          <w:hyperlink w:anchor="__RefHeading___Toc11572748_2142443653">
            <w:r>
              <w:rPr>
                <w:webHidden/>
                <w:rStyle w:val="IndexLink"/>
                <w:rtl w:val="true"/>
              </w:rPr>
              <w:t>الفرع الحادي عشر</w:t>
            </w:r>
            <w:r>
              <w:rPr>
                <w:rStyle w:val="IndexLink"/>
                <w:rtl w:val="true"/>
              </w:rPr>
              <w:t xml:space="preserve">: </w:t>
            </w:r>
            <w:r>
              <w:rPr>
                <w:rStyle w:val="IndexLink"/>
                <w:rtl w:val="true"/>
              </w:rPr>
              <w:t>في حكم النظر إلى المرتد والمرتدة</w:t>
            </w:r>
            <w:r>
              <w:rPr>
                <w:rStyle w:val="IndexLink"/>
                <w:rtl w:val="true"/>
              </w:rPr>
              <w:tab/>
            </w:r>
            <w:r>
              <w:rPr>
                <w:rStyle w:val="IndexLink"/>
              </w:rPr>
              <w:t>125</w:t>
            </w:r>
          </w:hyperlink>
        </w:p>
        <w:p>
          <w:pPr>
            <w:pStyle w:val="Contents5"/>
            <w:tabs>
              <w:tab w:val="clear" w:pos="7892"/>
              <w:tab w:val="right" w:pos="9026" w:leader="dot"/>
            </w:tabs>
            <w:rPr/>
          </w:pPr>
          <w:hyperlink w:anchor="__RefHeading___Toc11572750_2142443653">
            <w:r>
              <w:rPr>
                <w:webHidden/>
                <w:rStyle w:val="IndexLink"/>
                <w:rtl w:val="true"/>
              </w:rPr>
              <w:t>الفرع الثاني عشر</w:t>
            </w:r>
            <w:r>
              <w:rPr>
                <w:rStyle w:val="IndexLink"/>
                <w:rtl w:val="true"/>
              </w:rPr>
              <w:t xml:space="preserve">: </w:t>
            </w:r>
            <w:r>
              <w:rPr>
                <w:rStyle w:val="IndexLink"/>
                <w:rtl w:val="true"/>
              </w:rPr>
              <w:t>في حكم نظر المسلمة للكافر</w:t>
            </w:r>
            <w:r>
              <w:rPr>
                <w:rStyle w:val="IndexLink"/>
                <w:rtl w:val="true"/>
              </w:rPr>
              <w:tab/>
            </w:r>
            <w:r>
              <w:rPr>
                <w:rStyle w:val="IndexLink"/>
              </w:rPr>
              <w:t>125</w:t>
            </w:r>
          </w:hyperlink>
        </w:p>
        <w:p>
          <w:pPr>
            <w:pStyle w:val="Contents5"/>
            <w:tabs>
              <w:tab w:val="clear" w:pos="7892"/>
              <w:tab w:val="right" w:pos="9026" w:leader="dot"/>
            </w:tabs>
            <w:rPr/>
          </w:pPr>
          <w:hyperlink w:anchor="__RefHeading___Toc11572752_2142443653">
            <w:r>
              <w:rPr>
                <w:webHidden/>
                <w:rStyle w:val="IndexLink"/>
                <w:rtl w:val="true"/>
              </w:rPr>
              <w:t>الفرع الثالث عشر</w:t>
            </w:r>
            <w:r>
              <w:rPr>
                <w:rStyle w:val="IndexLink"/>
                <w:rtl w:val="true"/>
              </w:rPr>
              <w:t xml:space="preserve">: </w:t>
            </w:r>
            <w:r>
              <w:rPr>
                <w:rStyle w:val="IndexLink"/>
                <w:rtl w:val="true"/>
              </w:rPr>
              <w:t>في حكم النظر إلى الصور التلفزيونية والفوتوغرافية ونحوها</w:t>
            </w:r>
            <w:r>
              <w:rPr>
                <w:rStyle w:val="IndexLink"/>
                <w:rtl w:val="true"/>
              </w:rPr>
              <w:tab/>
            </w:r>
            <w:r>
              <w:rPr>
                <w:rStyle w:val="IndexLink"/>
              </w:rPr>
              <w:t>126</w:t>
            </w:r>
          </w:hyperlink>
        </w:p>
        <w:p>
          <w:pPr>
            <w:pStyle w:val="Contents6"/>
            <w:tabs>
              <w:tab w:val="clear" w:pos="7609"/>
              <w:tab w:val="right" w:pos="9026" w:leader="dot"/>
            </w:tabs>
            <w:rPr/>
          </w:pPr>
          <w:hyperlink w:anchor="__RefHeading___Toc11572754_2142443653">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1572756_2142443653">
            <w:r>
              <w:rPr>
                <w:webHidden/>
                <w:rStyle w:val="IndexLink"/>
                <w:rtl w:val="true"/>
              </w:rPr>
              <w:t>القول الأول</w:t>
            </w:r>
            <w:r>
              <w:rPr>
                <w:rStyle w:val="IndexLink"/>
                <w:rtl w:val="true"/>
              </w:rPr>
              <w:t xml:space="preserve">: </w:t>
            </w:r>
            <w:r>
              <w:rPr>
                <w:rStyle w:val="IndexLink"/>
                <w:rtl w:val="true"/>
              </w:rPr>
              <w:t>حرمة النظر إلى الصور التلفزيونية والفوتوغرافية</w:t>
            </w:r>
            <w:r>
              <w:rPr>
                <w:rStyle w:val="IndexLink"/>
                <w:rtl w:val="true"/>
              </w:rPr>
              <w:tab/>
            </w:r>
            <w:r>
              <w:rPr>
                <w:rStyle w:val="IndexLink"/>
              </w:rPr>
              <w:t>126</w:t>
            </w:r>
          </w:hyperlink>
        </w:p>
        <w:p>
          <w:pPr>
            <w:pStyle w:val="Contents6"/>
            <w:tabs>
              <w:tab w:val="clear" w:pos="7609"/>
              <w:tab w:val="right" w:pos="9026" w:leader="dot"/>
            </w:tabs>
            <w:rPr/>
          </w:pPr>
          <w:hyperlink w:anchor="__RefHeading___Toc11572758_2142443653">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1572760_2142443653">
            <w:r>
              <w:rPr>
                <w:webHidden/>
                <w:rStyle w:val="IndexLink"/>
                <w:rtl w:val="true"/>
              </w:rPr>
              <w:t>الدليل الأول</w:t>
            </w:r>
            <w:r>
              <w:rPr>
                <w:rStyle w:val="IndexLink"/>
                <w:rtl w:val="true"/>
              </w:rPr>
              <w:t xml:space="preserve">: </w:t>
            </w:r>
            <w:r>
              <w:rPr>
                <w:rStyle w:val="IndexLink"/>
                <w:rtl w:val="true"/>
              </w:rPr>
              <w:t>آية الغض</w:t>
            </w:r>
            <w:r>
              <w:rPr>
                <w:rStyle w:val="IndexLink"/>
                <w:rtl w:val="true"/>
              </w:rPr>
              <w:tab/>
            </w:r>
            <w:r>
              <w:rPr>
                <w:rStyle w:val="IndexLink"/>
              </w:rPr>
              <w:t>126</w:t>
            </w:r>
          </w:hyperlink>
        </w:p>
        <w:p>
          <w:pPr>
            <w:pStyle w:val="Contents6"/>
            <w:tabs>
              <w:tab w:val="clear" w:pos="7609"/>
              <w:tab w:val="right" w:pos="9026" w:leader="dot"/>
            </w:tabs>
            <w:rPr/>
          </w:pPr>
          <w:hyperlink w:anchor="__RefHeading___Toc11572762_2142443653">
            <w:r>
              <w:rPr>
                <w:webHidden/>
                <w:rStyle w:val="IndexLink"/>
                <w:rtl w:val="true"/>
              </w:rPr>
              <w:t>الدليل الثاني</w:t>
            </w:r>
            <w:r>
              <w:rPr>
                <w:rStyle w:val="IndexLink"/>
                <w:rtl w:val="true"/>
              </w:rPr>
              <w:t xml:space="preserve">: </w:t>
            </w:r>
            <w:r>
              <w:rPr>
                <w:rStyle w:val="IndexLink"/>
                <w:rtl w:val="true"/>
              </w:rPr>
              <w:t>شمول الأدلة الناهية عن النظر للمرأة للنظر إلى صورتها</w:t>
            </w:r>
            <w:r>
              <w:rPr>
                <w:rStyle w:val="IndexLink"/>
                <w:rtl w:val="true"/>
              </w:rPr>
              <w:tab/>
            </w:r>
            <w:r>
              <w:rPr>
                <w:rStyle w:val="IndexLink"/>
              </w:rPr>
              <w:t>128</w:t>
            </w:r>
          </w:hyperlink>
        </w:p>
        <w:p>
          <w:pPr>
            <w:pStyle w:val="Contents6"/>
            <w:tabs>
              <w:tab w:val="clear" w:pos="7609"/>
              <w:tab w:val="right" w:pos="9026" w:leader="dot"/>
            </w:tabs>
            <w:rPr/>
          </w:pPr>
          <w:hyperlink w:anchor="__RefHeading___Toc11572764_2142443653">
            <w:r>
              <w:rPr>
                <w:webHidden/>
                <w:rStyle w:val="IndexLink"/>
                <w:rtl w:val="true"/>
              </w:rPr>
              <w:t>الدليل الثالث</w:t>
            </w:r>
            <w:r>
              <w:rPr>
                <w:rStyle w:val="IndexLink"/>
                <w:rtl w:val="true"/>
              </w:rPr>
              <w:t xml:space="preserve">: </w:t>
            </w:r>
            <w:r>
              <w:rPr>
                <w:rStyle w:val="IndexLink"/>
                <w:rtl w:val="true"/>
              </w:rPr>
              <w:t>وحدة المناط</w:t>
            </w:r>
            <w:r>
              <w:rPr>
                <w:rStyle w:val="IndexLink"/>
                <w:rtl w:val="true"/>
              </w:rPr>
              <w:tab/>
            </w:r>
            <w:r>
              <w:rPr>
                <w:rStyle w:val="IndexLink"/>
              </w:rPr>
              <w:t>128</w:t>
            </w:r>
          </w:hyperlink>
        </w:p>
        <w:p>
          <w:pPr>
            <w:pStyle w:val="Contents6"/>
            <w:tabs>
              <w:tab w:val="clear" w:pos="7609"/>
              <w:tab w:val="right" w:pos="9026" w:leader="dot"/>
            </w:tabs>
            <w:rPr/>
          </w:pPr>
          <w:hyperlink w:anchor="__RefHeading___Toc11572766_2142443653">
            <w:r>
              <w:rPr>
                <w:webHidden/>
                <w:rStyle w:val="IndexLink"/>
                <w:rtl w:val="true"/>
              </w:rPr>
              <w:t>الدليل الرابع</w:t>
            </w:r>
            <w:r>
              <w:rPr>
                <w:rStyle w:val="IndexLink"/>
                <w:rtl w:val="true"/>
              </w:rPr>
              <w:t xml:space="preserve">: </w:t>
            </w:r>
            <w:r>
              <w:rPr>
                <w:rStyle w:val="IndexLink"/>
                <w:rtl w:val="true"/>
              </w:rPr>
              <w:t>عدم الفرق بين النظر إلى المرأة وإلى صورتها</w:t>
            </w:r>
            <w:r>
              <w:rPr>
                <w:rStyle w:val="IndexLink"/>
                <w:rtl w:val="true"/>
              </w:rPr>
              <w:tab/>
            </w:r>
            <w:r>
              <w:rPr>
                <w:rStyle w:val="IndexLink"/>
              </w:rPr>
              <w:t>132</w:t>
            </w:r>
          </w:hyperlink>
        </w:p>
        <w:p>
          <w:pPr>
            <w:pStyle w:val="Contents6"/>
            <w:tabs>
              <w:tab w:val="clear" w:pos="7609"/>
              <w:tab w:val="right" w:pos="9026" w:leader="dot"/>
            </w:tabs>
            <w:rPr/>
          </w:pPr>
          <w:hyperlink w:anchor="__RefHeading___Toc11572768_2142443653">
            <w:r>
              <w:rPr>
                <w:webHidden/>
                <w:rStyle w:val="IndexLink"/>
                <w:rtl w:val="true"/>
              </w:rPr>
              <w:t>القول الثاني</w:t>
            </w:r>
            <w:r>
              <w:rPr>
                <w:rStyle w:val="IndexLink"/>
                <w:rtl w:val="true"/>
              </w:rPr>
              <w:t xml:space="preserve">: </w:t>
            </w:r>
            <w:r>
              <w:rPr>
                <w:rStyle w:val="IndexLink"/>
                <w:rtl w:val="true"/>
              </w:rPr>
              <w:t>التفصيل بين المرأة المعروفة وغيرها</w:t>
            </w:r>
            <w:r>
              <w:rPr>
                <w:rStyle w:val="IndexLink"/>
                <w:rtl w:val="true"/>
              </w:rPr>
              <w:tab/>
            </w:r>
            <w:r>
              <w:rPr>
                <w:rStyle w:val="IndexLink"/>
              </w:rPr>
              <w:t>133</w:t>
            </w:r>
          </w:hyperlink>
        </w:p>
        <w:p>
          <w:pPr>
            <w:pStyle w:val="Contents6"/>
            <w:tabs>
              <w:tab w:val="clear" w:pos="7609"/>
              <w:tab w:val="right" w:pos="9026" w:leader="dot"/>
            </w:tabs>
            <w:rPr/>
          </w:pPr>
          <w:hyperlink w:anchor="__RefHeading___Toc11572770_2142443653">
            <w:r>
              <w:rPr>
                <w:webHidden/>
                <w:rStyle w:val="IndexLink"/>
                <w:rtl w:val="true"/>
              </w:rPr>
              <w:t>القول الثالث</w:t>
            </w:r>
            <w:r>
              <w:rPr>
                <w:rStyle w:val="IndexLink"/>
                <w:rtl w:val="true"/>
              </w:rPr>
              <w:t xml:space="preserve">: </w:t>
            </w:r>
            <w:r>
              <w:rPr>
                <w:rStyle w:val="IndexLink"/>
                <w:rtl w:val="true"/>
              </w:rPr>
              <w:t>التفصيل بين البث المباشر وغيره</w:t>
            </w:r>
            <w:r>
              <w:rPr>
                <w:rStyle w:val="IndexLink"/>
                <w:rtl w:val="true"/>
              </w:rPr>
              <w:tab/>
            </w:r>
            <w:r>
              <w:rPr>
                <w:rStyle w:val="IndexLink"/>
              </w:rPr>
              <w:t>135</w:t>
            </w:r>
          </w:hyperlink>
        </w:p>
        <w:p>
          <w:pPr>
            <w:pStyle w:val="Contents6"/>
            <w:tabs>
              <w:tab w:val="clear" w:pos="7609"/>
              <w:tab w:val="right" w:pos="9026" w:leader="dot"/>
            </w:tabs>
            <w:rPr/>
          </w:pPr>
          <w:hyperlink w:anchor="__RefHeading___Toc11572772_2142443653">
            <w:r>
              <w:rPr>
                <w:webHidden/>
                <w:rStyle w:val="IndexLink"/>
                <w:rtl w:val="true"/>
              </w:rPr>
              <w:t>القول الرابع</w:t>
            </w:r>
            <w:r>
              <w:rPr>
                <w:rStyle w:val="IndexLink"/>
                <w:rtl w:val="true"/>
              </w:rPr>
              <w:t xml:space="preserve">: </w:t>
            </w:r>
            <w:r>
              <w:rPr>
                <w:rStyle w:val="IndexLink"/>
                <w:rtl w:val="true"/>
              </w:rPr>
              <w:t>جواز النظر</w:t>
            </w:r>
            <w:r>
              <w:rPr>
                <w:rStyle w:val="IndexLink"/>
                <w:rtl w:val="true"/>
              </w:rPr>
              <w:tab/>
            </w:r>
            <w:r>
              <w:rPr>
                <w:rStyle w:val="IndexLink"/>
              </w:rPr>
              <w:t>135</w:t>
            </w:r>
          </w:hyperlink>
        </w:p>
        <w:p>
          <w:pPr>
            <w:pStyle w:val="Contents6"/>
            <w:tabs>
              <w:tab w:val="clear" w:pos="7609"/>
              <w:tab w:val="right" w:pos="9026" w:leader="dot"/>
            </w:tabs>
            <w:rPr/>
          </w:pPr>
          <w:hyperlink w:anchor="__RefHeading___Toc11572774_2142443653">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1572776_2142443653">
            <w:r>
              <w:rPr>
                <w:webHidden/>
                <w:rStyle w:val="IndexLink"/>
                <w:rtl w:val="true"/>
              </w:rPr>
              <w:t>صور استثناءات الحكم بجواز النظر</w:t>
            </w:r>
            <w:r>
              <w:rPr>
                <w:rStyle w:val="IndexLink"/>
                <w:rtl w:val="true"/>
              </w:rPr>
              <w:tab/>
            </w:r>
            <w:r>
              <w:rPr>
                <w:rStyle w:val="IndexLink"/>
              </w:rPr>
              <w:t>139</w:t>
            </w:r>
          </w:hyperlink>
        </w:p>
        <w:p>
          <w:pPr>
            <w:pStyle w:val="Contents5"/>
            <w:tabs>
              <w:tab w:val="clear" w:pos="7892"/>
              <w:tab w:val="right" w:pos="9026" w:leader="dot"/>
            </w:tabs>
            <w:rPr/>
          </w:pPr>
          <w:hyperlink w:anchor="__RefHeading___Toc11572778_2142443653">
            <w:r>
              <w:rPr>
                <w:webHidden/>
                <w:rStyle w:val="IndexLink"/>
                <w:rtl w:val="true"/>
              </w:rPr>
              <w:t>الفرع الرابع عشر</w:t>
            </w:r>
            <w:r>
              <w:rPr>
                <w:rStyle w:val="IndexLink"/>
                <w:rtl w:val="true"/>
              </w:rPr>
              <w:t xml:space="preserve">: </w:t>
            </w:r>
            <w:r>
              <w:rPr>
                <w:rStyle w:val="IndexLink"/>
                <w:rtl w:val="true"/>
              </w:rPr>
              <w:t>في حكم لمس الكافرة</w:t>
            </w:r>
            <w:r>
              <w:rPr>
                <w:rStyle w:val="IndexLink"/>
                <w:rtl w:val="true"/>
              </w:rPr>
              <w:tab/>
            </w:r>
            <w:r>
              <w:rPr>
                <w:rStyle w:val="IndexLink"/>
              </w:rPr>
              <w:t>147</w:t>
            </w:r>
          </w:hyperlink>
        </w:p>
        <w:p>
          <w:pPr>
            <w:pStyle w:val="Contents2"/>
            <w:tabs>
              <w:tab w:val="clear" w:pos="8743"/>
              <w:tab w:val="right" w:pos="9026" w:leader="dot"/>
            </w:tabs>
            <w:rPr/>
          </w:pPr>
          <w:hyperlink w:anchor="__RefHeading___Toc11572780_2142443653">
            <w:r>
              <w:rPr>
                <w:webHidden/>
                <w:rStyle w:val="IndexLink"/>
                <w:rtl w:val="true"/>
              </w:rPr>
              <w:t xml:space="preserve">المسألة الثالثة </w:t>
            </w:r>
            <w:r>
              <w:rPr>
                <w:rStyle w:val="IndexLink"/>
                <w:rtl w:val="true"/>
              </w:rPr>
              <w:t xml:space="preserve">: </w:t>
            </w:r>
            <w:r>
              <w:rPr>
                <w:rStyle w:val="IndexLink"/>
                <w:rtl w:val="true"/>
              </w:rPr>
              <w:t>النظر إلى الوجه والكفين من المسلمات</w:t>
            </w:r>
            <w:r>
              <w:rPr>
                <w:rStyle w:val="IndexLink"/>
                <w:rtl w:val="true"/>
              </w:rPr>
              <w:tab/>
            </w:r>
            <w:r>
              <w:rPr>
                <w:rStyle w:val="IndexLink"/>
              </w:rPr>
              <w:t>150</w:t>
            </w:r>
          </w:hyperlink>
        </w:p>
        <w:p>
          <w:pPr>
            <w:pStyle w:val="Contents3"/>
            <w:tabs>
              <w:tab w:val="clear" w:pos="8459"/>
              <w:tab w:val="right" w:pos="9026" w:leader="dot"/>
            </w:tabs>
            <w:rPr/>
          </w:pPr>
          <w:hyperlink w:anchor="__RefHeading___Toc11572782_2142443653">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11572784_2142443653">
            <w:r>
              <w:rPr>
                <w:webHidden/>
                <w:rStyle w:val="IndexLink"/>
                <w:rtl w:val="true"/>
              </w:rPr>
              <w:t>المسألة الثالثة</w:t>
            </w:r>
            <w:r>
              <w:rPr>
                <w:rStyle w:val="IndexLink"/>
                <w:rtl w:val="true"/>
              </w:rPr>
              <w:t xml:space="preserve">: </w:t>
            </w:r>
            <w:r>
              <w:rPr>
                <w:rStyle w:val="IndexLink"/>
                <w:rtl w:val="true"/>
              </w:rPr>
              <w:t>النظر إلى الوجه والكفين من المسلمات</w:t>
            </w:r>
            <w:r>
              <w:rPr>
                <w:rStyle w:val="IndexLink"/>
                <w:rtl w:val="true"/>
              </w:rPr>
              <w:tab/>
            </w:r>
            <w:r>
              <w:rPr>
                <w:rStyle w:val="IndexLink"/>
              </w:rPr>
              <w:t>152</w:t>
            </w:r>
          </w:hyperlink>
        </w:p>
        <w:p>
          <w:pPr>
            <w:pStyle w:val="Contents4"/>
            <w:tabs>
              <w:tab w:val="clear" w:pos="8176"/>
              <w:tab w:val="right" w:pos="9026" w:leader="dot"/>
            </w:tabs>
            <w:rPr/>
          </w:pPr>
          <w:hyperlink w:anchor="__RefHeading___Toc11572786_2142443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1572788_2142443653">
            <w:r>
              <w:rPr>
                <w:webHidden/>
                <w:rStyle w:val="IndexLink"/>
                <w:rtl w:val="true"/>
              </w:rPr>
              <w:t>الأقوال في المسألة الثالثة</w:t>
            </w:r>
            <w:r>
              <w:rPr>
                <w:rStyle w:val="IndexLink"/>
                <w:rtl w:val="true"/>
              </w:rPr>
              <w:tab/>
            </w:r>
            <w:r>
              <w:rPr>
                <w:rStyle w:val="IndexLink"/>
              </w:rPr>
              <w:t>153</w:t>
            </w:r>
          </w:hyperlink>
        </w:p>
        <w:p>
          <w:pPr>
            <w:pStyle w:val="Contents5"/>
            <w:tabs>
              <w:tab w:val="clear" w:pos="7892"/>
              <w:tab w:val="right" w:pos="9026" w:leader="dot"/>
            </w:tabs>
            <w:rPr/>
          </w:pPr>
          <w:hyperlink w:anchor="__RefHeading___Toc11572790_2142443653">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1572792_2142443653">
            <w:r>
              <w:rPr>
                <w:webHidden/>
                <w:rStyle w:val="IndexLink"/>
                <w:rtl w:val="true"/>
              </w:rPr>
              <w:t>القول الأول</w:t>
            </w:r>
            <w:r>
              <w:rPr>
                <w:rStyle w:val="IndexLink"/>
                <w:rtl w:val="true"/>
              </w:rPr>
              <w:t xml:space="preserve">: </w:t>
            </w:r>
            <w:r>
              <w:rPr>
                <w:rStyle w:val="IndexLink"/>
                <w:rtl w:val="true"/>
              </w:rPr>
              <w:t>جواز النظر مطلقاً</w:t>
            </w:r>
            <w:r>
              <w:rPr>
                <w:rStyle w:val="IndexLink"/>
                <w:rtl w:val="true"/>
              </w:rPr>
              <w:tab/>
            </w:r>
            <w:r>
              <w:rPr>
                <w:rStyle w:val="IndexLink"/>
              </w:rPr>
              <w:t>153</w:t>
            </w:r>
          </w:hyperlink>
        </w:p>
        <w:p>
          <w:pPr>
            <w:pStyle w:val="Contents6"/>
            <w:tabs>
              <w:tab w:val="clear" w:pos="7609"/>
              <w:tab w:val="right" w:pos="9026" w:leader="dot"/>
            </w:tabs>
            <w:rPr/>
          </w:pPr>
          <w:hyperlink w:anchor="__RefHeading___Toc11572794_2142443653">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1572796_2142443653">
            <w:r>
              <w:rPr>
                <w:webHidden/>
                <w:rStyle w:val="IndexLink"/>
                <w:rtl w:val="true"/>
              </w:rPr>
              <w:t>أدلة القول الأول</w:t>
            </w:r>
            <w:r>
              <w:rPr>
                <w:rStyle w:val="IndexLink"/>
                <w:rtl w:val="true"/>
              </w:rPr>
              <w:tab/>
            </w:r>
            <w:r>
              <w:rPr>
                <w:rStyle w:val="IndexLink"/>
              </w:rPr>
              <w:t>153</w:t>
            </w:r>
          </w:hyperlink>
        </w:p>
        <w:p>
          <w:pPr>
            <w:pStyle w:val="Contents6"/>
            <w:tabs>
              <w:tab w:val="clear" w:pos="7609"/>
              <w:tab w:val="right" w:pos="9026" w:leader="dot"/>
            </w:tabs>
            <w:rPr/>
          </w:pPr>
          <w:hyperlink w:anchor="__RefHeading___Toc11572798_2142443653">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1572800_2142443653">
            <w:r>
              <w:rPr>
                <w:webHidden/>
                <w:rStyle w:val="IndexLink"/>
                <w:rtl w:val="true"/>
              </w:rPr>
              <w:t>الدليل الأول</w:t>
            </w:r>
            <w:r>
              <w:rPr>
                <w:rStyle w:val="IndexLink"/>
                <w:rtl w:val="true"/>
              </w:rPr>
              <w:t>:</w:t>
              <w:tab/>
            </w:r>
            <w:r>
              <w:rPr>
                <w:rStyle w:val="IndexLink"/>
              </w:rPr>
              <w:t>153</w:t>
            </w:r>
          </w:hyperlink>
        </w:p>
        <w:p>
          <w:pPr>
            <w:pStyle w:val="Contents6"/>
            <w:tabs>
              <w:tab w:val="clear" w:pos="7609"/>
              <w:tab w:val="right" w:pos="9026" w:leader="dot"/>
            </w:tabs>
            <w:rPr/>
          </w:pPr>
          <w:hyperlink w:anchor="__RefHeading___Toc11572802_2142443653">
            <w:r>
              <w:rPr>
                <w:webHidden/>
                <w:rStyle w:val="IndexLink"/>
                <w:rtl w:val="true"/>
              </w:rPr>
              <w:t>الدليل الثاني</w:t>
            </w:r>
            <w:r>
              <w:rPr>
                <w:rStyle w:val="IndexLink"/>
                <w:rtl w:val="true"/>
              </w:rPr>
              <w:t xml:space="preserve">: </w:t>
            </w:r>
            <w:r>
              <w:rPr>
                <w:rStyle w:val="IndexLink"/>
                <w:rtl w:val="true"/>
              </w:rPr>
              <w:t>قوله تعالى</w:t>
            </w:r>
            <w:r>
              <w:rPr>
                <w:rStyle w:val="IndexLink"/>
                <w:rtl w:val="true"/>
              </w:rPr>
              <w:t>: {</w:t>
            </w:r>
            <w:r>
              <w:rPr>
                <w:rStyle w:val="IndexLink"/>
                <w:rtl w:val="true"/>
              </w:rPr>
              <w:t>وَلْيَضْرِبْنَ بِخُمُرِهِنَّ عَلَى جُيُوبِهِنَّ</w:t>
            </w:r>
            <w:r>
              <w:rPr>
                <w:rStyle w:val="IndexLink"/>
                <w:rtl w:val="true"/>
              </w:rPr>
              <w:t>}</w:t>
              <w:tab/>
            </w:r>
            <w:r>
              <w:rPr>
                <w:rStyle w:val="IndexLink"/>
              </w:rPr>
              <w:t>165</w:t>
            </w:r>
          </w:hyperlink>
        </w:p>
        <w:p>
          <w:pPr>
            <w:pStyle w:val="Contents6"/>
            <w:tabs>
              <w:tab w:val="clear" w:pos="7609"/>
              <w:tab w:val="right" w:pos="9026" w:leader="dot"/>
            </w:tabs>
            <w:rPr/>
          </w:pPr>
          <w:hyperlink w:anchor="__RefHeading___Toc11572804_2142443653">
            <w:r>
              <w:rPr>
                <w:webHidden/>
                <w:rStyle w:val="IndexLink"/>
                <w:rtl w:val="true"/>
              </w:rPr>
              <w:t>الدليل الثالث</w:t>
            </w:r>
            <w:r>
              <w:rPr>
                <w:rStyle w:val="IndexLink"/>
                <w:rtl w:val="true"/>
              </w:rPr>
              <w:t xml:space="preserve">: </w:t>
            </w:r>
            <w:r>
              <w:rPr>
                <w:rStyle w:val="IndexLink"/>
                <w:rtl w:val="true"/>
              </w:rPr>
              <w:t>رواية زرارة</w:t>
            </w:r>
            <w:r>
              <w:rPr>
                <w:rStyle w:val="IndexLink"/>
                <w:rtl w:val="true"/>
              </w:rPr>
              <w:tab/>
            </w:r>
            <w:r>
              <w:rPr>
                <w:rStyle w:val="IndexLink"/>
              </w:rPr>
              <w:t>166</w:t>
            </w:r>
          </w:hyperlink>
        </w:p>
        <w:p>
          <w:pPr>
            <w:pStyle w:val="Contents6"/>
            <w:tabs>
              <w:tab w:val="clear" w:pos="7609"/>
              <w:tab w:val="right" w:pos="9026" w:leader="dot"/>
            </w:tabs>
            <w:rPr/>
          </w:pPr>
          <w:hyperlink w:anchor="__RefHeading___Toc11572806_2142443653">
            <w:r>
              <w:rPr>
                <w:webHidden/>
                <w:rStyle w:val="IndexLink"/>
                <w:rtl w:val="true"/>
              </w:rPr>
              <w:t>الدليل الرابع</w:t>
            </w:r>
            <w:r>
              <w:rPr>
                <w:rStyle w:val="IndexLink"/>
                <w:rtl w:val="true"/>
              </w:rPr>
              <w:t xml:space="preserve">: </w:t>
            </w:r>
            <w:r>
              <w:rPr>
                <w:rStyle w:val="IndexLink"/>
                <w:rtl w:val="true"/>
              </w:rPr>
              <w:t>رواية أبي بصير</w:t>
            </w:r>
            <w:r>
              <w:rPr>
                <w:rStyle w:val="IndexLink"/>
                <w:rtl w:val="true"/>
              </w:rPr>
              <w:tab/>
            </w:r>
            <w:r>
              <w:rPr>
                <w:rStyle w:val="IndexLink"/>
              </w:rPr>
              <w:t>174</w:t>
            </w:r>
          </w:hyperlink>
        </w:p>
        <w:p>
          <w:pPr>
            <w:pStyle w:val="Contents6"/>
            <w:tabs>
              <w:tab w:val="clear" w:pos="7609"/>
              <w:tab w:val="right" w:pos="9026" w:leader="dot"/>
            </w:tabs>
            <w:rPr/>
          </w:pPr>
          <w:hyperlink w:anchor="__RefHeading___Toc11572808_2142443653">
            <w:r>
              <w:rPr>
                <w:webHidden/>
                <w:rStyle w:val="IndexLink"/>
                <w:rtl w:val="true"/>
              </w:rPr>
              <w:t>الدليل الخامس</w:t>
            </w:r>
            <w:r>
              <w:rPr>
                <w:rStyle w:val="IndexLink"/>
                <w:rtl w:val="true"/>
              </w:rPr>
              <w:t xml:space="preserve">: </w:t>
            </w:r>
            <w:r>
              <w:rPr>
                <w:rStyle w:val="IndexLink"/>
                <w:rtl w:val="true"/>
              </w:rPr>
              <w:t>رواية مروك بن عبيد</w:t>
            </w:r>
            <w:r>
              <w:rPr>
                <w:rStyle w:val="IndexLink"/>
                <w:rtl w:val="true"/>
              </w:rPr>
              <w:tab/>
            </w:r>
            <w:r>
              <w:rPr>
                <w:rStyle w:val="IndexLink"/>
              </w:rPr>
              <w:t>178</w:t>
            </w:r>
          </w:hyperlink>
        </w:p>
        <w:p>
          <w:pPr>
            <w:pStyle w:val="Contents6"/>
            <w:tabs>
              <w:tab w:val="clear" w:pos="7609"/>
              <w:tab w:val="right" w:pos="9026" w:leader="dot"/>
            </w:tabs>
            <w:rPr/>
          </w:pPr>
          <w:hyperlink w:anchor="__RefHeading___Toc11572810_2142443653">
            <w:r>
              <w:rPr>
                <w:webHidden/>
                <w:rStyle w:val="IndexLink"/>
                <w:rtl w:val="true"/>
              </w:rPr>
              <w:t>الدليل السادس</w:t>
            </w:r>
            <w:r>
              <w:rPr>
                <w:rStyle w:val="IndexLink"/>
                <w:rtl w:val="true"/>
              </w:rPr>
              <w:t xml:space="preserve">: </w:t>
            </w:r>
            <w:r>
              <w:rPr>
                <w:rStyle w:val="IndexLink"/>
                <w:rtl w:val="true"/>
              </w:rPr>
              <w:t>رواية مسعدة بن زياد</w:t>
            </w:r>
            <w:r>
              <w:rPr>
                <w:rStyle w:val="IndexLink"/>
                <w:rtl w:val="true"/>
              </w:rPr>
              <w:tab/>
            </w:r>
            <w:r>
              <w:rPr>
                <w:rStyle w:val="IndexLink"/>
              </w:rPr>
              <w:t>181</w:t>
            </w:r>
          </w:hyperlink>
        </w:p>
        <w:p>
          <w:pPr>
            <w:pStyle w:val="Contents6"/>
            <w:tabs>
              <w:tab w:val="clear" w:pos="7609"/>
              <w:tab w:val="right" w:pos="9026" w:leader="dot"/>
            </w:tabs>
            <w:rPr/>
          </w:pPr>
          <w:hyperlink w:anchor="__RefHeading___Toc11572812_2142443653">
            <w:r>
              <w:rPr>
                <w:webHidden/>
                <w:rStyle w:val="IndexLink"/>
                <w:rtl w:val="true"/>
              </w:rPr>
              <w:t>الدليل السابع</w:t>
            </w:r>
            <w:r>
              <w:rPr>
                <w:rStyle w:val="IndexLink"/>
                <w:rtl w:val="true"/>
              </w:rPr>
              <w:t xml:space="preserve">: </w:t>
            </w:r>
            <w:r>
              <w:rPr>
                <w:rStyle w:val="IndexLink"/>
                <w:rtl w:val="true"/>
              </w:rPr>
              <w:t>صحيحة الفضيل</w:t>
            </w:r>
            <w:r>
              <w:rPr>
                <w:rStyle w:val="IndexLink"/>
                <w:rtl w:val="true"/>
              </w:rPr>
              <w:tab/>
            </w:r>
            <w:r>
              <w:rPr>
                <w:rStyle w:val="IndexLink"/>
              </w:rPr>
              <w:t>188</w:t>
            </w:r>
          </w:hyperlink>
        </w:p>
        <w:p>
          <w:pPr>
            <w:pStyle w:val="Contents6"/>
            <w:tabs>
              <w:tab w:val="clear" w:pos="7609"/>
              <w:tab w:val="right" w:pos="9026" w:leader="dot"/>
            </w:tabs>
            <w:rPr/>
          </w:pPr>
          <w:hyperlink w:anchor="__RefHeading___Toc11572814_2142443653">
            <w:r>
              <w:rPr>
                <w:webHidden/>
                <w:rStyle w:val="IndexLink"/>
                <w:rtl w:val="true"/>
              </w:rPr>
              <w:t>الدليل الثامن</w:t>
            </w:r>
            <w:r>
              <w:rPr>
                <w:rStyle w:val="IndexLink"/>
                <w:rtl w:val="true"/>
              </w:rPr>
              <w:t xml:space="preserve">: </w:t>
            </w:r>
            <w:r>
              <w:rPr>
                <w:rStyle w:val="IndexLink"/>
                <w:rtl w:val="true"/>
              </w:rPr>
              <w:t>صحيحة علي بن سويد</w:t>
            </w:r>
            <w:r>
              <w:rPr>
                <w:rStyle w:val="IndexLink"/>
                <w:rtl w:val="true"/>
              </w:rPr>
              <w:tab/>
            </w:r>
            <w:r>
              <w:rPr>
                <w:rStyle w:val="IndexLink"/>
              </w:rPr>
              <w:t>193</w:t>
            </w:r>
          </w:hyperlink>
        </w:p>
        <w:p>
          <w:pPr>
            <w:pStyle w:val="Contents6"/>
            <w:tabs>
              <w:tab w:val="clear" w:pos="7609"/>
              <w:tab w:val="right" w:pos="9026" w:leader="dot"/>
            </w:tabs>
            <w:rPr/>
          </w:pPr>
          <w:hyperlink w:anchor="__RefHeading___Toc11572816_2142443653">
            <w:r>
              <w:rPr>
                <w:webHidden/>
                <w:rStyle w:val="IndexLink"/>
                <w:rtl w:val="true"/>
              </w:rPr>
              <w:t>الدليل التاسع</w:t>
            </w:r>
            <w:r>
              <w:rPr>
                <w:rStyle w:val="IndexLink"/>
                <w:rtl w:val="true"/>
              </w:rPr>
              <w:t xml:space="preserve">: </w:t>
            </w:r>
            <w:r>
              <w:rPr>
                <w:rStyle w:val="IndexLink"/>
                <w:rtl w:val="true"/>
              </w:rPr>
              <w:t>موثقة زرعة</w:t>
            </w:r>
            <w:r>
              <w:rPr>
                <w:rStyle w:val="IndexLink"/>
                <w:rtl w:val="true"/>
              </w:rPr>
              <w:tab/>
            </w:r>
            <w:r>
              <w:rPr>
                <w:rStyle w:val="IndexLink"/>
              </w:rPr>
              <w:t>201</w:t>
            </w:r>
          </w:hyperlink>
        </w:p>
        <w:p>
          <w:pPr>
            <w:pStyle w:val="Contents6"/>
            <w:tabs>
              <w:tab w:val="clear" w:pos="7609"/>
              <w:tab w:val="right" w:pos="9026" w:leader="dot"/>
            </w:tabs>
            <w:rPr/>
          </w:pPr>
          <w:hyperlink w:anchor="__RefHeading___Toc11572818_2142443653">
            <w:r>
              <w:rPr>
                <w:webHidden/>
                <w:rStyle w:val="IndexLink"/>
                <w:rtl w:val="true"/>
              </w:rPr>
              <w:t>الدليل العاشر</w:t>
            </w:r>
            <w:r>
              <w:rPr>
                <w:rStyle w:val="IndexLink"/>
                <w:rtl w:val="true"/>
              </w:rPr>
              <w:t xml:space="preserve">: </w:t>
            </w:r>
            <w:r>
              <w:rPr>
                <w:rStyle w:val="IndexLink"/>
                <w:rtl w:val="true"/>
              </w:rPr>
              <w:t>رواية أبي الجارود</w:t>
            </w:r>
            <w:r>
              <w:rPr>
                <w:rStyle w:val="IndexLink"/>
                <w:rtl w:val="true"/>
              </w:rPr>
              <w:tab/>
            </w:r>
            <w:r>
              <w:rPr>
                <w:rStyle w:val="IndexLink"/>
              </w:rPr>
              <w:t>202</w:t>
            </w:r>
          </w:hyperlink>
        </w:p>
        <w:p>
          <w:pPr>
            <w:pStyle w:val="Contents6"/>
            <w:tabs>
              <w:tab w:val="clear" w:pos="7609"/>
              <w:tab w:val="right" w:pos="9026" w:leader="dot"/>
            </w:tabs>
            <w:rPr/>
          </w:pPr>
          <w:hyperlink w:anchor="__RefHeading___Toc11572820_2142443653">
            <w:r>
              <w:rPr>
                <w:webHidden/>
                <w:rStyle w:val="IndexLink"/>
                <w:rtl w:val="true"/>
              </w:rPr>
              <w:t>الدليل الحادي عشر</w:t>
            </w:r>
            <w:r>
              <w:rPr>
                <w:rStyle w:val="IndexLink"/>
                <w:rtl w:val="true"/>
              </w:rPr>
              <w:t xml:space="preserve">: </w:t>
            </w:r>
            <w:r>
              <w:rPr>
                <w:rStyle w:val="IndexLink"/>
                <w:rtl w:val="true"/>
              </w:rPr>
              <w:t>رواية علي بن جعفر</w:t>
            </w:r>
            <w:r>
              <w:rPr>
                <w:rStyle w:val="IndexLink"/>
                <w:rtl w:val="true"/>
              </w:rPr>
              <w:tab/>
            </w:r>
            <w:r>
              <w:rPr>
                <w:rStyle w:val="IndexLink"/>
              </w:rPr>
              <w:t>211</w:t>
            </w:r>
          </w:hyperlink>
        </w:p>
        <w:p>
          <w:pPr>
            <w:pStyle w:val="Contents6"/>
            <w:tabs>
              <w:tab w:val="clear" w:pos="7609"/>
              <w:tab w:val="right" w:pos="9026" w:leader="dot"/>
            </w:tabs>
            <w:rPr/>
          </w:pPr>
          <w:hyperlink w:anchor="__RefHeading___Toc11572822_2142443653">
            <w:r>
              <w:rPr>
                <w:webHidden/>
                <w:rStyle w:val="IndexLink"/>
                <w:rtl w:val="true"/>
              </w:rPr>
              <w:t>الدليل الثاني عشر</w:t>
            </w:r>
            <w:r>
              <w:rPr>
                <w:rStyle w:val="IndexLink"/>
                <w:rtl w:val="true"/>
              </w:rPr>
              <w:t>:</w:t>
              <w:tab/>
            </w:r>
            <w:r>
              <w:rPr>
                <w:rStyle w:val="IndexLink"/>
              </w:rPr>
              <w:t>215</w:t>
            </w:r>
          </w:hyperlink>
        </w:p>
        <w:p>
          <w:pPr>
            <w:pStyle w:val="Contents6"/>
            <w:tabs>
              <w:tab w:val="clear" w:pos="7609"/>
              <w:tab w:val="right" w:pos="9026" w:leader="dot"/>
            </w:tabs>
            <w:rPr/>
          </w:pPr>
          <w:hyperlink w:anchor="__RefHeading___Toc11572824_2142443653">
            <w:r>
              <w:rPr>
                <w:webHidden/>
                <w:rStyle w:val="IndexLink"/>
                <w:rtl w:val="true"/>
              </w:rPr>
              <w:t>الدليل الثالث عشر</w:t>
            </w:r>
            <w:r>
              <w:rPr>
                <w:rStyle w:val="IndexLink"/>
                <w:rtl w:val="true"/>
              </w:rPr>
              <w:t xml:space="preserve">: </w:t>
            </w:r>
            <w:r>
              <w:rPr>
                <w:rStyle w:val="IndexLink"/>
                <w:rtl w:val="true"/>
              </w:rPr>
              <w:t>خبر جابر بن عبد اللّه الأنصاري</w:t>
            </w:r>
            <w:r>
              <w:rPr>
                <w:rStyle w:val="IndexLink"/>
                <w:rtl w:val="true"/>
              </w:rPr>
              <w:tab/>
            </w:r>
            <w:r>
              <w:rPr>
                <w:rStyle w:val="IndexLink"/>
              </w:rPr>
              <w:t>215</w:t>
            </w:r>
          </w:hyperlink>
        </w:p>
        <w:p>
          <w:pPr>
            <w:pStyle w:val="Contents6"/>
            <w:tabs>
              <w:tab w:val="clear" w:pos="7609"/>
              <w:tab w:val="right" w:pos="9026" w:leader="dot"/>
            </w:tabs>
            <w:rPr/>
          </w:pPr>
          <w:hyperlink w:anchor="__RefHeading___Toc11572826_2142443653">
            <w:r>
              <w:rPr>
                <w:webHidden/>
                <w:rStyle w:val="IndexLink"/>
                <w:rtl w:val="true"/>
              </w:rPr>
              <w:t>الدليل الرابع عشر</w:t>
            </w:r>
            <w:r>
              <w:rPr>
                <w:rStyle w:val="IndexLink"/>
                <w:rtl w:val="true"/>
              </w:rPr>
              <w:t xml:space="preserve">: </w:t>
            </w:r>
            <w:r>
              <w:rPr>
                <w:rStyle w:val="IndexLink"/>
                <w:rtl w:val="true"/>
              </w:rPr>
              <w:t xml:space="preserve">رؤية سلمان ليد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حين إدارة الرحى</w:t>
            </w:r>
            <w:r>
              <w:rPr>
                <w:rStyle w:val="IndexLink"/>
                <w:rtl w:val="true"/>
              </w:rPr>
              <w:tab/>
            </w:r>
            <w:r>
              <w:rPr>
                <w:rStyle w:val="IndexLink"/>
              </w:rPr>
              <w:t>225</w:t>
            </w:r>
          </w:hyperlink>
        </w:p>
        <w:p>
          <w:pPr>
            <w:pStyle w:val="Contents6"/>
            <w:tabs>
              <w:tab w:val="clear" w:pos="7609"/>
              <w:tab w:val="right" w:pos="9026" w:leader="dot"/>
            </w:tabs>
            <w:rPr/>
          </w:pPr>
          <w:hyperlink w:anchor="__RefHeading___Toc11572828_2142443653">
            <w:r>
              <w:rPr>
                <w:webHidden/>
                <w:rStyle w:val="IndexLink"/>
                <w:rtl w:val="true"/>
              </w:rPr>
              <w:t>الدليل الخامس عشر</w:t>
            </w:r>
            <w:r>
              <w:rPr>
                <w:rStyle w:val="IndexLink"/>
                <w:rtl w:val="true"/>
              </w:rPr>
              <w:t xml:space="preserve">: </w:t>
            </w:r>
            <w:r>
              <w:rPr>
                <w:rStyle w:val="IndexLink"/>
                <w:rtl w:val="true"/>
              </w:rPr>
              <w:t>رواية المحاسن</w:t>
            </w:r>
            <w:r>
              <w:rPr>
                <w:rStyle w:val="IndexLink"/>
                <w:rtl w:val="true"/>
              </w:rPr>
              <w:tab/>
            </w:r>
            <w:r>
              <w:rPr>
                <w:rStyle w:val="IndexLink"/>
              </w:rPr>
              <w:t>226</w:t>
            </w:r>
          </w:hyperlink>
        </w:p>
        <w:p>
          <w:pPr>
            <w:pStyle w:val="Contents6"/>
            <w:tabs>
              <w:tab w:val="clear" w:pos="7609"/>
              <w:tab w:val="right" w:pos="9026" w:leader="dot"/>
            </w:tabs>
            <w:rPr/>
          </w:pPr>
          <w:hyperlink w:anchor="__RefHeading___Toc11572830_2142443653">
            <w:r>
              <w:rPr>
                <w:webHidden/>
                <w:rStyle w:val="IndexLink"/>
                <w:rtl w:val="true"/>
              </w:rPr>
              <w:t>الدليل السادس عشر</w:t>
            </w:r>
            <w:r>
              <w:rPr>
                <w:rStyle w:val="IndexLink"/>
                <w:rtl w:val="true"/>
              </w:rPr>
              <w:t xml:space="preserve">: </w:t>
            </w:r>
            <w:r>
              <w:rPr>
                <w:rStyle w:val="IndexLink"/>
                <w:rtl w:val="true"/>
              </w:rPr>
              <w:t>الأخبار الدالة على كشف المرأة وجهها حال الإحرام</w:t>
            </w:r>
            <w:r>
              <w:rPr>
                <w:rStyle w:val="IndexLink"/>
                <w:rtl w:val="true"/>
              </w:rPr>
              <w:tab/>
            </w:r>
            <w:r>
              <w:rPr>
                <w:rStyle w:val="IndexLink"/>
              </w:rPr>
              <w:t>227</w:t>
            </w:r>
          </w:hyperlink>
        </w:p>
        <w:p>
          <w:pPr>
            <w:pStyle w:val="Contents6"/>
            <w:tabs>
              <w:tab w:val="clear" w:pos="7609"/>
              <w:tab w:val="right" w:pos="9026" w:leader="dot"/>
            </w:tabs>
            <w:rPr/>
          </w:pPr>
          <w:hyperlink w:anchor="__RefHeading___Toc11572832_2142443653">
            <w:r>
              <w:rPr>
                <w:webHidden/>
                <w:rStyle w:val="IndexLink"/>
                <w:rtl w:val="true"/>
              </w:rPr>
              <w:t>الدليل السابع عشر</w:t>
            </w:r>
            <w:r>
              <w:rPr>
                <w:rStyle w:val="IndexLink"/>
                <w:rtl w:val="true"/>
              </w:rPr>
              <w:t xml:space="preserve">: </w:t>
            </w:r>
            <w:r>
              <w:rPr>
                <w:rStyle w:val="IndexLink"/>
                <w:rtl w:val="true"/>
              </w:rPr>
              <w:t>الروايات الدالة على تغسيل الأجانب وجه المرأة وكفيها</w:t>
            </w:r>
            <w:r>
              <w:rPr>
                <w:rStyle w:val="IndexLink"/>
                <w:rtl w:val="true"/>
              </w:rPr>
              <w:tab/>
            </w:r>
            <w:r>
              <w:rPr>
                <w:rStyle w:val="IndexLink"/>
              </w:rPr>
              <w:t>231</w:t>
            </w:r>
          </w:hyperlink>
        </w:p>
        <w:p>
          <w:pPr>
            <w:pStyle w:val="Contents6"/>
            <w:tabs>
              <w:tab w:val="clear" w:pos="7609"/>
              <w:tab w:val="right" w:pos="9026" w:leader="dot"/>
            </w:tabs>
            <w:rPr/>
          </w:pPr>
          <w:hyperlink w:anchor="__RefHeading___Toc11572834_2142443653">
            <w:r>
              <w:rPr>
                <w:webHidden/>
                <w:rStyle w:val="IndexLink"/>
                <w:rtl w:val="true"/>
              </w:rPr>
              <w:t>الدليل الثامن عشر</w:t>
            </w:r>
            <w:r>
              <w:rPr>
                <w:rStyle w:val="IndexLink"/>
                <w:rtl w:val="true"/>
              </w:rPr>
              <w:t xml:space="preserve">: </w:t>
            </w:r>
            <w:r>
              <w:rPr>
                <w:rStyle w:val="IndexLink"/>
                <w:rtl w:val="true"/>
              </w:rPr>
              <w:t>صحيحة أبي حمزة الثمالي</w:t>
            </w:r>
            <w:r>
              <w:rPr>
                <w:rStyle w:val="IndexLink"/>
                <w:rtl w:val="true"/>
              </w:rPr>
              <w:tab/>
            </w:r>
            <w:r>
              <w:rPr>
                <w:rStyle w:val="IndexLink"/>
              </w:rPr>
              <w:t>235</w:t>
            </w:r>
          </w:hyperlink>
        </w:p>
        <w:p>
          <w:pPr>
            <w:pStyle w:val="Contents6"/>
            <w:tabs>
              <w:tab w:val="clear" w:pos="7609"/>
              <w:tab w:val="right" w:pos="9026" w:leader="dot"/>
            </w:tabs>
            <w:rPr/>
          </w:pPr>
          <w:hyperlink w:anchor="__RefHeading___Toc11572836_2142443653">
            <w:r>
              <w:rPr>
                <w:webHidden/>
                <w:rStyle w:val="IndexLink"/>
                <w:rtl w:val="true"/>
              </w:rPr>
              <w:t>الدليل التاسع عشر</w:t>
            </w:r>
            <w:r>
              <w:rPr>
                <w:rStyle w:val="IndexLink"/>
                <w:rtl w:val="true"/>
              </w:rPr>
              <w:t xml:space="preserve">: </w:t>
            </w:r>
            <w:r>
              <w:rPr>
                <w:rStyle w:val="IndexLink"/>
                <w:rtl w:val="true"/>
              </w:rPr>
              <w:t>النصوص المتعرضة لستر الشعر عن الغلام إذا احتلم</w:t>
            </w:r>
            <w:r>
              <w:rPr>
                <w:rStyle w:val="IndexLink"/>
                <w:rtl w:val="true"/>
              </w:rPr>
              <w:tab/>
            </w:r>
            <w:r>
              <w:rPr>
                <w:rStyle w:val="IndexLink"/>
              </w:rPr>
              <w:t>238</w:t>
            </w:r>
          </w:hyperlink>
        </w:p>
        <w:p>
          <w:pPr>
            <w:pStyle w:val="Contents6"/>
            <w:tabs>
              <w:tab w:val="clear" w:pos="7609"/>
              <w:tab w:val="right" w:pos="9026" w:leader="dot"/>
            </w:tabs>
            <w:rPr/>
          </w:pPr>
          <w:hyperlink w:anchor="__RefHeading___Toc11572838_2142443653">
            <w:r>
              <w:rPr>
                <w:webHidden/>
                <w:rStyle w:val="IndexLink"/>
                <w:rtl w:val="true"/>
              </w:rPr>
              <w:t>الدليل العشرون</w:t>
            </w:r>
            <w:r>
              <w:rPr>
                <w:rStyle w:val="IndexLink"/>
                <w:rtl w:val="true"/>
              </w:rPr>
              <w:t xml:space="preserve">: </w:t>
            </w:r>
            <w:r>
              <w:rPr>
                <w:rStyle w:val="IndexLink"/>
                <w:rtl w:val="true"/>
              </w:rPr>
              <w:t>الروايات الدالة على النظر لشعر المرأة جوازاً ومنعاً</w:t>
            </w:r>
            <w:r>
              <w:rPr>
                <w:rStyle w:val="IndexLink"/>
                <w:rtl w:val="true"/>
              </w:rPr>
              <w:tab/>
            </w:r>
            <w:r>
              <w:rPr>
                <w:rStyle w:val="IndexLink"/>
              </w:rPr>
              <w:t>241</w:t>
            </w:r>
          </w:hyperlink>
        </w:p>
        <w:p>
          <w:pPr>
            <w:pStyle w:val="Contents6"/>
            <w:tabs>
              <w:tab w:val="clear" w:pos="7609"/>
              <w:tab w:val="right" w:pos="9026" w:leader="dot"/>
            </w:tabs>
            <w:rPr/>
          </w:pPr>
          <w:hyperlink w:anchor="__RefHeading___Toc11572840_2142443653">
            <w:r>
              <w:rPr>
                <w:webHidden/>
                <w:rStyle w:val="IndexLink"/>
                <w:rtl w:val="true"/>
              </w:rPr>
              <w:t>الدليل الحادي والعشرون</w:t>
            </w:r>
            <w:r>
              <w:rPr>
                <w:rStyle w:val="IndexLink"/>
                <w:rtl w:val="true"/>
              </w:rPr>
              <w:t xml:space="preserve">: </w:t>
            </w:r>
            <w:r>
              <w:rPr>
                <w:rStyle w:val="IndexLink"/>
                <w:rtl w:val="true"/>
              </w:rPr>
              <w:t>جواز سماع صوت الأجنبية</w:t>
            </w:r>
            <w:r>
              <w:rPr>
                <w:rStyle w:val="IndexLink"/>
                <w:rtl w:val="true"/>
              </w:rPr>
              <w:tab/>
            </w:r>
            <w:r>
              <w:rPr>
                <w:rStyle w:val="IndexLink"/>
              </w:rPr>
              <w:t>243</w:t>
            </w:r>
          </w:hyperlink>
        </w:p>
        <w:p>
          <w:pPr>
            <w:pStyle w:val="Contents6"/>
            <w:tabs>
              <w:tab w:val="clear" w:pos="7609"/>
              <w:tab w:val="right" w:pos="9026" w:leader="dot"/>
            </w:tabs>
            <w:rPr/>
          </w:pPr>
          <w:hyperlink w:anchor="__RefHeading___Toc11572842_2142443653">
            <w:r>
              <w:rPr>
                <w:webHidden/>
                <w:rStyle w:val="IndexLink"/>
                <w:rtl w:val="true"/>
              </w:rPr>
              <w:t>الدليل الثاني والعشرون</w:t>
            </w:r>
            <w:r>
              <w:rPr>
                <w:rStyle w:val="IndexLink"/>
                <w:rtl w:val="true"/>
              </w:rPr>
              <w:t xml:space="preserve">: </w:t>
            </w:r>
            <w:r>
              <w:rPr>
                <w:rStyle w:val="IndexLink"/>
                <w:rtl w:val="true"/>
              </w:rPr>
              <w:t>الأخبار الدالة على كراهة القنازع</w:t>
            </w:r>
            <w:r>
              <w:rPr>
                <w:rStyle w:val="IndexLink"/>
                <w:rtl w:val="true"/>
              </w:rPr>
              <w:tab/>
            </w:r>
            <w:r>
              <w:rPr>
                <w:rStyle w:val="IndexLink"/>
              </w:rPr>
              <w:t>244</w:t>
            </w:r>
          </w:hyperlink>
        </w:p>
        <w:p>
          <w:pPr>
            <w:pStyle w:val="Contents6"/>
            <w:tabs>
              <w:tab w:val="clear" w:pos="7609"/>
              <w:tab w:val="right" w:pos="9026" w:leader="dot"/>
            </w:tabs>
            <w:rPr/>
          </w:pPr>
          <w:hyperlink w:anchor="__RefHeading___Toc11572844_2142443653">
            <w:r>
              <w:rPr>
                <w:webHidden/>
                <w:rStyle w:val="IndexLink"/>
                <w:rtl w:val="true"/>
              </w:rPr>
              <w:t>الدليل الثالث والعشرون</w:t>
            </w:r>
            <w:r>
              <w:rPr>
                <w:rStyle w:val="IndexLink"/>
                <w:rtl w:val="true"/>
              </w:rPr>
              <w:t xml:space="preserve">: </w:t>
            </w:r>
            <w:r>
              <w:rPr>
                <w:rStyle w:val="IndexLink"/>
                <w:rtl w:val="true"/>
              </w:rPr>
              <w:t>السيرة قائمة على عدم ستر الوجه</w:t>
            </w:r>
            <w:r>
              <w:rPr>
                <w:rStyle w:val="IndexLink"/>
                <w:rtl w:val="true"/>
              </w:rPr>
              <w:tab/>
            </w:r>
            <w:r>
              <w:rPr>
                <w:rStyle w:val="IndexLink"/>
              </w:rPr>
              <w:t>246</w:t>
            </w:r>
          </w:hyperlink>
        </w:p>
        <w:p>
          <w:pPr>
            <w:pStyle w:val="Contents6"/>
            <w:tabs>
              <w:tab w:val="clear" w:pos="7609"/>
              <w:tab w:val="right" w:pos="9026" w:leader="dot"/>
            </w:tabs>
            <w:rPr/>
          </w:pPr>
          <w:hyperlink w:anchor="__RefHeading___Toc11572846_2142443653">
            <w:r>
              <w:rPr>
                <w:webHidden/>
                <w:rStyle w:val="IndexLink"/>
                <w:rtl w:val="true"/>
              </w:rPr>
              <w:t>الدليل الرابع والعشرون</w:t>
            </w:r>
            <w:r>
              <w:rPr>
                <w:rStyle w:val="IndexLink"/>
                <w:rtl w:val="true"/>
              </w:rPr>
              <w:t xml:space="preserve">: </w:t>
            </w:r>
            <w:r>
              <w:rPr>
                <w:rStyle w:val="IndexLink"/>
                <w:rtl w:val="true"/>
              </w:rPr>
              <w:t>النصوص الدالة على جواز وضع القواعد جلابيبهن وخمرهن</w:t>
            </w:r>
            <w:r>
              <w:rPr>
                <w:rStyle w:val="IndexLink"/>
                <w:rtl w:val="true"/>
              </w:rPr>
              <w:tab/>
            </w:r>
            <w:r>
              <w:rPr>
                <w:rStyle w:val="IndexLink"/>
              </w:rPr>
              <w:t>254</w:t>
            </w:r>
          </w:hyperlink>
        </w:p>
        <w:p>
          <w:pPr>
            <w:pStyle w:val="Contents6"/>
            <w:tabs>
              <w:tab w:val="clear" w:pos="7609"/>
              <w:tab w:val="right" w:pos="9026" w:leader="dot"/>
            </w:tabs>
            <w:rPr/>
          </w:pPr>
          <w:hyperlink w:anchor="__RefHeading___Toc11572848_2142443653">
            <w:r>
              <w:rPr>
                <w:webHidden/>
                <w:rStyle w:val="IndexLink"/>
                <w:rtl w:val="true"/>
              </w:rPr>
              <w:t>الدليل الخامس والعشرون</w:t>
            </w:r>
            <w:r>
              <w:rPr>
                <w:rStyle w:val="IndexLink"/>
                <w:rtl w:val="true"/>
              </w:rPr>
              <w:t xml:space="preserve">: </w:t>
            </w:r>
            <w:r>
              <w:rPr>
                <w:rStyle w:val="IndexLink"/>
                <w:rtl w:val="true"/>
              </w:rPr>
              <w:t>وجود العسر والحرج في اجتناب النظر</w:t>
            </w:r>
            <w:r>
              <w:rPr>
                <w:rStyle w:val="IndexLink"/>
                <w:rtl w:val="true"/>
              </w:rPr>
              <w:tab/>
            </w:r>
            <w:r>
              <w:rPr>
                <w:rStyle w:val="IndexLink"/>
              </w:rPr>
              <w:t>257</w:t>
            </w:r>
          </w:hyperlink>
        </w:p>
        <w:p>
          <w:pPr>
            <w:pStyle w:val="Contents6"/>
            <w:tabs>
              <w:tab w:val="clear" w:pos="7609"/>
              <w:tab w:val="right" w:pos="9026" w:leader="dot"/>
            </w:tabs>
            <w:rPr/>
          </w:pPr>
          <w:hyperlink w:anchor="__RefHeading___Toc11572850_2142443653">
            <w:r>
              <w:rPr>
                <w:webHidden/>
                <w:rStyle w:val="IndexLink"/>
                <w:rtl w:val="true"/>
              </w:rPr>
              <w:t>الدليل السادس والعشرون</w:t>
            </w:r>
            <w:r>
              <w:rPr>
                <w:rStyle w:val="IndexLink"/>
                <w:rtl w:val="true"/>
              </w:rPr>
              <w:t xml:space="preserve">: </w:t>
            </w:r>
            <w:r>
              <w:rPr>
                <w:rStyle w:val="IndexLink"/>
                <w:rtl w:val="true"/>
              </w:rPr>
              <w:t>إجراء أصالة البراءة</w:t>
            </w:r>
            <w:r>
              <w:rPr>
                <w:rStyle w:val="IndexLink"/>
                <w:rtl w:val="true"/>
              </w:rPr>
              <w:tab/>
            </w:r>
            <w:r>
              <w:rPr>
                <w:rStyle w:val="IndexLink"/>
              </w:rPr>
              <w:t>258</w:t>
            </w:r>
          </w:hyperlink>
        </w:p>
        <w:p>
          <w:pPr>
            <w:pStyle w:val="Contents5"/>
            <w:tabs>
              <w:tab w:val="clear" w:pos="7892"/>
              <w:tab w:val="right" w:pos="9026" w:leader="dot"/>
            </w:tabs>
            <w:rPr/>
          </w:pPr>
          <w:hyperlink w:anchor="__RefHeading___Toc11572852_2142443653">
            <w:r>
              <w:rPr>
                <w:webHidden/>
                <w:rStyle w:val="IndexLink"/>
                <w:rtl w:val="true"/>
              </w:rPr>
              <w:t>القول الثاني</w:t>
            </w:r>
            <w:r>
              <w:rPr>
                <w:rStyle w:val="IndexLink"/>
                <w:rtl w:val="true"/>
              </w:rPr>
              <w:t xml:space="preserve">: </w:t>
            </w:r>
            <w:r>
              <w:rPr>
                <w:rStyle w:val="IndexLink"/>
                <w:rtl w:val="true"/>
              </w:rPr>
              <w:t>حرمة النظر مطلقاً</w:t>
            </w:r>
            <w:r>
              <w:rPr>
                <w:rStyle w:val="IndexLink"/>
                <w:rtl w:val="true"/>
              </w:rPr>
              <w:tab/>
            </w:r>
            <w:r>
              <w:rPr>
                <w:rStyle w:val="IndexLink"/>
              </w:rPr>
              <w:t>259</w:t>
            </w:r>
          </w:hyperlink>
        </w:p>
        <w:p>
          <w:pPr>
            <w:pStyle w:val="Contents6"/>
            <w:tabs>
              <w:tab w:val="clear" w:pos="7609"/>
              <w:tab w:val="right" w:pos="9026" w:leader="dot"/>
            </w:tabs>
            <w:rPr/>
          </w:pPr>
          <w:hyperlink w:anchor="__RefHeading___Toc11572854_2142443653">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1572856_2142443653">
            <w:r>
              <w:rPr>
                <w:webHidden/>
                <w:rStyle w:val="IndexLink"/>
                <w:rtl w:val="true"/>
              </w:rPr>
              <w:t>الدليل الأول</w:t>
            </w:r>
            <w:r>
              <w:rPr>
                <w:rStyle w:val="IndexLink"/>
                <w:rtl w:val="true"/>
              </w:rPr>
              <w:t xml:space="preserve">: </w:t>
            </w:r>
            <w:r>
              <w:rPr>
                <w:rStyle w:val="IndexLink"/>
                <w:rtl w:val="true"/>
              </w:rPr>
              <w:t>آية الغض</w:t>
            </w:r>
            <w:r>
              <w:rPr>
                <w:rStyle w:val="IndexLink"/>
                <w:rtl w:val="true"/>
              </w:rPr>
              <w:tab/>
            </w:r>
            <w:r>
              <w:rPr>
                <w:rStyle w:val="IndexLink"/>
              </w:rPr>
              <w:t>259</w:t>
            </w:r>
          </w:hyperlink>
        </w:p>
        <w:p>
          <w:pPr>
            <w:pStyle w:val="Contents6"/>
            <w:tabs>
              <w:tab w:val="clear" w:pos="7609"/>
              <w:tab w:val="right" w:pos="9026" w:leader="dot"/>
            </w:tabs>
            <w:rPr/>
          </w:pPr>
          <w:hyperlink w:anchor="__RefHeading___Toc11572858_2142443653">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1572860_2142443653">
            <w:r>
              <w:rPr>
                <w:webHidden/>
                <w:rStyle w:val="IndexLink"/>
                <w:rtl w:val="true"/>
              </w:rPr>
              <w:t>الإشكالات على الدليل الأول</w:t>
            </w:r>
            <w:r>
              <w:rPr>
                <w:rStyle w:val="IndexLink"/>
                <w:rtl w:val="true"/>
              </w:rPr>
              <w:tab/>
            </w:r>
            <w:r>
              <w:rPr>
                <w:rStyle w:val="IndexLink"/>
              </w:rPr>
              <w:t>259</w:t>
            </w:r>
          </w:hyperlink>
        </w:p>
        <w:p>
          <w:pPr>
            <w:pStyle w:val="Contents6"/>
            <w:tabs>
              <w:tab w:val="clear" w:pos="7609"/>
              <w:tab w:val="right" w:pos="9026" w:leader="dot"/>
            </w:tabs>
            <w:rPr/>
          </w:pPr>
          <w:hyperlink w:anchor="__RefHeading___Toc11572862_2142443653">
            <w:r>
              <w:rPr>
                <w:webHidden/>
                <w:rStyle w:val="IndexLink"/>
                <w:rtl w:val="true"/>
              </w:rPr>
              <w:t>الدليل الثاني</w:t>
            </w:r>
            <w:r>
              <w:rPr>
                <w:rStyle w:val="IndexLink"/>
                <w:rtl w:val="true"/>
              </w:rPr>
              <w:t xml:space="preserve">: </w:t>
            </w:r>
            <w:r>
              <w:rPr>
                <w:rStyle w:val="IndexLink"/>
                <w:rtl w:val="true"/>
              </w:rPr>
              <w:t xml:space="preserve">قوله تعالى </w:t>
            </w:r>
            <w:r>
              <w:rPr>
                <w:rStyle w:val="IndexLink"/>
                <w:rtl w:val="true"/>
              </w:rPr>
              <w:t>{</w:t>
            </w:r>
            <w:r>
              <w:rPr>
                <w:rStyle w:val="IndexLink"/>
                <w:rtl w:val="true"/>
              </w:rPr>
              <w:t>وَ إِذا سَأَلْتُمُوهُنَّ مَتاعاً فَسْئَلُوهُنَّ مِنْ وَراءِ حِجابٍ</w:t>
            </w:r>
            <w:r>
              <w:rPr>
                <w:rStyle w:val="IndexLink"/>
                <w:rtl w:val="true"/>
              </w:rPr>
              <w:t>}</w:t>
              <w:tab/>
            </w:r>
            <w:r>
              <w:rPr>
                <w:rStyle w:val="IndexLink"/>
              </w:rPr>
              <w:t>269</w:t>
            </w:r>
          </w:hyperlink>
        </w:p>
        <w:p>
          <w:pPr>
            <w:pStyle w:val="Contents6"/>
            <w:tabs>
              <w:tab w:val="clear" w:pos="7609"/>
              <w:tab w:val="right" w:pos="9026" w:leader="dot"/>
            </w:tabs>
            <w:rPr/>
          </w:pPr>
          <w:hyperlink w:anchor="__RefHeading___Toc11572864_2142443653">
            <w:r>
              <w:rPr>
                <w:webHidden/>
                <w:rStyle w:val="IndexLink"/>
                <w:rtl w:val="true"/>
              </w:rPr>
              <w:t>الدليل الثالث</w:t>
            </w:r>
            <w:r>
              <w:rPr>
                <w:rStyle w:val="IndexLink"/>
                <w:rtl w:val="true"/>
              </w:rPr>
              <w:t xml:space="preserve">: </w:t>
            </w:r>
            <w:r>
              <w:rPr>
                <w:rStyle w:val="IndexLink"/>
                <w:rtl w:val="true"/>
              </w:rPr>
              <w:t>قوله تعالى</w:t>
            </w:r>
            <w:r>
              <w:rPr>
                <w:rStyle w:val="IndexLink"/>
                <w:rtl w:val="true"/>
              </w:rPr>
              <w:t>: {</w:t>
            </w:r>
            <w:r>
              <w:rPr>
                <w:rStyle w:val="IndexLink"/>
                <w:rtl w:val="true"/>
              </w:rPr>
              <w:t>وَ لا يُبْدينَ زينَتَهُنَّ إِلاَّ لِبُعُولَتِهِنَّ</w:t>
            </w:r>
            <w:r>
              <w:rPr>
                <w:rStyle w:val="IndexLink"/>
                <w:rtl w:val="true"/>
              </w:rPr>
              <w:t>}</w:t>
              <w:tab/>
            </w:r>
            <w:r>
              <w:rPr>
                <w:rStyle w:val="IndexLink"/>
              </w:rPr>
              <w:t>273</w:t>
            </w:r>
          </w:hyperlink>
        </w:p>
        <w:p>
          <w:pPr>
            <w:pStyle w:val="Contents6"/>
            <w:tabs>
              <w:tab w:val="clear" w:pos="7609"/>
              <w:tab w:val="right" w:pos="9026" w:leader="dot"/>
            </w:tabs>
            <w:rPr/>
          </w:pPr>
          <w:hyperlink w:anchor="__RefHeading___Toc11572866_2142443653">
            <w:r>
              <w:rPr>
                <w:webHidden/>
                <w:rStyle w:val="IndexLink"/>
                <w:rtl w:val="true"/>
              </w:rPr>
              <w:t>الدليل الرابع</w:t>
            </w:r>
            <w:r>
              <w:rPr>
                <w:rStyle w:val="IndexLink"/>
                <w:rtl w:val="true"/>
              </w:rPr>
              <w:t xml:space="preserve">: </w:t>
            </w:r>
            <w:r>
              <w:rPr>
                <w:rStyle w:val="IndexLink"/>
                <w:rtl w:val="true"/>
              </w:rPr>
              <w:t>آية القواعد من النساء</w:t>
            </w:r>
            <w:r>
              <w:rPr>
                <w:rStyle w:val="IndexLink"/>
                <w:rtl w:val="true"/>
              </w:rPr>
              <w:tab/>
            </w:r>
            <w:r>
              <w:rPr>
                <w:rStyle w:val="IndexLink"/>
              </w:rPr>
              <w:t>275</w:t>
            </w:r>
          </w:hyperlink>
        </w:p>
        <w:p>
          <w:pPr>
            <w:pStyle w:val="Contents6"/>
            <w:tabs>
              <w:tab w:val="clear" w:pos="7609"/>
              <w:tab w:val="right" w:pos="9026" w:leader="dot"/>
            </w:tabs>
            <w:rPr/>
          </w:pPr>
          <w:hyperlink w:anchor="__RefHeading___Toc11572868_2142443653">
            <w:r>
              <w:rPr>
                <w:webHidden/>
                <w:rStyle w:val="IndexLink"/>
                <w:rtl w:val="true"/>
              </w:rPr>
              <w:t>الدليل الخامس</w:t>
            </w:r>
            <w:r>
              <w:rPr>
                <w:rStyle w:val="IndexLink"/>
                <w:rtl w:val="true"/>
              </w:rPr>
              <w:t xml:space="preserve">: </w:t>
            </w:r>
            <w:r>
              <w:rPr>
                <w:rStyle w:val="IndexLink"/>
                <w:rtl w:val="true"/>
              </w:rPr>
              <w:t>قوله تعالى</w:t>
            </w:r>
            <w:r>
              <w:rPr>
                <w:rStyle w:val="IndexLink"/>
                <w:rtl w:val="true"/>
              </w:rPr>
              <w:t>: {</w:t>
            </w:r>
            <w:r>
              <w:rPr>
                <w:rStyle w:val="IndexLink"/>
                <w:rtl w:val="true"/>
              </w:rPr>
              <w:t>وَ لْيَضْرِبْنَ بِخُمُرِهِنَّ عَلى جُيُوبِهِنَّ</w:t>
            </w:r>
            <w:r>
              <w:rPr>
                <w:rStyle w:val="IndexLink"/>
                <w:rtl w:val="true"/>
              </w:rPr>
              <w:t>}</w:t>
              <w:tab/>
            </w:r>
            <w:r>
              <w:rPr>
                <w:rStyle w:val="IndexLink"/>
              </w:rPr>
              <w:t>277</w:t>
            </w:r>
          </w:hyperlink>
        </w:p>
        <w:p>
          <w:pPr>
            <w:pStyle w:val="Contents6"/>
            <w:tabs>
              <w:tab w:val="clear" w:pos="7609"/>
              <w:tab w:val="right" w:pos="9026" w:leader="dot"/>
            </w:tabs>
            <w:rPr/>
          </w:pPr>
          <w:hyperlink w:anchor="__RefHeading___Toc11572870_2142443653">
            <w:r>
              <w:rPr>
                <w:webHidden/>
                <w:rStyle w:val="IndexLink"/>
                <w:rtl w:val="true"/>
              </w:rPr>
              <w:t>الدليل السادس</w:t>
            </w:r>
            <w:r>
              <w:rPr>
                <w:rStyle w:val="IndexLink"/>
                <w:rtl w:val="true"/>
              </w:rPr>
              <w:t xml:space="preserve">: </w:t>
            </w:r>
            <w:r>
              <w:rPr>
                <w:rStyle w:val="IndexLink"/>
                <w:rtl w:val="true"/>
              </w:rPr>
              <w:t>آية الحجاب</w:t>
            </w:r>
            <w:r>
              <w:rPr>
                <w:rStyle w:val="IndexLink"/>
                <w:rtl w:val="true"/>
              </w:rPr>
              <w:tab/>
            </w:r>
            <w:r>
              <w:rPr>
                <w:rStyle w:val="IndexLink"/>
              </w:rPr>
              <w:t>278</w:t>
            </w:r>
          </w:hyperlink>
        </w:p>
        <w:p>
          <w:pPr>
            <w:pStyle w:val="Contents6"/>
            <w:tabs>
              <w:tab w:val="clear" w:pos="7609"/>
              <w:tab w:val="right" w:pos="9026" w:leader="dot"/>
            </w:tabs>
            <w:rPr/>
          </w:pPr>
          <w:hyperlink w:anchor="__RefHeading___Toc11572872_2142443653">
            <w:r>
              <w:rPr>
                <w:webHidden/>
                <w:rStyle w:val="IndexLink"/>
                <w:rtl w:val="true"/>
              </w:rPr>
              <w:t>الدليل السابع</w:t>
            </w:r>
            <w:r>
              <w:rPr>
                <w:rStyle w:val="IndexLink"/>
                <w:rtl w:val="true"/>
              </w:rPr>
              <w:t xml:space="preserve">: </w:t>
            </w:r>
            <w:r>
              <w:rPr>
                <w:rStyle w:val="IndexLink"/>
                <w:rtl w:val="true"/>
              </w:rPr>
              <w:t>الروايات الدالة على جواز النظر إلى وجه المرأة ويديها إذا أراد الزواج بها</w:t>
            </w:r>
            <w:r>
              <w:rPr>
                <w:rStyle w:val="IndexLink"/>
                <w:rtl w:val="true"/>
              </w:rPr>
              <w:tab/>
            </w:r>
            <w:r>
              <w:rPr>
                <w:rStyle w:val="IndexLink"/>
              </w:rPr>
              <w:t>279</w:t>
            </w:r>
          </w:hyperlink>
        </w:p>
        <w:p>
          <w:pPr>
            <w:pStyle w:val="Contents6"/>
            <w:tabs>
              <w:tab w:val="clear" w:pos="7609"/>
              <w:tab w:val="right" w:pos="9026" w:leader="dot"/>
            </w:tabs>
            <w:rPr/>
          </w:pPr>
          <w:hyperlink w:anchor="__RefHeading___Toc11572874_2142443653">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1572876_2142443653">
            <w:r>
              <w:rPr>
                <w:webHidden/>
                <w:rStyle w:val="IndexLink"/>
                <w:rtl w:val="true"/>
              </w:rPr>
              <w:t>الإشكالات على الدليل السابع</w:t>
            </w:r>
            <w:r>
              <w:rPr>
                <w:rStyle w:val="IndexLink"/>
                <w:rtl w:val="true"/>
              </w:rPr>
              <w:tab/>
            </w:r>
            <w:r>
              <w:rPr>
                <w:rStyle w:val="IndexLink"/>
              </w:rPr>
              <w:t>279</w:t>
            </w:r>
          </w:hyperlink>
        </w:p>
        <w:p>
          <w:pPr>
            <w:pStyle w:val="Contents6"/>
            <w:tabs>
              <w:tab w:val="clear" w:pos="7609"/>
              <w:tab w:val="right" w:pos="9026" w:leader="dot"/>
            </w:tabs>
            <w:rPr/>
          </w:pPr>
          <w:hyperlink w:anchor="__RefHeading___Toc11572878_2142443653">
            <w:r>
              <w:rPr>
                <w:webHidden/>
                <w:rStyle w:val="IndexLink"/>
                <w:rtl w:val="true"/>
              </w:rPr>
              <w:t>الدليل الثامن</w:t>
            </w:r>
            <w:r>
              <w:rPr>
                <w:rStyle w:val="IndexLink"/>
                <w:rtl w:val="true"/>
              </w:rPr>
              <w:t xml:space="preserve">: </w:t>
            </w:r>
            <w:r>
              <w:rPr>
                <w:rStyle w:val="IndexLink"/>
                <w:rtl w:val="true"/>
              </w:rPr>
              <w:t>الأخبار الدالة على جواز النظر إلى وجه الذمية ويديها</w:t>
            </w:r>
            <w:r>
              <w:rPr>
                <w:rStyle w:val="IndexLink"/>
                <w:rtl w:val="true"/>
              </w:rPr>
              <w:tab/>
            </w:r>
            <w:r>
              <w:rPr>
                <w:rStyle w:val="IndexLink"/>
              </w:rPr>
              <w:t>283</w:t>
            </w:r>
          </w:hyperlink>
        </w:p>
        <w:p>
          <w:pPr>
            <w:pStyle w:val="Contents6"/>
            <w:tabs>
              <w:tab w:val="clear" w:pos="7609"/>
              <w:tab w:val="right" w:pos="9026" w:leader="dot"/>
            </w:tabs>
            <w:rPr/>
          </w:pPr>
          <w:hyperlink w:anchor="__RefHeading___Toc11572880_2142443653">
            <w:r>
              <w:rPr>
                <w:webHidden/>
                <w:rStyle w:val="IndexLink"/>
                <w:rtl w:val="true"/>
              </w:rPr>
              <w:t>الدليل التاسع</w:t>
            </w:r>
            <w:r>
              <w:rPr>
                <w:rStyle w:val="IndexLink"/>
                <w:rtl w:val="true"/>
              </w:rPr>
              <w:t xml:space="preserve">: </w:t>
            </w:r>
            <w:r>
              <w:rPr>
                <w:rStyle w:val="IndexLink"/>
                <w:rtl w:val="true"/>
              </w:rPr>
              <w:t>صحيحة الصفار</w:t>
            </w:r>
            <w:r>
              <w:rPr>
                <w:rStyle w:val="IndexLink"/>
                <w:rtl w:val="true"/>
              </w:rPr>
              <w:tab/>
            </w:r>
            <w:r>
              <w:rPr>
                <w:rStyle w:val="IndexLink"/>
              </w:rPr>
              <w:t>285</w:t>
            </w:r>
          </w:hyperlink>
        </w:p>
        <w:p>
          <w:pPr>
            <w:pStyle w:val="Contents6"/>
            <w:tabs>
              <w:tab w:val="clear" w:pos="7609"/>
              <w:tab w:val="right" w:pos="9026" w:leader="dot"/>
            </w:tabs>
            <w:rPr/>
          </w:pPr>
          <w:hyperlink w:anchor="__RefHeading___Toc11572882_2142443653">
            <w:r>
              <w:rPr>
                <w:webHidden/>
                <w:rStyle w:val="IndexLink"/>
                <w:rtl w:val="true"/>
              </w:rPr>
              <w:t>الدليل العاشر</w:t>
            </w:r>
            <w:r>
              <w:rPr>
                <w:rStyle w:val="IndexLink"/>
                <w:rtl w:val="true"/>
              </w:rPr>
              <w:t xml:space="preserve">: </w:t>
            </w:r>
            <w:r>
              <w:rPr>
                <w:rStyle w:val="IndexLink"/>
                <w:rtl w:val="true"/>
              </w:rPr>
              <w:t>صحيحة الفضيل</w:t>
            </w:r>
            <w:r>
              <w:rPr>
                <w:rStyle w:val="IndexLink"/>
                <w:rtl w:val="true"/>
              </w:rPr>
              <w:tab/>
            </w:r>
            <w:r>
              <w:rPr>
                <w:rStyle w:val="IndexLink"/>
              </w:rPr>
              <w:t>290</w:t>
            </w:r>
          </w:hyperlink>
        </w:p>
        <w:p>
          <w:pPr>
            <w:pStyle w:val="Contents6"/>
            <w:tabs>
              <w:tab w:val="clear" w:pos="7609"/>
              <w:tab w:val="right" w:pos="9026" w:leader="dot"/>
            </w:tabs>
            <w:rPr/>
          </w:pPr>
          <w:hyperlink w:anchor="__RefHeading___Toc11572884_2142443653">
            <w:r>
              <w:rPr>
                <w:webHidden/>
                <w:rStyle w:val="IndexLink"/>
                <w:rtl w:val="true"/>
              </w:rPr>
              <w:t>الدليل الحادي عشر</w:t>
            </w:r>
            <w:r>
              <w:rPr>
                <w:rStyle w:val="IndexLink"/>
                <w:rtl w:val="true"/>
              </w:rPr>
              <w:t xml:space="preserve">: </w:t>
            </w:r>
            <w:r>
              <w:rPr>
                <w:rStyle w:val="IndexLink"/>
                <w:rtl w:val="true"/>
              </w:rPr>
              <w:t>الأخبار الدالة على أن النظر إلى الأجنبية سهم من سهام إبليس</w:t>
            </w:r>
            <w:r>
              <w:rPr>
                <w:rStyle w:val="IndexLink"/>
                <w:rtl w:val="true"/>
              </w:rPr>
              <w:tab/>
            </w:r>
            <w:r>
              <w:rPr>
                <w:rStyle w:val="IndexLink"/>
              </w:rPr>
              <w:t>291</w:t>
            </w:r>
          </w:hyperlink>
        </w:p>
        <w:p>
          <w:pPr>
            <w:pStyle w:val="Contents6"/>
            <w:tabs>
              <w:tab w:val="clear" w:pos="7609"/>
              <w:tab w:val="right" w:pos="9026" w:leader="dot"/>
            </w:tabs>
            <w:rPr/>
          </w:pPr>
          <w:hyperlink w:anchor="__RefHeading___Toc11572886_2142443653">
            <w:r>
              <w:rPr>
                <w:webHidden/>
                <w:rStyle w:val="IndexLink"/>
                <w:rtl w:val="true"/>
              </w:rPr>
              <w:t>الدليل الثاني عشر</w:t>
            </w:r>
            <w:r>
              <w:rPr>
                <w:rStyle w:val="IndexLink"/>
                <w:rtl w:val="true"/>
              </w:rPr>
              <w:t xml:space="preserve">: </w:t>
            </w:r>
            <w:r>
              <w:rPr>
                <w:rStyle w:val="IndexLink"/>
                <w:rtl w:val="true"/>
              </w:rPr>
              <w:t>رواية الفضيل</w:t>
            </w:r>
            <w:r>
              <w:rPr>
                <w:rStyle w:val="IndexLink"/>
                <w:rtl w:val="true"/>
              </w:rPr>
              <w:tab/>
            </w:r>
            <w:r>
              <w:rPr>
                <w:rStyle w:val="IndexLink"/>
              </w:rPr>
              <w:t>295</w:t>
            </w:r>
          </w:hyperlink>
        </w:p>
        <w:p>
          <w:pPr>
            <w:pStyle w:val="Contents6"/>
            <w:tabs>
              <w:tab w:val="clear" w:pos="7609"/>
              <w:tab w:val="right" w:pos="9026" w:leader="dot"/>
            </w:tabs>
            <w:rPr/>
          </w:pPr>
          <w:hyperlink w:anchor="__RefHeading___Toc11572888_2142443653">
            <w:r>
              <w:rPr>
                <w:webHidden/>
                <w:rStyle w:val="IndexLink"/>
                <w:rtl w:val="true"/>
              </w:rPr>
              <w:t>الدليل الثالث عشر</w:t>
            </w:r>
            <w:r>
              <w:rPr>
                <w:rStyle w:val="IndexLink"/>
                <w:rtl w:val="true"/>
              </w:rPr>
              <w:t xml:space="preserve">: </w:t>
            </w:r>
            <w:r>
              <w:rPr>
                <w:rStyle w:val="IndexLink"/>
                <w:rtl w:val="true"/>
              </w:rPr>
              <w:t>الروايات الدالة على ذم أهل الكوفة ويزيد لإبدائهم المخدرات</w:t>
            </w:r>
            <w:r>
              <w:rPr>
                <w:rStyle w:val="IndexLink"/>
                <w:rtl w:val="true"/>
              </w:rPr>
              <w:tab/>
            </w:r>
            <w:r>
              <w:rPr>
                <w:rStyle w:val="IndexLink"/>
              </w:rPr>
              <w:t>298</w:t>
            </w:r>
          </w:hyperlink>
        </w:p>
        <w:p>
          <w:pPr>
            <w:pStyle w:val="Contents6"/>
            <w:tabs>
              <w:tab w:val="clear" w:pos="7609"/>
              <w:tab w:val="right" w:pos="9026" w:leader="dot"/>
            </w:tabs>
            <w:rPr/>
          </w:pPr>
          <w:hyperlink w:anchor="__RefHeading___Toc11572890_2142443653">
            <w:r>
              <w:rPr>
                <w:webHidden/>
                <w:rStyle w:val="IndexLink"/>
                <w:rtl w:val="true"/>
              </w:rPr>
              <w:t>الدليل الرابع عشر</w:t>
            </w:r>
            <w:r>
              <w:rPr>
                <w:rStyle w:val="IndexLink"/>
                <w:rtl w:val="true"/>
              </w:rPr>
              <w:t xml:space="preserve">: </w:t>
            </w:r>
            <w:r>
              <w:rPr>
                <w:rStyle w:val="IndexLink"/>
                <w:rtl w:val="true"/>
              </w:rPr>
              <w:t>دليل العقل</w:t>
            </w:r>
            <w:r>
              <w:rPr>
                <w:rStyle w:val="IndexLink"/>
                <w:rtl w:val="true"/>
              </w:rPr>
              <w:tab/>
            </w:r>
            <w:r>
              <w:rPr>
                <w:rStyle w:val="IndexLink"/>
              </w:rPr>
              <w:t>299</w:t>
            </w:r>
          </w:hyperlink>
        </w:p>
        <w:p>
          <w:pPr>
            <w:pStyle w:val="Contents6"/>
            <w:tabs>
              <w:tab w:val="clear" w:pos="7609"/>
              <w:tab w:val="right" w:pos="9026" w:leader="dot"/>
            </w:tabs>
            <w:rPr/>
          </w:pPr>
          <w:hyperlink w:anchor="__RefHeading___Toc11572892_2142443653">
            <w:r>
              <w:rPr>
                <w:webHidden/>
                <w:rStyle w:val="IndexLink"/>
                <w:rtl w:val="true"/>
              </w:rPr>
              <w:t>الدليل الخامس عشر</w:t>
            </w:r>
            <w:r>
              <w:rPr>
                <w:rStyle w:val="IndexLink"/>
                <w:rtl w:val="true"/>
              </w:rPr>
              <w:t xml:space="preserve">: </w:t>
            </w:r>
            <w:r>
              <w:rPr>
                <w:rStyle w:val="IndexLink"/>
                <w:rtl w:val="true"/>
              </w:rPr>
              <w:t>الإجماع</w:t>
            </w:r>
            <w:r>
              <w:rPr>
                <w:rStyle w:val="IndexLink"/>
                <w:rtl w:val="true"/>
              </w:rPr>
              <w:tab/>
            </w:r>
            <w:r>
              <w:rPr>
                <w:rStyle w:val="IndexLink"/>
              </w:rPr>
              <w:t>301</w:t>
            </w:r>
          </w:hyperlink>
        </w:p>
        <w:p>
          <w:pPr>
            <w:pStyle w:val="Contents6"/>
            <w:tabs>
              <w:tab w:val="clear" w:pos="7609"/>
              <w:tab w:val="right" w:pos="9026" w:leader="dot"/>
            </w:tabs>
            <w:rPr/>
          </w:pPr>
          <w:hyperlink w:anchor="__RefHeading___Toc11572894_2142443653">
            <w:r>
              <w:rPr>
                <w:webHidden/>
                <w:rStyle w:val="IndexLink"/>
                <w:rtl w:val="true"/>
              </w:rPr>
              <w:t>الدليل السادس عشر</w:t>
            </w:r>
            <w:r>
              <w:rPr>
                <w:rStyle w:val="IndexLink"/>
                <w:rtl w:val="true"/>
              </w:rPr>
              <w:t xml:space="preserve">: </w:t>
            </w:r>
            <w:r>
              <w:rPr>
                <w:rStyle w:val="IndexLink"/>
                <w:rtl w:val="true"/>
              </w:rPr>
              <w:t>السيرة المستمرة على الستر وعدم النظر</w:t>
            </w:r>
            <w:r>
              <w:rPr>
                <w:rStyle w:val="IndexLink"/>
                <w:rtl w:val="true"/>
              </w:rPr>
              <w:tab/>
            </w:r>
            <w:r>
              <w:rPr>
                <w:rStyle w:val="IndexLink"/>
              </w:rPr>
              <w:t>304</w:t>
            </w:r>
          </w:hyperlink>
        </w:p>
        <w:p>
          <w:pPr>
            <w:pStyle w:val="Contents6"/>
            <w:tabs>
              <w:tab w:val="clear" w:pos="7609"/>
              <w:tab w:val="right" w:pos="9026" w:leader="dot"/>
            </w:tabs>
            <w:rPr/>
          </w:pPr>
          <w:hyperlink w:anchor="__RefHeading___Toc11572896_2142443653">
            <w:r>
              <w:rPr>
                <w:webHidden/>
                <w:rStyle w:val="IndexLink"/>
                <w:rtl w:val="true"/>
              </w:rPr>
              <w:t>الدليل السابع عشر</w:t>
            </w:r>
            <w:r>
              <w:rPr>
                <w:rStyle w:val="IndexLink"/>
                <w:rtl w:val="true"/>
              </w:rPr>
              <w:t xml:space="preserve">: </w:t>
            </w:r>
            <w:r>
              <w:rPr>
                <w:rStyle w:val="IndexLink"/>
                <w:rtl w:val="true"/>
              </w:rPr>
              <w:t>الستر مقتضى مرتكزات المتشرعة</w:t>
            </w:r>
            <w:r>
              <w:rPr>
                <w:rStyle w:val="IndexLink"/>
                <w:rtl w:val="true"/>
              </w:rPr>
              <w:tab/>
            </w:r>
            <w:r>
              <w:rPr>
                <w:rStyle w:val="IndexLink"/>
              </w:rPr>
              <w:t>305</w:t>
            </w:r>
          </w:hyperlink>
        </w:p>
        <w:p>
          <w:pPr>
            <w:pStyle w:val="Contents6"/>
            <w:tabs>
              <w:tab w:val="clear" w:pos="7609"/>
              <w:tab w:val="right" w:pos="9026" w:leader="dot"/>
            </w:tabs>
            <w:rPr/>
          </w:pPr>
          <w:hyperlink w:anchor="__RefHeading___Toc11572898_2142443653">
            <w:r>
              <w:rPr>
                <w:webHidden/>
                <w:rStyle w:val="IndexLink"/>
                <w:rtl w:val="true"/>
              </w:rPr>
              <w:t>الدليل الثامن عشر</w:t>
            </w:r>
            <w:r>
              <w:rPr>
                <w:rStyle w:val="IndexLink"/>
                <w:rtl w:val="true"/>
              </w:rPr>
              <w:t xml:space="preserve">: </w:t>
            </w:r>
            <w:r>
              <w:rPr>
                <w:rStyle w:val="IndexLink"/>
                <w:rtl w:val="true"/>
              </w:rPr>
              <w:t xml:space="preserve">اجتناب النبي والأئمة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واتباعهم عن النظر</w:t>
            </w:r>
            <w:r>
              <w:rPr>
                <w:rStyle w:val="IndexLink"/>
                <w:rtl w:val="true"/>
              </w:rPr>
              <w:tab/>
            </w:r>
            <w:r>
              <w:rPr>
                <w:rStyle w:val="IndexLink"/>
              </w:rPr>
              <w:t>306</w:t>
            </w:r>
          </w:hyperlink>
        </w:p>
        <w:p>
          <w:pPr>
            <w:pStyle w:val="Contents6"/>
            <w:tabs>
              <w:tab w:val="clear" w:pos="7609"/>
              <w:tab w:val="right" w:pos="9026" w:leader="dot"/>
            </w:tabs>
            <w:rPr/>
          </w:pPr>
          <w:hyperlink w:anchor="__RefHeading___Toc11572900_2142443653">
            <w:r>
              <w:rPr>
                <w:webHidden/>
                <w:rStyle w:val="IndexLink"/>
                <w:rtl w:val="true"/>
              </w:rPr>
              <w:t>الدليل التاسع عشر</w:t>
            </w:r>
            <w:r>
              <w:rPr>
                <w:rStyle w:val="IndexLink"/>
                <w:rtl w:val="true"/>
              </w:rPr>
              <w:t xml:space="preserve">: </w:t>
            </w:r>
            <w:r>
              <w:rPr>
                <w:rStyle w:val="IndexLink"/>
                <w:rtl w:val="true"/>
              </w:rPr>
              <w:t>معرفة المسلمين والمسلمات بالتستر</w:t>
            </w:r>
            <w:r>
              <w:rPr>
                <w:rStyle w:val="IndexLink"/>
                <w:rtl w:val="true"/>
              </w:rPr>
              <w:tab/>
            </w:r>
            <w:r>
              <w:rPr>
                <w:rStyle w:val="IndexLink"/>
              </w:rPr>
              <w:t>306</w:t>
            </w:r>
          </w:hyperlink>
        </w:p>
        <w:p>
          <w:pPr>
            <w:pStyle w:val="Contents6"/>
            <w:tabs>
              <w:tab w:val="clear" w:pos="7609"/>
              <w:tab w:val="right" w:pos="9026" w:leader="dot"/>
            </w:tabs>
            <w:rPr/>
          </w:pPr>
          <w:hyperlink w:anchor="__RefHeading___Toc11572902_2142443653">
            <w:r>
              <w:rPr>
                <w:webHidden/>
                <w:rStyle w:val="IndexLink"/>
                <w:rtl w:val="true"/>
              </w:rPr>
              <w:t>الدليل العشرون</w:t>
            </w:r>
            <w:r>
              <w:rPr>
                <w:rStyle w:val="IndexLink"/>
                <w:rtl w:val="true"/>
              </w:rPr>
              <w:t xml:space="preserve">: </w:t>
            </w:r>
            <w:r>
              <w:rPr>
                <w:rStyle w:val="IndexLink"/>
                <w:rtl w:val="true"/>
              </w:rPr>
              <w:t>ارتكاز كون النظر معصية توجب التوبة</w:t>
            </w:r>
            <w:r>
              <w:rPr>
                <w:rStyle w:val="IndexLink"/>
                <w:rtl w:val="true"/>
              </w:rPr>
              <w:tab/>
            </w:r>
            <w:r>
              <w:rPr>
                <w:rStyle w:val="IndexLink"/>
              </w:rPr>
              <w:t>307</w:t>
            </w:r>
          </w:hyperlink>
        </w:p>
        <w:p>
          <w:pPr>
            <w:pStyle w:val="Contents6"/>
            <w:tabs>
              <w:tab w:val="clear" w:pos="7609"/>
              <w:tab w:val="right" w:pos="9026" w:leader="dot"/>
            </w:tabs>
            <w:rPr/>
          </w:pPr>
          <w:hyperlink w:anchor="__RefHeading___Toc11572904_2142443653">
            <w:r>
              <w:rPr>
                <w:webHidden/>
                <w:rStyle w:val="IndexLink"/>
                <w:rtl w:val="true"/>
              </w:rPr>
              <w:t>الدليل الواحد والعشرون</w:t>
            </w:r>
            <w:r>
              <w:rPr>
                <w:rStyle w:val="IndexLink"/>
                <w:rtl w:val="true"/>
              </w:rPr>
              <w:t xml:space="preserve">: </w:t>
            </w:r>
            <w:r>
              <w:rPr>
                <w:rStyle w:val="IndexLink"/>
                <w:rtl w:val="true"/>
              </w:rPr>
              <w:t>قصور أدلة جواز النظر عن الدلالة</w:t>
            </w:r>
            <w:r>
              <w:rPr>
                <w:rStyle w:val="IndexLink"/>
                <w:rtl w:val="true"/>
              </w:rPr>
              <w:tab/>
            </w:r>
            <w:r>
              <w:rPr>
                <w:rStyle w:val="IndexLink"/>
              </w:rPr>
              <w:t>309</w:t>
            </w:r>
          </w:hyperlink>
        </w:p>
        <w:p>
          <w:pPr>
            <w:pStyle w:val="Contents6"/>
            <w:tabs>
              <w:tab w:val="clear" w:pos="7609"/>
              <w:tab w:val="right" w:pos="9026" w:leader="dot"/>
            </w:tabs>
            <w:rPr/>
          </w:pPr>
          <w:hyperlink w:anchor="__RefHeading___Toc11572906_2142443653">
            <w:r>
              <w:rPr>
                <w:webHidden/>
                <w:rStyle w:val="IndexLink"/>
                <w:rtl w:val="true"/>
              </w:rPr>
              <w:t>الدليل الثاني والعشرون</w:t>
            </w:r>
            <w:r>
              <w:rPr>
                <w:rStyle w:val="IndexLink"/>
                <w:rtl w:val="true"/>
              </w:rPr>
              <w:t xml:space="preserve">: </w:t>
            </w:r>
            <w:r>
              <w:rPr>
                <w:rStyle w:val="IndexLink"/>
                <w:rtl w:val="true"/>
              </w:rPr>
              <w:t>تتبع الأخبار يؤذن بالمنع من النظر</w:t>
            </w:r>
            <w:r>
              <w:rPr>
                <w:rStyle w:val="IndexLink"/>
                <w:rtl w:val="true"/>
              </w:rPr>
              <w:tab/>
            </w:r>
            <w:r>
              <w:rPr>
                <w:rStyle w:val="IndexLink"/>
              </w:rPr>
              <w:t>309</w:t>
            </w:r>
          </w:hyperlink>
        </w:p>
        <w:p>
          <w:pPr>
            <w:pStyle w:val="Contents6"/>
            <w:tabs>
              <w:tab w:val="clear" w:pos="7609"/>
              <w:tab w:val="right" w:pos="9026" w:leader="dot"/>
            </w:tabs>
            <w:rPr/>
          </w:pPr>
          <w:hyperlink w:anchor="__RefHeading___Toc11572908_2142443653">
            <w:r>
              <w:rPr>
                <w:webHidden/>
                <w:rStyle w:val="IndexLink"/>
                <w:rtl w:val="true"/>
              </w:rPr>
              <w:t>الدليل الثالث والعشرون</w:t>
            </w:r>
            <w:r>
              <w:rPr>
                <w:rStyle w:val="IndexLink"/>
                <w:rtl w:val="true"/>
              </w:rPr>
              <w:t xml:space="preserve">: </w:t>
            </w:r>
            <w:r>
              <w:rPr>
                <w:rStyle w:val="IndexLink"/>
                <w:rtl w:val="true"/>
              </w:rPr>
              <w:t>لو كان جواز النظر ثابتاً لكان من الواضحات المشهورات</w:t>
            </w:r>
            <w:r>
              <w:rPr>
                <w:rStyle w:val="IndexLink"/>
                <w:rtl w:val="true"/>
              </w:rPr>
              <w:tab/>
            </w:r>
            <w:r>
              <w:rPr>
                <w:rStyle w:val="IndexLink"/>
              </w:rPr>
              <w:t>313</w:t>
            </w:r>
          </w:hyperlink>
        </w:p>
        <w:p>
          <w:pPr>
            <w:pStyle w:val="Contents6"/>
            <w:tabs>
              <w:tab w:val="clear" w:pos="7609"/>
              <w:tab w:val="right" w:pos="9026" w:leader="dot"/>
            </w:tabs>
            <w:rPr/>
          </w:pPr>
          <w:hyperlink w:anchor="__RefHeading___Toc11572910_2142443653">
            <w:r>
              <w:rPr>
                <w:webHidden/>
                <w:rStyle w:val="IndexLink"/>
                <w:rtl w:val="true"/>
              </w:rPr>
              <w:t>الدليل الرابع والعشرون</w:t>
            </w:r>
            <w:r>
              <w:rPr>
                <w:rStyle w:val="IndexLink"/>
                <w:rtl w:val="true"/>
              </w:rPr>
              <w:t xml:space="preserve">: </w:t>
            </w:r>
            <w:r>
              <w:rPr>
                <w:rStyle w:val="IndexLink"/>
                <w:rtl w:val="true"/>
              </w:rPr>
              <w:t>الشهرة بين القدماء</w:t>
            </w:r>
            <w:r>
              <w:rPr>
                <w:rStyle w:val="IndexLink"/>
                <w:rtl w:val="true"/>
              </w:rPr>
              <w:tab/>
            </w:r>
            <w:r>
              <w:rPr>
                <w:rStyle w:val="IndexLink"/>
              </w:rPr>
              <w:t>315</w:t>
            </w:r>
          </w:hyperlink>
        </w:p>
        <w:p>
          <w:pPr>
            <w:pStyle w:val="Contents6"/>
            <w:tabs>
              <w:tab w:val="clear" w:pos="7609"/>
              <w:tab w:val="right" w:pos="9026" w:leader="dot"/>
            </w:tabs>
            <w:rPr/>
          </w:pPr>
          <w:hyperlink w:anchor="__RefHeading___Toc11572912_2142443653">
            <w:r>
              <w:rPr>
                <w:webHidden/>
                <w:rStyle w:val="IndexLink"/>
                <w:rtl w:val="true"/>
              </w:rPr>
              <w:t>الدليل الخامس والعشرون</w:t>
            </w:r>
            <w:r>
              <w:rPr>
                <w:rStyle w:val="IndexLink"/>
                <w:rtl w:val="true"/>
              </w:rPr>
              <w:t xml:space="preserve">: </w:t>
            </w:r>
            <w:r>
              <w:rPr>
                <w:rStyle w:val="IndexLink"/>
                <w:rtl w:val="true"/>
              </w:rPr>
              <w:t>الروايات الدالة على حبس النساء في البيوت</w:t>
            </w:r>
            <w:r>
              <w:rPr>
                <w:rStyle w:val="IndexLink"/>
                <w:rtl w:val="true"/>
              </w:rPr>
              <w:tab/>
            </w:r>
            <w:r>
              <w:rPr>
                <w:rStyle w:val="IndexLink"/>
              </w:rPr>
              <w:t>321</w:t>
            </w:r>
          </w:hyperlink>
        </w:p>
        <w:p>
          <w:pPr>
            <w:pStyle w:val="Contents6"/>
            <w:tabs>
              <w:tab w:val="clear" w:pos="7609"/>
              <w:tab w:val="right" w:pos="9026" w:leader="dot"/>
            </w:tabs>
            <w:rPr/>
          </w:pPr>
          <w:hyperlink w:anchor="__RefHeading___Toc11572914_2142443653">
            <w:r>
              <w:rPr>
                <w:webHidden/>
                <w:rStyle w:val="IndexLink"/>
                <w:rtl w:val="true"/>
              </w:rPr>
              <w:t>الدليل السادس والعشرون</w:t>
            </w:r>
            <w:r>
              <w:rPr>
                <w:rStyle w:val="IndexLink"/>
                <w:rtl w:val="true"/>
              </w:rPr>
              <w:t xml:space="preserve">: </w:t>
            </w:r>
            <w:r>
              <w:rPr>
                <w:rStyle w:val="IndexLink"/>
                <w:rtl w:val="true"/>
              </w:rPr>
              <w:t>الروايات الدالة على أن المرأة عورة</w:t>
            </w:r>
            <w:r>
              <w:rPr>
                <w:rStyle w:val="IndexLink"/>
                <w:rtl w:val="true"/>
              </w:rPr>
              <w:tab/>
            </w:r>
            <w:r>
              <w:rPr>
                <w:rStyle w:val="IndexLink"/>
              </w:rPr>
              <w:t>324</w:t>
            </w:r>
          </w:hyperlink>
        </w:p>
        <w:p>
          <w:pPr>
            <w:pStyle w:val="Contents6"/>
            <w:tabs>
              <w:tab w:val="clear" w:pos="7609"/>
              <w:tab w:val="right" w:pos="9026" w:leader="dot"/>
            </w:tabs>
            <w:rPr/>
          </w:pPr>
          <w:hyperlink w:anchor="__RefHeading___Toc11572916_2142443653">
            <w:r>
              <w:rPr>
                <w:webHidden/>
                <w:rStyle w:val="IndexLink"/>
                <w:rtl w:val="true"/>
              </w:rPr>
              <w:t>الدليل السابع والعشرون</w:t>
            </w:r>
            <w:r>
              <w:rPr>
                <w:rStyle w:val="IndexLink"/>
                <w:rtl w:val="true"/>
              </w:rPr>
              <w:t xml:space="preserve">: </w:t>
            </w:r>
            <w:r>
              <w:rPr>
                <w:rStyle w:val="IndexLink"/>
                <w:rtl w:val="true"/>
              </w:rPr>
              <w:t>الروايات الدالة على وجوب الستر حال الإحرام</w:t>
            </w:r>
            <w:r>
              <w:rPr>
                <w:rStyle w:val="IndexLink"/>
                <w:rtl w:val="true"/>
              </w:rPr>
              <w:tab/>
            </w:r>
            <w:r>
              <w:rPr>
                <w:rStyle w:val="IndexLink"/>
              </w:rPr>
              <w:t>326</w:t>
            </w:r>
          </w:hyperlink>
        </w:p>
        <w:p>
          <w:pPr>
            <w:pStyle w:val="Contents6"/>
            <w:tabs>
              <w:tab w:val="clear" w:pos="7609"/>
              <w:tab w:val="right" w:pos="9026" w:leader="dot"/>
            </w:tabs>
            <w:rPr/>
          </w:pPr>
          <w:hyperlink w:anchor="__RefHeading___Toc11572918_2142443653">
            <w:r>
              <w:rPr>
                <w:webHidden/>
                <w:rStyle w:val="IndexLink"/>
                <w:rtl w:val="true"/>
              </w:rPr>
              <w:t>الدليل الثامن والعشرون</w:t>
            </w:r>
            <w:r>
              <w:rPr>
                <w:rStyle w:val="IndexLink"/>
                <w:rtl w:val="true"/>
              </w:rPr>
              <w:t xml:space="preserve">: </w:t>
            </w:r>
            <w:r>
              <w:rPr>
                <w:rStyle w:val="IndexLink"/>
                <w:rtl w:val="true"/>
              </w:rPr>
              <w:t>الوجدان</w:t>
            </w:r>
            <w:r>
              <w:rPr>
                <w:rStyle w:val="IndexLink"/>
                <w:rtl w:val="true"/>
              </w:rPr>
              <w:tab/>
            </w:r>
            <w:r>
              <w:rPr>
                <w:rStyle w:val="IndexLink"/>
              </w:rPr>
              <w:t>327</w:t>
            </w:r>
          </w:hyperlink>
        </w:p>
        <w:p>
          <w:pPr>
            <w:pStyle w:val="Contents5"/>
            <w:tabs>
              <w:tab w:val="clear" w:pos="7892"/>
              <w:tab w:val="right" w:pos="9026" w:leader="dot"/>
            </w:tabs>
            <w:rPr/>
          </w:pPr>
          <w:hyperlink w:anchor="__RefHeading___Toc11572920_2142443653">
            <w:r>
              <w:rPr>
                <w:webHidden/>
                <w:rStyle w:val="IndexLink"/>
                <w:rtl w:val="true"/>
              </w:rPr>
              <w:t>القول الثالث</w:t>
            </w:r>
            <w:r>
              <w:rPr>
                <w:rStyle w:val="IndexLink"/>
                <w:rtl w:val="true"/>
              </w:rPr>
              <w:t xml:space="preserve">: </w:t>
            </w:r>
            <w:r>
              <w:rPr>
                <w:rStyle w:val="IndexLink"/>
                <w:rtl w:val="true"/>
              </w:rPr>
              <w:t>التفصيل بين النظرة الأولى وغيرها</w:t>
            </w:r>
            <w:r>
              <w:rPr>
                <w:rStyle w:val="IndexLink"/>
                <w:rtl w:val="true"/>
              </w:rPr>
              <w:tab/>
            </w:r>
            <w:r>
              <w:rPr>
                <w:rStyle w:val="IndexLink"/>
              </w:rPr>
              <w:t>328</w:t>
            </w:r>
          </w:hyperlink>
        </w:p>
        <w:p>
          <w:pPr>
            <w:pStyle w:val="Contents6"/>
            <w:tabs>
              <w:tab w:val="clear" w:pos="7609"/>
              <w:tab w:val="right" w:pos="9026" w:leader="dot"/>
            </w:tabs>
            <w:rPr/>
          </w:pPr>
          <w:hyperlink w:anchor="__RefHeading___Toc11572922_2142443653">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1572924_2142443653">
            <w:r>
              <w:rPr>
                <w:webHidden/>
                <w:rStyle w:val="IndexLink"/>
                <w:rtl w:val="true"/>
              </w:rPr>
              <w:t>أدلة القول الثالث</w:t>
            </w:r>
            <w:r>
              <w:rPr>
                <w:rStyle w:val="IndexLink"/>
                <w:rtl w:val="true"/>
              </w:rPr>
              <w:tab/>
            </w:r>
            <w:r>
              <w:rPr>
                <w:rStyle w:val="IndexLink"/>
              </w:rPr>
              <w:t>328</w:t>
            </w:r>
          </w:hyperlink>
        </w:p>
        <w:p>
          <w:pPr>
            <w:pStyle w:val="Contents6"/>
            <w:tabs>
              <w:tab w:val="clear" w:pos="7609"/>
              <w:tab w:val="right" w:pos="9026" w:leader="dot"/>
            </w:tabs>
            <w:rPr/>
          </w:pPr>
          <w:hyperlink w:anchor="__RefHeading___Toc11572926_2142443653">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1572928_2142443653">
            <w:r>
              <w:rPr>
                <w:webHidden/>
                <w:rStyle w:val="IndexLink"/>
                <w:rtl w:val="true"/>
              </w:rPr>
              <w:t>الدليل الأول</w:t>
            </w:r>
            <w:r>
              <w:rPr>
                <w:rStyle w:val="IndexLink"/>
                <w:rtl w:val="true"/>
              </w:rPr>
              <w:t xml:space="preserve">: </w:t>
            </w:r>
            <w:r>
              <w:rPr>
                <w:rStyle w:val="IndexLink"/>
                <w:rtl w:val="true"/>
              </w:rPr>
              <w:t>المنساق من أدلة الجواز هو المرة الأولى</w:t>
            </w:r>
            <w:r>
              <w:rPr>
                <w:rStyle w:val="IndexLink"/>
                <w:rtl w:val="true"/>
              </w:rPr>
              <w:tab/>
            </w:r>
            <w:r>
              <w:rPr>
                <w:rStyle w:val="IndexLink"/>
              </w:rPr>
              <w:t>329</w:t>
            </w:r>
          </w:hyperlink>
        </w:p>
        <w:p>
          <w:pPr>
            <w:pStyle w:val="Contents6"/>
            <w:tabs>
              <w:tab w:val="clear" w:pos="7609"/>
              <w:tab w:val="right" w:pos="9026" w:leader="dot"/>
            </w:tabs>
            <w:rPr/>
          </w:pPr>
          <w:hyperlink w:anchor="__RefHeading___Toc11572930_2142443653">
            <w:r>
              <w:rPr>
                <w:webHidden/>
                <w:rStyle w:val="IndexLink"/>
                <w:rtl w:val="true"/>
              </w:rPr>
              <w:t>الدليل الثاني</w:t>
            </w:r>
            <w:r>
              <w:rPr>
                <w:rStyle w:val="IndexLink"/>
                <w:rtl w:val="true"/>
              </w:rPr>
              <w:t xml:space="preserve">: </w:t>
            </w:r>
            <w:r>
              <w:rPr>
                <w:rStyle w:val="IndexLink"/>
                <w:rtl w:val="true"/>
              </w:rPr>
              <w:t>استنكار المتشرعة للمرة الثانية</w:t>
            </w:r>
            <w:r>
              <w:rPr>
                <w:rStyle w:val="IndexLink"/>
                <w:rtl w:val="true"/>
              </w:rPr>
              <w:tab/>
            </w:r>
            <w:r>
              <w:rPr>
                <w:rStyle w:val="IndexLink"/>
              </w:rPr>
              <w:t>329</w:t>
            </w:r>
          </w:hyperlink>
        </w:p>
        <w:p>
          <w:pPr>
            <w:pStyle w:val="Contents6"/>
            <w:tabs>
              <w:tab w:val="clear" w:pos="7609"/>
              <w:tab w:val="right" w:pos="9026" w:leader="dot"/>
            </w:tabs>
            <w:rPr/>
          </w:pPr>
          <w:hyperlink w:anchor="__RefHeading___Toc11572932_2142443653">
            <w:r>
              <w:rPr>
                <w:webHidden/>
                <w:rStyle w:val="IndexLink"/>
                <w:rtl w:val="true"/>
              </w:rPr>
              <w:t>الدليل الثالث</w:t>
            </w:r>
            <w:r>
              <w:rPr>
                <w:rStyle w:val="IndexLink"/>
                <w:rtl w:val="true"/>
              </w:rPr>
              <w:t xml:space="preserve">: </w:t>
            </w:r>
            <w:r>
              <w:rPr>
                <w:rStyle w:val="IndexLink"/>
                <w:rtl w:val="true"/>
              </w:rPr>
              <w:t>الروايات الواردة في جواز النظرة الأولى</w:t>
            </w:r>
            <w:r>
              <w:rPr>
                <w:rStyle w:val="IndexLink"/>
                <w:rtl w:val="true"/>
              </w:rPr>
              <w:tab/>
            </w:r>
            <w:r>
              <w:rPr>
                <w:rStyle w:val="IndexLink"/>
              </w:rPr>
              <w:t>329</w:t>
            </w:r>
          </w:hyperlink>
        </w:p>
        <w:p>
          <w:pPr>
            <w:pStyle w:val="Contents6"/>
            <w:tabs>
              <w:tab w:val="clear" w:pos="7609"/>
              <w:tab w:val="right" w:pos="9026" w:leader="dot"/>
            </w:tabs>
            <w:rPr/>
          </w:pPr>
          <w:hyperlink w:anchor="__RefHeading___Toc11572934_2142443653">
            <w:r>
              <w:rPr>
                <w:webHidden/>
                <w:rStyle w:val="IndexLink"/>
                <w:rtl w:val="true"/>
              </w:rPr>
              <w:t>الدليل الرابع</w:t>
            </w:r>
            <w:r>
              <w:rPr>
                <w:rStyle w:val="IndexLink"/>
                <w:rtl w:val="true"/>
              </w:rPr>
              <w:t xml:space="preserve">: </w:t>
            </w:r>
            <w:r>
              <w:rPr>
                <w:rStyle w:val="IndexLink"/>
                <w:rtl w:val="true"/>
              </w:rPr>
              <w:t>كون النظرة الثانية مظنة الفتنة</w:t>
            </w:r>
            <w:r>
              <w:rPr>
                <w:rStyle w:val="IndexLink"/>
                <w:rtl w:val="true"/>
              </w:rPr>
              <w:tab/>
            </w:r>
            <w:r>
              <w:rPr>
                <w:rStyle w:val="IndexLink"/>
              </w:rPr>
              <w:t>337</w:t>
            </w:r>
          </w:hyperlink>
        </w:p>
        <w:p>
          <w:pPr>
            <w:pStyle w:val="Contents6"/>
            <w:tabs>
              <w:tab w:val="clear" w:pos="7609"/>
              <w:tab w:val="right" w:pos="9026" w:leader="dot"/>
            </w:tabs>
            <w:rPr/>
          </w:pPr>
          <w:hyperlink w:anchor="__RefHeading___Toc11572936_2142443653">
            <w:r>
              <w:rPr>
                <w:webHidden/>
                <w:rStyle w:val="IndexLink"/>
                <w:rtl w:val="true"/>
              </w:rPr>
              <w:t>الدليل الخامس</w:t>
            </w:r>
            <w:r>
              <w:rPr>
                <w:rStyle w:val="IndexLink"/>
                <w:rtl w:val="true"/>
              </w:rPr>
              <w:t xml:space="preserve">: </w:t>
            </w:r>
            <w:r>
              <w:rPr>
                <w:rStyle w:val="IndexLink"/>
                <w:rtl w:val="true"/>
              </w:rPr>
              <w:t>مقتضى الجمع بين أدلة القولين هو التفصيل</w:t>
            </w:r>
            <w:r>
              <w:rPr>
                <w:rStyle w:val="IndexLink"/>
                <w:rtl w:val="true"/>
              </w:rPr>
              <w:tab/>
            </w:r>
            <w:r>
              <w:rPr>
                <w:rStyle w:val="IndexLink"/>
              </w:rPr>
              <w:t>338</w:t>
            </w:r>
          </w:hyperlink>
        </w:p>
        <w:p>
          <w:pPr>
            <w:pStyle w:val="Contents5"/>
            <w:tabs>
              <w:tab w:val="clear" w:pos="7892"/>
              <w:tab w:val="right" w:pos="9026" w:leader="dot"/>
            </w:tabs>
            <w:rPr/>
          </w:pPr>
          <w:hyperlink w:anchor="__RefHeading___Toc11572938_2142443653">
            <w:r>
              <w:rPr>
                <w:webHidden/>
                <w:rStyle w:val="IndexLink"/>
                <w:rtl w:val="true"/>
              </w:rPr>
              <w:t>فروع</w:t>
            </w:r>
            <w:r>
              <w:rPr>
                <w:rStyle w:val="IndexLink"/>
                <w:rtl w:val="true"/>
              </w:rPr>
              <w:tab/>
            </w:r>
            <w:r>
              <w:rPr>
                <w:rStyle w:val="IndexLink"/>
              </w:rPr>
              <w:t>338</w:t>
            </w:r>
          </w:hyperlink>
        </w:p>
        <w:p>
          <w:pPr>
            <w:pStyle w:val="Contents6"/>
            <w:tabs>
              <w:tab w:val="clear" w:pos="7609"/>
              <w:tab w:val="right" w:pos="9026" w:leader="dot"/>
            </w:tabs>
            <w:rPr/>
          </w:pPr>
          <w:hyperlink w:anchor="__RefHeading___Toc11572940_2142443653">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1572942_2142443653">
            <w:r>
              <w:rPr>
                <w:webHidden/>
                <w:rStyle w:val="IndexLink"/>
                <w:rtl w:val="true"/>
              </w:rPr>
              <w:t>الفرع الأول</w:t>
            </w:r>
            <w:r>
              <w:rPr>
                <w:rStyle w:val="IndexLink"/>
                <w:rtl w:val="true"/>
              </w:rPr>
              <w:t xml:space="preserve">: </w:t>
            </w:r>
            <w:r>
              <w:rPr>
                <w:rStyle w:val="IndexLink"/>
                <w:rtl w:val="true"/>
              </w:rPr>
              <w:t>في شروط جواز النظر إلى الوجه والكفين</w:t>
            </w:r>
            <w:r>
              <w:rPr>
                <w:rStyle w:val="IndexLink"/>
                <w:rtl w:val="true"/>
              </w:rPr>
              <w:tab/>
            </w:r>
            <w:r>
              <w:rPr>
                <w:rStyle w:val="IndexLink"/>
              </w:rPr>
              <w:t>339</w:t>
            </w:r>
          </w:hyperlink>
        </w:p>
        <w:p>
          <w:pPr>
            <w:pStyle w:val="Contents6"/>
            <w:tabs>
              <w:tab w:val="clear" w:pos="7609"/>
              <w:tab w:val="right" w:pos="9026" w:leader="dot"/>
            </w:tabs>
            <w:rPr/>
          </w:pPr>
          <w:hyperlink w:anchor="__RefHeading___Toc11572944_2142443653">
            <w:r>
              <w:rPr>
                <w:webHidden/>
                <w:rStyle w:val="IndexLink"/>
                <w:rtl w:val="true"/>
              </w:rPr>
              <w:t>الفرع الثاني</w:t>
            </w:r>
            <w:r>
              <w:rPr>
                <w:rStyle w:val="IndexLink"/>
                <w:rtl w:val="true"/>
              </w:rPr>
              <w:t xml:space="preserve">: </w:t>
            </w:r>
            <w:r>
              <w:rPr>
                <w:rStyle w:val="IndexLink"/>
                <w:rtl w:val="true"/>
              </w:rPr>
              <w:t>حصول التلذذ في أثناء النظر</w:t>
            </w:r>
            <w:r>
              <w:rPr>
                <w:rStyle w:val="IndexLink"/>
                <w:rtl w:val="true"/>
              </w:rPr>
              <w:tab/>
            </w:r>
            <w:r>
              <w:rPr>
                <w:rStyle w:val="IndexLink"/>
              </w:rPr>
              <w:t>339</w:t>
            </w:r>
          </w:hyperlink>
        </w:p>
        <w:p>
          <w:pPr>
            <w:pStyle w:val="Contents6"/>
            <w:tabs>
              <w:tab w:val="clear" w:pos="7609"/>
              <w:tab w:val="right" w:pos="9026" w:leader="dot"/>
            </w:tabs>
            <w:rPr/>
          </w:pPr>
          <w:hyperlink w:anchor="__RefHeading___Toc11572946_2142443653">
            <w:r>
              <w:rPr>
                <w:webHidden/>
                <w:rStyle w:val="IndexLink"/>
                <w:rtl w:val="true"/>
              </w:rPr>
              <w:t>الفرع الثالث</w:t>
            </w:r>
            <w:r>
              <w:rPr>
                <w:rStyle w:val="IndexLink"/>
                <w:rtl w:val="true"/>
              </w:rPr>
              <w:t xml:space="preserve">: </w:t>
            </w:r>
            <w:r>
              <w:rPr>
                <w:rStyle w:val="IndexLink"/>
                <w:rtl w:val="true"/>
              </w:rPr>
              <w:t>في أنواع النظر</w:t>
            </w:r>
            <w:r>
              <w:rPr>
                <w:rStyle w:val="IndexLink"/>
                <w:rtl w:val="true"/>
              </w:rPr>
              <w:tab/>
            </w:r>
            <w:r>
              <w:rPr>
                <w:rStyle w:val="IndexLink"/>
              </w:rPr>
              <w:t>342</w:t>
            </w:r>
          </w:hyperlink>
        </w:p>
        <w:p>
          <w:pPr>
            <w:pStyle w:val="Contents6"/>
            <w:tabs>
              <w:tab w:val="clear" w:pos="7609"/>
              <w:tab w:val="right" w:pos="9026" w:leader="dot"/>
            </w:tabs>
            <w:rPr/>
          </w:pPr>
          <w:hyperlink w:anchor="__RefHeading___Toc11572948_2142443653">
            <w:r>
              <w:rPr>
                <w:webHidden/>
                <w:rStyle w:val="IndexLink"/>
                <w:rtl w:val="true"/>
              </w:rPr>
              <w:t>الفرع الرابع</w:t>
            </w:r>
            <w:r>
              <w:rPr>
                <w:rStyle w:val="IndexLink"/>
                <w:rtl w:val="true"/>
              </w:rPr>
              <w:t xml:space="preserve">: </w:t>
            </w:r>
            <w:r>
              <w:rPr>
                <w:rStyle w:val="IndexLink"/>
                <w:rtl w:val="true"/>
              </w:rPr>
              <w:t>كفاية الوهم في خوف الوقوع في الحرام</w:t>
            </w:r>
            <w:r>
              <w:rPr>
                <w:rStyle w:val="IndexLink"/>
                <w:rtl w:val="true"/>
              </w:rPr>
              <w:tab/>
            </w:r>
            <w:r>
              <w:rPr>
                <w:rStyle w:val="IndexLink"/>
              </w:rPr>
              <w:t>343</w:t>
            </w:r>
          </w:hyperlink>
        </w:p>
        <w:p>
          <w:pPr>
            <w:pStyle w:val="Contents2"/>
            <w:tabs>
              <w:tab w:val="clear" w:pos="8743"/>
              <w:tab w:val="right" w:pos="9026" w:leader="dot"/>
            </w:tabs>
            <w:rPr/>
          </w:pPr>
          <w:hyperlink w:anchor="__RefHeading___Toc11572950_2142443653">
            <w:r>
              <w:rPr>
                <w:webHidden/>
                <w:rStyle w:val="IndexLink"/>
                <w:rtl w:val="true"/>
              </w:rPr>
              <w:t>المسألة الرابعة</w:t>
            </w:r>
            <w:r>
              <w:rPr>
                <w:rStyle w:val="IndexLink"/>
                <w:rtl w:val="true"/>
              </w:rPr>
              <w:t xml:space="preserve">: </w:t>
            </w:r>
            <w:r>
              <w:rPr>
                <w:rStyle w:val="IndexLink"/>
                <w:rtl w:val="true"/>
              </w:rPr>
              <w:t>نظر المرأة إلى الرجل</w:t>
            </w:r>
            <w:r>
              <w:rPr>
                <w:rStyle w:val="IndexLink"/>
                <w:rtl w:val="true"/>
              </w:rPr>
              <w:tab/>
            </w:r>
            <w:r>
              <w:rPr>
                <w:rStyle w:val="IndexLink"/>
              </w:rPr>
              <w:t>346</w:t>
            </w:r>
          </w:hyperlink>
        </w:p>
        <w:p>
          <w:pPr>
            <w:pStyle w:val="Contents3"/>
            <w:tabs>
              <w:tab w:val="clear" w:pos="8459"/>
              <w:tab w:val="right" w:pos="9026" w:leader="dot"/>
            </w:tabs>
            <w:rPr/>
          </w:pPr>
          <w:hyperlink w:anchor="__RefHeading___Toc11572952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1572954_2142443653">
            <w:r>
              <w:rPr>
                <w:webHidden/>
                <w:rStyle w:val="IndexLink"/>
                <w:rtl w:val="true"/>
              </w:rPr>
              <w:t>المسألة الرابعة</w:t>
            </w:r>
            <w:r>
              <w:rPr>
                <w:rStyle w:val="IndexLink"/>
                <w:rtl w:val="true"/>
              </w:rPr>
              <w:t xml:space="preserve">: </w:t>
            </w:r>
            <w:r>
              <w:rPr>
                <w:rStyle w:val="IndexLink"/>
                <w:rtl w:val="true"/>
              </w:rPr>
              <w:t>نظر المرأة إلى الرجل</w:t>
            </w:r>
            <w:r>
              <w:rPr>
                <w:rStyle w:val="IndexLink"/>
                <w:rtl w:val="true"/>
              </w:rPr>
              <w:tab/>
            </w:r>
            <w:r>
              <w:rPr>
                <w:rStyle w:val="IndexLink"/>
              </w:rPr>
              <w:t>348</w:t>
            </w:r>
          </w:hyperlink>
        </w:p>
        <w:p>
          <w:pPr>
            <w:pStyle w:val="Contents4"/>
            <w:tabs>
              <w:tab w:val="clear" w:pos="8176"/>
              <w:tab w:val="right" w:pos="9026" w:leader="dot"/>
            </w:tabs>
            <w:rPr/>
          </w:pPr>
          <w:hyperlink w:anchor="__RefHeading___Toc11572956_214244365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1572958_2142443653">
            <w:r>
              <w:rPr>
                <w:webHidden/>
                <w:rStyle w:val="IndexLink"/>
                <w:rtl w:val="true"/>
              </w:rPr>
              <w:t>الأقوال في حكم نظر المرأة إلى الرجل</w:t>
            </w:r>
            <w:r>
              <w:rPr>
                <w:rStyle w:val="IndexLink"/>
                <w:rtl w:val="true"/>
              </w:rPr>
              <w:tab/>
            </w:r>
            <w:r>
              <w:rPr>
                <w:rStyle w:val="IndexLink"/>
              </w:rPr>
              <w:t>348</w:t>
            </w:r>
          </w:hyperlink>
        </w:p>
        <w:p>
          <w:pPr>
            <w:pStyle w:val="Contents2"/>
            <w:tabs>
              <w:tab w:val="clear" w:pos="8743"/>
              <w:tab w:val="right" w:pos="9026" w:leader="dot"/>
            </w:tabs>
            <w:rPr/>
          </w:pPr>
          <w:hyperlink w:anchor="__RefHeading___Toc11572960_2142443653">
            <w:r>
              <w:rPr>
                <w:webHidden/>
                <w:rStyle w:val="IndexLink"/>
                <w:rtl w:val="true"/>
              </w:rPr>
              <w:t>المسألة الخامسة</w:t>
            </w:r>
            <w:r>
              <w:rPr>
                <w:rStyle w:val="IndexLink"/>
                <w:rtl w:val="true"/>
              </w:rPr>
              <w:t xml:space="preserve">: </w:t>
            </w:r>
            <w:r>
              <w:rPr>
                <w:rStyle w:val="IndexLink"/>
                <w:rtl w:val="true"/>
              </w:rPr>
              <w:t>النظر إلى من يريد الزواج منها</w:t>
            </w:r>
            <w:r>
              <w:rPr>
                <w:rStyle w:val="IndexLink"/>
                <w:rtl w:val="true"/>
              </w:rPr>
              <w:tab/>
            </w:r>
            <w:r>
              <w:rPr>
                <w:rStyle w:val="IndexLink"/>
              </w:rPr>
              <w:t>370</w:t>
            </w:r>
          </w:hyperlink>
        </w:p>
        <w:p>
          <w:pPr>
            <w:pStyle w:val="Contents3"/>
            <w:tabs>
              <w:tab w:val="clear" w:pos="8459"/>
              <w:tab w:val="right" w:pos="9026" w:leader="dot"/>
            </w:tabs>
            <w:rPr/>
          </w:pPr>
          <w:hyperlink w:anchor="__RefHeading___Toc11572962_2142443653">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1572964_2142443653">
            <w:r>
              <w:rPr>
                <w:webHidden/>
                <w:rStyle w:val="IndexLink"/>
                <w:rtl w:val="true"/>
              </w:rPr>
              <w:t>المسألة الخامسة</w:t>
            </w:r>
            <w:r>
              <w:rPr>
                <w:rStyle w:val="IndexLink"/>
                <w:rtl w:val="true"/>
              </w:rPr>
              <w:t xml:space="preserve">: </w:t>
            </w:r>
            <w:r>
              <w:rPr>
                <w:rStyle w:val="IndexLink"/>
                <w:rtl w:val="true"/>
              </w:rPr>
              <w:t>النظر إلى من يريد الزواج منها</w:t>
            </w:r>
            <w:r>
              <w:rPr>
                <w:rStyle w:val="IndexLink"/>
                <w:rtl w:val="true"/>
              </w:rPr>
              <w:tab/>
            </w:r>
            <w:r>
              <w:rPr>
                <w:rStyle w:val="IndexLink"/>
              </w:rPr>
              <w:t>372</w:t>
            </w:r>
          </w:hyperlink>
        </w:p>
        <w:p>
          <w:pPr>
            <w:pStyle w:val="Contents2"/>
            <w:tabs>
              <w:tab w:val="clear" w:pos="8743"/>
              <w:tab w:val="right" w:pos="9026" w:leader="dot"/>
            </w:tabs>
            <w:rPr/>
          </w:pPr>
          <w:hyperlink w:anchor="__RefHeading___Toc11572966_2142443653">
            <w:r>
              <w:rPr>
                <w:webHidden/>
                <w:rStyle w:val="IndexLink"/>
                <w:rtl w:val="true"/>
              </w:rPr>
              <w:t>مصادر التحقيق</w:t>
            </w:r>
            <w:r>
              <w:rPr>
                <w:rStyle w:val="IndexLink"/>
                <w:rtl w:val="true"/>
              </w:rPr>
              <w:tab/>
            </w:r>
            <w:r>
              <w:rPr>
                <w:rStyle w:val="IndexLink"/>
              </w:rPr>
              <w:t>382</w:t>
            </w:r>
          </w:hyperlink>
        </w:p>
        <w:p>
          <w:pPr>
            <w:pStyle w:val="Contents2"/>
            <w:tabs>
              <w:tab w:val="clear" w:pos="8743"/>
              <w:tab w:val="right" w:pos="9026" w:leader="dot"/>
            </w:tabs>
            <w:rPr/>
          </w:pPr>
          <w:hyperlink w:anchor="__RefHeading___Toc11572968_2142443653">
            <w:r>
              <w:rPr>
                <w:webHidden/>
                <w:rStyle w:val="IndexLink"/>
                <w:rtl w:val="true"/>
              </w:rPr>
              <w:t>فهرس المحتويات</w:t>
            </w:r>
            <w:r>
              <w:rPr>
                <w:rStyle w:val="IndexLink"/>
                <w:rtl w:val="true"/>
              </w:rPr>
              <w:tab/>
            </w:r>
            <w:r>
              <w:rPr>
                <w:rStyle w:val="IndexLink"/>
              </w:rPr>
              <w:t>396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84_175248"/>
      <w:bookmarkStart w:id="1" w:name="pg15684_175248"/>
      <w:bookmarkEnd w:id="1"/>
    </w:p>
    <w:p>
      <w:pPr>
        <w:pStyle w:val="Heading2"/>
        <w:numPr>
          <w:ilvl w:val="1"/>
          <w:numId w:val="1"/>
        </w:numPr>
        <w:rPr/>
      </w:pPr>
      <w:bookmarkStart w:id="2" w:name="pg15684_175248"/>
      <w:bookmarkStart w:id="3" w:name="__RefHeading___Toc1157257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فقه النظر</w:t>
      </w:r>
    </w:p>
    <w:p>
      <w:pPr>
        <w:pStyle w:val="BookText"/>
        <w:rPr/>
      </w:pPr>
      <w:r>
        <w:rPr>
          <w:rFonts w:ascii="Amiri" w:hAnsi="Amiri" w:eastAsia="Amiri" w:cs="Amiri"/>
          <w:color w:val="111111"/>
          <w:sz w:val="28"/>
          <w:sz w:val="28"/>
          <w:szCs w:val="28"/>
          <w:rtl w:val="true"/>
          <w:lang w:bidi="ar-SA"/>
        </w:rPr>
        <w:t>تقرير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7257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84_175252"/>
      <w:bookmarkStart w:id="8" w:name="pg15684_175252"/>
      <w:bookmarkEnd w:id="8"/>
    </w:p>
    <w:p>
      <w:pPr>
        <w:pStyle w:val="Heading2"/>
        <w:numPr>
          <w:ilvl w:val="1"/>
          <w:numId w:val="1"/>
        </w:numPr>
        <w:rPr/>
      </w:pPr>
      <w:bookmarkStart w:id="9" w:name="pg15684_175252"/>
      <w:bookmarkStart w:id="10" w:name="__RefHeading___Toc11572574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تقرير بحث الخارج لسماحة آية اللّه المحقق السيد محمد رضا الحسيني الشيرازي، وقد اشتمل على بعض المسائل المتعلقة بأحكام النظر إلى النساء، وهي من المسائل التي يكثر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دأب السيد الأستاذ في هذا الدرس أن يقرأ متن ما أعدّه على الطلبة أوّلاً، فيطرح البحث بكلّ أدب ولطف، ويحكمه بالأدلة الدقيقة، ممّا يكشف عن سعة اطلاعه وغوره في أعماق بحار الفقه، ثم يفسح المجال للإشكالات، ويستمع إلى المناقشات بسعة صدر بالغ، واهتمام قلّ نظيره، وكان يترك المجال للمستشكل ليعرب عن رأيه مهما كانت شخصيته الاجتماعيّة والحوزويّة، ومهما كان الإشكال، ثم يقوم بردّ الإشكال، وقد يطيل معه أخذاً ورداً إلى أن تنضج المسألة وتحل العُقد، فقد كان واسع الصدر، حسن الأخلاق، قلّ ما رأيت نظيره فيمن رأيت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قرّرت نصّ ما كان يقرؤه السيد الأستاذ، ثمّ بعض الإشكالات التي أوردها التلامذة، ثم جواب السيد الأُستاذ، فما كان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p>
    <w:p>
      <w:pPr>
        <w:pStyle w:val="BookText"/>
        <w:rPr/>
      </w:pPr>
      <w:r>
        <w:rPr>
          <w:rFonts w:ascii="Amiri" w:hAnsi="Amiri" w:eastAsia="Amiri" w:cs="Amiri"/>
          <w:color w:val="111111"/>
          <w:sz w:val="28"/>
          <w:sz w:val="28"/>
          <w:szCs w:val="28"/>
          <w:rtl w:val="true"/>
          <w:lang w:bidi="ar-SA"/>
        </w:rPr>
        <w:t>هو من الإشكالات الواردة أثناء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والفضل في هذه التقريرات من اللّه تبارك وتعالى ورسوله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من السيد الأستاذ، والنقص والإشكال وقصور البيان وضعف الأداء من العبد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وأهديت ثواب هذا الجهد القليل إلى سيدي ومولاي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بضاعة مزجاة أرجو منه القبول، فإنّ الهدايا على مقدار مهديها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أنْ ينفع به المؤمنين، ويجعله ذخراً ليوم لا ينفع فيه مال ولا بنون</w:t>
      </w:r>
      <w:r>
        <w:rPr>
          <w:rFonts w:eastAsia="Amiri" w:cs="Amiri" w:ascii="Amiri" w:hAnsi="Amiri"/>
          <w:color w:val="111111"/>
          <w:sz w:val="28"/>
          <w:szCs w:val="28"/>
          <w:rtl w:val="true"/>
          <w:lang w:bidi="ar-SA"/>
        </w:rPr>
        <w:t>.</w:t>
      </w:r>
      <w:r>
        <w:rPr>
          <w:rStyle w:val="FootnoteAnchor"/>
          <w:rtl w:val="true"/>
        </w:rPr>
        <w:footnoteReference w:id="2"/>
      </w:r>
      <w:bookmarkStart w:id="12" w:name="pg15684_175254"/>
    </w:p>
    <w:p>
      <w:pPr>
        <w:pStyle w:val="Heading2"/>
        <w:numPr>
          <w:ilvl w:val="1"/>
          <w:numId w:val="1"/>
        </w:numPr>
        <w:rPr/>
      </w:pPr>
      <w:bookmarkStart w:id="13" w:name="__RefHeading___Toc11572576_2142443653"/>
      <w:bookmarkStart w:id="14" w:name="_Toc4"/>
      <w:bookmarkEnd w:id="12"/>
      <w:bookmarkEnd w:id="13"/>
      <w:r>
        <w:rPr>
          <w:rtl w:val="true"/>
        </w:rPr>
        <w:t>المسألة الأولى</w:t>
      </w:r>
      <w:bookmarkEnd w:id="14"/>
    </w:p>
    <w:p>
      <w:pPr>
        <w:pStyle w:val="Heading2"/>
        <w:numPr>
          <w:ilvl w:val="1"/>
          <w:numId w:val="1"/>
        </w:numPr>
        <w:rPr/>
      </w:pPr>
      <w:bookmarkStart w:id="15" w:name="__RefHeading___Toc11572578_2142443653"/>
      <w:bookmarkStart w:id="16" w:name="_Toc5"/>
      <w:bookmarkEnd w:id="15"/>
      <w:r>
        <w:rPr>
          <w:rtl w:val="true"/>
        </w:rPr>
        <w:t xml:space="preserve">المسألة الأولى </w:t>
      </w:r>
      <w:r>
        <w:rPr>
          <w:rtl w:val="true"/>
        </w:rPr>
        <w:t xml:space="preserve">: </w:t>
      </w:r>
      <w:r>
        <w:rPr>
          <w:rtl w:val="true"/>
        </w:rPr>
        <w:t>المبتذلات اللاتي إذا نهين لا ينتهين</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1572580_2142443653"/>
      <w:bookmarkStart w:id="18" w:name="_Toc6"/>
      <w:bookmarkEnd w:id="17"/>
      <w:r>
        <w:rPr>
          <w:rtl w:val="true"/>
        </w:rPr>
        <w:t>اشارة</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684_175256"/>
      <w:bookmarkStart w:id="20" w:name="pg15684_175256"/>
      <w:bookmarkEnd w:id="20"/>
    </w:p>
    <w:p>
      <w:pPr>
        <w:pStyle w:val="Heading3"/>
        <w:numPr>
          <w:ilvl w:val="2"/>
          <w:numId w:val="1"/>
        </w:numPr>
        <w:rPr/>
      </w:pPr>
      <w:bookmarkStart w:id="21" w:name="pg15684_175256"/>
      <w:bookmarkStart w:id="22" w:name="__RefHeading___Toc11572582_2142443653"/>
      <w:bookmarkStart w:id="23" w:name="_Toc7"/>
      <w:bookmarkEnd w:id="21"/>
      <w:bookmarkEnd w:id="22"/>
      <w:r>
        <w:rPr>
          <w:rtl w:val="true"/>
        </w:rPr>
        <w:t>المسألة الأولى</w:t>
      </w:r>
      <w:r>
        <w:rPr>
          <w:rtl w:val="true"/>
        </w:rPr>
        <w:t xml:space="preserve">: </w:t>
      </w:r>
      <w:r>
        <w:rPr>
          <w:rtl w:val="true"/>
        </w:rPr>
        <w:t>المبتذلات اللاتي إذا نهين لا ينتهين</w:t>
      </w:r>
      <w:bookmarkEnd w:id="23"/>
    </w:p>
    <w:p>
      <w:pPr>
        <w:pStyle w:val="Heading4"/>
        <w:numPr>
          <w:ilvl w:val="3"/>
          <w:numId w:val="1"/>
        </w:numPr>
        <w:rPr/>
      </w:pPr>
      <w:bookmarkStart w:id="24" w:name="__RefHeading___Toc11572584_2142443653"/>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إحدى المسائل التي يكثر الابتلاء بها مسألة المبتذلات اللواتي إذا نُهينَ لا ينتهين، فهل يجوز النظر إليهن أم لا؟</w:t>
      </w:r>
    </w:p>
    <w:p>
      <w:pPr>
        <w:pStyle w:val="BookText"/>
        <w:rPr/>
      </w:pPr>
      <w:r>
        <w:rPr>
          <w:rFonts w:ascii="Amiri" w:hAnsi="Amiri" w:eastAsia="Amiri" w:cs="Amiri"/>
          <w:color w:val="111111"/>
          <w:sz w:val="28"/>
          <w:sz w:val="28"/>
          <w:szCs w:val="28"/>
          <w:rtl w:val="true"/>
          <w:lang w:bidi="ar-SA"/>
        </w:rPr>
        <w:t>قال صاحب العروة بعد إفتائه بجواز النظر إلى نساء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يلحق بهم نساء أهل البوادي والقرى من الأعراب وغيرهم 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حرمة التردد في الأسواق ونحوها مع العلم بوقوع النظر عليهن، ولا يجب غض البصر إذا لم يكن هناك خوف افتتان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1572586_2142443653"/>
      <w:bookmarkStart w:id="27" w:name="_Toc9"/>
      <w:bookmarkEnd w:id="26"/>
      <w:r>
        <w:rPr>
          <w:rtl w:val="true"/>
        </w:rPr>
        <w:t>فروع المسألة الأولى</w:t>
      </w:r>
      <w:bookmarkEnd w:id="27"/>
    </w:p>
    <w:p>
      <w:pPr>
        <w:pStyle w:val="Heading5"/>
        <w:numPr>
          <w:ilvl w:val="4"/>
          <w:numId w:val="1"/>
        </w:numPr>
        <w:rPr/>
      </w:pPr>
      <w:bookmarkStart w:id="28" w:name="__RefHeading___Toc11572588_2142443653"/>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وفي هذه المسألة عدة فروع</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1572590_2142443653"/>
      <w:bookmarkStart w:id="31" w:name="_Toc11"/>
      <w:bookmarkEnd w:id="30"/>
      <w:r>
        <w:rPr>
          <w:rtl w:val="true"/>
        </w:rPr>
        <w:t>الفرع الأول</w:t>
      </w:r>
      <w:r>
        <w:rPr>
          <w:rtl w:val="true"/>
        </w:rPr>
        <w:t xml:space="preserve">: </w:t>
      </w:r>
      <w:r>
        <w:rPr>
          <w:rtl w:val="true"/>
        </w:rPr>
        <w:t>في حكم النظر إليهن</w:t>
      </w:r>
      <w:bookmarkEnd w:id="31"/>
    </w:p>
    <w:p>
      <w:pPr>
        <w:pStyle w:val="Heading6"/>
        <w:numPr>
          <w:ilvl w:val="5"/>
          <w:numId w:val="1"/>
        </w:numPr>
        <w:rPr/>
      </w:pPr>
      <w:bookmarkStart w:id="32" w:name="__RefHeading___Toc11572592_2142443653"/>
      <w:bookmarkStart w:id="33" w:name="_Toc12"/>
      <w:bookmarkEnd w:id="32"/>
      <w:r>
        <w:rPr>
          <w:rtl w:val="true"/>
        </w:rPr>
        <w:t>اشارة</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إليهنَّ</w:t>
      </w:r>
      <w:r>
        <w:rPr>
          <w:rStyle w:val="FootnoteAnchor"/>
          <w:rtl w:val="true"/>
        </w:rPr>
        <w:footnoteReference w:id="4"/>
      </w:r>
      <w:r>
        <w:rPr>
          <w:rFonts w:ascii="IRNazanin" w:hAnsi="IRNazanin" w:eastAsia="IRNazanin"/>
          <w:color w:val="111111"/>
          <w:sz w:val="28"/>
          <w:sz w:val="28"/>
          <w:szCs w:val="28"/>
          <w:rtl w:val="true"/>
          <w:lang w:bidi="fa-IR"/>
        </w:rPr>
        <w:t>، ووافقه على ذلك المحقق النائيني والمحقق العراقي والمحقق الحائري والسيد أبو الحسن الإصفهاني والسيد عبد الهادي الشيرازي والسيد البروجردي والسيد الگلپايگاني والسيد الوالد رحمهم اللّه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4" w:name="pg15684_175257"/>
    </w:p>
    <w:p>
      <w:pPr>
        <w:pStyle w:val="BookText"/>
        <w:rPr/>
      </w:pPr>
      <w:bookmarkEnd w:id="34"/>
      <w:r>
        <w:rPr>
          <w:rFonts w:ascii="Amiri" w:hAnsi="Amiri" w:eastAsia="Amiri" w:cs="Amiri"/>
          <w:color w:val="111111"/>
          <w:sz w:val="28"/>
          <w:sz w:val="28"/>
          <w:szCs w:val="28"/>
          <w:rtl w:val="true"/>
          <w:lang w:bidi="ar-SA"/>
        </w:rPr>
        <w:t>وأمّا الشيخ الكليني</w:t>
      </w:r>
      <w:r>
        <w:rPr>
          <w:rStyle w:val="FootnoteAnchor"/>
          <w:rtl w:val="true"/>
        </w:rPr>
        <w:footnoteReference w:id="6"/>
      </w:r>
      <w:r>
        <w:rPr>
          <w:rFonts w:ascii="Amiri" w:hAnsi="Amiri" w:eastAsia="Amiri" w:cs="Amiri"/>
          <w:color w:val="111111"/>
          <w:sz w:val="28"/>
          <w:sz w:val="28"/>
          <w:szCs w:val="28"/>
          <w:rtl w:val="true"/>
          <w:lang w:bidi="ar-SA"/>
        </w:rPr>
        <w:t>فقد اعتمد على الخبر المروي في هذا الشأن، وأفتى صاحب الوسائل طبق هذا الخبر في عنوان الباب</w:t>
      </w:r>
      <w:r>
        <w:rPr>
          <w:rStyle w:val="FootnoteAnchor"/>
          <w:rtl w:val="true"/>
        </w:rPr>
        <w:footnoteReference w:id="7"/>
      </w:r>
      <w:r>
        <w:rPr>
          <w:rFonts w:ascii="Amiri" w:hAnsi="Amiri" w:eastAsia="Amiri" w:cs="Amiri"/>
          <w:color w:val="111111"/>
          <w:sz w:val="28"/>
          <w:sz w:val="28"/>
          <w:szCs w:val="28"/>
          <w:rtl w:val="true"/>
          <w:lang w:bidi="ar-SA"/>
        </w:rPr>
        <w:t>، وقال السيد حسن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جواز ذلك</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ووافقه السيد تقي القمي في المباني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عثرنا عليه في هذه العجالة، وقد أشكل المعظم في ذلك، بينما أجاز الأقل</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11572594_2142443653"/>
      <w:bookmarkStart w:id="36" w:name="_Toc13"/>
      <w:bookmarkEnd w:id="35"/>
      <w:r>
        <w:rPr>
          <w:rtl w:val="true"/>
        </w:rPr>
        <w:t>أدلة جواز النظر</w:t>
      </w:r>
      <w:bookmarkEnd w:id="36"/>
    </w:p>
    <w:p>
      <w:pPr>
        <w:pStyle w:val="Heading6"/>
        <w:numPr>
          <w:ilvl w:val="5"/>
          <w:numId w:val="1"/>
        </w:numPr>
        <w:rPr/>
      </w:pPr>
      <w:bookmarkStart w:id="37" w:name="__RefHeading___Toc11572596_2142443653"/>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يمكن الاستدلال على الجواز بأدلة</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11572598_2142443653"/>
      <w:bookmarkStart w:id="40" w:name="_Toc15"/>
      <w:bookmarkEnd w:id="39"/>
      <w:r>
        <w:rPr>
          <w:rtl w:val="true"/>
        </w:rPr>
        <w:t>الدليل الأول</w:t>
      </w:r>
      <w:r>
        <w:rPr>
          <w:rtl w:val="true"/>
        </w:rPr>
        <w:t xml:space="preserve">: </w:t>
      </w:r>
      <w:r>
        <w:rPr>
          <w:rtl w:val="true"/>
        </w:rPr>
        <w:t>رواية عباد بن صهيب</w:t>
      </w:r>
      <w:bookmarkEnd w:id="40"/>
    </w:p>
    <w:p>
      <w:pPr>
        <w:pStyle w:val="BookText"/>
        <w:rPr/>
      </w:pPr>
      <w:r>
        <w:rPr>
          <w:rFonts w:ascii="Amiri" w:hAnsi="Amiri" w:eastAsia="Amiri" w:cs="Amiri"/>
          <w:color w:val="111111"/>
          <w:sz w:val="28"/>
          <w:sz w:val="28"/>
          <w:szCs w:val="28"/>
          <w:rtl w:val="true"/>
          <w:lang w:bidi="ar-SA"/>
        </w:rPr>
        <w:t>ما رواه الكليني في الكافي،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رؤوس أهل تهامة والأعراب وأهل السواد والعلوج؛ لأنهم إذا نهوا لا ينتهون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عمدة الأدلة على جواز النظر إلى المبتذلات اللواتي إذا نهين لا ينتهين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الإشكالات على الدليل الأول</w:t>
      </w:r>
    </w:p>
    <w:p>
      <w:pPr>
        <w:pStyle w:val="BookText"/>
        <w:rPr/>
      </w:pPr>
      <w:r>
        <w:rPr>
          <w:rFonts w:ascii="Amiri" w:hAnsi="Amiri" w:eastAsia="Amiri" w:cs="Amiri"/>
          <w:color w:val="111111"/>
          <w:sz w:val="28"/>
          <w:sz w:val="28"/>
          <w:szCs w:val="28"/>
          <w:rtl w:val="true"/>
          <w:lang w:bidi="ar-SA"/>
        </w:rPr>
        <w:t>وفي الاستدلال بهذه الرواية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سندي</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 وذلك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عدة الكافي</w:t>
      </w:r>
    </w:p>
    <w:p>
      <w:pPr>
        <w:pStyle w:val="BookText"/>
        <w:rPr/>
      </w:pPr>
      <w:r>
        <w:rPr>
          <w:rFonts w:ascii="Amiri" w:hAnsi="Amiri" w:eastAsia="Amiri" w:cs="Amiri"/>
          <w:color w:val="111111"/>
          <w:sz w:val="28"/>
          <w:sz w:val="28"/>
          <w:szCs w:val="28"/>
          <w:rtl w:val="true"/>
          <w:lang w:bidi="ar-SA"/>
        </w:rPr>
        <w:t>مجهولية العدة التي يروي عنها الكليني هذه الرواية، وهو إشكال عام يشمل الكثير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طرقاً لدفع الإشكال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توثيق العدة</w:t>
      </w:r>
    </w:p>
    <w:p>
      <w:pPr>
        <w:pStyle w:val="BookText"/>
        <w:rPr/>
      </w:pPr>
      <w:r>
        <w:rPr>
          <w:rFonts w:ascii="Amiri" w:hAnsi="Amiri" w:eastAsia="Amiri" w:cs="Amiri"/>
          <w:color w:val="111111"/>
          <w:sz w:val="28"/>
          <w:sz w:val="28"/>
          <w:szCs w:val="28"/>
          <w:rtl w:val="true"/>
          <w:lang w:bidi="ar-SA"/>
        </w:rPr>
        <w:t>هناك عدة طرق لتوثيق عدة الشيخ الكليني في الكافي،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احتواء العدة على ثقة واحد</w:t>
      </w:r>
    </w:p>
    <w:p>
      <w:pPr>
        <w:pStyle w:val="BookText"/>
        <w:rPr/>
      </w:pPr>
      <w:r>
        <w:rPr>
          <w:rFonts w:ascii="Amiri" w:hAnsi="Amiri" w:eastAsia="Amiri" w:cs="Amiri"/>
          <w:color w:val="111111"/>
          <w:sz w:val="28"/>
          <w:sz w:val="28"/>
          <w:szCs w:val="28"/>
          <w:rtl w:val="true"/>
          <w:lang w:bidi="ar-SA"/>
        </w:rPr>
        <w:t>لقد ذكر النجاشي في ترجمة أحمد بن محمد بن عيسى أنَّ الكليني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كتابي عدة من أصحابنا عن أحمد بن محمد بن عيسى فهم محمد بن يحيى وعلي بن موسى الكميذاني، وداود بن كورة، وأحمد بن إدريس، وعلي بن إبراهيم بن هاشم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العدة محتوية على ثقة واحد على الأقل، وهي في المقام عن أحمد بن محمد بن عيسى، فتحتوي على محمد بن يحيى الثقة الجليل الأشعري العطار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ذلك ما نقله العلامة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أنّ النجاشي اقتصر على ذكر رجال العدة عن أحمد بن محمد، وأمّا العلامة فقد ذكر عنه رجال العدة الثلاث، وفي كل واحدة منها يوجد واحد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الطريق أنهما لم يعاصرا الكليني حتى يكونا سمعا عنه مباشرة، فلابد من أن تكون هنالك وسائط محذوفة بينهما وبينه، وحيث إنّ الوسائط مجهولة لزم عدم حجية النقل المذكور، كما يقال مثل ذلك في مراسيل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الإشكال متين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هنالك طريقة واحدة لدفعه، وهي احتمال كون النقل حسياً، باعتبار وضوح الأمر من جهة نقله كابراً عن كابر، وإذا دار الأمر بين كونه حسياً أو حدسياً كانت أصالة الحس العقلائية محكمة، كما يقال بمثل ذلك في توثيقات الرجاليين لمن لم يعاصروهم في الروايات، كتوثيق النجاشي لعبد اللّه بن سنان، مع أنّ الوسائط بينهما محذوفة، وكما نوثق الشيخ الأنصاري مع أننا لم نره، فليس ذلك اجتهاداً، وإنما هو عن حس أو كالحس، وقول الثقة في ذلك معتبر، وفي المقام يحتمل كون نقل العلامة والنجاشي عن الكليني نقلاً حسياً أو كالحسي، وإذا دار الأمر بين الحس والحدس تكون أصالة الحس العقلائية محكمة، وإلا انسد باب التوثيقات الرجالية، خاصة مع ملاحظة أنّ كتاب الكافي بدأ بالانتشار في عهد الكليني، وكان يعتمد ويتدارس في العهود الأولى، وقد كتبه ليكون مرجعاً للشيعة إلى يوم القيامة، فاحتمال أن يكون نقل مثل هذه القضية المهمة كابراً عن كابر </w:t>
      </w:r>
    </w:p>
    <w:p>
      <w:pPr>
        <w:pStyle w:val="BookText"/>
        <w:rPr/>
      </w:pPr>
      <w:r>
        <w:rPr>
          <w:rFonts w:ascii="Amiri" w:hAnsi="Amiri" w:eastAsia="Amiri" w:cs="Amiri"/>
          <w:color w:val="111111"/>
          <w:sz w:val="28"/>
          <w:sz w:val="28"/>
          <w:szCs w:val="28"/>
          <w:rtl w:val="true"/>
          <w:lang w:bidi="ar-SA"/>
        </w:rPr>
        <w:t>متواتراً أو مستفيضاً حتى وصلت إلى النجاشي والعلامة قائمٌ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ذلك في النجاشي عن الكليني فلا بد من تماميته في الكليني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الاحتمال قائماً قلنا بذلك، لكنه كثر الاعتماد في تلك الروايات على الاجتهاد، فهل يحتمل أنّ ثلث روايات الفقيه كانت واضحة، بحيث رواها الشيخ الصدوق من باب الوضوح لا الاجتهاد في صدورها عن المعصوم؟</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الكليني في الحديث الأول</w:t>
      </w:r>
    </w:p>
    <w:p>
      <w:pPr>
        <w:pStyle w:val="BookText"/>
        <w:rPr/>
      </w:pPr>
      <w:r>
        <w:rPr>
          <w:rFonts w:ascii="Amiri" w:hAnsi="Amiri" w:eastAsia="Amiri" w:cs="Amiri"/>
          <w:color w:val="111111"/>
          <w:sz w:val="28"/>
          <w:sz w:val="28"/>
          <w:szCs w:val="28"/>
          <w:rtl w:val="true"/>
          <w:lang w:bidi="ar-SA"/>
        </w:rPr>
        <w:t>قال الشيخ الكليني في الحديث الأول من أصول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عدة من أصحابنا منهم محمد بن يحيى العطار، عن أحمد بن محمد</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فيدل على وجوده في جميع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ويستفاد من كلامه في الكافي أنّ محمد بن يحيى أحد العدة، وهو كاف في المطلوب، وقد اتفق هذا البيان في أول حديث ذكره في الكتاب، و ظاهره أنه أحال الباقي عليه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عدة من أصحابنا، علي بن إبراهيم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بعض نسخ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إلا أنّ أصالة عدم الزيادة مقدمة على </w:t>
      </w:r>
    </w:p>
    <w:p>
      <w:pPr>
        <w:pStyle w:val="BookText"/>
        <w:rPr/>
      </w:pPr>
      <w:r>
        <w:rPr>
          <w:rFonts w:ascii="Amiri" w:hAnsi="Amiri" w:eastAsia="Amiri" w:cs="Amiri"/>
          <w:color w:val="111111"/>
          <w:sz w:val="28"/>
          <w:sz w:val="28"/>
          <w:szCs w:val="28"/>
          <w:rtl w:val="true"/>
          <w:lang w:bidi="ar-SA"/>
        </w:rPr>
        <w:t>أصالة عدم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بأنّ ذلك لا يمثل قرينة عامة في جميع الموارد، لا أقل من الاحتمال الموجب لسقوط الاستدلال، فهو مثل أن يقول شخص كالخطيب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منهم فلان،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فهل يعتبر إحالة على الحديث الأول؟ إلا أنّ صاحب المعالم مع دقته اعتبرها إحالة، فيكون محمد بن يحيى في كل العدد، فتكون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قرينة ظنية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اجتماع المشايخ على الخلاف</w:t>
      </w:r>
    </w:p>
    <w:p>
      <w:pPr>
        <w:pStyle w:val="BookText"/>
        <w:rPr/>
      </w:pPr>
      <w:r>
        <w:rPr>
          <w:rFonts w:ascii="Amiri" w:hAnsi="Amiri" w:eastAsia="Amiri" w:cs="Amiri"/>
          <w:color w:val="111111"/>
          <w:sz w:val="28"/>
          <w:sz w:val="28"/>
          <w:szCs w:val="28"/>
          <w:rtl w:val="true"/>
          <w:lang w:bidi="ar-SA"/>
        </w:rPr>
        <w:t xml:space="preserve">أقل أفراد العدة ثلاثة، ومن البعيد اجتماع ثلاثة من مشايخ الكليني على التواطؤ على الكذب، أو وقوعهم في الخطأ جميعاً، خاصة أنّ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كلّ الكافي، وقد ألفه ليكون المرجع للشيعة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الرواية عن العدة، ويبعد أن تكون القرائن في جميع تلك الموارد خارجية، فيتعين كونها داخلية، فيدل ذلك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اعتمد شخص على فرد في موارد متعددة، فإنّ ذلك يدل على أنّ القرينة 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طرق أخرى لإثبات وثاقة العدة لعل مجموعها يوجب الاطمئنان بما ذكر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بقاء الإشكال في العدة، فهنالك طريق آخر لا توجد فيه العدة، وهو ما رواه الصدوق بإسناده عن الحسن بن محبوب عن </w:t>
      </w:r>
    </w:p>
    <w:p>
      <w:pPr>
        <w:pStyle w:val="BookText"/>
        <w:rPr/>
      </w:pP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قال في مشيخة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الحسن بن محبوب فقد رويته عن محمد بن موسى بن المتوكل رضي اللّه عنه</w:t>
      </w:r>
      <w:r>
        <w:rPr>
          <w:rStyle w:val="FootnoteAnchor"/>
          <w:rtl w:val="true"/>
        </w:rPr>
        <w:footnoteReference w:id="17"/>
      </w:r>
      <w:r>
        <w:rPr>
          <w:rFonts w:ascii="Amiri" w:hAnsi="Amiri" w:eastAsia="Amiri" w:cs="Amiri"/>
          <w:color w:val="111111"/>
          <w:sz w:val="28"/>
          <w:sz w:val="28"/>
          <w:szCs w:val="28"/>
          <w:rtl w:val="true"/>
          <w:lang w:bidi="ar-SA"/>
        </w:rPr>
        <w:t>، عن عبد اللّه بن جعفر الحميري</w:t>
      </w:r>
      <w:r>
        <w:rPr>
          <w:rStyle w:val="FootnoteAnchor"/>
          <w:rtl w:val="true"/>
        </w:rPr>
        <w:footnoteReference w:id="18"/>
      </w:r>
      <w:r>
        <w:rPr>
          <w:rFonts w:ascii="IRNazanin" w:hAnsi="IRNazanin" w:eastAsia="IRNazanin"/>
          <w:color w:val="111111"/>
          <w:sz w:val="28"/>
          <w:sz w:val="28"/>
          <w:szCs w:val="28"/>
          <w:rtl w:val="true"/>
          <w:lang w:bidi="fa-IR"/>
        </w:rPr>
        <w:t>وسعد بن عبد اللّه</w:t>
      </w:r>
      <w:r>
        <w:rPr>
          <w:rStyle w:val="FootnoteAnchor"/>
          <w:rtl w:val="true"/>
        </w:rPr>
        <w:footnoteReference w:id="19"/>
      </w:r>
      <w:r>
        <w:rPr>
          <w:rFonts w:ascii="Amiri" w:hAnsi="Amiri" w:eastAsia="Amiri" w:cs="Amiri"/>
          <w:color w:val="111111"/>
          <w:sz w:val="28"/>
          <w:sz w:val="28"/>
          <w:szCs w:val="28"/>
          <w:rtl w:val="true"/>
          <w:lang w:bidi="ar-SA"/>
        </w:rPr>
        <w:t>، عن أحمد بن محمد بن عيسى</w:t>
      </w:r>
      <w:r>
        <w:rPr>
          <w:rStyle w:val="FootnoteAnchor"/>
          <w:rtl w:val="true"/>
        </w:rPr>
        <w:footnoteReference w:id="20"/>
      </w:r>
      <w:r>
        <w:rPr>
          <w:rFonts w:ascii="IRNazanin" w:hAnsi="IRNazanin" w:eastAsia="IRNazanin"/>
          <w:color w:val="111111"/>
          <w:sz w:val="28"/>
          <w:sz w:val="28"/>
          <w:szCs w:val="28"/>
          <w:rtl w:val="true"/>
          <w:lang w:bidi="fa-IR"/>
        </w:rPr>
        <w:t>، عن الحسن بن محبوب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الشيخ الصدوق نفس الرواية في العلل بنفس السند، إلا أنه ذكر أهل الذمة بدل العلوج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تم حلّ الجهة الأولى من جهات الإشكال إما بالجواب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عباد بن صهيب</w:t>
      </w:r>
    </w:p>
    <w:p>
      <w:pPr>
        <w:pStyle w:val="BookText"/>
        <w:rPr/>
      </w:pPr>
      <w:r>
        <w:rPr>
          <w:rFonts w:ascii="Amiri" w:hAnsi="Amiri" w:eastAsia="Amiri" w:cs="Amiri"/>
          <w:color w:val="111111"/>
          <w:sz w:val="28"/>
          <w:sz w:val="28"/>
          <w:szCs w:val="28"/>
          <w:rtl w:val="true"/>
          <w:lang w:bidi="ar-SA"/>
        </w:rPr>
        <w:t>ما ذكره في المستمسك</w:t>
      </w:r>
      <w:r>
        <w:rPr>
          <w:rStyle w:val="FootnoteAnchor"/>
          <w:rtl w:val="true"/>
        </w:rPr>
        <w:footnoteReference w:id="23"/>
      </w:r>
      <w:r>
        <w:rPr>
          <w:rFonts w:ascii="Amiri" w:hAnsi="Amiri" w:eastAsia="Amiri" w:cs="Amiri"/>
          <w:color w:val="111111"/>
          <w:sz w:val="28"/>
          <w:sz w:val="28"/>
          <w:szCs w:val="28"/>
          <w:rtl w:val="true"/>
          <w:lang w:bidi="ar-SA"/>
        </w:rPr>
        <w:t>من ضعف الرواية بعباد، فإنّ طرقها تنتهي إليه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طرقاً لتوثيق 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طرق توثيق عباد بن صهيب</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محبوب عنه، وهو من أصحاب الإجماع، ذكره المحقق النراقي</w:t>
      </w:r>
      <w:r>
        <w:rPr>
          <w:rStyle w:val="FootnoteAnchor"/>
          <w:rtl w:val="true"/>
        </w:rPr>
        <w:footnoteReference w:id="24"/>
      </w:r>
      <w:r>
        <w:rPr>
          <w:rFonts w:ascii="Amiri" w:hAnsi="Amiri" w:eastAsia="Amiri" w:cs="Amiri"/>
          <w:color w:val="111111"/>
          <w:sz w:val="28"/>
          <w:sz w:val="28"/>
          <w:szCs w:val="28"/>
          <w:rtl w:val="true"/>
          <w:lang w:bidi="ar-SA"/>
        </w:rPr>
        <w:t>والسيد الحكيم</w:t>
      </w:r>
      <w:r>
        <w:rPr>
          <w:rStyle w:val="FootnoteAnchor"/>
          <w:rtl w:val="true"/>
        </w:rPr>
        <w:footnoteReference w:id="25"/>
      </w:r>
      <w:r>
        <w:rPr>
          <w:rFonts w:ascii="Amiri" w:hAnsi="Amiri" w:eastAsia="Amiri" w:cs="Amiri"/>
          <w:color w:val="111111"/>
          <w:sz w:val="28"/>
          <w:sz w:val="28"/>
          <w:szCs w:val="28"/>
          <w:rtl w:val="true"/>
          <w:lang w:bidi="ar-SA"/>
        </w:rPr>
        <w:t>والسيد الوالد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نظر، فإنّ المبنی محلّ إشكال على ما فصّل في علم الرجال في بحث الوقوع في سند 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الحكيم</w:t>
      </w:r>
      <w:r>
        <w:rPr>
          <w:rStyle w:val="FootnoteAnchor"/>
          <w:rtl w:val="true"/>
        </w:rPr>
        <w:footnoteReference w:id="27"/>
      </w:r>
      <w:r>
        <w:rPr>
          <w:rFonts w:ascii="Amiri" w:hAnsi="Amiri" w:eastAsia="Amiri" w:cs="Amiri"/>
          <w:color w:val="111111"/>
          <w:sz w:val="28"/>
          <w:sz w:val="28"/>
          <w:szCs w:val="28"/>
          <w:rtl w:val="true"/>
          <w:lang w:bidi="ar-SA"/>
        </w:rPr>
        <w:t>والسيد الوالد</w:t>
      </w:r>
      <w:r>
        <w:rPr>
          <w:rStyle w:val="FootnoteAnchor"/>
          <w:rtl w:val="true"/>
        </w:rPr>
        <w:footnoteReference w:id="28"/>
      </w:r>
      <w:r>
        <w:rPr>
          <w:rFonts w:ascii="Amiri" w:hAnsi="Amiri" w:eastAsia="Amiri" w:cs="Amiri"/>
          <w:color w:val="111111"/>
          <w:sz w:val="28"/>
          <w:sz w:val="28"/>
          <w:szCs w:val="28"/>
          <w:rtl w:val="true"/>
          <w:lang w:bidi="ar-SA"/>
        </w:rPr>
        <w:t>من أنّ أحمد بن محمد بن عيسى، الراوي عن ابن محبوب، هو الثقة الجليل الذي أخرج البرقي من قم؛ لأنه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أنما أخرج البرقي لإكثاره الرواية عن الضعفاء، واعتماده المراسيل، أو لخصوصية فيما رواه، كأن تسبب فتنة اجتماعية أو فكرية حسبما يراه المخرج، فلا يدل ذلك على أنه لا يروي أية رواية ضعيفة، لا أقل من إجمال وجه العمل، فإنّ العمل لا لسان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أسانيد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المبنى غير مرضي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لتوثيق النجاشي 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فتحصل أنّ سند الرواية تام، خلافاً للسيد الحكيم الذي ضعفها، وكذا صاحب الجواهر</w:t>
      </w:r>
      <w:r>
        <w:rPr>
          <w:rStyle w:val="FootnoteAnchor"/>
          <w:rtl w:val="true"/>
        </w:rPr>
        <w:footnoteReference w:id="30"/>
      </w:r>
      <w:r>
        <w:rPr>
          <w:rFonts w:ascii="Amiri" w:hAnsi="Amiri" w:eastAsia="Amiri" w:cs="Amiri"/>
          <w:color w:val="111111"/>
          <w:sz w:val="28"/>
          <w:sz w:val="28"/>
          <w:szCs w:val="28"/>
          <w:rtl w:val="true"/>
          <w:lang w:bidi="ar-SA"/>
        </w:rPr>
        <w:t>، حيث عبر عنها بخبر عباد، وإن لم يكن مقيّداً بالمصطلحات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لقد عبر السيد الخوئي</w:t>
      </w:r>
      <w:r>
        <w:rPr>
          <w:rStyle w:val="FootnoteAnchor"/>
          <w:rtl w:val="true"/>
        </w:rPr>
        <w:footnoteReference w:id="31"/>
      </w:r>
      <w:r>
        <w:rPr>
          <w:rFonts w:ascii="Amiri" w:hAnsi="Amiri" w:eastAsia="Amiri" w:cs="Amiri"/>
          <w:color w:val="111111"/>
          <w:sz w:val="28"/>
          <w:sz w:val="28"/>
          <w:szCs w:val="28"/>
          <w:rtl w:val="true"/>
          <w:lang w:bidi="ar-SA"/>
        </w:rPr>
        <w:t>عنها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إذ عباد عامي، كما صرح بذلك في المعجم،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كونه عامياً بشهادة الشيخ والكشي</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وقد عبر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الخبر بالموثق</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 الرواية موثقة، وأنّ الإشكال الأول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الحديث عدم وجوب الغض</w:t>
      </w:r>
    </w:p>
    <w:p>
      <w:pPr>
        <w:pStyle w:val="BookText"/>
        <w:rPr/>
      </w:pPr>
      <w:r>
        <w:rPr>
          <w:rFonts w:ascii="Amiri" w:hAnsi="Amiri" w:eastAsia="Amiri" w:cs="Amiri"/>
          <w:color w:val="111111"/>
          <w:sz w:val="28"/>
          <w:sz w:val="28"/>
          <w:szCs w:val="28"/>
          <w:rtl w:val="true"/>
          <w:lang w:bidi="ar-SA"/>
        </w:rPr>
        <w:t>ما ذكره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كون المراد منه عدم وجوب الغض وعدم حرمة التردد في الأسواق والزقاق من هذه الجهة؛ لما في ذلك من العسر والحرج بعد فرض عدم الانتهاء بالنهي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الذي يدخل الأسواق يعلم إجمالاً بوقوع نظره على اللواتي إذا نهين لا ينتهين، ومعه يدور أمره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الدخول إليها، أو وجوب غض </w:t>
      </w:r>
    </w:p>
    <w:p>
      <w:pPr>
        <w:pStyle w:val="BookText"/>
        <w:rPr/>
      </w:pPr>
      <w:r>
        <w:rPr>
          <w:rFonts w:ascii="Amiri" w:hAnsi="Amiri" w:eastAsia="Amiri" w:cs="Amiri"/>
          <w:color w:val="111111"/>
          <w:sz w:val="28"/>
          <w:sz w:val="28"/>
          <w:szCs w:val="28"/>
          <w:rtl w:val="true"/>
          <w:lang w:bidi="ar-SA"/>
        </w:rPr>
        <w:t>النظر حتى لا ينظر إلى أحد، فيكون مراد الرواية عدم الإشكال في النظر المتعقب لدخول الأسواق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تقييد من غير دليل؛ إذ مقتضى الإطلاق كون الموضوع هو النظر، لا النظر المترتب على دخول الأسواق، وقد ذكر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الجواهر خلاف الظاهر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يُنتصر للجواهر بأنّ القدر المتيقن هو خصوص النظر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الخارجي</w:t>
      </w:r>
      <w:r>
        <w:rPr>
          <w:rStyle w:val="FootnoteAnchor"/>
          <w:rtl w:val="true"/>
        </w:rPr>
        <w:footnoteReference w:id="36"/>
      </w:r>
      <w:r>
        <w:rPr>
          <w:rFonts w:ascii="Amiri" w:hAnsi="Amiri" w:eastAsia="Amiri" w:cs="Amiri"/>
          <w:color w:val="111111"/>
          <w:sz w:val="28"/>
          <w:sz w:val="28"/>
          <w:szCs w:val="28"/>
          <w:rtl w:val="true"/>
          <w:lang w:bidi="ar-SA"/>
        </w:rPr>
        <w:t>لا يقدح في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في مقام التخاطب يمنع من 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فيه نظر أيضاً، على 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الخارجي متحقق في جميع المطلقات، فالقدر المتيقن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العدول منهم، لكن ذلك لا يمنع من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قدراً متيقناً في مقام التخاطب، كما لو كان الحديث عن علماء الدين أو سأله عن المفيد والصدوق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مداد العلماء أفضل من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بعدم شموله لعلماء المنطق، كما عليه صاحب الكفاية، وإن ذهب الكثير من المحققين إلى عدم منعه الإطلاق أيضاً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لم يتحقق القدر المتيقن في مقام التخاطب، حيث لا سؤال </w:t>
      </w:r>
    </w:p>
    <w:p>
      <w:pPr>
        <w:pStyle w:val="BookText"/>
        <w:rPr/>
      </w:pPr>
      <w:r>
        <w:rPr>
          <w:rFonts w:ascii="Amiri" w:hAnsi="Amiri" w:eastAsia="Amiri" w:cs="Amiri"/>
          <w:color w:val="111111"/>
          <w:sz w:val="28"/>
          <w:sz w:val="28"/>
          <w:szCs w:val="28"/>
          <w:rtl w:val="true"/>
          <w:lang w:bidi="ar-SA"/>
        </w:rPr>
        <w:t xml:space="preserve">مثلاً عن الدخول في الأسواق، حتى يحمل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في الجواهر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الجواز على النظر القهري</w:t>
      </w:r>
    </w:p>
    <w:p>
      <w:pPr>
        <w:pStyle w:val="BookText"/>
        <w:rPr/>
      </w:pPr>
      <w:r>
        <w:rPr>
          <w:rFonts w:ascii="Amiri" w:hAnsi="Amiri" w:eastAsia="Amiri" w:cs="Amiri"/>
          <w:color w:val="111111"/>
          <w:sz w:val="28"/>
          <w:sz w:val="28"/>
          <w:szCs w:val="28"/>
          <w:rtl w:val="true"/>
          <w:lang w:bidi="ar-SA"/>
        </w:rPr>
        <w:t xml:space="preserve">إن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الجواز على النظر القهري، وما هو خارج عن الاختيار، فلا يشمل النظر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رؤوس أهل تهامة والأعراب وأهل السواد والعلوج؛ لأنهم إذا نهوا لا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والمجنونة والمغلوبة على عقلها لا بأس بالنظر إلى شعرها وجسدها ما لم يتعمد ذلك</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فالقيد الأخير يدل على أنّ النظر اتفاقي، وليس الكلام فيه، وإنما الكلام في النظر المتعمد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عوده إلى الجملة الأخيرة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إذ ذلك وإن كان هو القدر المتيقن، إلا أنه يوجب الإجمال فيما تقدمها من الجمل؛ لكون القرينة متصلة، كما ذكر نظير ذلك في الاستثناء المتعقب للجمل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وأضف الخطباء واحترم الشعراء،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المتيقن عود الاستثناء إلى الأخير، لكن قال جمع من المحققين</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يمنع عن انعقاد الإطلاق في الجمل المتقدمة؛ لأنّ القرينة متصلة لا منفصلة، فلا يمكن التمسك بالإطلاق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عدم ارتباط القيد بما تقدم الجملة الأخيرة؛ لمكان تصديرها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استقلالها عما قبلها، وكأنه قطع الكلام عما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تربط الجملتين، وهو ظاهر في الاتصال لا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الانفصال، خاصة مع ملاحظة التعليل في الشق الأول من الرواية والتقييد في الشق الثاني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رجوع القيد إلى الجميع أو فرض الإجمال، إلا أنّ معنى التعمد هو خصوص النظر الشهوي، لا مطلق النظر المتعمد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كلمات بعض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بالتعمد هنا النظر بشهوة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على وجه التلذذ به والميل إليه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فقه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بالتعمد القصد إلى النظر الملازم للنظر بشهوة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يذكروا البرهان على المدّعَى، لكن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 على ذلك في الفقه،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بعدم التعمد القصد لأجل اللذة، وإلاّ فعدم </w:t>
      </w:r>
    </w:p>
    <w:p>
      <w:pPr>
        <w:pStyle w:val="BookText"/>
        <w:rPr/>
      </w:pPr>
      <w:r>
        <w:rPr>
          <w:rFonts w:ascii="Amiri" w:hAnsi="Amiri" w:eastAsia="Amiri" w:cs="Amiri"/>
          <w:color w:val="111111"/>
          <w:sz w:val="28"/>
          <w:sz w:val="28"/>
          <w:szCs w:val="28"/>
          <w:rtl w:val="true"/>
          <w:lang w:bidi="ar-SA"/>
        </w:rPr>
        <w:t>التعمد يجوز حتى بالنسبة إلى المسلمة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التعمد مقابل الخطأ ولا حكم للخطأ، فلا معنى لحمل عدم التعمد على الخطأ والسهو، كما لو فتح عينه من النوم ورأى الأجنبية أمامه، فلا يمكن أن يكون فيه البأس حتى ننفي ذلك، فلا يكون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يتوهم لزوم غض النظر في الأسواق حتى لا يقع النظر خطأ، فينفي الإمام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المقدور بالواسطة مقدور، فإذا علم أنّ هذا النظر يؤدي به إلى النظر اعتبر عمداً لا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حتى لو فرض عود القيد للجميع لا للجملة الأخيرة، ولم يكن منفصلاً عنها لم يضر بما نحن فيه؛ لأنّ النظر بشهوة إلى اللواتي إذا نهين لا ينتهين ليس محل الكلام، وستأتي قيود هذا النظر، فلم يقل أحد بجواز النظر إليهن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ليس للجملة الأولى، ولو كان قيداً لها لم يضر بمقصودنا؛ لأنّ المراد النظر الشهوي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لتفسير التعمد بالنظر بشهوة، بل يمكن تفسيره بطول النظر مثلاً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خلاف الظاهر جداً، أما التفسير بالنظر الشهوي فهو وارد، كما نشاهد مثله في الفتاوى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الرواية بأهل الذمة</w:t>
      </w:r>
    </w:p>
    <w:p>
      <w:pPr>
        <w:pStyle w:val="BookText"/>
        <w:rPr/>
      </w:pPr>
      <w:r>
        <w:rPr>
          <w:rFonts w:ascii="Amiri" w:hAnsi="Amiri" w:eastAsia="Amiri" w:cs="Amiri"/>
          <w:color w:val="111111"/>
          <w:sz w:val="28"/>
          <w:sz w:val="28"/>
          <w:szCs w:val="28"/>
          <w:rtl w:val="true"/>
          <w:lang w:bidi="ar-SA"/>
        </w:rPr>
        <w:t>إنّ هذه الرواية وردت في الفقيه والعلل مقيدة بكونهم من أهل الذمة، ومع التعارض بين أصالة عدم الزيادة وعدم النقيصة تقدم أصالة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شعور نساء أهل تهامة والأعراب وأهل البوادي من أهل الذمة والعلوج</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الضخم القوي من كفار العجم، وبعضهم يطلقه على الكافر مطلقاً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فلا ترتبط الرواية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أن يكون الكليني نقص أو الصدوق زاد، فيقدم الأول؛ لأصالة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يقدح في المقصود؛ لمكان العلة التي تعمم وتخصص، فعموم التعليل</w:t>
      </w:r>
      <w:r>
        <w:rPr>
          <w:rStyle w:val="FootnoteAnchor"/>
          <w:rtl w:val="true"/>
        </w:rPr>
        <w:footnoteReference w:id="45"/>
      </w:r>
      <w:r>
        <w:rPr>
          <w:rFonts w:ascii="Amiri" w:hAnsi="Amiri" w:eastAsia="Amiri" w:cs="Amiri"/>
          <w:color w:val="111111"/>
          <w:sz w:val="28"/>
          <w:sz w:val="28"/>
          <w:szCs w:val="28"/>
          <w:rtl w:val="true"/>
          <w:lang w:bidi="ar-SA"/>
        </w:rPr>
        <w:t xml:space="preserve">حتى مع فرض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الكليني يشمل غير أهل الذمة، فإنّ العلة ظاهرة ظهوراً قوياً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الموجود روايتين، خاصة مع ملاحظة اشتمال إحداهما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البوادي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الظاهر، فالفرق بين الألفاظ قليل، فاحتمال تعدد رواية ابن محبوب عن عباد بن صهيب الواردة في الطريقين ضعيف، خاصة </w:t>
      </w:r>
    </w:p>
    <w:p>
      <w:pPr>
        <w:pStyle w:val="BookText"/>
        <w:rPr/>
      </w:pPr>
      <w:r>
        <w:rPr>
          <w:rFonts w:ascii="Amiri" w:hAnsi="Amiri" w:eastAsia="Amiri" w:cs="Amiri"/>
          <w:color w:val="111111"/>
          <w:sz w:val="28"/>
          <w:sz w:val="28"/>
          <w:szCs w:val="28"/>
          <w:rtl w:val="true"/>
          <w:lang w:bidi="ar-SA"/>
        </w:rPr>
        <w:t>مع ملاحظة أول الرواية وآخرها، فالظاهر أنه نفس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أنّ ابن محبوب الذي روى عن عباد بن صهيب اللذين وردا في الطريقين رويا روايتين خلاف الظاهر، فالظاهر أنه نفس الرواية، خاصة مع أول الرواية وآخرها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تم التقييد بأهل الذمة؟</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وارد على كل مفهوم لقب، فقد يكون التقييد لأجل أنه محل الابتلاء أو لحكمة أخرى،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روايات الاستصحاب المعللة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حيث دل على التعميم إلى غير الوضوء والخفقة والخفقتان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العلة تنقل الموضوع إلى موضوع التعليل، فيصبح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ولذا يشمل الليمون الحامض بخلاف الرمان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أضبط، فيقدم في التعارض بينه وبين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كذلك، لكن لو نقص الأضبط وزاد غيره أخذ بالزيادة للأصل المذكور، فإنّ أصالة عدم الزيادة مقدمة على أصالة عدم النقيصة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بالتعليل أشكل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ذكره السيد السبزواري،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الأخذ بتعليله أشكل</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فالعمل به مشكل والأخذ بتعليله أشكل، ولكنه لم يبين وجه </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الأخذ بعموم التعليل والحكم بجواز النظر إلى جميع أجسادهن، واستثناء ما خرج بإجماع ونحوه لا يقدح في عموم التعليل؛ لتمام الباقي،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من الخارج خروج حامض خاص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بعموم العلة يستلزم جواز غير النظر من اللمس وغيره إذا كن لا ينتهين بالنهي عن ذلك، وإخراج كل ذلك من عموم العلة تخصيص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دفع الإشكال بأنّ غاية ما يلزم كون العلة علة للجعل لا للمجعول، وبعبارة أخرى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إذا نهوا لا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لا علة، وحينئذٍ يختص جواز النظر بالرأس ولا يعم سائر الجسد، بل يجب الاقتصار على مورد الرواية، وهو النظر إلى الرؤوس فقط لا إلى غيرها، وهذا لا يستلزم الإشكال في أصل الحكم كما صنعه في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أنما يتم بناء على تقديم رواية الكليني المطلقة على رواية الصدوق المقيدة، وأمّا بناءً على تقديم رواية الصدوق فيختص الحكم بأهل الذمة، ولا يجدينا في المقام مطلقاً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يستلزم تخصيص الأكثر؛ لأنه الأكثر النوعي لا الفردي، فإنّ الأنواع تكثر، لكن أكثر الأفراد داخلة في النظر، فمثلاً يخرج الرجل وينظر إلى ألف امرأة، بينما يقبل امرأة واحدة ويصافح أخرى وينظر بشهوة إلى 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الملاحظ النوع أم الأفراد؟ ثم إنه مع ملاحظة بقية الأنواع التي جرت العادة عليها، كالملامسة والخلوة بالأجنبية والمفاكهة الشهوية والنظر الالتذاذي، ألا يكون الأخذ بعموم العلة تخصيصاً للأكثر؟ فإنّ الملاك أن لا يكون التعليل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تمامية الإشكال فهو جواب آخر عما ذكر،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تخصيصاً للأكثر، فلا مانع من الأخذ بعموم التعليل والحكم طبقه، إلا فيما قام الدليل على الخلاف، كالضرورة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واحد بين الرأس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تعمم وتخصص في مدار الحكم الوارد لا حكم آخر، وفي المقام وردت العلة في محط النظر، والعلة تدور مدار النظر تعميماً وتخصيصاً، فلا يسري حكمها لغير النظر كاللمس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جواز النظر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لأنهن إذا نهين لا ينتهين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خلف زيد لأنه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جواز الصلاة خلف كل عادل، ومع الاعتراف بالعلية فإنها تعمم إلى غير المورد،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الرمان فإنه قاطع للصفراء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الحكم على ذلك بكل قاطع للصفراء، فلو كان دلكه أو النظر إليه قاطعاً للصفراء شمله الحكم، فلا خصوصية للأكل، كما لا خصوصية للرمان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فالعلة تعمم لكل ما ترتبت عليه العلة،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هي موضوع الحكم في الواقع، فلا إشكال في كل ما كان حراماً، لكنهن لا ينتهين بالنهي </w:t>
      </w:r>
    </w:p>
    <w:p>
      <w:pPr>
        <w:pStyle w:val="BookText"/>
        <w:rPr/>
      </w:pPr>
      <w:r>
        <w:rPr>
          <w:rFonts w:ascii="Amiri" w:hAnsi="Amiri" w:eastAsia="Amiri" w:cs="Amiri"/>
          <w:color w:val="111111"/>
          <w:sz w:val="28"/>
          <w:sz w:val="28"/>
          <w:szCs w:val="28"/>
          <w:rtl w:val="true"/>
          <w:lang w:bidi="ar-SA"/>
        </w:rPr>
        <w:t>عنه، مع مراعاة القيد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يمنع منه ضرورة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تُعطى للعرف، فإن فهم منها العمومية عمّت وإلا فلا، ففي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الرمان لأنه قاطع للصفراء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العرف العمومية؛ لذا يتعدى إلى النظر واللمس والدلك، أما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أحبها لأنها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يدل على أنه يحب كل شيء كبير؟</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يفهم ذلك فيتعدى إلى سائر الموارد،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لأنهن لا يرتدعن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العلة عدم ارتداعهن، فالمصافحة أيضاً كذلك؛ لأنهن لا يرتدعن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حكمة، لم يصح التعدي إلى غير أهل تهامة والبوادي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التعميم لغيرهم؛ لوحدة الملاك ولفهم عدم الخصوصية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يسمع كلامك فاعبس في وجهه، وقطّب جبينك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تتعدى إلى الضرب؟</w:t>
      </w:r>
    </w:p>
    <w:p>
      <w:pPr>
        <w:pStyle w:val="BookText"/>
        <w:rPr/>
      </w:pPr>
      <w:r>
        <w:rPr>
          <w:rFonts w:ascii="Amiri" w:hAnsi="Amiri" w:eastAsia="Amiri" w:cs="Amiri"/>
          <w:color w:val="111111"/>
          <w:sz w:val="28"/>
          <w:sz w:val="28"/>
          <w:szCs w:val="28"/>
          <w:rtl w:val="true"/>
          <w:lang w:bidi="ar-SA"/>
        </w:rPr>
        <w:t>إذا كان هذا هو العلة نتعدى، ما لم يخرج منه شيء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لأنهن إذا نهين لا ينتهين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علة أو حكمة، فعلى الأول أمكن التعدي من الرؤوس إلى غيرها إلا ما خرج بالدليل، وتأتي شبهة تخصيص الأكثر، فإن تمكنا من دفعها بما ذكر تمت العلية، وتكون العلة هي المحور ما لم يمنع منه مانع، كالنظر إلى العورة والمصافحة والخلوة والمفاكهة، أما النظر المجرد فلا مانع من شمول العلة له، وعلى الثاني لزم الاقتصار على الرؤوس، ويرد الإشكال أنّ رواية الصدوق مقيدة، </w:t>
      </w:r>
    </w:p>
    <w:p>
      <w:pPr>
        <w:pStyle w:val="BookText"/>
        <w:rPr/>
      </w:pPr>
      <w:r>
        <w:rPr>
          <w:rFonts w:ascii="Amiri" w:hAnsi="Amiri" w:eastAsia="Amiri" w:cs="Amiri"/>
          <w:color w:val="111111"/>
          <w:sz w:val="28"/>
          <w:sz w:val="28"/>
          <w:szCs w:val="28"/>
          <w:rtl w:val="true"/>
          <w:lang w:bidi="ar-SA"/>
        </w:rPr>
        <w:t xml:space="preserve">فإن رجحت على رواية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التعدي؛ لأنه خاص بأهل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العمل بالرواية</w:t>
      </w:r>
    </w:p>
    <w:p>
      <w:pPr>
        <w:pStyle w:val="BookText"/>
        <w:rPr/>
      </w:pPr>
      <w:r>
        <w:rPr>
          <w:rFonts w:ascii="Amiri" w:hAnsi="Amiri" w:eastAsia="Amiri" w:cs="Amiri"/>
          <w:color w:val="111111"/>
          <w:sz w:val="28"/>
          <w:sz w:val="28"/>
          <w:szCs w:val="28"/>
          <w:rtl w:val="true"/>
          <w:lang w:bidi="ar-SA"/>
        </w:rPr>
        <w:t>إعراض مشهور الفقهاء عن الخبر؛ إذ لم نجد من أفتى طبقه من المتقدمين إلا الشيخ الكليني في الكافي</w:t>
      </w:r>
      <w:r>
        <w:rPr>
          <w:rStyle w:val="FootnoteAnchor"/>
          <w:rtl w:val="true"/>
        </w:rPr>
        <w:footnoteReference w:id="48"/>
      </w:r>
      <w:r>
        <w:rPr>
          <w:rFonts w:ascii="Amiri" w:hAnsi="Amiri" w:eastAsia="Amiri" w:cs="Amiri"/>
          <w:color w:val="111111"/>
          <w:sz w:val="28"/>
          <w:sz w:val="28"/>
          <w:szCs w:val="28"/>
          <w:rtl w:val="true"/>
          <w:lang w:bidi="ar-SA"/>
        </w:rPr>
        <w:t>، والحر العاملي في الوسائل</w:t>
      </w:r>
      <w:r>
        <w:rPr>
          <w:rStyle w:val="FootnoteAnchor"/>
          <w:rtl w:val="true"/>
        </w:rPr>
        <w:footnoteReference w:id="49"/>
      </w:r>
      <w:r>
        <w:rPr>
          <w:rFonts w:ascii="Amiri" w:hAnsi="Amiri" w:eastAsia="Amiri" w:cs="Amiri"/>
          <w:color w:val="111111"/>
          <w:sz w:val="28"/>
          <w:sz w:val="28"/>
          <w:szCs w:val="28"/>
          <w:rtl w:val="true"/>
          <w:lang w:bidi="ar-SA"/>
        </w:rPr>
        <w:t>، وبعض متأخري المتأخرين، كالسيد حسن القمي والسيد الخوئي والسيد السيستاني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رواية الصدوق في الفقيه فهي مقيدة لا مطلقة، وحكمه بالعموم استناداً إلى عموم العلة غير واضح، فلعله فهم الحكمة منها لا العلة، فلا يمكن تحميل الفتوى في غير أهل الذمة على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من المتقدمين إلاّ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به مع إعراض المشهور عنه مشكل</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 عنه بأنّ الفقهاء لم يتعرضوا لمضمون الخبر، وعدم التعرض لمضمونه لا يساوق الإعراض عنه، فهما شيئان، والمتحقق في المقام الأول ولم يثبت الثاني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في كلام الأصحاب تصريحاً به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الجواب نظر؛ إذ عدم التعرض يلازم الإعراض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المسألة محل الابتلاء كثيراً، أما إذا لم تكن المسألة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الفروع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يكون عدم التعرض للحكم لعدم الحاجة، فلا يكشف عن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 بمرأى منهم ومسمع، وإلاّ فلا يكون دليلاً على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والشرطان متوفران في المقام، فإن المسألة محل الابتلاء كثيراً، خاصة مع ملاحظة البدويات والقرويات، فإنّ الكثير منهن لم يكن يلتزمن بالحجاب الشرعي، والخبر كان بمرأى منهم ومسمع، فقد أوردوه في كتبهم، ومع ذلك لم يفتوا طبقه، فيكون عدم التعرض دليلاً على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نماذج ممن ذكر الخبر في كتابه، فمع أنهم ذكروا الحكم الكلي، وهو عدم جواز النظر، وذكروا الاستثناءات فيه واحدا واحدا، وذكروا هذا الخبر أيضاً، إلاّ أنّ أي واحد منهم لم يُفتِ طبقه حسب تتبعي بقدر الإمكان، فيبقى الحكم الكلي على العموم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والمحقق الكركي والشهيد الثاني والسيد العاملي والمحقق السبزواري والفاضل الهندي والشيخ البحراني والسيد الطباطبائي والمحقق النراقي والسيد الخونساري</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يكفي في تحقق الإعراض ما لم تكن دلالة الخبر جلية، وليس الأمر في المقام كذلك؛ إذ الخبر الواصل إليهم هو الخبر المقيد بأهل الذمة، وأمّا الخبر المطلق فلم يثبت وصوله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في المصادر المذكورة مقيد، ودلالته على الحكم في المقام مبتنية على كون العلة معممة، واستفادة العموم منها غير جلية، فلم يثبت الإعراض عن الخبر المطلق في المقام، وأمّا خبر الكليني المطلق فلم نجد له إشارة إلاّ في الحدائق وجامع المدارك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ما ذكر في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حيث إنّ أكثر الفقهاء لم يلتفتوا إليها، فلم يعتمدوا عليها إلى حوالي تسعمائة سنة، بل استدلوا بحكم العقل على ذلك، فقد قال الشيخ الأعظم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كلمات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والسيدين</w:t>
      </w:r>
      <w:r>
        <w:rPr>
          <w:rStyle w:val="FootnoteAnchor"/>
          <w:rtl w:val="true"/>
        </w:rPr>
        <w:footnoteReference w:id="55"/>
      </w:r>
      <w:r>
        <w:rPr>
          <w:rFonts w:ascii="Amiri" w:hAnsi="Amiri" w:eastAsia="Amiri" w:cs="Amiri"/>
          <w:color w:val="111111"/>
          <w:sz w:val="28"/>
          <w:sz w:val="28"/>
          <w:szCs w:val="28"/>
          <w:rtl w:val="true"/>
          <w:lang w:bidi="ar-SA"/>
        </w:rPr>
        <w:t>والفاضلين</w:t>
      </w:r>
      <w:r>
        <w:rPr>
          <w:rStyle w:val="FootnoteAnchor"/>
          <w:rtl w:val="true"/>
        </w:rPr>
        <w:footnoteReference w:id="56"/>
      </w:r>
      <w:r>
        <w:rPr>
          <w:rFonts w:ascii="IRNazanin" w:hAnsi="IRNazanin" w:eastAsia="IRNazanin"/>
          <w:color w:val="111111"/>
          <w:sz w:val="28"/>
          <w:sz w:val="28"/>
          <w:szCs w:val="28"/>
          <w:rtl w:val="true"/>
          <w:lang w:bidi="fa-IR"/>
        </w:rPr>
        <w:t xml:space="preserve">والشهيدين وصاحب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حكماً عقلياً؛ ولذا لم يتمسك أحد هؤلاء بخبر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ذكر في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انتصاراً للقائل بحجيته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الشيطان ينفخ بين أليتي المصلي، فلا ينصرفن أحدكم إلاّ بعد أن يسمع صوتاً أو يجد ريحاً، ومن العجب أنه انتصر بهذا الخبر الضعيف</w:t>
      </w:r>
      <w:r>
        <w:rPr>
          <w:rStyle w:val="FootnoteAnchor"/>
          <w:rtl w:val="true"/>
        </w:rPr>
        <w:footnoteReference w:id="57"/>
      </w:r>
      <w:r>
        <w:rPr>
          <w:rFonts w:ascii="Amiri" w:hAnsi="Amiri" w:eastAsia="Amiri" w:cs="Amiri"/>
          <w:color w:val="111111"/>
          <w:sz w:val="28"/>
          <w:sz w:val="28"/>
          <w:szCs w:val="28"/>
          <w:rtl w:val="true"/>
          <w:lang w:bidi="ar-SA"/>
        </w:rPr>
        <w:t xml:space="preserve">، المختص بمورد خاص، ولم يتمسك بالأخبار الصحيحة العامة المعدودة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p>
    <w:p>
      <w:pPr>
        <w:pStyle w:val="BookText"/>
        <w:rPr/>
      </w:pPr>
      <w:r>
        <w:rPr>
          <w:rFonts w:ascii="Amiri" w:hAnsi="Amiri" w:eastAsia="Amiri" w:cs="Amiri"/>
          <w:color w:val="111111"/>
          <w:sz w:val="28"/>
          <w:sz w:val="28"/>
          <w:szCs w:val="28"/>
          <w:rtl w:val="true"/>
          <w:lang w:bidi="ar-SA"/>
        </w:rPr>
        <w:t xml:space="preserve">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العلوم</w:t>
      </w:r>
      <w:r>
        <w:rPr>
          <w:rStyle w:val="FootnoteAnchor"/>
          <w:rtl w:val="true"/>
        </w:rPr>
        <w:footnoteReference w:id="58"/>
      </w:r>
      <w:r>
        <w:rPr>
          <w:rFonts w:ascii="Amiri" w:hAnsi="Amiri" w:eastAsia="Amiri" w:cs="Amiri"/>
          <w:color w:val="111111"/>
          <w:sz w:val="28"/>
          <w:sz w:val="28"/>
          <w:szCs w:val="28"/>
          <w:rtl w:val="true"/>
          <w:lang w:bidi="ar-SA"/>
        </w:rPr>
        <w:t xml:space="preserve">، وأول من تمسك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البهائي فيما حكي عنه في العقد الطهماسبي، وتبعه صاحب الذخيرة وشارح الدروس، وشاع بين من تأخر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يظهر من الحلي في السرائر الاعتماد على هذه الأخبار، حيث عبر عن استصحاب نجاسة الماء المتغير بعد زوال تغيره من قبل نفسه بعدم النقض إلاّ باليقين، وهذه العبارة الظاهر أنها مأخوذة من الأخبار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فاستفادة الحكم من الأخبار يبتني على عموم العلة، ولا يخفى أنّ هنالك بعض الروايات العامة أيضاً، لكنهم لم يلتفتوا إليها، أو لم يروا عليتها، فلم ينتقلوا إلى الحكم، فلا يدل على الإعراض، وفي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عدم وصول الخبر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العقائدية التي هي من البديهيات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إليهم، بل كانوا يتهمون القائل بها بالغلو، فلم تكن تلك الروايات في متناول أيديهم لتشتتها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لم يظهر لنا أنّ الفقهاء هل رأوا رواية الكافي أم لا؟ وأمّا رواية الفقيه التي رأوها فهي مقيدة، ولم ينتقلوا منها إلى عموم العلة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فالمسألة مشكلة كما ذهب إليه صاحب العروة وجمع من المحشين</w:t>
      </w:r>
      <w:r>
        <w:rPr>
          <w:rStyle w:val="FootnoteAnchor"/>
          <w:rtl w:val="true"/>
        </w:rPr>
        <w:footnoteReference w:id="60"/>
      </w:r>
      <w:r>
        <w:rPr>
          <w:rFonts w:ascii="Amiri" w:hAnsi="Amiri" w:eastAsia="Amiri" w:cs="Amiri"/>
          <w:color w:val="111111"/>
          <w:sz w:val="28"/>
          <w:sz w:val="28"/>
          <w:szCs w:val="28"/>
          <w:rtl w:val="true"/>
          <w:lang w:bidi="ar-SA"/>
        </w:rPr>
        <w:t xml:space="preserve">، خاصة أننا لم نجد أي واحد من القدماء أو المتأخرين أفتى بها إلا الكليني </w:t>
      </w:r>
      <w:bookmarkStart w:id="41" w:name="pg15684_175278"/>
    </w:p>
    <w:p>
      <w:pPr>
        <w:pStyle w:val="BookText"/>
        <w:rPr/>
      </w:pPr>
      <w:bookmarkEnd w:id="41"/>
      <w:r>
        <w:rPr>
          <w:rFonts w:ascii="Amiri" w:hAnsi="Amiri" w:eastAsia="Amiri" w:cs="Amiri"/>
          <w:color w:val="111111"/>
          <w:sz w:val="28"/>
          <w:sz w:val="28"/>
          <w:szCs w:val="28"/>
          <w:rtl w:val="true"/>
          <w:lang w:bidi="ar-SA"/>
        </w:rPr>
        <w:t>وصاحب الوسائل وجمعاً من المعاصرين، فهل يمكن الفتوى بذلك مع ملاحظة ما مرّ من السيد السبزواري والعلامة المجلسي وما قاله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إذاً العمل بالحديث، لولا ما قد يظهر من المشهور من عدم العمل به؛ لعدم تعرضهم لمضمونه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وكذلك السيد الوالد، حيث قوّى الخبر في الفقه</w:t>
      </w:r>
      <w:r>
        <w:rPr>
          <w:rStyle w:val="FootnoteAnchor"/>
          <w:rtl w:val="true"/>
        </w:rPr>
        <w:footnoteReference w:id="62"/>
      </w:r>
      <w:r>
        <w:rPr>
          <w:rFonts w:ascii="Amiri" w:hAnsi="Amiri" w:eastAsia="Amiri" w:cs="Amiri"/>
          <w:color w:val="111111"/>
          <w:sz w:val="28"/>
          <w:sz w:val="28"/>
          <w:szCs w:val="28"/>
          <w:rtl w:val="true"/>
          <w:lang w:bidi="ar-SA"/>
        </w:rPr>
        <w:t>، لكن لم يفتِ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الأول</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11572600_2142443653"/>
      <w:bookmarkStart w:id="43" w:name="_Toc16"/>
      <w:bookmarkEnd w:id="42"/>
      <w:r>
        <w:rPr>
          <w:rtl w:val="true"/>
        </w:rPr>
        <w:t>الدليل الثاني</w:t>
      </w:r>
      <w:r>
        <w:rPr>
          <w:rtl w:val="true"/>
        </w:rPr>
        <w:t xml:space="preserve">: </w:t>
      </w:r>
      <w:r>
        <w:rPr>
          <w:rtl w:val="true"/>
        </w:rPr>
        <w:t>رفع الحرج</w:t>
      </w:r>
      <w:bookmarkEnd w:id="43"/>
    </w:p>
    <w:p>
      <w:pPr>
        <w:pStyle w:val="BookText"/>
        <w:rPr/>
      </w:pPr>
      <w:r>
        <w:rPr>
          <w:rFonts w:ascii="Amiri" w:hAnsi="Amiri" w:eastAsia="Amiri" w:cs="Amiri"/>
          <w:color w:val="111111"/>
          <w:sz w:val="28"/>
          <w:sz w:val="28"/>
          <w:szCs w:val="28"/>
          <w:rtl w:val="true"/>
          <w:lang w:bidi="ar-SA"/>
        </w:rPr>
        <w:t>إنّ تجنب النظر حرجي، ومقتضى الآية الكريمة والروايات الشريفة رفع الحرج،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جَعَلَ عَلَيْكُمْ فِي الدِّينِ مِنْ حَرَجٍ</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الحرج عنوان ثانوي، ورفعه للحرمة يدور مدار تحققه لا مطلقاً،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الحرج للحكم يتوقف على ثبوت الحرج، فإذا لم يتحقق في فرد لم ترتفع الحرمة، كما أنه يتقدر بقدره فيمن تحقق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بأدلة الحرج خصوص الأحكام الوجوبية، فلا يرفع التحريم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الجواب الثاني تأمل مذكور في القواعد الفقهية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44" w:name="pg15684_175279"/>
    </w:p>
    <w:p>
      <w:pPr>
        <w:pStyle w:val="BookText"/>
        <w:rPr/>
      </w:pPr>
      <w:bookmarkEnd w:id="44"/>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علة للجعل لا المجعول،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أن أشق على أمتي</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فلتحقق الحرج في المعظم يرفع اللّه الحكم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علة، بل هو موضوع، فإن لم يتحقق الموضوع لم يترتب الحكم،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ضرر لم يرتفع الحكم، وقد ثبت الحكم الأولي العام، ثم جاء العنوان الثانوي الرافع له، فمن البديهيات الفقهية أنه يتقدر بقدره وفي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مجعول في موضع الحرج، فلا ترفعه أدلة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أنه كذلك ارتفع الحكم بالمقدار الذي جعل في مورده، أما لو كان الحرج أكثر من ذلك فلا، ويمكن عدّ هذا جواباً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يثبت الجواز برفع الحرمة؟</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للملازمة العرفية، فإنه لو ارتفعت الحرمة دلّ ذلك على الجواز، فإذا ارتفعت الحرمة دار الأمر بين الأحكام الأربعة الباقية، وهي تكفينا</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1572602_2142443653"/>
      <w:bookmarkStart w:id="46" w:name="_Toc17"/>
      <w:bookmarkEnd w:id="45"/>
      <w:r>
        <w:rPr>
          <w:rtl w:val="true"/>
        </w:rPr>
        <w:t>الدليل الثالث</w:t>
      </w:r>
      <w:r>
        <w:rPr>
          <w:rtl w:val="true"/>
        </w:rPr>
        <w:t xml:space="preserve">: </w:t>
      </w:r>
      <w:r>
        <w:rPr>
          <w:rtl w:val="true"/>
        </w:rPr>
        <w:t>سيرة المتشرعة</w:t>
      </w:r>
      <w:bookmarkEnd w:id="46"/>
    </w:p>
    <w:p>
      <w:pPr>
        <w:pStyle w:val="BookText"/>
        <w:rPr/>
      </w:pPr>
      <w:r>
        <w:rPr>
          <w:rFonts w:ascii="Amiri" w:hAnsi="Amiri" w:eastAsia="Amiri" w:cs="Amiri"/>
          <w:color w:val="111111"/>
          <w:sz w:val="28"/>
          <w:sz w:val="28"/>
          <w:szCs w:val="28"/>
          <w:rtl w:val="true"/>
          <w:lang w:bidi="ar-SA"/>
        </w:rPr>
        <w:t>وفي تحقق سيرة مستجمعة لشرائط الحجية في غير ما استثناه صاحب العروة</w:t>
      </w:r>
      <w:r>
        <w:rPr>
          <w:rStyle w:val="FootnoteAnchor"/>
          <w:rtl w:val="true"/>
        </w:rPr>
        <w:footnoteReference w:id="66"/>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 أنّ جميع الأدلة القائمة على جواز النظر</w:t>
      </w:r>
      <w:r>
        <w:rPr>
          <w:rStyle w:val="FootnoteAnchor"/>
          <w:rtl w:val="true"/>
        </w:rPr>
        <w:footnoteReference w:id="67"/>
      </w:r>
      <w:r>
        <w:rPr>
          <w:rFonts w:ascii="Amiri" w:hAnsi="Amiri" w:eastAsia="Amiri" w:cs="Amiri"/>
          <w:color w:val="111111"/>
          <w:sz w:val="28"/>
          <w:sz w:val="28"/>
          <w:szCs w:val="28"/>
          <w:rtl w:val="true"/>
          <w:lang w:bidi="ar-SA"/>
        </w:rPr>
        <w:t xml:space="preserve">مخدوشة، </w:t>
      </w:r>
      <w:bookmarkStart w:id="47" w:name="pg15684_175280"/>
    </w:p>
    <w:p>
      <w:pPr>
        <w:pStyle w:val="BookText"/>
        <w:rPr/>
      </w:pPr>
      <w:bookmarkEnd w:id="47"/>
      <w:r>
        <w:rPr>
          <w:rFonts w:ascii="Amiri" w:hAnsi="Amiri" w:eastAsia="Amiri" w:cs="Amiri"/>
          <w:color w:val="111111"/>
          <w:sz w:val="28"/>
          <w:sz w:val="28"/>
          <w:szCs w:val="28"/>
          <w:rtl w:val="true"/>
          <w:lang w:bidi="ar-SA"/>
        </w:rPr>
        <w:t>ويبقى الحكم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الفرع الأول</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1572604_2142443653"/>
      <w:bookmarkStart w:id="49" w:name="_Toc18"/>
      <w:bookmarkEnd w:id="48"/>
      <w:r>
        <w:rPr>
          <w:rtl w:val="true"/>
        </w:rPr>
        <w:t>الفرع الثاني</w:t>
      </w:r>
      <w:r>
        <w:rPr>
          <w:rtl w:val="true"/>
        </w:rPr>
        <w:t xml:space="preserve">: </w:t>
      </w:r>
      <w:r>
        <w:rPr>
          <w:rtl w:val="true"/>
        </w:rPr>
        <w:t>في حكم التردد في الأسواق</w:t>
      </w:r>
      <w:bookmarkEnd w:id="49"/>
    </w:p>
    <w:p>
      <w:pPr>
        <w:pStyle w:val="Heading6"/>
        <w:numPr>
          <w:ilvl w:val="5"/>
          <w:numId w:val="1"/>
        </w:numPr>
        <w:rPr/>
      </w:pPr>
      <w:bookmarkStart w:id="50" w:name="__RefHeading___Toc11572606_2142443653"/>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يقع الكلام في حكم التردد في الأسواق مع العلم بوقوع النظر عليهن، بناءً على حرمة النظر إليهنَّ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الأولية الحرمة؛ لمنجزية العلم الإجمالي في التدريجيات كالدفعيات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المعروف بين من تعرض لهذه المسألة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الظاهر عدم حرمة التردد في الأسواق ونحوها مع العلم بوقوع النظر عليهن، ولا يجب غض البصر إذا لم يكن هناك خوف افتتان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على ذلك المحقق العراقي والمحقق الحائري والمحقق النائيني والسيد أبو الحسن الإصفهاني والسيد عبد الهادي الشيرازي</w:t>
      </w:r>
      <w:r>
        <w:rPr>
          <w:rStyle w:val="FootnoteAnchor"/>
          <w:rtl w:val="true"/>
        </w:rPr>
        <w:footnoteReference w:id="70"/>
      </w:r>
      <w:r>
        <w:rPr>
          <w:rFonts w:ascii="Amiri" w:hAnsi="Amiri" w:eastAsia="Amiri" w:cs="Amiri"/>
          <w:color w:val="111111"/>
          <w:sz w:val="28"/>
          <w:sz w:val="28"/>
          <w:szCs w:val="28"/>
          <w:rtl w:val="true"/>
          <w:lang w:bidi="ar-SA"/>
        </w:rPr>
        <w:t>والسيد الوالد</w:t>
      </w:r>
      <w:r>
        <w:rPr>
          <w:rStyle w:val="FootnoteAnchor"/>
          <w:rtl w:val="true"/>
        </w:rPr>
        <w:footnoteReference w:id="71"/>
      </w:r>
      <w:r>
        <w:rPr>
          <w:rFonts w:ascii="Amiri" w:hAnsi="Amiri" w:eastAsia="Amiri" w:cs="Amiri"/>
          <w:color w:val="111111"/>
          <w:sz w:val="28"/>
          <w:sz w:val="28"/>
          <w:szCs w:val="28"/>
          <w:rtl w:val="true"/>
          <w:lang w:bidi="ar-SA"/>
        </w:rPr>
        <w:t>والسيد الخوئي والسيد حسن القمي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المخالف الوحيد فيما وجدنا هو السيد البروجردي، حيث علق على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تأمل إذا كان عالماً بوقوع النظر عليهن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52" w:name="pg15684_175281"/>
    </w:p>
    <w:p>
      <w:pPr>
        <w:pStyle w:val="Heading6"/>
        <w:numPr>
          <w:ilvl w:val="5"/>
          <w:numId w:val="1"/>
        </w:numPr>
        <w:rPr/>
      </w:pPr>
      <w:bookmarkStart w:id="53" w:name="__RefHeading___Toc11572608_2142443653"/>
      <w:bookmarkStart w:id="54" w:name="_Toc20"/>
      <w:bookmarkEnd w:id="52"/>
      <w:bookmarkEnd w:id="53"/>
      <w:r>
        <w:rPr>
          <w:rtl w:val="true"/>
        </w:rPr>
        <w:t>أدلة جواز النظر</w:t>
      </w:r>
      <w:bookmarkEnd w:id="54"/>
    </w:p>
    <w:p>
      <w:pPr>
        <w:pStyle w:val="Heading6"/>
        <w:numPr>
          <w:ilvl w:val="5"/>
          <w:numId w:val="1"/>
        </w:numPr>
        <w:rPr/>
      </w:pPr>
      <w:bookmarkStart w:id="55" w:name="__RefHeading___Toc11572610_2142443653"/>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واستدل على الجواز بأدلة</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11572612_2142443653"/>
      <w:bookmarkStart w:id="58" w:name="_Toc22"/>
      <w:bookmarkEnd w:id="57"/>
      <w:r>
        <w:rPr>
          <w:rtl w:val="true"/>
        </w:rPr>
        <w:t>الدليل الأول</w:t>
      </w:r>
      <w:r>
        <w:rPr>
          <w:rtl w:val="true"/>
        </w:rPr>
        <w:t xml:space="preserve">: </w:t>
      </w:r>
      <w:r>
        <w:rPr>
          <w:rtl w:val="true"/>
        </w:rPr>
        <w:t>الإجماع</w:t>
      </w:r>
      <w:bookmarkEnd w:id="58"/>
    </w:p>
    <w:p>
      <w:pPr>
        <w:pStyle w:val="BookText"/>
        <w:rPr/>
      </w:pPr>
      <w:r>
        <w:rPr>
          <w:rFonts w:ascii="Amiri" w:hAnsi="Amiri" w:eastAsia="Amiri" w:cs="Amiri"/>
          <w:color w:val="111111"/>
          <w:sz w:val="28"/>
          <w:sz w:val="28"/>
          <w:szCs w:val="28"/>
          <w:rtl w:val="true"/>
          <w:lang w:bidi="ar-SA"/>
        </w:rPr>
        <w:t>وهو ما ذكره السيد السبزواري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منقول، وحجيته موقوفة على كشفه، ولو بضميمة القرائن الاُخر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دليل معتبر، مع أنّ المسألة غير مذكورة في كلمات معظم الفقهاء حسبما رأينا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محرماً لذكروه مع كثرة الابتلاء؛ فإنّ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إلى الأسواق، فهل كانوا يغمضون عيونهم؟ فيمكن كشف رضاهم من سكوتهم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إجماع تقريري، وهو مصطلح جديد، ويمكن توجيه الإجماع المذكور بذلك، فإنّ الفقهاء لم ينكروا على هذه الظاهرة مع كثرة الابتلاء، فإن تم ذلك أمكن القول به في كل ظاهرة خارجية متداولة</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11572614_2142443653"/>
      <w:bookmarkStart w:id="60" w:name="_Toc23"/>
      <w:bookmarkEnd w:id="59"/>
      <w:r>
        <w:rPr>
          <w:rtl w:val="true"/>
        </w:rPr>
        <w:t>الدليل الثاني</w:t>
      </w:r>
      <w:r>
        <w:rPr>
          <w:rtl w:val="true"/>
        </w:rPr>
        <w:t xml:space="preserve">: </w:t>
      </w:r>
      <w:r>
        <w:rPr>
          <w:rtl w:val="true"/>
        </w:rPr>
        <w:t>العسر والحرج</w:t>
      </w:r>
      <w:bookmarkEnd w:id="60"/>
    </w:p>
    <w:p>
      <w:pPr>
        <w:pStyle w:val="BookText"/>
        <w:rPr/>
      </w:pPr>
      <w:r>
        <w:rPr>
          <w:rFonts w:ascii="Amiri" w:hAnsi="Amiri" w:eastAsia="Amiri" w:cs="Amiri"/>
          <w:color w:val="111111"/>
          <w:sz w:val="28"/>
          <w:sz w:val="28"/>
          <w:szCs w:val="28"/>
          <w:rtl w:val="true"/>
          <w:lang w:bidi="ar-SA"/>
        </w:rPr>
        <w:t>وهو ما ذكره في المهذب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العسر للحكم يتوقف على تحققه ويتقدر بقدره،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شخص يمكنه أن يدعي الحرج، حيث لم يبين حدوده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bookmarkStart w:id="61" w:name="pg15684_175282"/>
    </w:p>
    <w:p>
      <w:pPr>
        <w:pStyle w:val="Heading6"/>
        <w:numPr>
          <w:ilvl w:val="5"/>
          <w:numId w:val="1"/>
        </w:numPr>
        <w:rPr/>
      </w:pPr>
      <w:bookmarkStart w:id="62" w:name="__RefHeading___Toc11572616_2142443653"/>
      <w:bookmarkStart w:id="63" w:name="_Toc24"/>
      <w:bookmarkEnd w:id="61"/>
      <w:bookmarkEnd w:id="62"/>
      <w:r>
        <w:rPr>
          <w:rtl w:val="true"/>
        </w:rPr>
        <w:t>الدليل الثالث</w:t>
      </w:r>
      <w:r>
        <w:rPr>
          <w:rtl w:val="true"/>
        </w:rPr>
        <w:t xml:space="preserve">: </w:t>
      </w:r>
      <w:r>
        <w:rPr>
          <w:rtl w:val="true"/>
        </w:rPr>
        <w:t>إنه القدر المتيقن</w:t>
      </w:r>
      <w:bookmarkEnd w:id="63"/>
    </w:p>
    <w:p>
      <w:pPr>
        <w:pStyle w:val="BookText"/>
        <w:rPr/>
      </w:pPr>
      <w:r>
        <w:rPr>
          <w:rFonts w:ascii="Amiri" w:hAnsi="Amiri" w:eastAsia="Amiri" w:cs="Amiri"/>
          <w:color w:val="111111"/>
          <w:sz w:val="28"/>
          <w:sz w:val="28"/>
          <w:szCs w:val="28"/>
          <w:rtl w:val="true"/>
          <w:lang w:bidi="ar-SA"/>
        </w:rPr>
        <w:t>إنه القدر المتيقن من الرواية، ولا إعراض عن ذلك، كما ذكره في المستمسك</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 أنّ إسقاط الإعراض للخبر المعتبر يتقدر بقدره، ولا إعراض عما ذكر، وإلاّ لبان بنهيهم عن ذلك، 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خبر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النظر مطلقاً، والفقهاء أعرضوا عنه، لكنهم لم يعرضوا عنه في هذا المورد، فيمكن الأخذ بالقدر المتيقن منه، وهو النظر الذي يترتب على الدخول في الأسواق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لم يعملوا بالخبر على نحو مطلق، لكن عملوا به في الجملة، فهو دليل في الجملة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استنادهم إلى هذا الخبر، ولعلهم استندوا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مسقط للسند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قد يكون موهناً للسند، وقد يكون موهناً لجهة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روايات الغروب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لا يكون مسقطاً للسند فحسب، بل قد يسقط الدلالة أو الجهة؛ لأنّ الحجية متقوّمة بهذه الثلاثة، فيكون الإعراض مسقطاً لإحداها</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1572618_2142443653"/>
      <w:bookmarkStart w:id="65" w:name="_Toc25"/>
      <w:bookmarkEnd w:id="64"/>
      <w:r>
        <w:rPr>
          <w:rtl w:val="true"/>
        </w:rPr>
        <w:t>الدليل الرابع</w:t>
      </w:r>
      <w:r>
        <w:rPr>
          <w:rtl w:val="true"/>
        </w:rPr>
        <w:t xml:space="preserve">: </w:t>
      </w:r>
      <w:r>
        <w:rPr>
          <w:rtl w:val="true"/>
        </w:rPr>
        <w:t>السيرة القطعية</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ذكرها السيد الوالد</w:t>
      </w:r>
      <w:r>
        <w:rPr>
          <w:rStyle w:val="FootnoteAnchor"/>
          <w:rtl w:val="true"/>
        </w:rPr>
        <w:footnoteReference w:id="76"/>
      </w:r>
      <w:r>
        <w:rPr>
          <w:rFonts w:ascii="Amiri" w:hAnsi="Amiri" w:eastAsia="Amiri" w:cs="Amiri"/>
          <w:color w:val="111111"/>
          <w:sz w:val="28"/>
          <w:sz w:val="28"/>
          <w:szCs w:val="28"/>
          <w:rtl w:val="true"/>
          <w:lang w:bidi="ar-SA"/>
        </w:rPr>
        <w:t>والسيد السبزواري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66" w:name="pg15684_175283"/>
    </w:p>
    <w:p>
      <w:pPr>
        <w:pStyle w:val="BookText"/>
        <w:rPr/>
      </w:pPr>
      <w:bookmarkEnd w:id="66"/>
      <w:r>
        <w:rPr>
          <w:rFonts w:ascii="Amiri" w:hAnsi="Amiri" w:eastAsia="Amiri" w:cs="Amiri"/>
          <w:color w:val="111111"/>
          <w:sz w:val="28"/>
          <w:sz w:val="28"/>
          <w:szCs w:val="28"/>
          <w:rtl w:val="true"/>
          <w:lang w:bidi="ar-SA"/>
        </w:rPr>
        <w:t>والظاهر تمامية هذا الدليل على الجواز، فإنه لو كان محرماً لزم إما اعتزال المتدينين الأسواق ونحوها، أو غضهم البصر عند دخولها، واللوازم منتفية، فينتفي الملزوم ويتعين الحكم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فتاوى محشي العروة إلاّ السيد البروجردي فيما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غير محصورة، فحينما يدخل المكلف السوق يرى البائع والمشتري والمرأة المحجبة، وواحدة من عشر نساء إذا نهيت لا تنتهي، فإذا وقع نظره إليها غض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الشبهة محصورة في الأسواق المختلطة، أو شبهة الكثير في الكثير التي تؤول إلى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الفرع الثاني</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1572620_2142443653"/>
      <w:bookmarkStart w:id="68" w:name="_Toc26"/>
      <w:bookmarkEnd w:id="67"/>
      <w:r>
        <w:rPr>
          <w:rtl w:val="true"/>
        </w:rPr>
        <w:t>الفرع الثالث</w:t>
      </w:r>
      <w:r>
        <w:rPr>
          <w:rtl w:val="true"/>
        </w:rPr>
        <w:t xml:space="preserve">: </w:t>
      </w:r>
      <w:r>
        <w:rPr>
          <w:rtl w:val="true"/>
        </w:rPr>
        <w:t>في حدود المنظور إليه</w:t>
      </w:r>
      <w:bookmarkEnd w:id="68"/>
    </w:p>
    <w:p>
      <w:pPr>
        <w:pStyle w:val="BookText"/>
        <w:rPr/>
      </w:pPr>
      <w:r>
        <w:rPr>
          <w:rFonts w:ascii="Amiri" w:hAnsi="Amiri" w:eastAsia="Amiri" w:cs="Amiri"/>
          <w:color w:val="111111"/>
          <w:sz w:val="28"/>
          <w:sz w:val="28"/>
          <w:szCs w:val="28"/>
          <w:rtl w:val="true"/>
          <w:lang w:bidi="ar-SA"/>
        </w:rPr>
        <w:t>يقع الكلام في حدود المنظور إليه بناء على جواز النظر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تعرضاً لهذه المسألة إلا من السيد الخوئي،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الحكم هنا يختص بما جرت عادتهن على عدم ستره، وليس الحكم فيهن كالحكم في الذميات، فإنّ منشأه في الذمية عدم الحرمة</w:t>
      </w:r>
      <w:r>
        <w:rPr>
          <w:rStyle w:val="FootnoteAnchor"/>
          <w:rtl w:val="true"/>
        </w:rPr>
        <w:footnoteReference w:id="78"/>
      </w:r>
      <w:r>
        <w:rPr>
          <w:rFonts w:ascii="Amiri" w:hAnsi="Amiri" w:eastAsia="Amiri" w:cs="Amiri"/>
          <w:color w:val="111111"/>
          <w:sz w:val="28"/>
          <w:sz w:val="28"/>
          <w:szCs w:val="28"/>
          <w:rtl w:val="true"/>
          <w:lang w:bidi="ar-SA"/>
        </w:rPr>
        <w:t>، فلا يختص الحكم بما جرت عادتهن على عدم ستره، في حين أنّ منشأه في أهل البوادي هو هتك حرمتهن بأيديهن؛ إذ لا ينتهين إذا نهين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ومفاده وإن كان التخصيص من جهة، لكنه تعميم من جهة ثانية، بمعنى </w:t>
      </w:r>
    </w:p>
    <w:p>
      <w:pPr>
        <w:pStyle w:val="BookText"/>
        <w:rPr/>
      </w:pPr>
      <w:r>
        <w:rPr>
          <w:rFonts w:ascii="Amiri" w:hAnsi="Amiri" w:eastAsia="Amiri" w:cs="Amiri"/>
          <w:color w:val="111111"/>
          <w:sz w:val="28"/>
          <w:sz w:val="28"/>
          <w:szCs w:val="28"/>
          <w:rtl w:val="true"/>
          <w:lang w:bidi="ar-SA"/>
        </w:rPr>
        <w:t>أنّ الذمية إذا كانت عادتها ستر الذراع فانكشف ذراعها في حال النوم مثلاً لم يكن إشكال في النظر إليه، فلا ندور مدار العادة، أمّا المسلمة فالأمر تابع لما اعتادت على كشفه، فإذا لم تكن تكشف ذراعها فانكشف في حال النوم فلا يجوز النظر إليه، فإنها لم تهتك هذه المنطقة؛ لأنها إذا نُهيت عن كشف ذراعها انتهت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العنوان المذكور في الرواية أعم مما ذكره من عنوان ما جرت عادتهن على عدم ستره؛ إذ عدم الانتهاء بالنهي قد يتحقق في مورد جريان العادة على عدم الستر، وقد يتحقق في مورد خاص، بأن لم تستر شعرها مثلاً في واقعة خاصة، ولم تنتهِ بالنهي، كليلة زفافها، وإن لم تجر عادتها على عدم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بانصراف الرواية عن مثل ذلك، فيتساوى مؤدى التعبيرين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عموم الحكم حتى للعورة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لإطلاق كلماتهم في حرمة النظر إلى عورة المسلم بلا استثناء، وقد وردت بعض النصوص في جواز النظر إلى عورة الكافر</w:t>
      </w:r>
      <w:r>
        <w:rPr>
          <w:rStyle w:val="FootnoteAnchor"/>
          <w:rtl w:val="true"/>
        </w:rPr>
        <w:footnoteReference w:id="80"/>
      </w:r>
      <w:r>
        <w:rPr>
          <w:rFonts w:ascii="Amiri" w:hAnsi="Amiri" w:eastAsia="Amiri" w:cs="Amiri"/>
          <w:color w:val="111111"/>
          <w:sz w:val="28"/>
          <w:sz w:val="28"/>
          <w:szCs w:val="28"/>
          <w:rtl w:val="true"/>
          <w:lang w:bidi="ar-SA"/>
        </w:rPr>
        <w:t xml:space="preserve">، ومع ذلك أعرض الفقهاء عن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الرواية معتبرة 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بعورة المسلم، وقد ذكر الإعراض في الفقه والمهذب والمستمسك</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69" w:name="pg15684_175285"/>
    </w:p>
    <w:p>
      <w:pPr>
        <w:pStyle w:val="BookText"/>
        <w:rPr/>
      </w:pPr>
      <w:bookmarkEnd w:id="69"/>
      <w:r>
        <w:rPr>
          <w:rFonts w:ascii="Amiri" w:hAnsi="Amiri" w:eastAsia="Amiri" w:cs="Amiri"/>
          <w:color w:val="111111"/>
          <w:sz w:val="28"/>
          <w:sz w:val="28"/>
          <w:szCs w:val="28"/>
          <w:rtl w:val="true"/>
          <w:lang w:bidi="ar-SA"/>
        </w:rPr>
        <w:t>وسيأتي الكلام في ذلك في المسألة القادمة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يجعل احتياطه وجوباً بعدم النظر إلى عورة الكافر في حاشيته على العروة</w:t>
      </w:r>
      <w:r>
        <w:rPr>
          <w:rStyle w:val="FootnoteAnchor"/>
          <w:rtl w:val="true"/>
        </w:rPr>
        <w:footnoteReference w:id="82"/>
      </w:r>
      <w:r>
        <w:rPr>
          <w:rFonts w:ascii="Amiri" w:hAnsi="Amiri" w:eastAsia="Amiri" w:cs="Amiri"/>
          <w:color w:val="111111"/>
          <w:sz w:val="28"/>
          <w:sz w:val="28"/>
          <w:szCs w:val="28"/>
          <w:rtl w:val="true"/>
          <w:lang w:bidi="ar-SA"/>
        </w:rPr>
        <w:t>قرينة على تخصيص العموم المذكور في المقام، فلا يعلم أنّ مراده في الشرح حتى العورة، بدليل ما ذكره في مباحث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أفتى بالعدم أو احتاط وجوباً كل من رأيت حواشيهم على العروة وهم حوالي ثمانية عشر عالماً</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1572622_2142443653"/>
      <w:bookmarkStart w:id="71" w:name="_Toc27"/>
      <w:bookmarkEnd w:id="70"/>
      <w:r>
        <w:rPr>
          <w:rtl w:val="true"/>
        </w:rPr>
        <w:t>الفرع الرابع</w:t>
      </w:r>
      <w:r>
        <w:rPr>
          <w:rtl w:val="true"/>
        </w:rPr>
        <w:t xml:space="preserve">: </w:t>
      </w:r>
      <w:r>
        <w:rPr>
          <w:rtl w:val="true"/>
        </w:rPr>
        <w:t>الكلام في الانتهاء المقيد</w:t>
      </w:r>
      <w:bookmarkEnd w:id="71"/>
    </w:p>
    <w:p>
      <w:pPr>
        <w:pStyle w:val="BookText"/>
        <w:rPr/>
      </w:pPr>
      <w:r>
        <w:rPr>
          <w:rFonts w:ascii="Amiri" w:hAnsi="Amiri" w:eastAsia="Amiri" w:cs="Amiri"/>
          <w:color w:val="111111"/>
          <w:sz w:val="28"/>
          <w:sz w:val="28"/>
          <w:szCs w:val="28"/>
          <w:rtl w:val="true"/>
          <w:lang w:bidi="ar-SA"/>
        </w:rPr>
        <w:t>الظاهر أنه لا فرق بين عدم الستر مطلقاً أو مقيداً بزمان خاص أو مكان خاص، كما في حالة السفر إلى بلاد الكفار مثلاً؛ وذلك لتحقق العلة، وهي عدم الانتهاء بالنهي، و التقييد بعدم الانتهاء مطلقاً مندفع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المبتذلة تارة غير محجبة مطلقاً، وتارة هي محجبة ولكن تخلع الحجاب حينما تذهب إلى بلاد الأجانب ولا تنتهي، والحكم هو جواز النظر إليها هناك لتحقق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التنظير له بسائر العناوين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 مع الذين يغتابون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 مع الذين يشربون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من يشربه دائماً، وإنما الحكم شامل لمن شربها في فترة دون فترة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التعميم بأن يجوز النظر إليها حتى في فترة تحجبها؛ لأنها ليست منتهية، وإنما تلبس الحجاب للضغط الاجتماعي، فيصح إطلاق </w:t>
      </w:r>
      <w:bookmarkStart w:id="72" w:name="pg15684_175286"/>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فإنّ الانتهاء ملكة، وهي لا تملكه؛ ولذا لو زال الظرف الذي تعيش فيه نزعت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يتبدل الحكم بتبدل الموضوع، والملكة تتبعض، فقد لا ينحرف الإنسان بمليون دينار، بل بعشرة ملايين مثلاً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1572624_2142443653"/>
      <w:bookmarkStart w:id="74" w:name="_Toc28"/>
      <w:bookmarkEnd w:id="73"/>
      <w:r>
        <w:rPr>
          <w:rtl w:val="true"/>
        </w:rPr>
        <w:t>الفرع الخامس</w:t>
      </w:r>
      <w:r>
        <w:rPr>
          <w:rtl w:val="true"/>
        </w:rPr>
        <w:t xml:space="preserve">: </w:t>
      </w:r>
      <w:r>
        <w:rPr>
          <w:rtl w:val="true"/>
        </w:rPr>
        <w:t>العلم بعدم الانتهاء</w:t>
      </w:r>
      <w:bookmarkEnd w:id="74"/>
    </w:p>
    <w:p>
      <w:pPr>
        <w:pStyle w:val="BookText"/>
        <w:rPr/>
      </w:pPr>
      <w:r>
        <w:rPr>
          <w:rFonts w:ascii="Amiri" w:hAnsi="Amiri" w:eastAsia="Amiri" w:cs="Amiri"/>
          <w:color w:val="111111"/>
          <w:sz w:val="28"/>
          <w:sz w:val="28"/>
          <w:szCs w:val="28"/>
          <w:rtl w:val="true"/>
          <w:lang w:bidi="ar-SA"/>
        </w:rPr>
        <w:t xml:space="preserve">الظاهر أنه لا يشترط العلم بعدم الانتهاء بالنهي، وإلا لم يصلح ذلك تعليلاً لجواز النظر لرؤوس أهل تهامة والأعراب، وأهل السواد والعلوج على نحو الإطلاق، وتصدي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عدم انتهائهن جميعاً بالنهي خارجاً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القضية المذكورة في الرواية طبيعية؛ ولذا يكفي فيها تعارف عدم الانتهاء بالنهي، وعليه فلو حصل الظن بعدم الانتهاء في مورد جاز النظر، بل وكذا مع الشك، بل قد يقال بجوازه حتى مع الظن بالانتهاء بالنهي ما لم يصل إلى حدّ الاطمئنان؛ لأنّ ذلك لا ينافي كون عدم الانتهاء هو مقتضى الطبيعة،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الدواء الكذائي فإنه علاج للحمى، فحيث إنّ القضية طبيعية يلزم تناوله، ولو مع الظن بعدم الإجداء في خصوص المورد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الطبيعية لا يشترط العلم بتحقق العلة،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أغلب التعليلات الطبية والشرعية، وأغلب تعليلات علم الاجتماع وعلم النفس، وعلم الأخلاق مسوقة على نحو القضايا الطبيعية لا على نحو القضايا </w:t>
      </w:r>
    </w:p>
    <w:p>
      <w:pPr>
        <w:pStyle w:val="BookText"/>
        <w:rPr/>
      </w:pPr>
      <w:r>
        <w:rPr>
          <w:rFonts w:ascii="Amiri" w:hAnsi="Amiri" w:eastAsia="Amiri" w:cs="Amiri"/>
          <w:color w:val="111111"/>
          <w:sz w:val="28"/>
          <w:sz w:val="28"/>
          <w:szCs w:val="28"/>
          <w:rtl w:val="true"/>
          <w:lang w:bidi="ar-SA"/>
        </w:rPr>
        <w:t>المسورة الكلية،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في كل يوم، فإنّ الصدقة تدفع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ثابت حتى لو ظن أنّ هذه الصدقة لا تدفع البلاء، وكما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 الدواء الكذائي فإنه علاج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ظن العبد بأنه ليس علاجاً في هذا اليوم لعامل معين، كما لو كان قد تناول طعاماً معيناً يظن أنه يمنع الدواء من التأثير، فهل يمكنه أن يعتذر أمام المولى بأني ظننت بالخلاف أم لا عذر له؟</w:t>
      </w:r>
    </w:p>
    <w:p>
      <w:pPr>
        <w:pStyle w:val="BookText"/>
        <w:rPr/>
      </w:pPr>
      <w:r>
        <w:rPr>
          <w:rFonts w:ascii="Amiri" w:hAnsi="Amiri" w:eastAsia="Amiri" w:cs="Amiri"/>
          <w:color w:val="111111"/>
          <w:sz w:val="28"/>
          <w:sz w:val="28"/>
          <w:szCs w:val="28"/>
          <w:rtl w:val="true"/>
          <w:lang w:bidi="ar-SA"/>
        </w:rPr>
        <w:t>أما القضية المسورة الحقيقية فهي تدور مدار علتها، بخلاف القضية الطبيعية حيث يكفي كون الطبيعة هذه، والمستظهر من الأمر في المقام أنّ القضية طبيعية، يعني النساء غير المحجبات عادة لا ينتهين بالنهي، فتشملهن العلة حتى فيما إذا ظن أنّ المرأة المعينة تنتهي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أنّ القضية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القضية حقيقية، لكنها طبيعية لا على نحو الكلية المسورة، وغالب القضايا هي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إحراز الابتذال، فإنّ ترتب الحكم على الموضوع فرع لتحقق الموضوع، فنساء أهل تهامة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مبتذلة وغير مبتذلة خرج شعرها صدفة، ولا يعلم أنّ هذه المرأة هل هي مبتذلة أم لا؟ فلا يمكن ترتب الحكم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جديد، والكلام الآن في التعليل الطبيعي فيمن لا يعلم أنها أخرجت شعرها عمداً أو غفلة خرج، وإلا كان ذلك إلغاء للحكم، فكل امرأة لا يعلم أنها تنتهي أم لا إلا لمن يعرفها حق المعرفة كالجارة مثلاً</w:t>
      </w:r>
      <w:r>
        <w:rPr>
          <w:rFonts w:eastAsia="Amiri" w:cs="Amiri" w:ascii="Amiri" w:hAnsi="Amiri"/>
          <w:color w:val="111111"/>
          <w:sz w:val="28"/>
          <w:szCs w:val="28"/>
          <w:rtl w:val="true"/>
          <w:lang w:bidi="ar-SA"/>
        </w:rPr>
        <w:t xml:space="preserve">. </w:t>
      </w:r>
      <w:bookmarkStart w:id="75" w:name="pg15684_175288"/>
    </w:p>
    <w:p>
      <w:pPr>
        <w:pStyle w:val="BookText"/>
        <w:rPr/>
      </w:pPr>
      <w:bookmarkEnd w:id="75"/>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القضية طبيعية جاز النظر إلى من يعلم أنها إذا نهيت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منصرفة عن صورة العلم، فلا يشملها الدليل، كما في مثال الصدقة التي يعلم أنها لا تدفع الموت فلا يجب دفعها</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1572626_2142443653"/>
      <w:bookmarkStart w:id="77" w:name="_Toc29"/>
      <w:bookmarkEnd w:id="76"/>
      <w:r>
        <w:rPr>
          <w:rtl w:val="true"/>
        </w:rPr>
        <w:t>الفرع السادس</w:t>
      </w:r>
      <w:r>
        <w:rPr>
          <w:rtl w:val="true"/>
        </w:rPr>
        <w:t xml:space="preserve">: </w:t>
      </w:r>
      <w:r>
        <w:rPr>
          <w:rtl w:val="true"/>
        </w:rPr>
        <w:t>شرائط جواز النظر</w:t>
      </w:r>
      <w:bookmarkEnd w:id="77"/>
    </w:p>
    <w:p>
      <w:pPr>
        <w:pStyle w:val="BookText"/>
        <w:rPr/>
      </w:pPr>
      <w:r>
        <w:rPr>
          <w:rFonts w:ascii="Amiri" w:hAnsi="Amiri" w:eastAsia="Amiri" w:cs="Amiri"/>
          <w:color w:val="111111"/>
          <w:sz w:val="28"/>
          <w:sz w:val="28"/>
          <w:szCs w:val="28"/>
          <w:rtl w:val="true"/>
          <w:lang w:bidi="ar-SA"/>
        </w:rPr>
        <w:t xml:space="preserve">يشترط في جواز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 الافتتان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الكلام في ذلك في المسألة القادمة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عدم التزين على ما سيأتي في تلك المسألة إن شاء اللّه</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1572628_2142443653"/>
      <w:bookmarkStart w:id="79" w:name="_Toc30"/>
      <w:bookmarkEnd w:id="78"/>
      <w:r>
        <w:rPr>
          <w:rtl w:val="true"/>
        </w:rPr>
        <w:t>الفرع السابع</w:t>
      </w:r>
      <w:r>
        <w:rPr>
          <w:rtl w:val="true"/>
        </w:rPr>
        <w:t xml:space="preserve">: </w:t>
      </w:r>
      <w:r>
        <w:rPr>
          <w:rtl w:val="true"/>
        </w:rPr>
        <w:t>حكم اللمس وغيره</w:t>
      </w:r>
      <w:bookmarkEnd w:id="79"/>
    </w:p>
    <w:p>
      <w:pPr>
        <w:pStyle w:val="BookText"/>
        <w:rPr/>
      </w:pPr>
      <w:r>
        <w:rPr>
          <w:rFonts w:ascii="Amiri" w:hAnsi="Amiri" w:eastAsia="Amiri" w:cs="Amiri"/>
          <w:color w:val="111111"/>
          <w:sz w:val="28"/>
          <w:sz w:val="28"/>
          <w:szCs w:val="28"/>
          <w:rtl w:val="true"/>
          <w:lang w:bidi="ar-SA"/>
        </w:rPr>
        <w:t>لا يجوز اللمس ونحوه وإن لم يكنّ ينتهين بالنهي للارتكاز المتشرعي وعدم الخلاف، والتعليل قابل للتخصيص، ولا يلزم من ذلك خروج الأكثر كما سبق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البحث في المسألة الأولى</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5684_175290"/>
      <w:bookmarkStart w:id="81" w:name="pg15684_175290"/>
      <w:bookmarkEnd w:id="81"/>
    </w:p>
    <w:p>
      <w:pPr>
        <w:pStyle w:val="Heading2"/>
        <w:numPr>
          <w:ilvl w:val="1"/>
          <w:numId w:val="1"/>
        </w:numPr>
        <w:rPr/>
      </w:pPr>
      <w:bookmarkStart w:id="82" w:name="pg15684_175290"/>
      <w:bookmarkStart w:id="83" w:name="__RefHeading___Toc11572630_2142443653"/>
      <w:bookmarkStart w:id="84" w:name="_Toc31"/>
      <w:bookmarkEnd w:id="82"/>
      <w:bookmarkEnd w:id="83"/>
      <w:r>
        <w:rPr>
          <w:rtl w:val="true"/>
        </w:rPr>
        <w:t xml:space="preserve">المسألة الثانية </w:t>
      </w:r>
      <w:r>
        <w:rPr>
          <w:rtl w:val="true"/>
        </w:rPr>
        <w:t xml:space="preserve">: </w:t>
      </w:r>
      <w:r>
        <w:rPr>
          <w:rtl w:val="true"/>
        </w:rPr>
        <w:t>النظر إلى نساء أهل الذمة ومطلق الكوافر</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1572632_2142443653"/>
      <w:bookmarkStart w:id="86" w:name="_Toc32"/>
      <w:bookmarkEnd w:id="85"/>
      <w:r>
        <w:rPr>
          <w:rtl w:val="true"/>
        </w:rPr>
        <w:t>اشارة</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5684_175292"/>
      <w:bookmarkStart w:id="88" w:name="pg15684_175292"/>
      <w:bookmarkEnd w:id="88"/>
    </w:p>
    <w:p>
      <w:pPr>
        <w:pStyle w:val="Heading3"/>
        <w:numPr>
          <w:ilvl w:val="2"/>
          <w:numId w:val="1"/>
        </w:numPr>
        <w:rPr/>
      </w:pPr>
      <w:bookmarkStart w:id="89" w:name="pg15684_175292"/>
      <w:bookmarkStart w:id="90" w:name="__RefHeading___Toc11572634_2142443653"/>
      <w:bookmarkStart w:id="91" w:name="_Toc33"/>
      <w:bookmarkEnd w:id="89"/>
      <w:bookmarkEnd w:id="90"/>
      <w:r>
        <w:rPr>
          <w:rtl w:val="true"/>
        </w:rPr>
        <w:t>المسألة الثانية</w:t>
      </w:r>
      <w:r>
        <w:rPr>
          <w:rtl w:val="true"/>
        </w:rPr>
        <w:t xml:space="preserve">: </w:t>
      </w:r>
      <w:r>
        <w:rPr>
          <w:rtl w:val="true"/>
        </w:rPr>
        <w:t>النظر إلى نساء أهل الذمة ومطلق الكوافر</w:t>
      </w:r>
      <w:bookmarkEnd w:id="91"/>
    </w:p>
    <w:p>
      <w:pPr>
        <w:pStyle w:val="Heading4"/>
        <w:numPr>
          <w:ilvl w:val="3"/>
          <w:numId w:val="1"/>
        </w:numPr>
        <w:rPr/>
      </w:pPr>
      <w:bookmarkStart w:id="92" w:name="__RefHeading___Toc11572636_2142443653"/>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النظر إلى نساء أهل الذمة، بل مطلق الكفار مع عدم التلذذ والريبة، أي خوف الوقوع في الحرام، والأحوط الاقتصار على المقدار الذي جرت عادتهن على عدم ستره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1572638_2142443653"/>
      <w:bookmarkStart w:id="95" w:name="_Toc35"/>
      <w:bookmarkEnd w:id="94"/>
      <w:r>
        <w:rPr>
          <w:rtl w:val="true"/>
        </w:rPr>
        <w:t>فروع المسألة الثانية</w:t>
      </w:r>
      <w:bookmarkEnd w:id="95"/>
    </w:p>
    <w:p>
      <w:pPr>
        <w:pStyle w:val="Heading5"/>
        <w:numPr>
          <w:ilvl w:val="4"/>
          <w:numId w:val="1"/>
        </w:numPr>
        <w:rPr/>
      </w:pPr>
      <w:bookmarkStart w:id="96" w:name="__RefHeading___Toc11572640_2142443653"/>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وفي هذه المسألة فروع</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1572642_2142443653"/>
      <w:bookmarkStart w:id="99" w:name="_Toc37"/>
      <w:bookmarkEnd w:id="98"/>
      <w:r>
        <w:rPr>
          <w:rtl w:val="true"/>
        </w:rPr>
        <w:t>الفرع الأول</w:t>
      </w:r>
      <w:r>
        <w:rPr>
          <w:rtl w:val="true"/>
        </w:rPr>
        <w:t xml:space="preserve">: </w:t>
      </w:r>
      <w:r>
        <w:rPr>
          <w:rtl w:val="true"/>
        </w:rPr>
        <w:t>في أصل جواز النظر إلى نساء أهل الذمة</w:t>
      </w:r>
      <w:bookmarkEnd w:id="99"/>
    </w:p>
    <w:p>
      <w:pPr>
        <w:pStyle w:val="Heading6"/>
        <w:numPr>
          <w:ilvl w:val="5"/>
          <w:numId w:val="1"/>
        </w:numPr>
        <w:rPr/>
      </w:pPr>
      <w:bookmarkStart w:id="100" w:name="__RefHeading___Toc11572644_2142443653"/>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وقد نسب القول بالجواز إلى الشيخ المفيد في المقنعة والشيخ الطوسي في النهاية والقاضي والمحقق في الشرائع والعلامة في القواعد كما نسب إلى أكثر المتأخرين كما في المستند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المشهور، كما صرح به في المسالك والمستند والحدائق والفقه وفقه الصادق</w:t>
      </w:r>
      <w:r>
        <w:rPr>
          <w:rStyle w:val="FootnoteAnchor"/>
          <w:rtl w:val="true"/>
        </w:rPr>
        <w:footnoteReference w:id="85"/>
      </w:r>
      <w:r>
        <w:rPr>
          <w:rFonts w:ascii="Amiri" w:hAnsi="Amiri" w:eastAsia="Amiri" w:cs="Amiri"/>
          <w:color w:val="111111"/>
          <w:sz w:val="28"/>
          <w:sz w:val="28"/>
          <w:szCs w:val="28"/>
          <w:rtl w:val="true"/>
          <w:lang w:bidi="ar-SA"/>
        </w:rPr>
        <w:t>، وقال في مرآة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وعمل به المفيد والشيخ وأكثر الأصحاب مع الحمل على عدم الشهوة والريبة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02" w:name="pg15684_175293"/>
    </w:p>
    <w:p>
      <w:pPr>
        <w:pStyle w:val="BookText"/>
        <w:rPr/>
      </w:pPr>
      <w:bookmarkEnd w:id="102"/>
      <w:r>
        <w:rPr>
          <w:rFonts w:ascii="IRNazanin" w:hAnsi="IRNazanin" w:eastAsia="IRNazanin"/>
          <w:color w:val="111111"/>
          <w:sz w:val="28"/>
          <w:sz w:val="28"/>
          <w:szCs w:val="28"/>
          <w:rtl w:val="true"/>
          <w:lang w:bidi="fa-IR"/>
        </w:rPr>
        <w:t>وأيد صاحب العروة في الجواز المحقق العراقي والمحقق النائيني والسيد أبو الحسن الإصفهاني والسيد عبد الهادي الشيرازي والسيد البروجردي والسيد القمي والسيد الوالد والسيد الگلپايگاني والسيد الخوئي رحمهم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في ذلك ابن إدريس الحلي في السرائر</w:t>
      </w:r>
      <w:r>
        <w:rPr>
          <w:rStyle w:val="FootnoteAnchor"/>
          <w:rtl w:val="true"/>
        </w:rPr>
        <w:footnoteReference w:id="88"/>
      </w:r>
      <w:r>
        <w:rPr>
          <w:rFonts w:ascii="Amiri" w:hAnsi="Amiri" w:eastAsia="Amiri" w:cs="Amiri"/>
          <w:color w:val="111111"/>
          <w:sz w:val="28"/>
          <w:sz w:val="28"/>
          <w:szCs w:val="28"/>
          <w:rtl w:val="true"/>
          <w:lang w:bidi="ar-SA"/>
        </w:rPr>
        <w:t>، والعلامة الحلي في المختلف</w:t>
      </w:r>
      <w:r>
        <w:rPr>
          <w:rStyle w:val="FootnoteAnchor"/>
          <w:rtl w:val="true"/>
        </w:rPr>
        <w:footnoteReference w:id="89"/>
      </w:r>
      <w:r>
        <w:rPr>
          <w:rFonts w:ascii="Amiri" w:hAnsi="Amiri" w:eastAsia="Amiri" w:cs="Amiri"/>
          <w:color w:val="111111"/>
          <w:sz w:val="28"/>
          <w:sz w:val="28"/>
          <w:szCs w:val="28"/>
          <w:rtl w:val="true"/>
          <w:lang w:bidi="ar-SA"/>
        </w:rPr>
        <w:t>، وقال المحقق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أن لا يكون النظر مقصوداً أصلياً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يذهب للأسواق وينظر إليهن تبعاً، وتارة يذهب إلى الأسواق حتى ينظر إليهن</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1572646_2142443653"/>
      <w:bookmarkStart w:id="104" w:name="_Toc39"/>
      <w:bookmarkEnd w:id="103"/>
      <w:r>
        <w:rPr>
          <w:rtl w:val="true"/>
        </w:rPr>
        <w:t>أدلة جواز النظر إلى نساء أهل الذمة</w:t>
      </w:r>
      <w:bookmarkEnd w:id="104"/>
    </w:p>
    <w:p>
      <w:pPr>
        <w:pStyle w:val="Heading6"/>
        <w:numPr>
          <w:ilvl w:val="5"/>
          <w:numId w:val="1"/>
        </w:numPr>
        <w:rPr/>
      </w:pPr>
      <w:bookmarkStart w:id="105" w:name="__RefHeading___Toc11572648_2142443653"/>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وكيف كان، فيدلُّ على الحكم أمور</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1572650_2142443653"/>
      <w:bookmarkStart w:id="108" w:name="_Toc41"/>
      <w:bookmarkEnd w:id="107"/>
      <w:r>
        <w:rPr>
          <w:rtl w:val="true"/>
        </w:rPr>
        <w:t>الدليل الأول</w:t>
      </w:r>
      <w:r>
        <w:rPr>
          <w:rtl w:val="true"/>
        </w:rPr>
        <w:t xml:space="preserve">: </w:t>
      </w:r>
      <w:r>
        <w:rPr>
          <w:rtl w:val="true"/>
        </w:rPr>
        <w:t>موثقة عباد بن صهيب المتقدمة</w:t>
      </w:r>
      <w:bookmarkEnd w:id="108"/>
    </w:p>
    <w:p>
      <w:pPr>
        <w:pStyle w:val="BookText"/>
        <w:rPr/>
      </w:pPr>
      <w:r>
        <w:rPr>
          <w:rFonts w:ascii="Amiri" w:hAnsi="Amiri" w:eastAsia="Amiri" w:cs="Amiri"/>
          <w:color w:val="111111"/>
          <w:sz w:val="28"/>
          <w:sz w:val="28"/>
          <w:szCs w:val="28"/>
          <w:rtl w:val="true"/>
          <w:lang w:bidi="ar-SA"/>
        </w:rPr>
        <w:t>وذلك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شعور نساء أهل تهامة والأعراب وأهل البوادي من أهل الذمة والعلوج</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بالنظر إلى رؤوس أهل تهامة والأعراب وأهل </w:t>
      </w:r>
    </w:p>
    <w:p>
      <w:pPr>
        <w:pStyle w:val="BookText"/>
        <w:rPr/>
      </w:pPr>
      <w:r>
        <w:rPr>
          <w:rFonts w:ascii="Amiri" w:hAnsi="Amiri" w:eastAsia="Amiri" w:cs="Amiri"/>
          <w:color w:val="111111"/>
          <w:sz w:val="28"/>
          <w:sz w:val="28"/>
          <w:szCs w:val="28"/>
          <w:rtl w:val="true"/>
          <w:lang w:bidi="ar-SA"/>
        </w:rPr>
        <w:t>السواد من أهل الذمة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ولعلّ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للجميع، وإن كان المتيقن عوده إلى الأخير، وبإلغاء الخصوصية عرفاً يتم التعدي إلى غيرهن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مقتضى القاعدة رجوع القيد إلى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عوده إلى الأخير ويوجب الإجمال فيما تقدمه، ولكن لا ينافي أن يكون له ظهور في العود إلى الجميع، فهو القاعدة في موارد الشك،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واحترم الخطباء وأضف الشعراء إذا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شك حتى تجري القاعدة، فلو أراد العود إلى الأخير فقط لزم أن يفصل بفاصل عادة، أو يغير سياق الكلام، وإلاّ فلعل ظاهره العود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أن مَن رأينا كلماتهم من الفقهاء سابقاً في المسألة الأولى أنهم كانوا يذكرون هذه الرواية لأهل الذمة، وكأنهم فهموا أنه يعود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الكليني والفقيه</w:t>
      </w:r>
      <w:r>
        <w:rPr>
          <w:rStyle w:val="FootnoteAnchor"/>
          <w:rtl w:val="true"/>
        </w:rPr>
        <w:footnoteReference w:id="93"/>
      </w:r>
      <w:r>
        <w:rPr>
          <w:rFonts w:ascii="Amiri" w:hAnsi="Amiri" w:eastAsia="Amiri" w:cs="Amiri"/>
          <w:color w:val="111111"/>
          <w:sz w:val="28"/>
          <w:sz w:val="28"/>
          <w:szCs w:val="28"/>
          <w:rtl w:val="true"/>
          <w:lang w:bidi="ar-SA"/>
        </w:rPr>
        <w:t>، وإن خلت منه رواية العلل</w:t>
      </w:r>
      <w:r>
        <w:rPr>
          <w:rStyle w:val="FootnoteAnchor"/>
          <w:rtl w:val="true"/>
        </w:rPr>
        <w:footnoteReference w:id="94"/>
      </w:r>
      <w:r>
        <w:rPr>
          <w:rFonts w:ascii="Amiri" w:hAnsi="Amiri" w:eastAsia="Amiri" w:cs="Amiri"/>
          <w:color w:val="111111"/>
          <w:sz w:val="28"/>
          <w:sz w:val="28"/>
          <w:szCs w:val="28"/>
          <w:rtl w:val="true"/>
          <w:lang w:bidi="ar-SA"/>
        </w:rPr>
        <w:t>، إلاّ أنّ أصالة عدم الزيادة مقدمة على أصالة عدم النقيصة، مضافاً إلى أنّ الكافي والفقيه أضبط من العلل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العلوج يشمل أهل الذمة وغيرهم؛ إذ هو مطلق الكافر، لا </w:t>
      </w:r>
      <w:bookmarkStart w:id="109" w:name="pg15684_175295"/>
    </w:p>
    <w:p>
      <w:pPr>
        <w:pStyle w:val="BookText"/>
        <w:rPr/>
      </w:pPr>
      <w:bookmarkEnd w:id="109"/>
      <w:r>
        <w:rPr>
          <w:rFonts w:ascii="Amiri" w:hAnsi="Amiri" w:eastAsia="Amiri" w:cs="Amiri"/>
          <w:color w:val="111111"/>
          <w:sz w:val="28"/>
          <w:sz w:val="28"/>
          <w:szCs w:val="28"/>
          <w:rtl w:val="true"/>
          <w:lang w:bidi="ar-SA"/>
        </w:rPr>
        <w:t>الكافر الضخم القوي فقط، ولو بإلغاء الخصوصية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لأنهن إذا نهين لا ينتهين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والعلل، 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إذا نهوا لا ينتهون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فتشمل الذمية مطلقاً، سواء كانت قوية أم ضعيفة، ضخمة أم 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هذا الدليل خاص بصورة عدم الانتهاء بالنهي، وأما مع الانتهاء به فلا يشملهن الحديث؛ إذ الدليل أخصّ من المدعى، فيثبت المطلوب في الجملة، ولعل غالب الذميات إذا نهين لا ينتهين</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1572652_2142443653"/>
      <w:bookmarkStart w:id="111" w:name="_Toc42"/>
      <w:bookmarkEnd w:id="110"/>
      <w:r>
        <w:rPr>
          <w:rtl w:val="true"/>
        </w:rPr>
        <w:t>الدليل الثاني</w:t>
      </w:r>
      <w:r>
        <w:rPr>
          <w:rtl w:val="true"/>
        </w:rPr>
        <w:t xml:space="preserve">: </w:t>
      </w:r>
      <w:r>
        <w:rPr>
          <w:rtl w:val="true"/>
        </w:rPr>
        <w:t>رواية السكوني</w:t>
      </w:r>
      <w:bookmarkEnd w:id="111"/>
    </w:p>
    <w:p>
      <w:pPr>
        <w:pStyle w:val="BookText"/>
        <w:rPr/>
      </w:pPr>
      <w:r>
        <w:rPr>
          <w:rFonts w:ascii="IRNazanin" w:hAnsi="IRNazanin" w:eastAsia="IRNazanin"/>
          <w:color w:val="111111"/>
          <w:sz w:val="28"/>
          <w:sz w:val="28"/>
          <w:szCs w:val="28"/>
          <w:rtl w:val="true"/>
          <w:lang w:bidi="fa-IR"/>
        </w:rPr>
        <w:t>ما رواه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حرمة لنساء أهل الذمة إن ينظر إلى شعورهن وأيديهن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ودلالي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يبين وجه الضعف، والظاهر أنه إما للنوفلي فقط، أو له وللسكوني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وضعّفها السيد القمي في المباني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الرواية مَن يتأمل فيه تأملاً شديداً إلا الحسين بن يزيد بن </w:t>
      </w:r>
    </w:p>
    <w:p>
      <w:pPr>
        <w:pStyle w:val="BookText"/>
        <w:rPr/>
      </w:pPr>
      <w:r>
        <w:rPr>
          <w:rFonts w:ascii="Amiri" w:hAnsi="Amiri" w:eastAsia="Amiri" w:cs="Amiri"/>
          <w:color w:val="111111"/>
          <w:sz w:val="28"/>
          <w:sz w:val="28"/>
          <w:szCs w:val="28"/>
          <w:rtl w:val="true"/>
          <w:lang w:bidi="ar-SA"/>
        </w:rPr>
        <w:t>محمد النوفلي، أما السكوني فثقة على المختار، وإن كان فيه نوع من الخدش لكنه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باعتبار الرواية،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بوثاقة النوفلي</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وذلك 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في أسناد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في أسناد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ورد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روايات السكوني رواها النوفلي، وقد ذكر الشيخ الطوسي في كتاب العدة أنّ الطائفة عملت برواية السكوني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عنه في مواضع من كتبه أنّ الإمامية مجمعة على العمل بروايته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تمسك بالعام في الشبهة المصداقية، فتأمل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إحراز الموضوع، وأنّ الروايات التي رواها النوفلي عن السكوني هي روايات السكوني، فلو فرضنا أنه مختلق للأسانيد فلا يثبت أنها رواياته حتى يشمله كلام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يوثق ما بأيدينا من روايات السكوني، وهي روايات النوفلي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روايات لم يقع في طريقها النوفلي؛ وذلك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بالأوامر الواردة إليك عن أبيك، فلو ورد الأمر عن طريق مجهول أو مشكوك لم يتم الموضوع حتى يلزم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بروايات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معظم النبويات ضعيفة، فهل يلزم العمل بها؟</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كثير الرواية وسديدها ومقبولها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 النوفلي عن السكوني في الكافي، فحسب الاستقراء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وثمانون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وأربعون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وثمانون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وتسعون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روايات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فالمجموع أربعمائة وتسع عشرة رواية، وربما تكون الروايات أكثر، </w:t>
      </w:r>
    </w:p>
    <w:p>
      <w:pPr>
        <w:pStyle w:val="BookText"/>
        <w:rPr/>
      </w:pPr>
      <w:r>
        <w:rPr>
          <w:rFonts w:ascii="Amiri" w:hAnsi="Amiri" w:eastAsia="Amiri" w:cs="Amiri"/>
          <w:color w:val="111111"/>
          <w:sz w:val="28"/>
          <w:sz w:val="28"/>
          <w:szCs w:val="28"/>
          <w:rtl w:val="true"/>
          <w:lang w:bidi="ar-SA"/>
        </w:rPr>
        <w:t xml:space="preserve">والشيخ الكليني إنما كتب الكافي ليكون المرجع للشيعة إلى يوم القيامة، وذكر الروايات الصحيحة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فاعتماده على هذه الروايات إما للقرائن الخارجية في كل رواية رواية، وإمّا للقرينة الداخلية، وهي وثاقة النوفلي، وقد ذكرنا أنه يمكن أن تكون القرينة خارجية في بضع روايات، أما إذا كثرت الروايات فلا بد أن تكون القرينة داخلية، فننتهي بذلك إلى توثيق الكليني للنوفلي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الصدوق اعتمد على روايات السكوني في الفقيه 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المشيخة طريقه إلى السكوني يمرّ بالنوفلي، ولا بد من إحصاء موارده، فإن كان كثيراً دل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خصوص هذه الرواية بالعمل</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أكثر الأصحاب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بأس بالعمل به بعد اعتماد المشهور عليه، وإن كان ظاهر من علل بأنها بمنزلة الإماء عدم الاعتماد عليه، ولكن اعتماد غيره كاف في جبر ضعفه لو كان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القول عمل الأصحاب، ما عدا ابن إدريس، وتبعه العلامة في المختلف، وأمّا في باقي كتبه فهو موافق لمذهب الأصحاب</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أنه لا يدل على الاستناد إلى هذا الخبر، وإنّما يدل على موافقة المشهور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الثاني فهو البحث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الرواية خاصة بالشعور والأيدي، فلا تشمل غيرهما؛ إذ سلب الحرمة مقيّد لا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بشمول الرواية للوجه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لذلك بأدلة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w:t>
      </w:r>
    </w:p>
    <w:p>
      <w:pPr>
        <w:pStyle w:val="BookText"/>
        <w:rPr/>
      </w:pPr>
      <w:r>
        <w:rPr>
          <w:rFonts w:ascii="Amiri" w:hAnsi="Amiri" w:eastAsia="Amiri" w:cs="Amiri"/>
          <w:color w:val="111111"/>
          <w:sz w:val="28"/>
          <w:sz w:val="28"/>
          <w:szCs w:val="28"/>
          <w:rtl w:val="true"/>
          <w:lang w:bidi="ar-SA"/>
        </w:rPr>
        <w:t>ذكره في المستند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القول بعدم الفصل لا عدم القول بالفصل، وبحثه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العرفية</w:t>
      </w:r>
    </w:p>
    <w:p>
      <w:pPr>
        <w:pStyle w:val="BookText"/>
        <w:rPr/>
      </w:pPr>
      <w:r>
        <w:rPr>
          <w:rFonts w:ascii="Amiri" w:hAnsi="Amiri" w:eastAsia="Amiri" w:cs="Amiri"/>
          <w:color w:val="111111"/>
          <w:sz w:val="28"/>
          <w:sz w:val="28"/>
          <w:szCs w:val="28"/>
          <w:rtl w:val="true"/>
          <w:lang w:bidi="ar-SA"/>
        </w:rPr>
        <w:t>فإنه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تنظر إلى شعرها كان معناه عرفا لا بأس بالنظر إلى وجهها، ولا يعقل اختلاف المتلازمين في الحكم اختلافاً بالتضاد؛ لأنه تناقض، كوجوب استقبال القبلة وحرمة 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بتقرير أنّ الشارع شدد في الشعر واليد ما لم يشدد في الوجه؛ ولذا جاز النظر إلى وجه المسلمة ولم يجز النظر إلى شعرها وتمام يدها على مبنى </w:t>
      </w:r>
      <w:bookmarkStart w:id="112" w:name="pg15684_175300"/>
    </w:p>
    <w:p>
      <w:pPr>
        <w:pStyle w:val="BookText"/>
        <w:rPr/>
      </w:pPr>
      <w:bookmarkEnd w:id="112"/>
      <w:r>
        <w:rPr>
          <w:rFonts w:ascii="Amiri" w:hAnsi="Amiri" w:eastAsia="Amiri" w:cs="Amiri"/>
          <w:color w:val="111111"/>
          <w:sz w:val="28"/>
          <w:sz w:val="28"/>
          <w:szCs w:val="28"/>
          <w:rtl w:val="true"/>
          <w:lang w:bidi="ar-SA"/>
        </w:rPr>
        <w:t xml:space="preserve">كثير من الفقهاء، وجاز للمرأة كشف الوجه ولم يجز كشف الشعر وتمام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بحرمة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النظر إلى شعرها وتمام اليد جاز النظر إلى الوجه بطريق أولى</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1572654_2142443653"/>
      <w:bookmarkStart w:id="114" w:name="_Toc43"/>
      <w:bookmarkEnd w:id="113"/>
      <w:r>
        <w:rPr>
          <w:rtl w:val="true"/>
        </w:rPr>
        <w:t>الدليل الثالث</w:t>
      </w:r>
      <w:r>
        <w:rPr>
          <w:rtl w:val="true"/>
        </w:rPr>
        <w:t xml:space="preserve">: </w:t>
      </w:r>
      <w:r>
        <w:rPr>
          <w:rtl w:val="true"/>
        </w:rPr>
        <w:t>رواية عبد اللّه بن جعفر</w:t>
      </w:r>
      <w:bookmarkEnd w:id="114"/>
    </w:p>
    <w:p>
      <w:pPr>
        <w:pStyle w:val="BookText"/>
        <w:rPr/>
      </w:pPr>
      <w:r>
        <w:rPr>
          <w:rFonts w:ascii="Amiri" w:hAnsi="Amiri" w:eastAsia="Amiri" w:cs="Amiri"/>
          <w:color w:val="111111"/>
          <w:sz w:val="28"/>
          <w:sz w:val="28"/>
          <w:szCs w:val="28"/>
          <w:rtl w:val="true"/>
          <w:lang w:bidi="ar-SA"/>
        </w:rPr>
        <w:t>فقد ورد 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عن جعفر 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رؤوس نساء أهل الذمة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الرأس يشمل الوجه أيضاً، فإنه ظاهر عرفاً في مثل المقام فيما يقابل البدن، وفي شموله للرقبة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سند الرواية ضعيف؛ إذ فيه أبو البختري، وهو وهب بن وهب العامي الضعيف الذي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أكذب البرية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فتوى المشهور طبق الرواية جابر لسندها، فتأمل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11572656_2142443653"/>
      <w:bookmarkStart w:id="116" w:name="_Toc44"/>
      <w:bookmarkEnd w:id="115"/>
      <w:r>
        <w:rPr>
          <w:rtl w:val="true"/>
        </w:rPr>
        <w:t>الدليل الرابع</w:t>
      </w:r>
      <w:r>
        <w:rPr>
          <w:rtl w:val="true"/>
        </w:rPr>
        <w:t xml:space="preserve">: </w:t>
      </w:r>
      <w:r>
        <w:rPr>
          <w:rtl w:val="true"/>
        </w:rPr>
        <w:t>السيرة</w:t>
      </w:r>
      <w:bookmarkEnd w:id="1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السيد الوالد في الفقه</w:t>
      </w:r>
      <w:r>
        <w:rPr>
          <w:rStyle w:val="FootnoteAnchor"/>
          <w:rtl w:val="true"/>
        </w:rPr>
        <w:footnoteReference w:id="109"/>
      </w:r>
      <w:r>
        <w:rPr>
          <w:rFonts w:ascii="Amiri" w:hAnsi="Amiri" w:eastAsia="Amiri" w:cs="Amiri"/>
          <w:color w:val="111111"/>
          <w:sz w:val="28"/>
          <w:sz w:val="28"/>
          <w:szCs w:val="28"/>
          <w:rtl w:val="true"/>
          <w:lang w:bidi="ar-SA"/>
        </w:rPr>
        <w:t xml:space="preserve">بعنوان المؤيد، ونسبه إلى جملة منهم </w:t>
      </w:r>
    </w:p>
    <w:p>
      <w:pPr>
        <w:pStyle w:val="BookText"/>
        <w:rPr/>
      </w:pP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وجود سيرة مستجمعة لشرائط الحجية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جرت سيرة المتشرعة على النظر إلى نساء أهل الذمة، وكانت متصلة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ونالت تقريره، أو كانت كاشفة كشفا إنياً عن دليل معتبر؟</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تحقق السيرة، خاصة مع ملاحظة وجودهن في الأسواق وهنّ مكشفات، ولم يكن يلتزمن بالحجاب، بالإضافة إلى ورود الرواية بجواز النظر إليهن، وإلا كانت لغواً، حيث لا مورد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الثابت أنهن كنّ متبرجات كظاهرة عامة في عهد الشارع؟ فقد ورد في التاريخ أنّ الحرائر من أهل الذمة، بل المشركات كنّ محجبات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فربما تكون لبيان الحكم الشرعي، بالإضافة إلى أنّ من مواردها أهل الذمة في بيوت المسلمين، فلا تدل على أنهن كن مكشفات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إثبات أنهنّ لم يكنّ ملتزمات بالحجاب كظاهرة عامة، ولم يرد رادع عن ذلك حتى يفيد التقرير، فتكون السيرة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تكفينا السيرة في زماننا هذا على المبنى، مع عدم إحراز عدم اتصالها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سيرة المتدينين على النظر أم أنّ البعض ينظرون تبعاً لبعض الفتاوى بالجواز؟ </w:t>
      </w:r>
      <w:bookmarkStart w:id="117" w:name="pg15684_175302"/>
    </w:p>
    <w:p>
      <w:pPr>
        <w:pStyle w:val="BookText"/>
        <w:rPr/>
      </w:pPr>
      <w:bookmarkEnd w:id="117"/>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المتدينون يحتاطون في كل شيء، فلا يرتكبون خلاف الاحتياط، فلا تدل سيرتهم على الإلزام، فالمهم سيرة بعض المسلمين، وهي متحققة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سيرة المتدينين الملتزمين بالضوابط الشرعية</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1572658_2142443653"/>
      <w:bookmarkStart w:id="119" w:name="_Toc45"/>
      <w:bookmarkEnd w:id="118"/>
      <w:r>
        <w:rPr>
          <w:rtl w:val="true"/>
        </w:rPr>
        <w:t>الدليل الخامس</w:t>
      </w:r>
      <w:r>
        <w:rPr>
          <w:rtl w:val="true"/>
        </w:rPr>
        <w:t xml:space="preserve">: </w:t>
      </w:r>
      <w:r>
        <w:rPr>
          <w:rtl w:val="true"/>
        </w:rPr>
        <w:t>الحرج</w:t>
      </w:r>
      <w:bookmarkEnd w:id="119"/>
    </w:p>
    <w:p>
      <w:pPr>
        <w:pStyle w:val="BookText"/>
        <w:rPr/>
      </w:pPr>
      <w:r>
        <w:rPr>
          <w:rFonts w:ascii="Amiri" w:hAnsi="Amiri" w:eastAsia="Amiri" w:cs="Amiri"/>
          <w:color w:val="111111"/>
          <w:sz w:val="28"/>
          <w:sz w:val="28"/>
          <w:szCs w:val="28"/>
          <w:rtl w:val="true"/>
          <w:lang w:bidi="ar-SA"/>
        </w:rPr>
        <w:t>ذكره السيد الوالد بعنوان المؤيد ونسبه إلى جمع</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شخصي ويتقدر بقدره، كما مضى بحثه</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1572660_2142443653"/>
      <w:bookmarkStart w:id="121" w:name="_Toc46"/>
      <w:bookmarkEnd w:id="120"/>
      <w:r>
        <w:rPr>
          <w:rtl w:val="true"/>
        </w:rPr>
        <w:t>الدليل السادس</w:t>
      </w:r>
      <w:r>
        <w:rPr>
          <w:rtl w:val="true"/>
        </w:rPr>
        <w:t xml:space="preserve">: </w:t>
      </w:r>
      <w:r>
        <w:rPr>
          <w:rtl w:val="true"/>
        </w:rPr>
        <w:t xml:space="preserve">أهل الذمة مماليك للإمام </w:t>
      </w:r>
      <w:r>
        <w:rPr>
          <w:rtl w:val="true"/>
        </w:rPr>
        <w:t>(</w:t>
      </w:r>
      <w:r>
        <w:rPr>
          <w:rtl w:val="true"/>
        </w:rPr>
        <w:t>عليه السلام</w:t>
      </w:r>
      <w:r>
        <w:rPr>
          <w:rtl w:val="true"/>
        </w:rPr>
        <w:t>)</w:t>
      </w:r>
      <w:bookmarkEnd w:id="121"/>
    </w:p>
    <w:p>
      <w:pPr>
        <w:pStyle w:val="BookText"/>
        <w:rPr/>
      </w:pPr>
      <w:r>
        <w:rPr>
          <w:rFonts w:ascii="Amiri" w:hAnsi="Amiri" w:eastAsia="Amiri" w:cs="Amiri"/>
          <w:color w:val="111111"/>
          <w:sz w:val="28"/>
          <w:sz w:val="28"/>
          <w:szCs w:val="28"/>
          <w:rtl w:val="true"/>
          <w:lang w:bidi="ar-SA"/>
        </w:rPr>
        <w:t>وهو مركب من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الذمة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الكبرى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أمة الغير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أهل الذمة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الذمة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نساءهم إماء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فتدل عليه عدة روايات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محبوب، عن ابن رئاب،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له امرأة نصرانية، له أن يتزوج عليها يهودية؟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الكتاب مماليك للإمام، وذلك موسع منا عليكم خاصة، فلا بأس أن يتزوج،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يتزوج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يصلح أن يتزوج ثلاث إماء</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والدلالة تامتان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محبوب، عن ابن رئاب، عن ابن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نصرانية كانت تحت نصراني فطلقها، هل عليها عدة مثل عدة المسلمة؟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أهل الكتاب مماليك للإمام، ألا ترى أنهم يؤدون الجزية كما يؤدي العبد الضريبة إلى مولاه؟</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أسلم منهم فهو حرّ تطرح عنه الجزية،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عدتها إن أراد المسلم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عدة الأمة، حيضتان أو خمسة وأربعون يوماً قبل أن تسلم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صحيحة على ما في الوسائل، وموثقة على ما في الكافي، فهي معتبرة على كل حال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وعلي بن إبراهيم عن أبيه جميعاً، عن ابن محبوب،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بين أهل الذمة معاقلة فيما يجنون من قتل أو جراحة، إنما يؤخذ ذلك من أموالهم، فإن لم يكن لهم مال رجعت الجناية على إمام المسلمين؛ لأنهم يؤدون إليه الجزية كما يؤدي العبد الضريبة إلى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مماليك للإمام، فمن أسلم منهم فهو حر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النظر إلى أمة الغير</w:t>
      </w:r>
    </w:p>
    <w:p>
      <w:pPr>
        <w:pStyle w:val="BookText"/>
        <w:rPr/>
      </w:pPr>
      <w:r>
        <w:rPr>
          <w:rFonts w:ascii="Amiri" w:hAnsi="Amiri" w:eastAsia="Amiri" w:cs="Amiri"/>
          <w:color w:val="111111"/>
          <w:sz w:val="28"/>
          <w:sz w:val="28"/>
          <w:szCs w:val="28"/>
          <w:rtl w:val="true"/>
          <w:lang w:bidi="ar-SA"/>
        </w:rPr>
        <w:t>وتدل عليه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الخثعمي</w:t>
      </w:r>
    </w:p>
    <w:p>
      <w:pPr>
        <w:pStyle w:val="BookText"/>
        <w:rPr/>
      </w:pPr>
      <w:r>
        <w:rPr>
          <w:rFonts w:ascii="Amiri" w:hAnsi="Amiri" w:eastAsia="Amiri" w:cs="Amiri"/>
          <w:color w:val="111111"/>
          <w:sz w:val="28"/>
          <w:sz w:val="28"/>
          <w:szCs w:val="28"/>
          <w:rtl w:val="true"/>
          <w:lang w:bidi="ar-SA"/>
        </w:rPr>
        <w:t>وبإسناده عن الحسن بن محمد بن سماعة، عن محمد بن زياد، عن حبيب بن المعلى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اعترضت جواري المدينة فأمذيت؟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لمن يريد الشراء فليس به بأس، وأمّا لمن لا يريد أن يشتري فإني أكرهه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بها السيد الوالد في الفقه،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ظاهر الرواية كراهة ذلك لا حرمته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الإشكال في السند ففيه بعض المجاهيل، إنّ لفظ الكراهة لم يثبت كونه حقيقة شرعية في معنى الجواز مع المرجوحية، بل الكراهة لغة ضد الحب</w:t>
      </w:r>
      <w:r>
        <w:rPr>
          <w:rStyle w:val="FootnoteAnchor"/>
          <w:rtl w:val="true"/>
        </w:rPr>
        <w:footnoteReference w:id="117"/>
      </w:r>
      <w:r>
        <w:rPr>
          <w:rFonts w:ascii="Amiri" w:hAnsi="Amiri" w:eastAsia="Amiri" w:cs="Amiri"/>
          <w:color w:val="111111"/>
          <w:sz w:val="28"/>
          <w:sz w:val="28"/>
          <w:szCs w:val="28"/>
          <w:rtl w:val="true"/>
          <w:lang w:bidi="ar-SA"/>
        </w:rPr>
        <w:t xml:space="preserve">، واستعمالها في ذلك المعنى اصطلاح متشرعي، وفي الآية الكريمة بعد النهي عن الزنا والقتل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الخصال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عز وجل كره لي ست خصال، </w:t>
      </w:r>
    </w:p>
    <w:p>
      <w:pPr>
        <w:pStyle w:val="BookText"/>
        <w:rPr/>
      </w:pPr>
      <w:r>
        <w:rPr>
          <w:rFonts w:ascii="Amiri" w:hAnsi="Amiri" w:eastAsia="Amiri" w:cs="Amiri"/>
          <w:color w:val="111111"/>
          <w:sz w:val="28"/>
          <w:sz w:val="28"/>
          <w:szCs w:val="28"/>
          <w:rtl w:val="true"/>
          <w:lang w:bidi="ar-SA"/>
        </w:rPr>
        <w:t>وكرههن للأوصياء من ولدي وأتباعهم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الصلاة، والرفث في الصوم، والمن بعد الصدقة، وإتيان المسجد جنباً، والتطلع في الدور، والضحك بين القبور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أقل من الإجمال الموجب لسقوط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الكراهة بمعنى المبغوضية، وهي حقيقة مشككة لها درجات، فقد تكون بحد المنع من النقيض وقد لا تكون،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الجواز مع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بالاستصحاب الفتوائي أن نثبت الحقيقة الشرعية لمعنى الكراهة فيما تعارف فيه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الكراهة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الشرع، كما يشهد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الكراهة بين أن يكون عند الرب، كما في الآية</w:t>
      </w:r>
      <w:r>
        <w:rPr>
          <w:rStyle w:val="FootnoteAnchor"/>
          <w:rtl w:val="true"/>
        </w:rPr>
        <w:footnoteReference w:id="120"/>
      </w:r>
      <w:r>
        <w:rPr>
          <w:rFonts w:ascii="Amiri" w:hAnsi="Amiri" w:eastAsia="Amiri" w:cs="Amiri"/>
          <w:color w:val="111111"/>
          <w:sz w:val="28"/>
          <w:sz w:val="28"/>
          <w:szCs w:val="28"/>
          <w:rtl w:val="true"/>
          <w:lang w:bidi="ar-SA"/>
        </w:rPr>
        <w:t xml:space="preserve">، أو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مظهر الرب،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الشرع،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الكراهة الشرعية، لا أقل من أن نقول للإمام شخصيتان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حقيقية وشخصية حقوقية، فهل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شارعاً، أو باعتباره شخصاً، لا أقل من الإجمال، ومع فرضه يسقط الاستدلال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الحقيقة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اللغوية ليست حقيقة في هذا المعنى، ولم يثبت لنا نقل الشارع اللفظ من حقيقتها اللغوية إلى هذا المعنى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الجعفري</w:t>
      </w:r>
    </w:p>
    <w:p>
      <w:pPr>
        <w:pStyle w:val="BookText"/>
        <w:rPr/>
      </w:pPr>
      <w:r>
        <w:rPr>
          <w:rFonts w:ascii="Amiri" w:hAnsi="Amiri" w:eastAsia="Amiri" w:cs="Amiri"/>
          <w:color w:val="111111"/>
          <w:sz w:val="28"/>
          <w:sz w:val="28"/>
          <w:szCs w:val="28"/>
          <w:rtl w:val="true"/>
          <w:lang w:bidi="ar-SA"/>
        </w:rPr>
        <w:t xml:space="preserve">عن الحسن بن محمد بن سماعة، عن أبي جعفر، عن الحارث، عن عمران الجعفري،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للرجل أن يقلّب إلا جارية يريد شراءها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والتقليب إما بمعنى النظر فيثبت المطلوب، أو اللمس فتدل على المطلوب؛ لأنّ اللمس يلازم النظر، بل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بها السيد الوالد في الفقه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مع قطع النظر عن الإشكال السندي؛ لوجود بعض المجاهيل كعمران الجعفري، وكذا الحرث بن عمران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زرعة</w:t>
      </w:r>
    </w:p>
    <w:p>
      <w:pPr>
        <w:pStyle w:val="BookText"/>
        <w:rPr/>
      </w:pPr>
      <w:r>
        <w:rPr>
          <w:rFonts w:ascii="Amiri" w:hAnsi="Amiri" w:eastAsia="Amiri" w:cs="Amiri"/>
          <w:color w:val="111111"/>
          <w:sz w:val="28"/>
          <w:sz w:val="28"/>
          <w:szCs w:val="28"/>
          <w:rtl w:val="true"/>
          <w:lang w:bidi="ar-SA"/>
        </w:rPr>
        <w:t>عدة من أصحابنا، عن أحمد بن محمد بن عيسى، عن علي بن الحكم، عن زرعة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بالمدينة له جارية نفيسة، فوقعت في قلب رجل وأعجب بها، فشكا ذلك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لرؤيتها وكلما رأيتها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 فضله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فيها من ناحية السند، لكن القدر المتيقن منها الوجه، وأما </w:t>
      </w:r>
    </w:p>
    <w:p>
      <w:pPr>
        <w:pStyle w:val="BookText"/>
        <w:rPr/>
      </w:pPr>
      <w:r>
        <w:rPr>
          <w:rFonts w:ascii="Amiri" w:hAnsi="Amiri" w:eastAsia="Amiri" w:cs="Amiri"/>
          <w:color w:val="111111"/>
          <w:sz w:val="28"/>
          <w:sz w:val="28"/>
          <w:szCs w:val="28"/>
          <w:rtl w:val="true"/>
          <w:lang w:bidi="ar-SA"/>
        </w:rPr>
        <w:t>غيره فلا دلالة فيها على جوازه، ولا إطلاق في الرواية؛ لأنها حكاية فعل خارجي، فلعلها كانت تستر جميع بدنها إلاّ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لرؤيتها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للرواية لفظ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بالتعرض للجواري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التمسك بالإطلاق، ولكن حيث إنه حكاية فعل خارجي لم يمكن ذلك، كما لو قال المرجع لمقلده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هذه المرأة، فما مدى جواز النظر إليها ولم يثبت كيفية حجابها؟</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يثبت المدّعى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ستر الأمة في الصلاة ما ذكره صاحب الجواهر،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يشعر به في الجملة أيضاً عدم وجوب ستر رأسها في الصلاة، فالأقوى جواز النظر لأمة الغير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الستر الصلاتي غير الستر الواجب في نفسه؛ ولذا اختلفت أحكامهما، ففي الأول يشترط ساتر خاص ويجب مطلقاً، سواء كان هنالك ناظر محترم أم لا، إلى 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الحكم في أحدهما دليلاً على الآخر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الصلاتي غير الستر الذاتي، ففي الستر الصلاتي يشترط ساتر معين، كأن لا يكون نجساً ولا حريراً ولا مغصوباً دون الستر عن الأجنبي، فهما ستران، فلا يكون أحدهما دليلاً على الآخر، فالستر من حيث الصلاة غير لازم، وفي غير ذلك لم يتعرض له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الأشق يثبت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فالمولى يجيز للأمة كشف الشعر في حال الصلاة، فهل يجوز لها كشف الشعر في الشوارع؟ والتشديد والأشقية ثابت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لها التكشف في الصلاة مع وجود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حيثي، فمن حيث الصلاتية لا يجب أن تستر الشعر، فللصلاة حكم وللناظر حكم، وهما حيثيتان مختلفتان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الصلاة لا يلزم ستر الشعر، وأمّا من حيثية النظر فهو ساكت، ولا يمكننا تحميل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عدم وجوب الستر لا يلازم جواز النظر، كما هو الحال بالنسبة إلى الوجه عند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مملوكة الوالد</w:t>
      </w:r>
    </w:p>
    <w:p>
      <w:pPr>
        <w:pStyle w:val="BookText"/>
        <w:rPr/>
      </w:pPr>
      <w:r>
        <w:rPr>
          <w:rFonts w:ascii="Amiri" w:hAnsi="Amiri" w:eastAsia="Amiri" w:cs="Amiri"/>
          <w:color w:val="111111"/>
          <w:sz w:val="28"/>
          <w:sz w:val="28"/>
          <w:szCs w:val="28"/>
          <w:rtl w:val="true"/>
          <w:lang w:bidi="ar-SA"/>
        </w:rPr>
        <w:t>ما ذكره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النصوص الواردة في مملوكة الوالد المفروغية من كون الإماء يحل منهن لغير المالك في الجملة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لنا دلالة هذه الروايات على المدّعى؛ إذ إنها ناظرة إلى بيان الحكم الواقعي، وهو صحة النكاح وفساده، لا إلى بيان الحكم التكليفي، وهو جواز النظر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الروايات مذكورة في الوسائل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في بادئ النظر لا تدل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فيقبلها، هل تحلّ لولده؟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 إذا قبلها بشهوة، ثم قال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جردها ونظر إليها بشهوة حرمت على أبيه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جسدها، قال إذا نظر إلى فرجها و جسدها بشهوة حرمت عليه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أنّ المملوكة إذا جردها الابن ونظر إليها بشهوة حرمت على الأب والابن، فالكلام في حرمة النكاح وبطلانه وعدمهما، ولا تتعرض إلى حكم نظر الابن إلى أمة أبيه ونظر الأب إلى أمة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ينظر إلى الجارية يريد شراءها أتحل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نظر إلى عورتها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تدل على أن النظر كان حراماً أو حلالاً،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زنا بذات البعل حرمت عليه، فليس في مقام بيان حلية العمل وحرمته، بل في مقام بيان الحكم إن اتفق وقوع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جرد الرجل الجارية ووضع يده عليها فلا تحل لابنه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غير ناظرة إلى جواز النظر وعدمه، بل إلى بيان الحكم عند تحقق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وجوب تغطية الأمة رأسها</w:t>
      </w:r>
    </w:p>
    <w:p>
      <w:pPr>
        <w:pStyle w:val="BookText"/>
        <w:rPr/>
      </w:pPr>
      <w:r>
        <w:rPr>
          <w:rFonts w:ascii="Amiri" w:hAnsi="Amiri" w:eastAsia="Amiri" w:cs="Amiri"/>
          <w:color w:val="111111"/>
          <w:sz w:val="28"/>
          <w:sz w:val="28"/>
          <w:szCs w:val="28"/>
          <w:rtl w:val="true"/>
          <w:lang w:bidi="ar-SA"/>
        </w:rPr>
        <w:t>لكنّه بحاجة إلى مكمّل، وهو ثبوت الملازمة بين جواز الكشف وجواز النظر، كما في مسألة جواز كشف الحرّة الوجه واليدين، حيث ذهب البعض إلى تحقق الملازمة كالسيد الوالد</w:t>
      </w:r>
      <w:r>
        <w:rPr>
          <w:rStyle w:val="FootnoteAnchor"/>
          <w:rtl w:val="true"/>
        </w:rPr>
        <w:footnoteReference w:id="130"/>
      </w:r>
      <w:r>
        <w:rPr>
          <w:rFonts w:ascii="Amiri" w:hAnsi="Amiri" w:eastAsia="Amiri" w:cs="Amiri"/>
          <w:color w:val="111111"/>
          <w:sz w:val="28"/>
          <w:sz w:val="28"/>
          <w:szCs w:val="28"/>
          <w:rtl w:val="true"/>
          <w:lang w:bidi="ar-SA"/>
        </w:rPr>
        <w:t>، لكن أنكرها آخرون كالسيد الخوئي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تمت الملازمة، فما يدل على عدم وجوب تغطية الأمة رأسها يدل على جواز النظر إليها عرفاً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الدليل على عدم وجوب تغطية الأمة رأسها فهو ما رواه في الوسائل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Style w:val="FootnoteAnchor"/>
          <w:rtl w:val="true"/>
        </w:rPr>
        <w:footnoteReference w:id="132"/>
      </w:r>
      <w:r>
        <w:rPr>
          <w:rFonts w:ascii="IRNazanin" w:hAnsi="IRNazanin" w:eastAsia="IRNazanin"/>
          <w:color w:val="111111"/>
          <w:sz w:val="28"/>
          <w:sz w:val="28"/>
          <w:szCs w:val="28"/>
          <w:rtl w:val="true"/>
          <w:lang w:bidi="fa-IR"/>
        </w:rPr>
        <w:t>عن سعد</w:t>
      </w:r>
      <w:r>
        <w:rPr>
          <w:rStyle w:val="FootnoteAnchor"/>
          <w:rtl w:val="true"/>
        </w:rPr>
        <w:footnoteReference w:id="133"/>
      </w:r>
      <w:r>
        <w:rPr>
          <w:rFonts w:ascii="Amiri" w:hAnsi="Amiri" w:eastAsia="Amiri" w:cs="Amiri"/>
          <w:color w:val="111111"/>
          <w:sz w:val="28"/>
          <w:sz w:val="28"/>
          <w:szCs w:val="28"/>
          <w:rtl w:val="true"/>
          <w:lang w:bidi="ar-SA"/>
        </w:rPr>
        <w:t>، عن أحمد وعبد اللّه ابني محمد بن عيسى</w:t>
      </w:r>
      <w:r>
        <w:rPr>
          <w:rStyle w:val="FootnoteAnchor"/>
          <w:rtl w:val="true"/>
        </w:rPr>
        <w:footnoteReference w:id="134"/>
      </w:r>
      <w:r>
        <w:rPr>
          <w:rFonts w:ascii="IRNazanin" w:hAnsi="IRNazanin" w:eastAsia="IRNazanin"/>
          <w:color w:val="111111"/>
          <w:sz w:val="28"/>
          <w:sz w:val="28"/>
          <w:szCs w:val="28"/>
          <w:rtl w:val="true"/>
          <w:lang w:bidi="fa-IR"/>
        </w:rPr>
        <w:t>، عن الحسن بن محبوب</w:t>
      </w:r>
      <w:r>
        <w:rPr>
          <w:rStyle w:val="FootnoteAnchor"/>
          <w:rtl w:val="true"/>
        </w:rPr>
        <w:footnoteReference w:id="135"/>
      </w:r>
      <w:r>
        <w:rPr>
          <w:rFonts w:ascii="IRNazanin" w:hAnsi="IRNazanin" w:eastAsia="IRNazanin"/>
          <w:color w:val="111111"/>
          <w:sz w:val="28"/>
          <w:sz w:val="28"/>
          <w:szCs w:val="28"/>
          <w:rtl w:val="true"/>
          <w:lang w:bidi="fa-IR"/>
        </w:rPr>
        <w:t>، عن العلاء</w:t>
      </w:r>
      <w:r>
        <w:rPr>
          <w:rStyle w:val="FootnoteAnchor"/>
          <w:rtl w:val="true"/>
        </w:rPr>
        <w:footnoteReference w:id="136"/>
      </w:r>
      <w:r>
        <w:rPr>
          <w:rFonts w:ascii="IRNazanin" w:hAnsi="IRNazanin" w:eastAsia="IRNazanin"/>
          <w:color w:val="111111"/>
          <w:sz w:val="28"/>
          <w:sz w:val="28"/>
          <w:szCs w:val="28"/>
          <w:rtl w:val="true"/>
          <w:lang w:bidi="fa-IR"/>
        </w:rPr>
        <w:t xml:space="preserve">، عن محمد بن مسلم،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تغطي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على أم الولد أن تغطي رأسها إذا لم يكن لها ولد</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فالأمة لا يجب عليها التغطية، بالإضافة إلى الملازمة بين جواز الكشف وجواز النظر، فيجوز النظر إلى أمة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صاحب الوسائل ذكرها في باب عدم وجوب تغطية الأمة رأسها في الصلاة، لكن الرواية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Style w:val="FootnoteAnchor"/>
          <w:rtl w:val="true"/>
        </w:rPr>
        <w:footnoteReference w:id="139"/>
      </w:r>
      <w:r>
        <w:rPr>
          <w:rFonts w:ascii="Amiri" w:hAnsi="Amiri" w:eastAsia="Amiri" w:cs="Amiri"/>
          <w:color w:val="111111"/>
          <w:sz w:val="28"/>
          <w:sz w:val="28"/>
          <w:szCs w:val="28"/>
          <w:rtl w:val="true"/>
          <w:lang w:bidi="ar-SA"/>
        </w:rPr>
        <w:t>المشهور مقيّداً بكون النظر إلى وجهها وكفيها وشعرها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الإبهام، فهل فيه بُعد الإيجاب أو النفي؟</w:t>
      </w:r>
    </w:p>
    <w:p>
      <w:pPr>
        <w:pStyle w:val="BookText"/>
        <w:rPr/>
      </w:pPr>
      <w:r>
        <w:rPr>
          <w:rFonts w:ascii="Amiri" w:hAnsi="Amiri" w:eastAsia="Amiri" w:cs="Amiri"/>
          <w:color w:val="111111"/>
          <w:sz w:val="28"/>
          <w:sz w:val="28"/>
          <w:szCs w:val="28"/>
          <w:rtl w:val="true"/>
          <w:lang w:bidi="ar-SA"/>
        </w:rPr>
        <w:t>وفي الحكم المذكور</w:t>
      </w:r>
      <w:r>
        <w:rPr>
          <w:rStyle w:val="FootnoteAnchor"/>
          <w:rtl w:val="true"/>
        </w:rPr>
        <w:footnoteReference w:id="140"/>
      </w:r>
      <w:r>
        <w:rPr>
          <w:rFonts w:ascii="Amiri" w:hAnsi="Amiri" w:eastAsia="Amiri" w:cs="Amiri"/>
          <w:color w:val="111111"/>
          <w:sz w:val="28"/>
          <w:sz w:val="28"/>
          <w:szCs w:val="28"/>
          <w:rtl w:val="true"/>
          <w:lang w:bidi="ar-SA"/>
        </w:rPr>
        <w:t>نوع من الغرابة في أذهان المتشرعة، ولم أجد من طرح هذه المسألة من الفقهاء حسب التتبع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يوجد من أفتى طبقها كان محكوماً بالإعراض، والمسألة بحاجة إلى تأمل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هذا الدليل وسلمنا بجواز كشف الأمة والملازمة فهل يجدي في محل البحث؟ الظاهر أنه محل إشكال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بالتعليل في موثقة عباد، الظاهر في </w:t>
      </w:r>
    </w:p>
    <w:p>
      <w:pPr>
        <w:pStyle w:val="BookText"/>
        <w:rPr/>
      </w:pPr>
      <w:r>
        <w:rPr>
          <w:rFonts w:ascii="Amiri" w:hAnsi="Amiri" w:eastAsia="Amiri" w:cs="Amiri"/>
          <w:color w:val="111111"/>
          <w:sz w:val="28"/>
          <w:sz w:val="28"/>
          <w:szCs w:val="28"/>
          <w:rtl w:val="true"/>
          <w:lang w:bidi="ar-SA"/>
        </w:rPr>
        <w:t xml:space="preserve">حرمة ذلك عليهن، وإذا لم تتم الدلالة المطابقية فيهن فلا تتم الدلالة الالتزامية؛ لأنها متفرعة عليها، فيكون ذلك تخصيصاً في الدليل الدال على كونهن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فظاهر موثقة عباد</w:t>
      </w:r>
      <w:r>
        <w:rPr>
          <w:rStyle w:val="FootnoteAnchor"/>
          <w:rtl w:val="true"/>
        </w:rPr>
        <w:footnoteReference w:id="141"/>
      </w:r>
      <w:r>
        <w:rPr>
          <w:rFonts w:ascii="Amiri" w:hAnsi="Amiri" w:eastAsia="Amiri" w:cs="Amiri"/>
          <w:color w:val="111111"/>
          <w:sz w:val="28"/>
          <w:sz w:val="28"/>
          <w:szCs w:val="28"/>
          <w:rtl w:val="true"/>
          <w:lang w:bidi="ar-SA"/>
        </w:rPr>
        <w:t>حرمة الكشف عليهن، فإنهنّ لا ينتهين إذا نهين،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ابني فلم ينته،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فالذمية التي اعتبرت أمة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مستثناة من ذلك الحكم، فكل أمة يحق لها أن تكشف رأسها، ويجوز النظر إليها إلا أمة الإمام التي هي الذمية، فإذا حرم عليها الكشف فلا يجوز النظر إليها، حيث ثبت جواز النظر بتفرع الدلالة الالتزامية على الدلالة المطابقية، والمفروض أنّ الدلالة المطابقية غير موجودة في نساء أهل الذمة؛ لأنه يحرم عليهن كشف رؤوسهن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معارض بالأولوية، فإنّ حرمة الأمة المسلمة أكثر من حرمة الذمية، فكيف يجوز للمسلمة الكشف ولا يجوز للذمية؟</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من التشديد عليها، فللشارع أن يشدد على الكفار ويسهّل على المسلمين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هذا الدليل أنّ كل أمة يحل لها أن تكشف شعرها ورأسها، أما إماء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لهن ذلك لموثقة عباد، فنعود إلى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الذمة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فلهنّ كلّ أحكام المماليك إلا جواز التكشف</w:t>
      </w:r>
      <w:r>
        <w:rPr>
          <w:rFonts w:eastAsia="Amiri" w:cs="Amiri" w:ascii="Amiri" w:hAnsi="Amiri"/>
          <w:color w:val="111111"/>
          <w:sz w:val="28"/>
          <w:szCs w:val="28"/>
          <w:rtl w:val="true"/>
          <w:lang w:bidi="ar-SA"/>
        </w:rPr>
        <w:t xml:space="preserve">. </w:t>
      </w:r>
      <w:bookmarkStart w:id="122" w:name="pg15684_175313"/>
    </w:p>
    <w:p>
      <w:pPr>
        <w:pStyle w:val="Heading6"/>
        <w:numPr>
          <w:ilvl w:val="5"/>
          <w:numId w:val="1"/>
        </w:numPr>
        <w:rPr/>
      </w:pPr>
      <w:bookmarkStart w:id="123" w:name="__RefHeading___Toc11572662_2142443653"/>
      <w:bookmarkStart w:id="124" w:name="_Toc47"/>
      <w:bookmarkEnd w:id="122"/>
      <w:bookmarkEnd w:id="123"/>
      <w:r>
        <w:rPr>
          <w:rtl w:val="true"/>
        </w:rPr>
        <w:t>الدليل السابع</w:t>
      </w:r>
      <w:r>
        <w:rPr>
          <w:rtl w:val="true"/>
        </w:rPr>
        <w:t xml:space="preserve">: </w:t>
      </w:r>
      <w:r>
        <w:rPr>
          <w:rtl w:val="true"/>
        </w:rPr>
        <w:t>السيرة جارية على النظر إلى الإماء</w:t>
      </w:r>
      <w:bookmarkEnd w:id="124"/>
    </w:p>
    <w:p>
      <w:pPr>
        <w:pStyle w:val="BookText"/>
        <w:rPr/>
      </w:pPr>
      <w:r>
        <w:rPr>
          <w:rFonts w:ascii="Amiri" w:hAnsi="Amiri" w:eastAsia="Amiri" w:cs="Amiri"/>
          <w:color w:val="111111"/>
          <w:sz w:val="28"/>
          <w:sz w:val="28"/>
          <w:szCs w:val="28"/>
          <w:rtl w:val="true"/>
          <w:lang w:bidi="ar-SA"/>
        </w:rPr>
        <w:t>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جواز النظر إلى أمة الغير السيرة كما قالوا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فقه الصادق ادّعى السيرة أيضاً على جواز النظر إلى الأمة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مقتضى السيرة المستمرة في جميع الأعصار والأمصار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السيرة دليل لبي، فيقتصر فيه على القدر المتيقن، وهو الوجه والكفّان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ثابت في الجملة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الإشكالات على الدليل السابع</w:t>
      </w:r>
    </w:p>
    <w:p>
      <w:pPr>
        <w:pStyle w:val="BookText"/>
        <w:rPr/>
      </w:pPr>
      <w:r>
        <w:rPr>
          <w:rFonts w:ascii="Amiri" w:hAnsi="Amiri" w:eastAsia="Amiri" w:cs="Amiri"/>
          <w:color w:val="111111"/>
          <w:sz w:val="28"/>
          <w:sz w:val="28"/>
          <w:szCs w:val="28"/>
          <w:rtl w:val="true"/>
          <w:lang w:bidi="ar-SA"/>
        </w:rPr>
        <w:t>ولكن في أصل هذا الدليل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الاستدلال بها</w:t>
      </w:r>
      <w:r>
        <w:rPr>
          <w:rStyle w:val="FootnoteAnchor"/>
          <w:rtl w:val="true"/>
        </w:rPr>
        <w:footnoteReference w:id="146"/>
      </w:r>
      <w:r>
        <w:rPr>
          <w:rFonts w:ascii="Amiri" w:hAnsi="Amiri" w:eastAsia="Amiri" w:cs="Amiri"/>
          <w:color w:val="111111"/>
          <w:sz w:val="28"/>
          <w:sz w:val="28"/>
          <w:szCs w:val="28"/>
          <w:rtl w:val="true"/>
          <w:lang w:bidi="ar-SA"/>
        </w:rPr>
        <w:t>متوقف على ثبوت كلية جواز النظر إلى أمة الغير، وهو غير ظاهر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غير ظاهر، ولكن يحتمل أن يكون مراده أنّ الروايات الدالة على جواز النظر إلى أمة الغير منصرفة عن إماء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وعهدة دعوى </w:t>
      </w:r>
    </w:p>
    <w:p>
      <w:pPr>
        <w:pStyle w:val="BookText"/>
        <w:rPr/>
      </w:pPr>
      <w:r>
        <w:rPr>
          <w:rFonts w:ascii="Amiri" w:hAnsi="Amiri" w:eastAsia="Amiri" w:cs="Amiri"/>
          <w:color w:val="111111"/>
          <w:sz w:val="28"/>
          <w:sz w:val="28"/>
          <w:szCs w:val="28"/>
          <w:rtl w:val="true"/>
          <w:lang w:bidi="ar-SA"/>
        </w:rPr>
        <w:t>الانصراف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المهذب من أنّه لا بدّ من حمله على صورة بسط اليد والأخذ والاستيلاء</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تقييد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الروايات وردت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لم يكونا مبسوطي اليد، فكان لا بدّ من تقييدها بعهد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حمل الصحيحة</w:t>
      </w:r>
      <w:r>
        <w:rPr>
          <w:rStyle w:val="FootnoteAnchor"/>
          <w:rtl w:val="true"/>
        </w:rPr>
        <w:footnoteReference w:id="149"/>
      </w:r>
      <w:r>
        <w:rPr>
          <w:rFonts w:ascii="Amiri" w:hAnsi="Amiri" w:eastAsia="Amiri" w:cs="Amiri"/>
          <w:color w:val="111111"/>
          <w:sz w:val="28"/>
          <w:sz w:val="28"/>
          <w:szCs w:val="28"/>
          <w:rtl w:val="true"/>
          <w:lang w:bidi="ar-SA"/>
        </w:rPr>
        <w:t>على نوع من العناية والتسامح؛ إذ الالتزام بمضمونها ينافي جملة من الأحكام الثابتة لهم، كالدية إذا قتل أحدهم، فإنها تدفع إلى أقربائه، في حين أنّه لو كان مملوكاً لما كان وجه لثبوت الدية، بل المتعيّن هو دفع القيمة لا إلى أقربائه وإنما إلى مالكه كما هو واضح، والإرث فإنّهم يرثون بعضهم بعضاً إذا لم يكن في الورثة مسلم يحجب الباقين، والحال أنّ المملوك لا يرث ولا يورث</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مانع من التزام التخصيص في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ذلك تخصيص الأكثر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وقد ذكرنا فيما مضى بعض الأمثلة، كقضية العاقلة والنظر والعدة على كلام سوف يأتي وغير ذلك، فذكر استثناءين لقيام </w:t>
      </w:r>
    </w:p>
    <w:p>
      <w:pPr>
        <w:pStyle w:val="BookText"/>
        <w:rPr/>
      </w:pPr>
      <w:r>
        <w:rPr>
          <w:rFonts w:ascii="Amiri" w:hAnsi="Amiri" w:eastAsia="Amiri" w:cs="Amiri"/>
          <w:color w:val="111111"/>
          <w:sz w:val="28"/>
          <w:sz w:val="28"/>
          <w:szCs w:val="28"/>
          <w:rtl w:val="true"/>
          <w:lang w:bidi="ar-SA"/>
        </w:rPr>
        <w:t xml:space="preserve">الدليل لا يدل على كون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عناية، بل هو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الصحيحة تدل على أنهم مماليك، فلهم كل أحكام العبيد والإماء، فلو خرجت الدية والميراث فلا يضر ذلك بعموم العام، وانتفاء بعض الأحكام عنهم لا يدل على نفي كونهم 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الفقهاء أعرضوا عن بعض ما تضمنته الروايات المستدل بها على صغرى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فيما مرّ من عدة الطلاق والوفاة بين الحرة المسلمة والذمية على المشهور،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الذمية في الطلاق كالأمة؛ لصحيحة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أعرضوا عنها وطرحوها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ذلك لا يقدح في الاستدلال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ثبوت بطلان الصغرى لا يلازم بطلان الكبرى، كما ذكر نظيره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على الحلف على الطلاق والعتاق وصدقة ما يملك</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25" w:name="pg15684_175316"/>
    </w:p>
    <w:p>
      <w:pPr>
        <w:pStyle w:val="BookText"/>
        <w:rPr/>
      </w:pPr>
      <w:bookmarkEnd w:id="125"/>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موثقة ابن بكير صغرى وكبرى لا يلازم سقوط غيرها من الروايات، كصحيحة أبي بصير وأبي ولاد</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1572664_2142443653"/>
      <w:bookmarkStart w:id="127" w:name="_Toc48"/>
      <w:bookmarkEnd w:id="126"/>
      <w:r>
        <w:rPr>
          <w:rtl w:val="true"/>
        </w:rPr>
        <w:t>الدليل الثامن</w:t>
      </w:r>
      <w:r>
        <w:rPr>
          <w:rtl w:val="true"/>
        </w:rPr>
        <w:t xml:space="preserve">: </w:t>
      </w:r>
      <w:r>
        <w:rPr>
          <w:rtl w:val="true"/>
        </w:rPr>
        <w:t>فحوى ما دلّ على جواز النظر إلى عورة غير المسلم</w:t>
      </w:r>
      <w:bookmarkEnd w:id="127"/>
    </w:p>
    <w:p>
      <w:pPr>
        <w:pStyle w:val="BookText"/>
        <w:rPr/>
      </w:pPr>
      <w:r>
        <w:rPr>
          <w:rFonts w:ascii="Amiri" w:hAnsi="Amiri" w:eastAsia="Amiri" w:cs="Amiri"/>
          <w:color w:val="111111"/>
          <w:sz w:val="28"/>
          <w:sz w:val="28"/>
          <w:szCs w:val="28"/>
          <w:rtl w:val="true"/>
          <w:lang w:bidi="ar-SA"/>
        </w:rPr>
        <w:t>فإذا جاز النظر إليها جاز إلى غيرها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تقييد الحرمة بكون العورة عورة الأخ، والكافر ليس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الحمام فغض طرفه عن النظر إلى عورة أخيه آمنه اللّه من الحميم يوم القيامة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عورة المؤمن على المؤمن حرام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اللقب لا مفهوم له، والاقتصار عليه لعله باعتبار كونه محل الابتلاء أو غير ذلك، فلا يدل على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الروايات الرجل لا المرأة و البحث فيها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يشمل الأخت أيضاً، ولو بالأولوية، حيث لا يراد منه الذكر فحسب، بل مثله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دعاه أخوه المؤمن إلى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الدائرة </w:t>
      </w:r>
    </w:p>
    <w:p>
      <w:pPr>
        <w:pStyle w:val="BookText"/>
        <w:rPr/>
      </w:pPr>
      <w:r>
        <w:rPr>
          <w:rFonts w:ascii="Amiri" w:hAnsi="Amiri" w:eastAsia="Amiri" w:cs="Amiri"/>
          <w:color w:val="111111"/>
          <w:sz w:val="28"/>
          <w:sz w:val="28"/>
          <w:szCs w:val="28"/>
          <w:rtl w:val="true"/>
          <w:lang w:bidi="ar-SA"/>
        </w:rPr>
        <w:t xml:space="preserve">الإيمانية، ولا ظهور له في التذكير، وكما في منزوحات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فيه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لحكم الثعلبة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يرى السيد الخوئي أنّ لكل لقب مفهوماً في الجملة</w:t>
      </w:r>
      <w:r>
        <w:rPr>
          <w:rStyle w:val="FootnoteAnchor"/>
          <w:rtl w:val="true"/>
        </w:rPr>
        <w:footnoteReference w:id="157"/>
      </w:r>
      <w:r>
        <w:rPr>
          <w:rFonts w:ascii="Amiri" w:hAnsi="Amiri" w:eastAsia="Amiri" w:cs="Amiri"/>
          <w:color w:val="111111"/>
          <w:sz w:val="28"/>
          <w:sz w:val="28"/>
          <w:szCs w:val="28"/>
          <w:rtl w:val="true"/>
          <w:lang w:bidi="ar-SA"/>
        </w:rPr>
        <w:t>، وقد تعرضنا لبحثه تفصيلاً في موضع آخر، وذكرنا أنه لا مفهوم له لا مطلقاً ولا في الجملة، إلا إذا كان له ظهور معين بقرائن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المقتضي لحرمة النظر في نفسه، حيث لا إطلاق فيما دل على حرمة النظر إلى عورة الغير حتّى يشمل الكفار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وهو عام؛ ولأنّ الكفار مكلفون بالفروع، فيكونون مكلفين بالستر، والأمر بالستر يلازم عرفاً الأمر بالغض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بازار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متعددة تدل على وجوب الستر، وما ثبت للمسلم فهو ثابت للكافر؛ لقاعدة الاشتراك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وَيَحْفَظُوا فُرُوجَهُمْ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من جميع الاستمتاعات </w:t>
      </w:r>
    </w:p>
    <w:p>
      <w:pPr>
        <w:pStyle w:val="BookText"/>
        <w:rPr/>
      </w:pPr>
      <w:r>
        <w:rPr>
          <w:rFonts w:ascii="Amiri" w:hAnsi="Amiri" w:eastAsia="Amiri" w:cs="Amiri"/>
          <w:color w:val="111111"/>
          <w:sz w:val="28"/>
          <w:sz w:val="28"/>
          <w:szCs w:val="28"/>
          <w:rtl w:val="true"/>
          <w:lang w:bidi="ar-SA"/>
        </w:rPr>
        <w:t>الشهوية المتحققة بالنظر واللمس والزنا، فالمقتضي للحرمة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أكره النظر إلى عورة المسلم، فأما النظر إلى عورة من ليس بمسلم مثل النظر إلى عورة الحمار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مراسيل الشيخ الصدوق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قصدت إلى إيراد ما أفتي به وأحكم بصحته، وأعتقد فيه أنه حجة فيما بيني وبين ربي تقدس ذكره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لا يدل على الصحة المصطلحة، بل الصحة بمعنى وجوب العمل ولو لبعض القرائن المحتفة</w:t>
      </w:r>
      <w:r>
        <w:rPr>
          <w:rStyle w:val="FootnoteAnchor"/>
          <w:rtl w:val="true"/>
        </w:rPr>
        <w:footnoteReference w:id="165"/>
      </w:r>
      <w:r>
        <w:rPr>
          <w:rFonts w:ascii="Amiri" w:hAnsi="Amiri" w:eastAsia="Amiri" w:cs="Amiri"/>
          <w:color w:val="111111"/>
          <w:sz w:val="28"/>
          <w:sz w:val="28"/>
          <w:szCs w:val="28"/>
          <w:rtl w:val="true"/>
          <w:lang w:bidi="ar-SA"/>
        </w:rPr>
        <w:t>، واطمئنان فقيه لا يكون حجة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عمير أو خبره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النظر إلى عورة من ليس بمسلم مثل نظرك إلى عورة الحمار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بهذه الرواية مبني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مراسيل ابن أبي عمير كمسانيده؛ لكونه من الثلاثة الذين لا يروون ولا يرسلون إلا عن ثقة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تامل؛ لعدم حجية مراسيله، وإن قلنا بالحجية في مسانيده، على تفصيل مذكور في مبحث مشايخ الثقات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قول الثقة تشمل ما لم يعلم استناده إلى ما لا يستند إليه؛ لمكان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ابن أبي عمير لا يروي ولا يرسل إلا عن ثقة، وقد ثبت أنّ بعض مشايخه غير ثقات، وهم خمسة،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الخمسة غير الثقات، ولا يمكن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طريقة لدفع هذا الإشكال،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الثقة يستند إلى ما يستند إليه وما لا يستند إليه، فكلما ثبت أنه استند إلى ما لا يستند إليه فليس بحجة، ومع الشك فإطلاقات أدلة حجية قول الثقة تشمله، فإنّ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صدّقه ما لم يثبت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شهادة البينة مع احتمال استنادها إلى ما لا يستند إليه، وإلا وجب إلغاء نصف الشهادات مع اختلاف المباني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 البينة ذكر مستند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ذكرا </w:t>
      </w:r>
    </w:p>
    <w:p>
      <w:pPr>
        <w:pStyle w:val="BookText"/>
        <w:rPr/>
      </w:pPr>
      <w:r>
        <w:rPr>
          <w:rFonts w:ascii="Amiri" w:hAnsi="Amiri" w:eastAsia="Amiri" w:cs="Amiri"/>
          <w:color w:val="111111"/>
          <w:sz w:val="28"/>
          <w:sz w:val="28"/>
          <w:szCs w:val="28"/>
          <w:rtl w:val="true"/>
          <w:lang w:bidi="ar-SA"/>
        </w:rPr>
        <w:t>مستندها وعلم عدم صحته لم يحكم بالنجاسة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الأمر في شاهد الهلال، وقول الوكيل في تطهير الثوب، والمسألة مبنائية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الرواية وصلت إليه عن جماعة؛ لعدم صحة هذا التعبير فيما إذا رواها واحد أو اثنان، وتلك الجماعة يُطمأن بوثاقة بعضهم على الأقل؛ لأنّ من البعيد أن يكونوا كلهم غير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اللفظ على الاثنين مع أنّ اجتماع ثلاثة من المشايخ على الخطأ ونحوه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ضعفهم جميعاً ضعيف جداً بنحو لا يعتني به العقلاء؛ إذ مشايخ ابن أبي عمير حوالي أربعمائة رجلٍ، والضعاف منهم خمسة، والباقون ثقات، واحتمال كون مجموع الثلاثة من الخمسة الضعاف وليس أحدهم من البقية البالغة ثلاثمائة وخمسة وتسعين شيخاً ضعيف، وهو يساوي احتمالاً واحداً من بين خمسمائة واثني عشر ألف احتمالٍ، وهذا المقدار لا يُعتنى به عند العقلاء، فتأمل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 هذه الرواية كسابقتها مُعرضٌ عنها، كما يستكشف من إطلاق كلمات الفقهاء حرمة النظر إلى عورة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الوالد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معرض عنها قديماً وحديثاً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هجرهما مانع من جواز الاعتماد عليهما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مهجور لدى الأصحاب، فلا يعتمد عليه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أعثر على مصرح بالتجويز فيه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مشارق الشموس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مخافة خلاف الإجماع لأمكن القول بكراهة النظر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الإجماع على الإطلاق</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الشهرة وعدم نقل الخلاف فيه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إعراض الأصحاب عنهما أسقطهما عن الحجية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فقه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إعراض الأصحاب عنهما وإفتائهم بالمنع يوجب سقوط الخبرين عن الحجية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كتاب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العمل بهما من أحد والإعراض عنهما يعيّن المصير إلى مقتضى الأدلة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صاحب العروة ذهب إلى الحرمة،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الحرمة بين عورة المسلم والكافر على الأقوى</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ووافقه عليه المحقق العراقي والمحقق النائيني والمحقق الحائري والسيد أبو الحسن الإصفهاني والسيد عبد الهادي الشيرازي والسيد البروجردي والسيد الحكيم والسيد الخونساري والسيد الوالد والسيد الگلپايگاني والسيد النجفي، وقال السيد الخوئي و السيد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نجد من ذهب إلى الجواز إلاّ الشيخ الكليني والشيخ الصدوق، باعتبار ذكرهما الرواية في كتابيهما الكاشف عن فتواهما على طبقها، كما أشارا إليه في المقدمة</w:t>
      </w:r>
      <w:r>
        <w:rPr>
          <w:rStyle w:val="FootnoteAnchor"/>
          <w:rtl w:val="true"/>
        </w:rPr>
        <w:footnoteReference w:id="183"/>
      </w:r>
      <w:r>
        <w:rPr>
          <w:rFonts w:ascii="Amiri" w:hAnsi="Amiri" w:eastAsia="Amiri" w:cs="Amiri"/>
          <w:color w:val="111111"/>
          <w:sz w:val="28"/>
          <w:sz w:val="28"/>
          <w:szCs w:val="28"/>
          <w:rtl w:val="true"/>
          <w:lang w:bidi="ar-SA"/>
        </w:rPr>
        <w:t>، وكذا صاحب الوسائل</w:t>
      </w:r>
      <w:r>
        <w:rPr>
          <w:rStyle w:val="FootnoteAnchor"/>
          <w:rtl w:val="true"/>
        </w:rPr>
        <w:footnoteReference w:id="184"/>
      </w:r>
      <w:r>
        <w:rPr>
          <w:rFonts w:ascii="Amiri" w:hAnsi="Amiri" w:eastAsia="Amiri" w:cs="Amiri"/>
          <w:color w:val="111111"/>
          <w:sz w:val="28"/>
          <w:sz w:val="28"/>
          <w:szCs w:val="28"/>
          <w:rtl w:val="true"/>
          <w:lang w:bidi="ar-SA"/>
        </w:rPr>
        <w:t>، ولعله يظهر من الحدائق</w:t>
      </w:r>
      <w:r>
        <w:rPr>
          <w:rStyle w:val="FootnoteAnchor"/>
          <w:rtl w:val="true"/>
        </w:rPr>
        <w:footnoteReference w:id="18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تعارض بين موافقة المتقدمين وإعراض المتأخرين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إعراض الكل، ولم نجد من المتقدمين إلا الكليني والصدوق</w:t>
      </w:r>
      <w:r>
        <w:rPr>
          <w:rFonts w:eastAsia="Amiri" w:cs="Amiri" w:ascii="Amiri" w:hAnsi="Amiri"/>
          <w:color w:val="111111"/>
          <w:sz w:val="28"/>
          <w:szCs w:val="28"/>
          <w:rtl w:val="true"/>
          <w:lang w:bidi="ar-SA"/>
        </w:rPr>
        <w:t xml:space="preserve">. </w:t>
      </w:r>
      <w:bookmarkStart w:id="128" w:name="pg15684_175323"/>
    </w:p>
    <w:p>
      <w:pPr>
        <w:pStyle w:val="BookText"/>
        <w:rPr/>
      </w:pPr>
      <w:bookmarkEnd w:id="128"/>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الفقهاء لم يتعرضوا لها للعنوان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كلماتهم في حرمة النظر إلى العورة مع عدم التقييد كافٍ، ومقتضى القاعدة أنّ الفقيه يفتي طبق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العنوان الثانوي متحقق حتى في النظر إلى نساء أهل الذمة، ومع ذلك أفتوا بجواز النظر إلى شعورهن ومفاتنهن</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1572666_2142443653"/>
      <w:bookmarkStart w:id="130" w:name="_Toc49"/>
      <w:bookmarkEnd w:id="129"/>
      <w:r>
        <w:rPr>
          <w:rtl w:val="true"/>
        </w:rPr>
        <w:t>الدليل التاسع</w:t>
      </w:r>
      <w:r>
        <w:rPr>
          <w:rtl w:val="true"/>
        </w:rPr>
        <w:t xml:space="preserve">: </w:t>
      </w:r>
      <w:r>
        <w:rPr>
          <w:rtl w:val="true"/>
        </w:rPr>
        <w:t>كون الكافرات فيء للمسلمين</w:t>
      </w:r>
      <w:bookmarkEnd w:id="130"/>
    </w:p>
    <w:p>
      <w:pPr>
        <w:pStyle w:val="BookText"/>
        <w:rPr/>
      </w:pPr>
      <w:r>
        <w:rPr>
          <w:rFonts w:ascii="Amiri" w:hAnsi="Amiri" w:eastAsia="Amiri" w:cs="Amiri"/>
          <w:color w:val="111111"/>
          <w:sz w:val="28"/>
          <w:sz w:val="28"/>
          <w:szCs w:val="28"/>
          <w:rtl w:val="true"/>
          <w:lang w:bidi="ar-SA"/>
        </w:rPr>
        <w:t>إنّ الكافرات فيء للمسلمين، وإن حرم عليهم بالعارض نكاحهن تبعاً لذمة الرجال، فتكون نساء أهل الذمة بمنزلة الأمة المزوجة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كن بمنزلة الإماء؛ لأنّ أهل الذمة فيء في الأصل للمسلمين، وإنما حرمهن التزام الرجال بشرائط الذمة فتبعهم النساء، فكان تحريمهن عارضياً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يقم عندنا دليل على كونهن مماليك للمسلمين، فإنّ الملك لهم لا يحصل إلاّ بالاسترقاق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إلى هذا الجواب في المستمسك وشرح العروة وفقه الصادق</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أنهم ملك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فيرث السادة ما كان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الحي هو الأقرب، والأقرب يمنع الأبعد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الإمام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 إلى بعض السادة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يتصلون به فقد ماتوا، والأقرب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ذلك السيد الرجائي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أنّ المشرك ملك للمسلم، فبناءً على تعميمه لمطلق الكفار يشمل أهل الكتاب أيضاً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يميل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ويستدل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يُضَاهِؤُونَ قَوْلَ الَّذِينَ كَفَرُواْ مِن قَبْلُ قَاتَلَهُمُ اللّهُ أَنَّى يُؤْفَكُونَ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يشمل أهل الكتاب شملتهم الرواية، وهي ما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عن ياسين الضرير، عن حريز، عن زرارة،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وولده وبينه وبين عبده، ولا بين أهله ربا، إنما الربا فيما بينك وبين ما لا تملك،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والمشركون بيني وبينهم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تملكهم، إنما تملكهم مع غيرك، أنت وغيرك فيهم سواء، والذي بينك وبينهم ليس من ذلك؛ لأنّ عبدك ليس مثل عبد غيرك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سنداً؛ لأن ياسين الضرير مجهول، بل كل ياسين مجهول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دلالة؛ إذ الظاهر من الرواية أنّ المراد بالملك ملك الأمر لا ملك الرقبة، فالإنسان لا يملك رقبة ابنه وأهله، فلا يعلم كون الرواية ناظرة إلى ملكية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أنهم مماليك ملك الرقبة، فخروج الابن والأهل لا يستلزم رفع اليد عن الظهور بالنسبة إلى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متفرع على ما سبقه من الفرق بين من تملكه ومن لا تملكه، والمشركون نملك أمرهم؛ لأنهم يعيشون تحت ذمتنا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مخصص بما دل على أنّ أهل الكتاب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تجتمع ملكيتان عرضيتان على شيء واحد، فالكفار مماليك للمسلمين خرج منه أهل الذمة، فهم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أنّ كل الكفار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يتعارضان فنبقى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بالملكية الطولية، ومورد النقض بشراء العبد، فتجتمع ملكيتان عرضيتان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المستمسك من أنه يتوقف على جواز النظر إلى الأمة المشتركة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31" w:name="pg15684_175326"/>
    </w:p>
    <w:p>
      <w:pPr>
        <w:pStyle w:val="BookText"/>
        <w:rPr/>
      </w:pPr>
      <w:bookmarkEnd w:id="131"/>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يفهم بالفحوى من أدلة جواز النظر إلى أمة الغير، فكيف بالأمة المشتركة وقد سبق ذكرها؟</w:t>
      </w:r>
    </w:p>
    <w:p>
      <w:pPr>
        <w:pStyle w:val="Heading6"/>
        <w:numPr>
          <w:ilvl w:val="5"/>
          <w:numId w:val="1"/>
        </w:numPr>
        <w:rPr/>
      </w:pPr>
      <w:bookmarkStart w:id="132" w:name="__RefHeading___Toc11572668_2142443653"/>
      <w:bookmarkStart w:id="133" w:name="_Toc50"/>
      <w:bookmarkEnd w:id="132"/>
      <w:r>
        <w:rPr>
          <w:rtl w:val="true"/>
        </w:rPr>
        <w:t>الدليل العاشر</w:t>
      </w:r>
      <w:r>
        <w:rPr>
          <w:rtl w:val="true"/>
        </w:rPr>
        <w:t xml:space="preserve">: </w:t>
      </w:r>
      <w:r>
        <w:rPr>
          <w:rtl w:val="true"/>
        </w:rPr>
        <w:t>قاعدة الإلزام</w:t>
      </w:r>
      <w:bookmarkEnd w:id="133"/>
    </w:p>
    <w:p>
      <w:pPr>
        <w:pStyle w:val="BookText"/>
        <w:rPr/>
      </w:pPr>
      <w:r>
        <w:rPr>
          <w:rFonts w:ascii="Amiri" w:hAnsi="Amiri" w:eastAsia="Amiri" w:cs="Amiri"/>
          <w:color w:val="111111"/>
          <w:sz w:val="28"/>
          <w:sz w:val="28"/>
          <w:szCs w:val="28"/>
          <w:rtl w:val="true"/>
          <w:lang w:bidi="ar-SA"/>
        </w:rPr>
        <w:t>ما استدل به السيد الوالد من قاعدة الإلزام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أرَ مَن تعرض لهذا الدليل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ينقض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جاز عندهم الزنا وتزويج الخامسة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كل ذلك مقطوع الخروج عن القاعدة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التعامل يكون حسب عقيدتهم في كل ما يجوز عندهم، وأننا ننظم موقفنا على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ذكر بعض الأمثلة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بلا إشهاد باطل عندهم، فلو تزوجها بلا إشهاد جاز للمؤمن أن يتزوج بزوجته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للمطلقة اليائسة أو الصغيرة عدّة عندهم، فيجوز للمطلقة المؤمنة أن تطالب زوجها المخالف بالنفقة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المؤمن المخالفة اليائسة جاز له الرجوع إليها في أثناء العدة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يرث عندهم مع وجود الطبقة الأولى، فيحق للمؤمن أن يأخذ الإرث منهم</w:t>
      </w:r>
      <w:r>
        <w:rPr>
          <w:rFonts w:eastAsia="Amiri" w:cs="Amiri" w:ascii="Amiri" w:hAnsi="Amiri"/>
          <w:color w:val="111111"/>
          <w:sz w:val="28"/>
          <w:szCs w:val="28"/>
          <w:rtl w:val="true"/>
          <w:lang w:bidi="ar-SA"/>
        </w:rPr>
        <w:t xml:space="preserve">. </w:t>
      </w:r>
      <w:bookmarkStart w:id="134" w:name="pg15684_175327"/>
    </w:p>
    <w:p>
      <w:pPr>
        <w:pStyle w:val="BookText"/>
        <w:rPr/>
      </w:pPr>
      <w:bookmarkEnd w:id="134"/>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ترث من الأرض عندهم، فترث المؤمنة من الأرض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الفقهاء الكثير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الإلزام تشمل الكفار أيضاً، فلو جاز عندهم النظر إليهم جاز لنا أن 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خروج شيء بدليل آخر، كاللمس والتقبيل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بحاجة إلى تأمل أكثر</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1572670_2142443653"/>
      <w:bookmarkStart w:id="136" w:name="_Toc51"/>
      <w:bookmarkEnd w:id="135"/>
      <w:r>
        <w:rPr>
          <w:rtl w:val="true"/>
        </w:rPr>
        <w:t>الدليل الحادي عشر</w:t>
      </w:r>
      <w:r>
        <w:rPr>
          <w:rtl w:val="true"/>
        </w:rPr>
        <w:t xml:space="preserve">: </w:t>
      </w:r>
      <w:r>
        <w:rPr>
          <w:rtl w:val="true"/>
        </w:rPr>
        <w:t xml:space="preserve">تحليل الأئمة </w:t>
      </w:r>
      <w:r>
        <w:rPr>
          <w:rtl w:val="true"/>
        </w:rPr>
        <w:t>(</w:t>
      </w:r>
      <w:r>
        <w:rPr>
          <w:rtl w:val="true"/>
        </w:rPr>
        <w:t>عليهم السلام</w:t>
      </w:r>
      <w:r>
        <w:rPr>
          <w:rtl w:val="true"/>
        </w:rPr>
        <w:t xml:space="preserve">) </w:t>
      </w:r>
      <w:r>
        <w:rPr>
          <w:rtl w:val="true"/>
        </w:rPr>
        <w:t>الكافرات للشيعة</w:t>
      </w:r>
      <w:bookmarkEnd w:id="136"/>
    </w:p>
    <w:p>
      <w:pPr>
        <w:pStyle w:val="BookText"/>
        <w:rPr/>
      </w:pPr>
      <w:r>
        <w:rPr>
          <w:rFonts w:ascii="Amiri" w:hAnsi="Amiri" w:eastAsia="Amiri" w:cs="Amiri"/>
          <w:color w:val="111111"/>
          <w:sz w:val="28"/>
          <w:sz w:val="28"/>
          <w:szCs w:val="28"/>
          <w:rtl w:val="true"/>
          <w:lang w:bidi="ar-SA"/>
        </w:rPr>
        <w:t xml:space="preserve">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كذا ذكره بعضهم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لابد أن يضم إليه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 الروحاني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التحليل في مثل المقام غير ثابت</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عدم شمول أدلة التحليل لمحل الكلام، أو انصرافها عنه،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الناس في بطونهم وفروجهم؛ لأنهم لم يؤدوا إلينا حقنا، ألا وإن شيعتنا من ذلك وآباءهم في حل</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حللهم </w:t>
      </w:r>
      <w:bookmarkStart w:id="137" w:name="pg15684_175328"/>
    </w:p>
    <w:p>
      <w:pPr>
        <w:pStyle w:val="BookText"/>
        <w:rPr/>
      </w:pPr>
      <w:bookmarkEnd w:id="137"/>
      <w:r>
        <w:rPr>
          <w:rFonts w:ascii="Amiri" w:hAnsi="Amiri" w:eastAsia="Amiri" w:cs="Amiri"/>
          <w:color w:val="111111"/>
          <w:sz w:val="28"/>
          <w:sz w:val="28"/>
          <w:szCs w:val="28"/>
          <w:rtl w:val="true"/>
          <w:lang w:bidi="ar-SA"/>
        </w:rPr>
        <w:t xml:space="preserve">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ليطيب مولدهم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الروايات الشريفة حلية الأمة المشتراة ممن لا يعتقد بالخمس أو ممن لا يخمّس، وإن كان معتقداً بالخمس، أو الأمة المشتراة بمال غير مخمس، أو حلية الزوجة التي دفع إليها مهر غير مخمس، أو غير ذلك من الاحتمالات المذكورة في مسألة التحليل، ولا ربط لها بالمقام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يتطلب دلالة دليل على أنّ كلَّ ما كان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أحلوها للشيعة</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11572672_2142443653"/>
      <w:bookmarkStart w:id="139" w:name="_Toc52"/>
      <w:bookmarkEnd w:id="138"/>
      <w:r>
        <w:rPr>
          <w:rtl w:val="true"/>
        </w:rPr>
        <w:t>الدليل الثاني عشر</w:t>
      </w:r>
      <w:r>
        <w:rPr>
          <w:rtl w:val="true"/>
        </w:rPr>
        <w:t xml:space="preserve">: </w:t>
      </w:r>
      <w:r>
        <w:rPr>
          <w:rtl w:val="true"/>
        </w:rPr>
        <w:t xml:space="preserve">رضا الأئمة </w:t>
      </w:r>
      <w:r>
        <w:rPr>
          <w:rtl w:val="true"/>
        </w:rPr>
        <w:t>(</w:t>
      </w:r>
      <w:r>
        <w:rPr>
          <w:rtl w:val="true"/>
        </w:rPr>
        <w:t>عليهم السلام</w:t>
      </w:r>
      <w:r>
        <w:rPr>
          <w:rtl w:val="true"/>
        </w:rPr>
        <w:t>)</w:t>
      </w:r>
      <w:bookmarkEnd w:id="139"/>
    </w:p>
    <w:p>
      <w:pPr>
        <w:pStyle w:val="Heading6"/>
        <w:numPr>
          <w:ilvl w:val="5"/>
          <w:numId w:val="1"/>
        </w:numPr>
        <w:rPr/>
      </w:pPr>
      <w:bookmarkStart w:id="140" w:name="__RefHeading___Toc11572674_2142443653"/>
      <w:bookmarkStart w:id="141" w:name="_Toc53"/>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والظاهر أنه لابد أن يضم إليه ما ضم إلى سابقه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في فقه الصادق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ومجرد الرضا لا يكفي في الجواز</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بالمعصية قطعاً، فمجرد رضاه كافٍ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طريق إلى إحراز 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الأدلة السابقة، بحيث يكون دليلاً جديداً في عرض الأدلة السابقة</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1572676_2142443653"/>
      <w:bookmarkStart w:id="143" w:name="_Toc54"/>
      <w:bookmarkEnd w:id="142"/>
      <w:r>
        <w:rPr>
          <w:rtl w:val="true"/>
        </w:rPr>
        <w:t>الدليل الثالث عشر</w:t>
      </w:r>
      <w:r>
        <w:rPr>
          <w:rtl w:val="true"/>
        </w:rPr>
        <w:t xml:space="preserve">: </w:t>
      </w:r>
      <w:r>
        <w:rPr>
          <w:rtl w:val="true"/>
        </w:rPr>
        <w:t>ما ورد في الجعفريات</w:t>
      </w:r>
      <w:bookmarkEnd w:id="1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في كتاب الجعفريات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ليس لنساء أهل الذمة </w:t>
      </w:r>
    </w:p>
    <w:p>
      <w:pPr>
        <w:pStyle w:val="BookText"/>
        <w:rPr/>
      </w:pPr>
      <w:r>
        <w:rPr>
          <w:rFonts w:ascii="Amiri" w:hAnsi="Amiri" w:eastAsia="Amiri" w:cs="Amiri"/>
          <w:color w:val="111111"/>
          <w:sz w:val="28"/>
          <w:sz w:val="28"/>
          <w:szCs w:val="28"/>
          <w:rtl w:val="true"/>
          <w:lang w:bidi="ar-SA"/>
        </w:rPr>
        <w:t>حرمة، لا بأس بالنظر إليهن ما لم يتعمد</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لنساء أهل الذمة حرمة، لا بأس بالنظر إلى وجوههن وشعورهن ونحورهن وبدنهن، ما لم يتعمد ذلك</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السيد الرجائي مضافاً إلى الإشكال السندي أنّ الخبرين قيدا بعدم التعمد،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النظر قصدياً، بل اتفق النظر، وليس ذلك محل الكلام في المقام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أشبه ما يكون حينئذٍ بتوضيح الواضحات، وينافيه تصديره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لنساء أهل الذمة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بالتعليل لما تعقبه من الحكم؛ إذ نفي البأس عن النظر غير الاختياري لا يعلل بعدم الحرمة، بل بعدم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ظاهر الروايتين اختصاص أهل الذمة بهذا الحكم، مع أنّ نفي البأس عن النظر غير الاختياري مشترك بين الجميع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بعدم التعمد إما عدم كون النظر بقصد اللذة، كما سبق بيانه في جواب الإشكال الثالث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الحر العاملي والمحدث البحراني والسيد الوالد والسيد الروحاني</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عدم كون النظر مقصوداً بالأصالة، بل يكون المقصود بالأصالة غيره، وإن علم أنه يتفق وقوع نظره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ابن إدريس منع من النظر إلى نساء أهل الذمة،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يقوى في نفسي ترك هذه الرواية</w:t>
      </w:r>
      <w:r>
        <w:rPr>
          <w:rStyle w:val="FootnoteAnchor"/>
          <w:rtl w:val="true"/>
        </w:rPr>
        <w:footnoteReference w:id="206"/>
      </w:r>
      <w:r>
        <w:rPr>
          <w:rFonts w:ascii="Amiri" w:hAnsi="Amiri" w:eastAsia="Amiri" w:cs="Amiri"/>
          <w:color w:val="111111"/>
          <w:sz w:val="28"/>
          <w:sz w:val="28"/>
          <w:szCs w:val="28"/>
          <w:rtl w:val="true"/>
          <w:lang w:bidi="ar-SA"/>
        </w:rPr>
        <w:t>والعدول عنها، والتمسك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 أَزْوَاجاً مِّنْهُمْ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على ذلك العلامة في المختلف، وأما في باقي كتبه فهو موافق لمذهب الأصحاب على ما ذكره في الحدائق</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وتبعهما الفاضل الهندي في كشف اللثام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عموم في الآية؛ لعدم كونها في مقام البيان من هذه الجهة،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كون المولى في مقام البيان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تقييد الكتاب العزيز بخبر الواحد المعتبر، كما حرر في الأصول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بها روايات متواترة على ما ذكره السيد الوالد في القواعد الفقهية</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التقييد، وإن لم نقل بجواز تقييد </w:t>
      </w:r>
      <w:bookmarkStart w:id="144" w:name="pg15684_175331"/>
    </w:p>
    <w:p>
      <w:pPr>
        <w:pStyle w:val="BookText"/>
        <w:rPr/>
      </w:pPr>
      <w:bookmarkEnd w:id="144"/>
      <w:r>
        <w:rPr>
          <w:rFonts w:ascii="Amiri" w:hAnsi="Amiri" w:eastAsia="Amiri" w:cs="Amiri"/>
          <w:color w:val="111111"/>
          <w:sz w:val="28"/>
          <w:sz w:val="28"/>
          <w:szCs w:val="28"/>
          <w:rtl w:val="true"/>
          <w:lang w:bidi="ar-SA"/>
        </w:rPr>
        <w:t>الكتاب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التواتر تأملاً؛ لأنّ معظم روايات قاعدة الإلزام واردة في موارد خاصة، وما يدل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محمّد بن مسلم المروية في الوسائل</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درجة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قطعية بالإجماع أو نحوه، فيكون التخصيص للعمومات والتقييد للإطلاقات بالقطع لا بالخبر الواحد</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1572678_2142443653"/>
      <w:bookmarkStart w:id="146" w:name="_Toc55"/>
      <w:bookmarkEnd w:id="145"/>
      <w:r>
        <w:rPr>
          <w:rtl w:val="true"/>
        </w:rPr>
        <w:t>الفرع الثاني</w:t>
      </w:r>
      <w:r>
        <w:rPr>
          <w:rtl w:val="true"/>
        </w:rPr>
        <w:t xml:space="preserve">: </w:t>
      </w:r>
      <w:r>
        <w:rPr>
          <w:rtl w:val="true"/>
        </w:rPr>
        <w:t>في أصل جواز النظر إلى سائر الكافرات غير أهل الذمة</w:t>
      </w:r>
      <w:bookmarkEnd w:id="146"/>
    </w:p>
    <w:p>
      <w:pPr>
        <w:pStyle w:val="Heading6"/>
        <w:numPr>
          <w:ilvl w:val="5"/>
          <w:numId w:val="1"/>
        </w:numPr>
        <w:rPr/>
      </w:pPr>
      <w:bookmarkStart w:id="147" w:name="__RefHeading___Toc11572680_2142443653"/>
      <w:bookmarkStart w:id="148" w:name="_Toc56"/>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والظاهر جواز النظر لأمور</w:t>
      </w:r>
      <w:r>
        <w:rPr>
          <w:rFonts w:eastAsia="IRNazanin" w:cs="IRNazanin"/>
          <w:color w:val="111111"/>
          <w:sz w:val="28"/>
          <w:szCs w:val="28"/>
          <w:rtl w:val="true"/>
          <w:lang w:bidi="fa-IR"/>
        </w:rPr>
        <w:t>:</w:t>
      </w:r>
    </w:p>
    <w:p>
      <w:pPr>
        <w:pStyle w:val="Heading6"/>
        <w:numPr>
          <w:ilvl w:val="5"/>
          <w:numId w:val="1"/>
        </w:numPr>
        <w:rPr/>
      </w:pPr>
      <w:bookmarkStart w:id="149" w:name="__RefHeading___Toc11572682_2142443653"/>
      <w:bookmarkStart w:id="150" w:name="_Toc57"/>
      <w:bookmarkEnd w:id="149"/>
      <w:r>
        <w:rPr>
          <w:rtl w:val="true"/>
        </w:rPr>
        <w:t>الدليل الأول</w:t>
      </w:r>
      <w:r>
        <w:rPr>
          <w:rtl w:val="true"/>
        </w:rPr>
        <w:t xml:space="preserve">: </w:t>
      </w:r>
      <w:r>
        <w:rPr>
          <w:rtl w:val="true"/>
        </w:rPr>
        <w:t>شمول لفظ العلوج للكافرات</w:t>
      </w:r>
      <w:bookmarkEnd w:id="150"/>
    </w:p>
    <w:p>
      <w:pPr>
        <w:pStyle w:val="BookText"/>
        <w:rPr/>
      </w:pPr>
      <w:r>
        <w:rPr>
          <w:rFonts w:ascii="Amiri" w:hAnsi="Amiri" w:eastAsia="Amiri" w:cs="Amiri"/>
          <w:color w:val="111111"/>
          <w:sz w:val="28"/>
          <w:sz w:val="28"/>
          <w:szCs w:val="28"/>
          <w:rtl w:val="true"/>
          <w:lang w:bidi="ar-SA"/>
        </w:rPr>
        <w:t xml:space="preserve">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رواية الكليني والفقيه لهن، بناءً على إطلاقها على مطلق الكافر، أو إلغاء الخصوصية عرفاً، ولا يقدح في ذلك خلو رواية العلل عنها؛ لتقديم أصالة عدم الزيادة على أصالة عدم النقيصة</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1572684_2142443653"/>
      <w:bookmarkStart w:id="152" w:name="_Toc58"/>
      <w:bookmarkEnd w:id="151"/>
      <w:r>
        <w:rPr>
          <w:rtl w:val="true"/>
        </w:rPr>
        <w:t>الدليل الثاني</w:t>
      </w:r>
      <w:r>
        <w:rPr>
          <w:rtl w:val="true"/>
        </w:rPr>
        <w:t xml:space="preserve">: </w:t>
      </w:r>
      <w:r>
        <w:rPr>
          <w:rtl w:val="true"/>
        </w:rPr>
        <w:t>ورود التعليل في موثقة عباد</w:t>
      </w:r>
      <w:bookmarkEnd w:id="152"/>
    </w:p>
    <w:p>
      <w:pPr>
        <w:pStyle w:val="BookText"/>
        <w:rPr/>
      </w:pPr>
      <w:r>
        <w:rPr>
          <w:rFonts w:ascii="Amiri" w:hAnsi="Amiri" w:eastAsia="Amiri" w:cs="Amiri"/>
          <w:color w:val="111111"/>
          <w:sz w:val="28"/>
          <w:sz w:val="28"/>
          <w:szCs w:val="28"/>
          <w:rtl w:val="true"/>
          <w:lang w:bidi="ar-SA"/>
        </w:rPr>
        <w:t>التعليل في موثقة عباد بن صهيب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لأنهن إذا نهين لا ينتهين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إذا نهوا لا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العلة تعمم وتخصص</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1572686_2142443653"/>
      <w:bookmarkStart w:id="154" w:name="_Toc59"/>
      <w:bookmarkEnd w:id="153"/>
      <w:r>
        <w:rPr>
          <w:rtl w:val="true"/>
        </w:rPr>
        <w:t>الدليل الثالث</w:t>
      </w:r>
      <w:r>
        <w:rPr>
          <w:rtl w:val="true"/>
        </w:rPr>
        <w:t xml:space="preserve">: </w:t>
      </w:r>
      <w:r>
        <w:rPr>
          <w:rtl w:val="true"/>
        </w:rPr>
        <w:t>فحوى موثقة السكوني</w:t>
      </w:r>
      <w:bookmarkEnd w:id="15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فحوى ما جاء في موثقة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حرمة لنساء أهل الذمة أن ينظر </w:t>
      </w:r>
    </w:p>
    <w:p>
      <w:pPr>
        <w:pStyle w:val="BookText"/>
        <w:rPr/>
      </w:pPr>
      <w:r>
        <w:rPr>
          <w:rFonts w:ascii="Amiri" w:hAnsi="Amiri" w:eastAsia="Amiri" w:cs="Amiri"/>
          <w:color w:val="111111"/>
          <w:sz w:val="28"/>
          <w:sz w:val="28"/>
          <w:szCs w:val="28"/>
          <w:rtl w:val="true"/>
          <w:lang w:bidi="ar-SA"/>
        </w:rPr>
        <w:t>إلى شعورهن وأيديهن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فإنّ الموضوع فيها وإن كان هو نساء أهل الذمة، إلا أنه يستفاد منها حكم غيرهن بطريقة أولى؛ لكونهن أقل احتراماً، أو لا احترام لهن، 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 الذمية في المعتبرة</w:t>
      </w:r>
      <w:r>
        <w:rPr>
          <w:rStyle w:val="FootnoteAnchor"/>
          <w:rtl w:val="true"/>
        </w:rPr>
        <w:footnoteReference w:id="217"/>
      </w:r>
      <w:r>
        <w:rPr>
          <w:rFonts w:ascii="Amiri" w:hAnsi="Amiri" w:eastAsia="Amiri" w:cs="Amiri"/>
          <w:color w:val="111111"/>
          <w:sz w:val="28"/>
          <w:sz w:val="28"/>
          <w:szCs w:val="28"/>
          <w:rtl w:val="true"/>
          <w:lang w:bidi="ar-SA"/>
        </w:rPr>
        <w:t>لدفع تخيل أن لعرضهن حرمة، كما هو الحال في أموالهن وأنفسهن، وليس لوجود خصوصية فيهن، وحيث إنّ الكافرات لا حرمة لهن أبداً</w:t>
      </w:r>
      <w:r>
        <w:rPr>
          <w:rStyle w:val="FootnoteAnchor"/>
          <w:rtl w:val="true"/>
        </w:rPr>
        <w:footnoteReference w:id="218"/>
      </w:r>
      <w:r>
        <w:rPr>
          <w:rFonts w:ascii="Amiri" w:hAnsi="Amiri" w:eastAsia="Amiri" w:cs="Amiri"/>
          <w:color w:val="111111"/>
          <w:sz w:val="28"/>
          <w:sz w:val="28"/>
          <w:szCs w:val="28"/>
          <w:rtl w:val="true"/>
          <w:lang w:bidi="ar-SA"/>
        </w:rPr>
        <w:t>يثبت جواز النظر إليهنَّ بالأولوية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هم أقرب الأصناف إلى المسلمين، فإنّ أموالهم وأنفسهم محترمة كمال المسلم ونفسه، فإذا لم تثبت حرمة لأعراضهم فعدم ثبوت ذلك في سائر الكفار يكون من باب الأولى</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يستفاد كونهم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من الروايات الواردة في أهل الذمة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الأصل في النظر الحرمة، فيقتصر على موضع النص، والأولوية غير محرزة، فربما يكون باعتبار أنها في البلاد الإسلامية، والمقصود نوع من الإذلال لتصبح مسلمة، أما غير الذمية في بلادها فتبقى على الحكم الأولي</w:t>
      </w:r>
      <w:r>
        <w:rPr>
          <w:rFonts w:eastAsia="Amiri" w:cs="Amiri" w:ascii="Amiri" w:hAnsi="Amiri"/>
          <w:color w:val="111111"/>
          <w:sz w:val="28"/>
          <w:szCs w:val="28"/>
          <w:rtl w:val="true"/>
          <w:lang w:bidi="ar-SA"/>
        </w:rPr>
        <w:t xml:space="preserve">. </w:t>
      </w:r>
      <w:bookmarkStart w:id="155" w:name="pg15684_175333"/>
    </w:p>
    <w:p>
      <w:pPr>
        <w:pStyle w:val="BookText"/>
        <w:rPr/>
      </w:pPr>
      <w:bookmarkEnd w:id="155"/>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الذمية التي نفسها ومالها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آذى ذمياً فقد آذاني</w:t>
      </w:r>
      <w:r>
        <w:rPr>
          <w:rFonts w:eastAsia="IRNazanin" w:cs="IRNazanin"/>
          <w:color w:val="111111"/>
          <w:sz w:val="28"/>
          <w:szCs w:val="28"/>
          <w:rtl w:val="true"/>
          <w:lang w:bidi="fa-IR"/>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كثير من الأحكام إذا لم يكن لها حرمة أن ينظر إليها، فكيف بالكافرة؟ وليس ذلك إذلالاً لها، وحتى لو كان إذلالاً فإن الكافر أولى بالإذلال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الحكم للتسهيل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الاحتمالات وارد في سائر الأولويات، والمعتبرة لا تتطرق إلى التسهيل، وإنما إلى عدم الحرمة، فكيف بالكافر؟</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نفي الحرمة، والإنسان محترم بنفسه في الإسلام؟</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الإنسان بشرط أن لا يهتك احترامه بنفسه بالكفر باللّه، والخروج عن سنن الفطرة، والانحطاط عن درك الحيوان، فإنّ الحيوان يؤمن باللّه سبحانه، بينما الكافر يغالط وجدانه ولا يؤمن باللّه، فالذمي لا حرمة له بلحاظ النظر، والكافر بطريق أولى، بالأولوية العرفية</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1572688_2142443653"/>
      <w:bookmarkStart w:id="157" w:name="_Toc60"/>
      <w:bookmarkEnd w:id="156"/>
      <w:r>
        <w:rPr>
          <w:rtl w:val="true"/>
        </w:rPr>
        <w:t>الدليل الرابع</w:t>
      </w:r>
      <w:r>
        <w:rPr>
          <w:rtl w:val="true"/>
        </w:rPr>
        <w:t xml:space="preserve">: </w:t>
      </w:r>
      <w:r>
        <w:rPr>
          <w:rtl w:val="true"/>
        </w:rPr>
        <w:t>قاعدة الإلزام</w:t>
      </w:r>
      <w:bookmarkEnd w:id="157"/>
    </w:p>
    <w:p>
      <w:pPr>
        <w:pStyle w:val="BookText"/>
        <w:rPr/>
      </w:pPr>
      <w:r>
        <w:rPr>
          <w:rFonts w:ascii="Amiri" w:hAnsi="Amiri" w:eastAsia="Amiri" w:cs="Amiri"/>
          <w:color w:val="111111"/>
          <w:sz w:val="28"/>
          <w:sz w:val="28"/>
          <w:szCs w:val="28"/>
          <w:rtl w:val="true"/>
          <w:lang w:bidi="ar-SA"/>
        </w:rPr>
        <w:t>على ما مضى، فإنها تشمل الذمية وغيرها؛ لمكان الإطلاق</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1572690_2142443653"/>
      <w:bookmarkStart w:id="159" w:name="_Toc61"/>
      <w:bookmarkEnd w:id="158"/>
      <w:r>
        <w:rPr>
          <w:rtl w:val="true"/>
        </w:rPr>
        <w:t>الدليل الخامس</w:t>
      </w:r>
      <w:r>
        <w:rPr>
          <w:rtl w:val="true"/>
        </w:rPr>
        <w:t xml:space="preserve">: </w:t>
      </w:r>
      <w:r>
        <w:rPr>
          <w:rtl w:val="true"/>
        </w:rPr>
        <w:t>الإجماع</w:t>
      </w:r>
      <w:bookmarkEnd w:id="159"/>
    </w:p>
    <w:p>
      <w:pPr>
        <w:pStyle w:val="BookText"/>
        <w:rPr/>
      </w:pPr>
      <w:r>
        <w:rPr>
          <w:rFonts w:ascii="Amiri" w:hAnsi="Amiri" w:eastAsia="Amiri" w:cs="Amiri"/>
          <w:color w:val="111111"/>
          <w:sz w:val="28"/>
          <w:sz w:val="28"/>
          <w:szCs w:val="28"/>
          <w:rtl w:val="true"/>
          <w:lang w:bidi="ar-SA"/>
        </w:rPr>
        <w:t>ذكره السيد السبزواري في المهذب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الإشكال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التعرض لهذا الفرع فيما رأيناه من </w:t>
      </w:r>
    </w:p>
    <w:p>
      <w:pPr>
        <w:pStyle w:val="BookText"/>
        <w:rPr/>
      </w:pPr>
      <w:r>
        <w:rPr>
          <w:rFonts w:ascii="Amiri" w:hAnsi="Amiri" w:eastAsia="Amiri" w:cs="Amiri"/>
          <w:color w:val="111111"/>
          <w:sz w:val="28"/>
          <w:sz w:val="28"/>
          <w:szCs w:val="28"/>
          <w:rtl w:val="true"/>
          <w:lang w:bidi="ar-SA"/>
        </w:rPr>
        <w:t>كتب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إجماعا مستنبطاً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يشكل في الإلحاق،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كلمات الفقهاء المتقدمين عن تجويز النظر إلى غير أهل الذمة، مما يكشف عن إعراضهم عن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فلورود كلمة أهل الكتاب في كلمات بعض الأقدمين، وبين أهل الكتاب وأهل الذمة عموم مطلق</w:t>
      </w:r>
      <w:r>
        <w:rPr>
          <w:rStyle w:val="FootnoteAnchor"/>
          <w:rtl w:val="true"/>
        </w:rPr>
        <w:footnoteReference w:id="222"/>
      </w:r>
      <w:r>
        <w:rPr>
          <w:rFonts w:ascii="IRNazanin" w:hAnsi="IRNazanin" w:eastAsia="IRNazanin"/>
          <w:color w:val="111111"/>
          <w:sz w:val="28"/>
          <w:sz w:val="28"/>
          <w:szCs w:val="28"/>
          <w:rtl w:val="true"/>
          <w:lang w:bidi="fa-IR"/>
        </w:rPr>
        <w:t>، أو عموم من وجه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فتشمل الفتاوى أهل الكتاب من غير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إلى نساء أهل الكتاب وشعورهن لا بأس به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بالنظر إلى وجوه نساء أهل الكتاب وشعورهن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القول عمل الأصحاب، ما عدا ابن إدريس وتبعه العلامة في المختلف</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عدم التعرض مغاير للإعراض</w:t>
      </w:r>
      <w:r>
        <w:rPr>
          <w:rFonts w:eastAsia="Amiri" w:cs="Amiri" w:ascii="Amiri" w:hAnsi="Amiri"/>
          <w:color w:val="111111"/>
          <w:sz w:val="28"/>
          <w:szCs w:val="28"/>
          <w:rtl w:val="true"/>
          <w:lang w:bidi="ar-SA"/>
        </w:rPr>
        <w:t xml:space="preserve">. </w:t>
      </w:r>
      <w:bookmarkStart w:id="160" w:name="pg15684_175335"/>
    </w:p>
    <w:p>
      <w:pPr>
        <w:pStyle w:val="BookText"/>
        <w:rPr/>
      </w:pPr>
      <w:bookmarkEnd w:id="160"/>
      <w:r>
        <w:rPr>
          <w:rFonts w:ascii="Amiri" w:hAnsi="Amiri" w:eastAsia="Amiri" w:cs="Amiri"/>
          <w:color w:val="111111"/>
          <w:sz w:val="28"/>
          <w:sz w:val="28"/>
          <w:szCs w:val="28"/>
          <w:rtl w:val="true"/>
          <w:lang w:bidi="ar-SA"/>
        </w:rPr>
        <w:t>ولعل الاقتصار على أهل الذمة باعتبار كونهم محل الابتلاء عادة،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إعراض القدماء لو سلم معارض بعمل المتأخرين، ولئن كان القدماء أقرب إلى عهد الروايات فالمتأخرون أدق وأجمع؛ لأنّ الروايات اجتمعت عندهم بما لم تكن عند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صاحب العروة بعدم الفرق، ووافقه عليه كل من رأيت حواشيهم على العروة وهم حوالي ثمانية عشر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المحقق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أن لا يكون النظر مقصوداً أصلياً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1572692_2142443653"/>
      <w:bookmarkStart w:id="162" w:name="_Toc62"/>
      <w:bookmarkEnd w:id="161"/>
      <w:r>
        <w:rPr>
          <w:rtl w:val="true"/>
        </w:rPr>
        <w:t>الفرع الثالث</w:t>
      </w:r>
      <w:r>
        <w:rPr>
          <w:rtl w:val="true"/>
        </w:rPr>
        <w:t xml:space="preserve">: </w:t>
      </w:r>
      <w:r>
        <w:rPr>
          <w:rtl w:val="true"/>
        </w:rPr>
        <w:t>في حدود المنظور إليه بلحاظ الجواز والحرمة</w:t>
      </w:r>
      <w:bookmarkEnd w:id="162"/>
    </w:p>
    <w:p>
      <w:pPr>
        <w:pStyle w:val="Heading6"/>
        <w:numPr>
          <w:ilvl w:val="5"/>
          <w:numId w:val="1"/>
        </w:numPr>
        <w:rPr/>
      </w:pPr>
      <w:bookmarkStart w:id="163" w:name="__RefHeading___Toc11572694_2142443653"/>
      <w:bookmarkStart w:id="164" w:name="_Toc63"/>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ويوجد في المسألة عدة احتمالات</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1572696_2142443653"/>
      <w:bookmarkStart w:id="166" w:name="_Toc64"/>
      <w:bookmarkEnd w:id="165"/>
      <w:r>
        <w:rPr>
          <w:rtl w:val="true"/>
        </w:rPr>
        <w:t>الاحتمال الأول</w:t>
      </w:r>
      <w:r>
        <w:rPr>
          <w:rtl w:val="true"/>
        </w:rPr>
        <w:t xml:space="preserve">: </w:t>
      </w:r>
      <w:r>
        <w:rPr>
          <w:rtl w:val="true"/>
        </w:rPr>
        <w:t>الجواز مطلقاً</w:t>
      </w:r>
      <w:bookmarkEnd w:id="166"/>
    </w:p>
    <w:p>
      <w:pPr>
        <w:pStyle w:val="Heading6"/>
        <w:numPr>
          <w:ilvl w:val="5"/>
          <w:numId w:val="1"/>
        </w:numPr>
        <w:rPr/>
      </w:pPr>
      <w:bookmarkStart w:id="167" w:name="__RefHeading___Toc11572698_2142443653"/>
      <w:bookmarkStart w:id="168" w:name="_Toc65"/>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يحتمل أن يقال بالجواز مطلقاً، باستثناء العورة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1572700_2142443653"/>
      <w:bookmarkStart w:id="170" w:name="_Toc66"/>
      <w:bookmarkEnd w:id="169"/>
      <w:r>
        <w:rPr>
          <w:rtl w:val="true"/>
        </w:rPr>
        <w:t>الدليل الأول</w:t>
      </w:r>
      <w:r>
        <w:rPr>
          <w:rtl w:val="true"/>
        </w:rPr>
        <w:t xml:space="preserve">: </w:t>
      </w:r>
      <w:r>
        <w:rPr>
          <w:rtl w:val="true"/>
        </w:rPr>
        <w:t>قاعدة الإلزام</w:t>
      </w:r>
      <w:bookmarkEnd w:id="1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في دينهم حلالاً لعاملناهم إلى الحد الذي يأذن به دينهم، أو قوانينهم</w:t>
      </w:r>
      <w:r>
        <w:rPr>
          <w:rStyle w:val="FootnoteAnchor"/>
          <w:rtl w:val="true"/>
        </w:rPr>
        <w:footnoteReference w:id="229"/>
      </w:r>
      <w:r>
        <w:rPr>
          <w:rFonts w:ascii="IRNazanin" w:hAnsi="IRNazanin" w:eastAsia="IRNazanin"/>
          <w:color w:val="111111"/>
          <w:sz w:val="28"/>
          <w:sz w:val="28"/>
          <w:szCs w:val="28"/>
          <w:rtl w:val="true"/>
          <w:lang w:bidi="fa-IR"/>
        </w:rPr>
        <w:t>أو عرفهم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71" w:name="pg15684_175336"/>
    </w:p>
    <w:p>
      <w:pPr>
        <w:pStyle w:val="Heading6"/>
        <w:numPr>
          <w:ilvl w:val="5"/>
          <w:numId w:val="1"/>
        </w:numPr>
        <w:rPr/>
      </w:pPr>
      <w:bookmarkStart w:id="172" w:name="__RefHeading___Toc11572702_2142443653"/>
      <w:bookmarkStart w:id="173" w:name="_Toc67"/>
      <w:bookmarkEnd w:id="171"/>
      <w:bookmarkEnd w:id="172"/>
      <w:r>
        <w:rPr>
          <w:rtl w:val="true"/>
        </w:rPr>
        <w:t>الدليل الثاني</w:t>
      </w:r>
      <w:r>
        <w:rPr>
          <w:rtl w:val="true"/>
        </w:rPr>
        <w:t xml:space="preserve">: </w:t>
      </w:r>
      <w:r>
        <w:rPr>
          <w:rtl w:val="true"/>
        </w:rPr>
        <w:t>التعليل في موثقة عباد</w:t>
      </w:r>
      <w:bookmarkEnd w:id="173"/>
    </w:p>
    <w:p>
      <w:pPr>
        <w:pStyle w:val="BookText"/>
        <w:rPr/>
      </w:pPr>
      <w:r>
        <w:rPr>
          <w:rFonts w:ascii="Amiri" w:hAnsi="Amiri" w:eastAsia="Amiri" w:cs="Amiri"/>
          <w:color w:val="111111"/>
          <w:sz w:val="28"/>
          <w:sz w:val="28"/>
          <w:szCs w:val="28"/>
          <w:rtl w:val="true"/>
          <w:lang w:bidi="ar-SA"/>
        </w:rPr>
        <w:t>وهو التعليل الوارد في موثقة بن صهيب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لأنهن إذا نهين لا ينتهين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ذلك مقيد بعدم الانتهاء بالنهي، وأمّا مع الانتهاء بالنهي فلا يشمله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مقيد؛ لأنّ العلة تتضمن عقد سلب وإيجاب، فيدور مدارها الحكم وجوداً وعدماً، فهل ندور مداره أو ندور مدار الأدلة المطلقة، كقاعدة الإلزام؟ فلو خرج شعر الذمية غفلة وهي تنتهي بالنهي، فهل يحرم النظر للتعليل، أو يجوز النظر لسائر الأدلة المطلقة؟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يخطر بالبال الأخذ بالمطلق لا العلة؛ لأنها تبين حيثية، والمطلقات تبين حيثية أخرى، فإنه ولو انتفى الجواز من هذه الحيثية، لكنه يثبت من الحيثية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سافر إلى المدينة الكذائية،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سفره طاعة قصّر، وإن كان معصية أتمّ، ثم قلنا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السفر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 بينهما، فإنه وإن لم تتحقق تلك العلة، وانتفى المعلول لانتفائه بانتفائها، إلا أن الانتفاء حيثي،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الحيثية ينتفي المعلول فلا ينافي ثبوت المعلول من حيثية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الجواز من حيثية العلة، أما من حيثية الإلزام فباقٍ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يبقى الجواز وإن انتهت</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1572704_2142443653"/>
      <w:bookmarkStart w:id="175" w:name="_Toc68"/>
      <w:bookmarkEnd w:id="174"/>
      <w:r>
        <w:rPr>
          <w:rtl w:val="true"/>
        </w:rPr>
        <w:t>الدليل الثالث</w:t>
      </w:r>
      <w:r>
        <w:rPr>
          <w:rtl w:val="true"/>
        </w:rPr>
        <w:t xml:space="preserve">: </w:t>
      </w:r>
      <w:r>
        <w:rPr>
          <w:rtl w:val="true"/>
        </w:rPr>
        <w:t>ما ذكره السيد الخوئي</w:t>
      </w:r>
      <w:bookmarkEnd w:id="1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شرح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مستند الحكم في نساء أهل </w:t>
      </w:r>
      <w:bookmarkStart w:id="176" w:name="pg15684_175337"/>
    </w:p>
    <w:p>
      <w:pPr>
        <w:pStyle w:val="BookText"/>
        <w:rPr/>
      </w:pPr>
      <w:bookmarkEnd w:id="176"/>
      <w:r>
        <w:rPr>
          <w:rFonts w:ascii="Amiri" w:hAnsi="Amiri" w:eastAsia="Amiri" w:cs="Amiri"/>
          <w:color w:val="111111"/>
          <w:sz w:val="28"/>
          <w:sz w:val="28"/>
          <w:szCs w:val="28"/>
          <w:rtl w:val="true"/>
          <w:lang w:bidi="ar-SA"/>
        </w:rPr>
        <w:t>الذمة والكفار إنما هو عدم وجود حرمة لأعراضهن، ومن هنا لا يختلف الحال بين ما جرت عادتهن على ستره وما لم تجر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 بعد ذكر موثقة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ظهور نفي الحرمة في معاملتهن معاملة الدواب المملوكة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مستندهما في نفي الحرمة مطلقاً موثقة السكوني، وهي تدل على نفي الحرمة مقيداً لا مطلقاً، ولم نجد دليلاً معتبراً على نفي الحرمة المطلق</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1572706_2142443653"/>
      <w:bookmarkStart w:id="178" w:name="_Toc69"/>
      <w:bookmarkEnd w:id="177"/>
      <w:r>
        <w:rPr>
          <w:rtl w:val="true"/>
        </w:rPr>
        <w:t>الدليل الرابع</w:t>
      </w:r>
      <w:r>
        <w:rPr>
          <w:rtl w:val="true"/>
        </w:rPr>
        <w:t xml:space="preserve">: </w:t>
      </w:r>
      <w:r>
        <w:rPr>
          <w:rtl w:val="true"/>
        </w:rPr>
        <w:t xml:space="preserve">ما ذكره السيد الوالد </w:t>
      </w:r>
      <w:r>
        <w:rPr>
          <w:rtl w:val="true"/>
        </w:rPr>
        <w:t>(</w:t>
      </w:r>
      <w:r>
        <w:rPr>
          <w:rtl w:val="true"/>
        </w:rPr>
        <w:t>رحمه اللّه</w:t>
      </w:r>
      <w:r>
        <w:rPr>
          <w:rtl w:val="true"/>
        </w:rPr>
        <w:t>)</w:t>
      </w:r>
      <w:bookmarkEnd w:id="178"/>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وهو ما ورد في رواية الجعفريات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لنساء أهل الذمة حرمة، لا بأس بالنظر إلى وجوههن وشعورهن ونحورهن وأبدانهن ما لم يتعمد ذلك</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مخدوش، كما سبق، ولعله لذلك ذكره بعنوان المؤيد لا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بعمل بعض الفقهاء، كصاحب الجواهر</w:t>
      </w:r>
      <w:r>
        <w:rPr>
          <w:rStyle w:val="FootnoteAnchor"/>
          <w:rtl w:val="true"/>
        </w:rPr>
        <w:footnoteReference w:id="235"/>
      </w:r>
      <w:r>
        <w:rPr>
          <w:rFonts w:ascii="Amiri" w:hAnsi="Amiri" w:eastAsia="Amiri" w:cs="Amiri"/>
          <w:color w:val="111111"/>
          <w:sz w:val="28"/>
          <w:sz w:val="28"/>
          <w:szCs w:val="28"/>
          <w:rtl w:val="true"/>
          <w:lang w:bidi="ar-SA"/>
        </w:rPr>
        <w:t>مع ادعائه الضرورة على ذلك، وكذلك السيد الخوئي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عملهم بهذه الرواية، ولعلهم استندوا إلى بقية الأدلة، </w:t>
      </w:r>
      <w:bookmarkStart w:id="179" w:name="pg15684_175338"/>
    </w:p>
    <w:p>
      <w:pPr>
        <w:pStyle w:val="BookText"/>
        <w:rPr/>
      </w:pPr>
      <w:bookmarkEnd w:id="179"/>
      <w:r>
        <w:rPr>
          <w:rFonts w:ascii="Amiri" w:hAnsi="Amiri" w:eastAsia="Amiri" w:cs="Amiri"/>
          <w:color w:val="111111"/>
          <w:sz w:val="28"/>
          <w:sz w:val="28"/>
          <w:szCs w:val="28"/>
          <w:rtl w:val="true"/>
          <w:lang w:bidi="ar-SA"/>
        </w:rPr>
        <w:t>بالإضافة إلى أنّ عمل البعض لا يكون جابراً على المبنى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الحرمة تتبعض، خاصة في الصنف الواحد؟</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قد تكون تشكيكية، فنفي مرتبة لا يعني نفي جميع المراتب، فقد يكون لدمه حرمة دون ماله، وكذلك في الصنف الواحد، فقد يجوز النظر إلى الوجه دون الشعر</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1572708_2142443653"/>
      <w:bookmarkStart w:id="181" w:name="_Toc70"/>
      <w:bookmarkEnd w:id="180"/>
      <w:r>
        <w:rPr>
          <w:rtl w:val="true"/>
        </w:rPr>
        <w:t>الدليل الخامس</w:t>
      </w:r>
      <w:r>
        <w:rPr>
          <w:rtl w:val="true"/>
        </w:rPr>
        <w:t xml:space="preserve">: </w:t>
      </w:r>
      <w:r>
        <w:rPr>
          <w:rtl w:val="true"/>
        </w:rPr>
        <w:t>ما ذكره السيد الروحاني</w:t>
      </w:r>
      <w:bookmarkEnd w:id="181"/>
    </w:p>
    <w:p>
      <w:pPr>
        <w:pStyle w:val="BookText"/>
        <w:rPr/>
      </w:pPr>
      <w:r>
        <w:rPr>
          <w:rFonts w:ascii="Amiri" w:hAnsi="Amiri" w:eastAsia="Amiri" w:cs="Amiri"/>
          <w:color w:val="111111"/>
          <w:sz w:val="28"/>
          <w:sz w:val="28"/>
          <w:szCs w:val="28"/>
          <w:rtl w:val="true"/>
          <w:lang w:bidi="ar-SA"/>
        </w:rPr>
        <w:t>ما ذكره السيد الروحاني</w:t>
      </w:r>
      <w:r>
        <w:rPr>
          <w:rStyle w:val="FootnoteAnchor"/>
          <w:rtl w:val="true"/>
        </w:rPr>
        <w:footnoteReference w:id="237"/>
      </w:r>
      <w:r>
        <w:rPr>
          <w:rFonts w:ascii="Amiri" w:hAnsi="Amiri" w:eastAsia="Amiri" w:cs="Amiri"/>
          <w:color w:val="111111"/>
          <w:sz w:val="28"/>
          <w:sz w:val="28"/>
          <w:szCs w:val="28"/>
          <w:rtl w:val="true"/>
          <w:lang w:bidi="ar-SA"/>
        </w:rPr>
        <w:t>من أنّ ذكر الشعور والأيدي من باب أنّ المتعارف كشفها لا لخصوصية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إلغاء الخصوصية متوقف على وحدة الملاك، ولا طريق إلى إحرازها</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1572710_2142443653"/>
      <w:bookmarkStart w:id="183" w:name="_Toc71"/>
      <w:bookmarkEnd w:id="182"/>
      <w:r>
        <w:rPr>
          <w:rtl w:val="true"/>
        </w:rPr>
        <w:t>الدليل السادس</w:t>
      </w:r>
      <w:r>
        <w:rPr>
          <w:rtl w:val="true"/>
        </w:rPr>
        <w:t xml:space="preserve">: </w:t>
      </w:r>
      <w:r>
        <w:rPr>
          <w:rtl w:val="true"/>
        </w:rPr>
        <w:t>كونهن بمنزلة الإماء يقتضي العموم</w:t>
      </w:r>
      <w:bookmarkEnd w:id="183"/>
    </w:p>
    <w:p>
      <w:pPr>
        <w:pStyle w:val="BookText"/>
        <w:rPr/>
      </w:pPr>
      <w:r>
        <w:rPr>
          <w:rFonts w:ascii="Amiri" w:hAnsi="Amiri" w:eastAsia="Amiri" w:cs="Amiri"/>
          <w:color w:val="111111"/>
          <w:sz w:val="28"/>
          <w:sz w:val="28"/>
          <w:szCs w:val="28"/>
          <w:rtl w:val="true"/>
          <w:lang w:bidi="ar-SA"/>
        </w:rPr>
        <w:t>ما ذكره في المستمسك</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جواز النظر إلى جميع بدن أمة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جعلهم بمنزلة الإماء هو ترتيب الآثار والأحكام، ومنها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رواية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أنهن مماليك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مماليك المسلمين، وفي كليهما لا دليل على جواز النظر مطلقاً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الاحتمال الأول في الفرع الثالث، وفي المسألة </w:t>
      </w:r>
      <w:bookmarkStart w:id="184" w:name="pg15684_175339"/>
    </w:p>
    <w:p>
      <w:pPr>
        <w:pStyle w:val="BookText"/>
        <w:rPr/>
      </w:pPr>
      <w:bookmarkEnd w:id="184"/>
      <w:r>
        <w:rPr>
          <w:rFonts w:ascii="IRNazanin" w:hAnsi="IRNazanin" w:eastAsia="IRNazanin"/>
          <w:color w:val="111111"/>
          <w:sz w:val="28"/>
          <w:sz w:val="28"/>
          <w:szCs w:val="28"/>
          <w:rtl w:val="true"/>
          <w:lang w:bidi="fa-IR"/>
        </w:rPr>
        <w:t>احتمالات أخر</w:t>
      </w:r>
      <w:r>
        <w:rPr>
          <w:rFonts w:eastAsia="IRNazanin" w:cs="IRNazanin"/>
          <w:color w:val="111111"/>
          <w:sz w:val="28"/>
          <w:szCs w:val="28"/>
          <w:rtl w:val="true"/>
          <w:lang w:bidi="fa-IR"/>
        </w:rPr>
        <w:t>.</w:t>
      </w:r>
    </w:p>
    <w:p>
      <w:pPr>
        <w:pStyle w:val="Heading6"/>
        <w:numPr>
          <w:ilvl w:val="5"/>
          <w:numId w:val="1"/>
        </w:numPr>
        <w:rPr/>
      </w:pPr>
      <w:bookmarkStart w:id="185" w:name="__RefHeading___Toc11572712_2142443653"/>
      <w:bookmarkStart w:id="186" w:name="_Toc72"/>
      <w:bookmarkEnd w:id="185"/>
      <w:r>
        <w:rPr>
          <w:rtl w:val="true"/>
        </w:rPr>
        <w:t>الاحتمال الثاني</w:t>
      </w:r>
      <w:r>
        <w:rPr>
          <w:rtl w:val="true"/>
        </w:rPr>
        <w:t xml:space="preserve">: </w:t>
      </w:r>
      <w:r>
        <w:rPr>
          <w:rtl w:val="true"/>
        </w:rPr>
        <w:t>جواز النظر إلى ما جرت عادتهن من كشفه</w:t>
      </w:r>
      <w:bookmarkEnd w:id="186"/>
    </w:p>
    <w:p>
      <w:pPr>
        <w:pStyle w:val="BookText"/>
        <w:rPr/>
      </w:pPr>
      <w:r>
        <w:rPr>
          <w:rFonts w:ascii="Amiri" w:hAnsi="Amiri" w:eastAsia="Amiri" w:cs="Amiri"/>
          <w:color w:val="111111"/>
          <w:sz w:val="28"/>
          <w:sz w:val="28"/>
          <w:szCs w:val="28"/>
          <w:rtl w:val="true"/>
          <w:lang w:bidi="ar-SA"/>
        </w:rPr>
        <w:t>وهو ما ذكره صاحب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الاقتصار على المقدار الذي جرت عادتهن على عدم ستره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فالملاك هي العادة، والظاهر أنّ المراد عادة كل فرد، فالحكم انحلالي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باعتبار التعليل في موثقة عباد، بناء على الملازمة بين جريان العادة وعدم الانتهاء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التنظر في ذلك في الفرع الثالث من المسألة الأولى، حيث ذكرنا أنّ عدم الانتهاء بالنهي أعم من جريان العادة، وذلك يشمل جميع البدن، مع عدم الانتهاء بالنهي،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دليل الاحتمال المذكور</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1572714_2142443653"/>
      <w:bookmarkStart w:id="188" w:name="_Toc73"/>
      <w:bookmarkEnd w:id="187"/>
      <w:r>
        <w:rPr>
          <w:rtl w:val="true"/>
        </w:rPr>
        <w:t>الاحتمال الثالث</w:t>
      </w:r>
      <w:r>
        <w:rPr>
          <w:rtl w:val="true"/>
        </w:rPr>
        <w:t xml:space="preserve">: </w:t>
      </w:r>
      <w:r>
        <w:rPr>
          <w:rtl w:val="true"/>
        </w:rPr>
        <w:t xml:space="preserve">جواز النظر إلى ما كانت عادتهن على عدم ستره زمن النبي </w:t>
      </w:r>
      <w:r>
        <w:rPr>
          <w:rtl w:val="true"/>
        </w:rPr>
        <w:t>(</w:t>
      </w:r>
      <w:r>
        <w:rPr>
          <w:rtl w:val="true"/>
        </w:rPr>
        <w:t>صلی اللّه عليه وآله وسلم</w:t>
      </w:r>
      <w:r>
        <w:rPr>
          <w:rtl w:val="true"/>
        </w:rPr>
        <w:t>)</w:t>
      </w:r>
      <w:bookmarkEnd w:id="188"/>
    </w:p>
    <w:p>
      <w:pPr>
        <w:pStyle w:val="BookText"/>
        <w:rPr/>
      </w:pPr>
      <w:r>
        <w:rPr>
          <w:rFonts w:ascii="IRNazanin" w:hAnsi="IRNazanin" w:eastAsia="IRNazanin"/>
          <w:color w:val="111111"/>
          <w:sz w:val="28"/>
          <w:sz w:val="28"/>
          <w:szCs w:val="28"/>
          <w:rtl w:val="true"/>
          <w:lang w:bidi="fa-IR"/>
        </w:rPr>
        <w:t>ما ذكره السيد الگلپايگاني في حاشيته،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الأحوط الاقتصار على ما كانت عادتهن على عدم ستره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استحدث في زماننا من عدم ستر المحاسن، فالأحوط ترك النظر</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الروحاني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فالقول بجواز النظر إلى المقدار الذي جرت </w:t>
      </w:r>
    </w:p>
    <w:p>
      <w:pPr>
        <w:pStyle w:val="BookText"/>
        <w:rPr/>
      </w:pPr>
      <w:r>
        <w:rPr>
          <w:rFonts w:ascii="Amiri" w:hAnsi="Amiri" w:eastAsia="Amiri" w:cs="Amiri"/>
          <w:color w:val="111111"/>
          <w:sz w:val="28"/>
          <w:sz w:val="28"/>
          <w:szCs w:val="28"/>
          <w:rtl w:val="true"/>
          <w:lang w:bidi="ar-SA"/>
        </w:rPr>
        <w:t>عادتهن في تلك الأزمنة على عدم ستره قوي</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الرجائي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المتعارف في زمان صدور الأخبار هو كشف رؤوسهن وأيدهن فقط، والأخبار ناظرة إلى ما هو المتعارف بينهن في تلك الأزمنة، فلا وجه للتعدي</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القضايا أن تكون حقيقية لا خارجية، كما قرره الأصوليون في الأصول</w:t>
      </w:r>
      <w:r>
        <w:rPr>
          <w:rStyle w:val="FootnoteAnchor"/>
          <w:rtl w:val="true"/>
        </w:rPr>
        <w:footnoteReference w:id="243"/>
      </w:r>
      <w:r>
        <w:rPr>
          <w:rFonts w:ascii="Amiri" w:hAnsi="Amiri" w:eastAsia="Amiri" w:cs="Amiri"/>
          <w:color w:val="111111"/>
          <w:sz w:val="28"/>
          <w:sz w:val="28"/>
          <w:szCs w:val="28"/>
          <w:rtl w:val="true"/>
          <w:lang w:bidi="ar-SA"/>
        </w:rPr>
        <w:t>، وبنى عليه جملة من الفقهاء في موارد متعددة من الفقه،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الشعائر، حيث ذكروا أنّ الشعائر المتجددة مشمولة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المتجددة، كعقد التأمين، حيث ذكروا أنها مشمولة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الثابتة لمكة والمدينة وكربلاء والكوفة، حيث ذكروا أنها تشمل ما أضيف إليها، منهم السيد تقي القمي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ترى أنه يمكن حمل المكيل والموزون والمعدود في باب الربا على ما كان كذلك في عهد الشارع، أو حمل ما يؤكل ويلبس وما لا يؤكل ولا يلبس في باب السجود على ما كان منها في زمان الشارع؟ </w:t>
      </w:r>
      <w:bookmarkStart w:id="189" w:name="pg15684_175341"/>
    </w:p>
    <w:p>
      <w:pPr>
        <w:pStyle w:val="BookText"/>
        <w:rPr/>
      </w:pPr>
      <w:bookmarkEnd w:id="189"/>
      <w:r>
        <w:rPr>
          <w:rFonts w:ascii="Amiri" w:hAnsi="Amiri" w:eastAsia="Amiri" w:cs="Amiri"/>
          <w:color w:val="111111"/>
          <w:sz w:val="28"/>
          <w:sz w:val="28"/>
          <w:szCs w:val="28"/>
          <w:rtl w:val="true"/>
          <w:lang w:bidi="ar-SA"/>
        </w:rPr>
        <w:t>وهل يمكن أن يخصص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أنار مسجداً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مصاديق الإنارة التي كانت في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6"/>
        <w:numPr>
          <w:ilvl w:val="5"/>
          <w:numId w:val="1"/>
        </w:numPr>
        <w:rPr/>
      </w:pPr>
      <w:bookmarkStart w:id="190" w:name="__RefHeading___Toc11572716_2142443653"/>
      <w:bookmarkStart w:id="191" w:name="_Toc74"/>
      <w:bookmarkEnd w:id="190"/>
      <w:r>
        <w:rPr>
          <w:rtl w:val="true"/>
        </w:rPr>
        <w:t>الاحتمال الرابع</w:t>
      </w:r>
      <w:r>
        <w:rPr>
          <w:rtl w:val="true"/>
        </w:rPr>
        <w:t xml:space="preserve">: </w:t>
      </w:r>
      <w:r>
        <w:rPr>
          <w:rtl w:val="true"/>
        </w:rPr>
        <w:t xml:space="preserve">ما ذكره السيد الوالد </w:t>
      </w:r>
      <w:r>
        <w:rPr>
          <w:rtl w:val="true"/>
        </w:rPr>
        <w:t>(</w:t>
      </w:r>
      <w:r>
        <w:rPr>
          <w:rtl w:val="true"/>
        </w:rPr>
        <w:t>رحمه اللّه</w:t>
      </w:r>
      <w:r>
        <w:rPr>
          <w:rtl w:val="true"/>
        </w:rPr>
        <w:t>)</w:t>
      </w:r>
      <w:bookmarkEnd w:id="191"/>
    </w:p>
    <w:p>
      <w:pPr>
        <w:pStyle w:val="BookText"/>
        <w:rPr/>
      </w:pPr>
      <w:r>
        <w:rPr>
          <w:rFonts w:ascii="Amiri" w:hAnsi="Amiri" w:eastAsia="Amiri" w:cs="Amiri"/>
          <w:color w:val="111111"/>
          <w:sz w:val="28"/>
          <w:sz w:val="28"/>
          <w:szCs w:val="28"/>
          <w:rtl w:val="true"/>
          <w:lang w:bidi="ar-SA"/>
        </w:rPr>
        <w:t>وهو ما ذكره في تعليقته على قول السيد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الاقتصار على المقدار الذي جرت عادتهن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مقدار الوجه والكف وبعض الذراعين، وبعض الشعر و القدمين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استظهر إطلاق جواز النظر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البروجردي في حاشيته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الأزمنة السابقة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التقييد انصراف الأدلة عما استحدث، ولا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التقييد ببعض الذراعين ينافيه الإطلاق في موثقة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التقييد ببعض الشعر ينافيه الإطلاق والعموم فيها وفي موثقة عباد بن صهيب</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1572718_2142443653"/>
      <w:bookmarkStart w:id="193" w:name="_Toc75"/>
      <w:bookmarkEnd w:id="192"/>
      <w:r>
        <w:rPr>
          <w:rtl w:val="true"/>
        </w:rPr>
        <w:t>الاحتمال الخامس</w:t>
      </w:r>
      <w:r>
        <w:rPr>
          <w:rtl w:val="true"/>
        </w:rPr>
        <w:t xml:space="preserve">: </w:t>
      </w:r>
      <w:r>
        <w:rPr>
          <w:rtl w:val="true"/>
        </w:rPr>
        <w:t>لزوم الاقتصار على خصوص الشعور والأيدي</w:t>
      </w:r>
      <w:bookmarkEnd w:id="193"/>
    </w:p>
    <w:p>
      <w:pPr>
        <w:pStyle w:val="BookText"/>
        <w:rPr/>
      </w:pPr>
      <w:r>
        <w:rPr>
          <w:rFonts w:ascii="Amiri" w:hAnsi="Amiri" w:eastAsia="Amiri" w:cs="Amiri"/>
          <w:color w:val="111111"/>
          <w:sz w:val="28"/>
          <w:sz w:val="28"/>
          <w:szCs w:val="28"/>
          <w:rtl w:val="true"/>
          <w:lang w:bidi="ar-SA"/>
        </w:rPr>
        <w:t>وذلك لموثقة السكوني، مال إليه السيد الحكيم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الشيء لا ينفي ما عداه، وإطلاق التعليل في موثقة عباد وغيره من الأدلة كافٍ في التعميم</w:t>
      </w:r>
      <w:r>
        <w:rPr>
          <w:rFonts w:eastAsia="Amiri" w:cs="Amiri" w:ascii="Amiri" w:hAnsi="Amiri"/>
          <w:color w:val="111111"/>
          <w:sz w:val="28"/>
          <w:szCs w:val="28"/>
          <w:rtl w:val="true"/>
          <w:lang w:bidi="ar-SA"/>
        </w:rPr>
        <w:t xml:space="preserve">. </w:t>
      </w:r>
      <w:bookmarkStart w:id="194" w:name="pg15684_175342"/>
    </w:p>
    <w:p>
      <w:pPr>
        <w:pStyle w:val="BookText"/>
        <w:rPr/>
      </w:pPr>
      <w:bookmarkEnd w:id="194"/>
      <w:r>
        <w:rPr>
          <w:rFonts w:ascii="Amiri" w:hAnsi="Amiri" w:eastAsia="Amiri" w:cs="Amiri"/>
          <w:color w:val="111111"/>
          <w:sz w:val="28"/>
          <w:sz w:val="28"/>
          <w:szCs w:val="28"/>
          <w:rtl w:val="true"/>
          <w:lang w:bidi="ar-SA"/>
        </w:rPr>
        <w:t>هذا تمام الكلام في الفرع الثالث</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1572720_2142443653"/>
      <w:bookmarkStart w:id="196" w:name="_Toc76"/>
      <w:bookmarkEnd w:id="195"/>
      <w:r>
        <w:rPr>
          <w:rtl w:val="true"/>
        </w:rPr>
        <w:t>الفرع الرابع</w:t>
      </w:r>
      <w:r>
        <w:rPr>
          <w:rtl w:val="true"/>
        </w:rPr>
        <w:t xml:space="preserve">: </w:t>
      </w:r>
      <w:r>
        <w:rPr>
          <w:rtl w:val="true"/>
        </w:rPr>
        <w:t>عدم الفرق بين عدم الستر مطلقاً أو مقيداً</w:t>
      </w:r>
      <w:bookmarkEnd w:id="196"/>
    </w:p>
    <w:p>
      <w:pPr>
        <w:pStyle w:val="BookText"/>
        <w:rPr/>
      </w:pPr>
      <w:r>
        <w:rPr>
          <w:rFonts w:ascii="Amiri" w:hAnsi="Amiri" w:eastAsia="Amiri" w:cs="Amiri"/>
          <w:color w:val="111111"/>
          <w:sz w:val="28"/>
          <w:sz w:val="28"/>
          <w:szCs w:val="28"/>
          <w:rtl w:val="true"/>
          <w:lang w:bidi="ar-SA"/>
        </w:rPr>
        <w:t>الظاهر أنه لا فرق بين عدم الستر مطلقاً أو مقيداً، وقد سبق البحث في ذلك في المسألة الأولى</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1572722_2142443653"/>
      <w:bookmarkStart w:id="198" w:name="_Toc77"/>
      <w:bookmarkEnd w:id="197"/>
      <w:r>
        <w:rPr>
          <w:rtl w:val="true"/>
        </w:rPr>
        <w:t>الفرع الخامس</w:t>
      </w:r>
      <w:r>
        <w:rPr>
          <w:rtl w:val="true"/>
        </w:rPr>
        <w:t xml:space="preserve">: </w:t>
      </w:r>
      <w:r>
        <w:rPr>
          <w:rtl w:val="true"/>
        </w:rPr>
        <w:t>في شروط جواز النظر</w:t>
      </w:r>
      <w:bookmarkEnd w:id="198"/>
    </w:p>
    <w:p>
      <w:pPr>
        <w:pStyle w:val="Heading6"/>
        <w:numPr>
          <w:ilvl w:val="5"/>
          <w:numId w:val="1"/>
        </w:numPr>
        <w:rPr/>
      </w:pPr>
      <w:bookmarkStart w:id="199" w:name="__RefHeading___Toc11572724_2142443653"/>
      <w:bookmarkStart w:id="200" w:name="_Toc78"/>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إنّه يشترط في جواز النظر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خوف الافتتان</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1572726_2142443653"/>
      <w:bookmarkStart w:id="202" w:name="_Toc79"/>
      <w:bookmarkEnd w:id="201"/>
      <w:r>
        <w:rPr>
          <w:rtl w:val="true"/>
        </w:rPr>
        <w:t>الشرط الأول</w:t>
      </w:r>
      <w:r>
        <w:rPr>
          <w:rtl w:val="true"/>
        </w:rPr>
        <w:t xml:space="preserve">: </w:t>
      </w:r>
      <w:r>
        <w:rPr>
          <w:rtl w:val="true"/>
        </w:rPr>
        <w:t>عدم اللذة</w:t>
      </w:r>
      <w:bookmarkEnd w:id="202"/>
    </w:p>
    <w:p>
      <w:pPr>
        <w:pStyle w:val="BookText"/>
        <w:rPr/>
      </w:pPr>
      <w:r>
        <w:rPr>
          <w:rFonts w:ascii="Amiri" w:hAnsi="Amiri" w:eastAsia="Amiri" w:cs="Amiri"/>
          <w:color w:val="111111"/>
          <w:sz w:val="28"/>
          <w:sz w:val="28"/>
          <w:szCs w:val="28"/>
          <w:rtl w:val="true"/>
          <w:lang w:bidi="ar-SA"/>
        </w:rPr>
        <w:t>وقد يستدل عليه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عبد اللّه بن الفضل، عن أبيه،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أينظر الرجل إلى المرأة يريد تزويجها فينظر إلى شعرها و محاسنها؟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لم يكن متلذذاً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إرادة التزويج لا يجوز التلذذ، وإطلاقه كما يشمل إرادة التزويج بالمسلمة يشمل إرادة التزويج بالكافرة، فكيف يجوز التلذذ مع عدم إرادة التزويج؟</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لوحدة المناط في المقامين</w:t>
      </w:r>
      <w:r>
        <w:rPr>
          <w:rFonts w:eastAsia="Amiri" w:cs="Amiri" w:ascii="Amiri" w:hAnsi="Amiri"/>
          <w:color w:val="111111"/>
          <w:sz w:val="28"/>
          <w:szCs w:val="28"/>
          <w:rtl w:val="true"/>
          <w:lang w:bidi="ar-SA"/>
        </w:rPr>
        <w:t>»</w:t>
      </w:r>
      <w:r>
        <w:rPr>
          <w:rStyle w:val="FootnoteAnchor"/>
          <w:rtl w:val="true"/>
        </w:rPr>
        <w:footnoteReference w:id="251"/>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مجبور بالفتوى،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الأعظم من أنّ فيه الفساد المنهي عنه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عدم خوف الوقوع في الفساد على ما سيأتي في الشرط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التلذذ فساداً في حد نفسه لا مقدمة للفساد فهو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يستدل على كونه فساداً بالارتكاز المتشرعي، وسيأتي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المهذب من أنه المرتكز في أذهان المتشرعة من العوام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أراد بذلك القبح عند العوام، فكيف بغيرهم؟</w:t>
      </w:r>
    </w:p>
    <w:p>
      <w:pPr>
        <w:pStyle w:val="BookText"/>
        <w:rPr/>
      </w:pPr>
      <w:r>
        <w:rPr>
          <w:rFonts w:ascii="Amiri" w:hAnsi="Amiri" w:eastAsia="Amiri" w:cs="Amiri"/>
          <w:color w:val="111111"/>
          <w:sz w:val="28"/>
          <w:sz w:val="28"/>
          <w:szCs w:val="28"/>
          <w:rtl w:val="true"/>
          <w:lang w:bidi="ar-SA"/>
        </w:rPr>
        <w:t>والظاهر أنه منكر في أذهان المتشرعة إلى حدّ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الارتكاز متحقق مع خلوه من قصد الريبة وخوف الافتتان؟</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بمعنى التلذذ الشهوي، والارتكاز متحقق فيه، وهو غير الريبة، فالتلذذ نوعان، فتارة يحصل من النظر إلى الورود والأنهار، وتارة تلذذ وتحريك شهوي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معلومية الحرمة عند الأصحاب والمفروغية منه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وكأنه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الإجماع في المهذب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 في دليله الإجماع ظاهراً، وإلا فالنص مطلق</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الإجماع</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متحقق في الحقيقة، ومحكي في بعض المواضع حكاية مستفيضة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 ذلك</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المذكور مدركي، و هم لا يعتبرونه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لم يعتبروه، ولكن بنوا عليه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المجوزة عن هذه الصورة، فيكون المحكم عمومات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النص إلى غير ذلك</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المنساق من إذن سادات الأنام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في فقه الصادق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النصوص مطلقة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لا ينافي الانصراف، ولعل الانصراف مسبب عن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الجعفريات،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يتعمد ذلك</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مخدوش، كما سبق</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عدم كون النظر مقصوداً بالأصالة، كما سبق احتماله</w:t>
      </w:r>
      <w:r>
        <w:rPr>
          <w:rStyle w:val="FootnoteAnchor"/>
          <w:rtl w:val="true"/>
        </w:rPr>
        <w:footnoteReference w:id="26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القيد في ذيل موثقة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يتعمد ذلك</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سبق</w:t>
      </w:r>
      <w:r>
        <w:rPr>
          <w:rStyle w:val="FootnoteAnchor"/>
          <w:rtl w:val="true"/>
        </w:rPr>
        <w:footnoteReference w:id="268"/>
      </w:r>
      <w:r>
        <w:rPr>
          <w:rFonts w:ascii="Amiri" w:hAnsi="Amiri" w:eastAsia="Amiri" w:cs="Amiri"/>
          <w:color w:val="111111"/>
          <w:sz w:val="28"/>
          <w:sz w:val="28"/>
          <w:szCs w:val="28"/>
          <w:rtl w:val="true"/>
          <w:lang w:bidi="ar-SA"/>
        </w:rPr>
        <w:t>دعوى ظهور القيد في الرجوع إلى الجملة الأخيرة فقط،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 ثانياً في جواب الدليل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في الجواهر من الاستدلال على المدعى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إشعار النصوص، بل ظهورها، بل صريح بعضها فيه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إشارة إلى هذين الخبرين ونحوهما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أشكل عليه السيد الروحاني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 نعثر على خبر يكون ظاهراً </w:t>
      </w:r>
    </w:p>
    <w:p>
      <w:pPr>
        <w:pStyle w:val="BookText"/>
        <w:rPr/>
      </w:pPr>
      <w:r>
        <w:rPr>
          <w:rFonts w:ascii="Amiri" w:hAnsi="Amiri" w:eastAsia="Amiri" w:cs="Amiri"/>
          <w:color w:val="111111"/>
          <w:sz w:val="28"/>
          <w:sz w:val="28"/>
          <w:szCs w:val="28"/>
          <w:rtl w:val="true"/>
          <w:lang w:bidi="ar-SA"/>
        </w:rPr>
        <w:t>في ذلك فضلا عن الصراحة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فإنها تدل على لزوم كف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الانصراف عن الشيء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حرمة جميع أنواع الاستمتاع من المرأة ما عدا المملوكة والزوجة، وعليه فإذا ثبت من الخارج جواز النظر إلى بعض أعضاء المرأة علم أن المراد من ذلك إنما هو النظر البحت لا المشوب بنوع من الاستمتاع والتلذذ</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جواز النظر مطلق، يشمل المشوب باللذة وغير المشوب، فيتعارض الدليلان بالعموم من وجه فيتساقطان، ويرجع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عارض الكتاب يرمى به عرض الجدار، بلا فرق بين كون المعارضة بالتباين الكلي أو العموم من وجه، فتأمل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في تفسير الآية الكريمة خلاف الظاهر؛ إذ الظاهر كون المراد التقليل من النظر إذا كان الغض بمعنى النقصان، أو كف النظر إذا كان الغض بمعنى إطباق الجفن لا قطع النظر عن الاستمتاعات الجنسية، ولم أر من المفسرين من ذكر هذا المعنى، فراجع تبيين القرآن وتقريب القرآن والتفسير الكبير والكشاف ومجمع البيان </w:t>
      </w:r>
    </w:p>
    <w:p>
      <w:pPr>
        <w:pStyle w:val="BookText"/>
        <w:rPr/>
      </w:pPr>
      <w:r>
        <w:rPr>
          <w:rFonts w:ascii="Amiri" w:hAnsi="Amiri" w:eastAsia="Amiri" w:cs="Amiri"/>
          <w:color w:val="111111"/>
          <w:sz w:val="28"/>
          <w:sz w:val="28"/>
          <w:szCs w:val="28"/>
          <w:rtl w:val="true"/>
          <w:lang w:bidi="ar-SA"/>
        </w:rPr>
        <w:t>والميزان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الغض النقصان،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من صوته وبصره، أي قلل منهما ونقص، والمعنى غمض العين عما لا يحل النظر إليه، وإنما جيء بالغض ومن لأنّ الصرف عن الحرام لا يتوقف على الغمض، بل على غض بعض البصر بأن لا يمد عينه نحو المحرم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للتبعيض، والمراد غض البصر عما يحرم والاقتصار فيه على ما يحل</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 اللّه على البصر أن لا ينظر إلى ما حرم اللّه عليه، وأن يعرض عما نهى اللّه عنه مما لا يحل له وهو عمله وهو من الإيمان،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فنهاهم أن ينظروا إلى عوراتهم، وأن ينظر المرء إلى فرج أخيه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بينهما عموم من وجه، فإن الكف أو التقليل نوعان، إما من اللذة أو غير اللذة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النسبة عموم مطلق، فإن النظر بكل أنواعه إلى كل امرأة مشمول للآية، والنظر إلى أهل الذمة أخص من مطلق النظر</w:t>
      </w:r>
      <w:r>
        <w:rPr>
          <w:rFonts w:eastAsia="Amiri" w:cs="Amiri" w:ascii="Amiri" w:hAnsi="Amiri"/>
          <w:color w:val="111111"/>
          <w:sz w:val="28"/>
          <w:szCs w:val="28"/>
          <w:rtl w:val="true"/>
          <w:lang w:bidi="ar-SA"/>
        </w:rPr>
        <w:t xml:space="preserve">. </w:t>
      </w:r>
      <w:bookmarkStart w:id="203" w:name="pg15684_175348"/>
    </w:p>
    <w:p>
      <w:pPr>
        <w:pStyle w:val="BookText"/>
        <w:rPr/>
      </w:pPr>
      <w:bookmarkEnd w:id="203"/>
      <w:r>
        <w:rPr>
          <w:rFonts w:ascii="Amiri" w:hAnsi="Amiri" w:eastAsia="Amiri" w:cs="Amiri"/>
          <w:color w:val="111111"/>
          <w:sz w:val="28"/>
          <w:sz w:val="28"/>
          <w:szCs w:val="28"/>
          <w:rtl w:val="true"/>
          <w:lang w:bidi="ar-SA"/>
        </w:rPr>
        <w:t>فمفاد الآية حرمة كل أنواع النظر إلى كل الأجنبيات، للإطلاق المستفاد من حذف المتعلق، ومفاد الرواية جواز كل أنواع النظر بخصوص الذميات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مباني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الحديث</w:t>
      </w:r>
      <w:r>
        <w:rPr>
          <w:rStyle w:val="FootnoteAnchor"/>
          <w:rtl w:val="true"/>
        </w:rPr>
        <w:footnoteReference w:id="277"/>
      </w:r>
      <w:r>
        <w:rPr>
          <w:rFonts w:ascii="Amiri" w:hAnsi="Amiri" w:eastAsia="Amiri" w:cs="Amiri"/>
          <w:color w:val="111111"/>
          <w:sz w:val="28"/>
          <w:sz w:val="28"/>
          <w:szCs w:val="28"/>
          <w:rtl w:val="true"/>
          <w:lang w:bidi="ar-SA"/>
        </w:rPr>
        <w:t>جواز النظر مع التلذذ والشهوة، حيث قيد الجواز في الذيل بعدم التعمد، والتقسيم قاطع للشركة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النهي بالدليل الخارجي، مع أنه لم يثبت كون المراد بالتعمد ما ذكره على ما سبق،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الشيخ الأعظم إنه لو وقع التلذذ في أثناء النظر إلى وجه المسلمة لم يجب الكف إذا لم يكن النظر بقصد التلذذ</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ذلك في النظر إلى وجه المسلمة ثبت في النظر إلى وجه الكافرة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المختار هنالك وجوب الكف، وعدم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الشرط الأول</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11572728_2142443653"/>
      <w:bookmarkStart w:id="205" w:name="_Toc80"/>
      <w:bookmarkEnd w:id="204"/>
      <w:r>
        <w:rPr>
          <w:rtl w:val="true"/>
        </w:rPr>
        <w:t>الشرط الثاني</w:t>
      </w:r>
      <w:r>
        <w:rPr>
          <w:rtl w:val="true"/>
        </w:rPr>
        <w:t xml:space="preserve">: </w:t>
      </w:r>
      <w:r>
        <w:rPr>
          <w:rtl w:val="true"/>
        </w:rPr>
        <w:t>عدم خوف الوقوع في الحرام</w:t>
      </w:r>
      <w:bookmarkEnd w:id="2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الأولية عدم حرمة ما يخاف معه الوقوع في الحرام، بل عدم حرمة ما يعلم معه الوقوع فيه؛ وذلك لما تقرر في محله من عدم حرمة مقدمة الحرام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مقدمة الحرام محرمة عقلاً، لكن الحرمة العقلية لا تلازم الحرمة الشرعية، مع أنّ الحرمة العقلية مقدمية لا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إثبات الحرمة الشرعية في المقام بتقريرين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الأولية تقتضي حرمة النظر إلى الأجنبية، وقد خصصت هذه القاعدة بالأدلة الدالة على جواز النظر إلى الكوافر، والنصوص المخصصة منصرفة إلى غير صورة خوف الوقوع في الحرام، فيرجع في صورة الخوف إلى عمومات أدلة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النص إلى غير ذلك</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المنساق من إذن سادات الأنام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السيد الروحاني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النصوص مطلقة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لا ينافي الانصراف كما سبق،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للانصراف وعهدته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النوبة إلى ادعاء الانصراف ينقطع البحث، وفي المقام القاعدة الأولية هي الحرمة، والشارع أخرج منها فرداً، فهل يشمل حتى مع خوف الوقوع في الحرام؟ كما تسلّمون بالانصراف مع العلم بالوقوع في الحرام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الغالب لهذه الرواية صورة خوف الوقوع في الحرام، </w:t>
      </w:r>
    </w:p>
    <w:p>
      <w:pPr>
        <w:pStyle w:val="BookText"/>
        <w:rPr/>
      </w:pPr>
      <w:r>
        <w:rPr>
          <w:rFonts w:ascii="Amiri" w:hAnsi="Amiri" w:eastAsia="Amiri" w:cs="Amiri"/>
          <w:color w:val="111111"/>
          <w:sz w:val="28"/>
          <w:sz w:val="28"/>
          <w:szCs w:val="28"/>
          <w:rtl w:val="true"/>
          <w:lang w:bidi="ar-SA"/>
        </w:rPr>
        <w:t>حيث تتحقق اللذة مع النظر عادة، ومعه أطلق المولى، فلا يمكن الانصراف عن المورد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بلذة حرام بنفسه، ثم إنه هل يمكن الالتزام بذلك فيما لو خاف أن يؤدي النظر إلى الفاحشة أو التقبيل أو الضم، منتهى الأمر قبول الشرط، إلا في النظر الذي يخاف أن يؤدي إلى النظر الالتذاذي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فرض عدم انصراف النصوص المخصصة لا بد من تقييد هذه النصوص؛ وذلك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ذكره في المهذب</w:t>
      </w:r>
      <w:r>
        <w:rPr>
          <w:rStyle w:val="FootnoteAnchor"/>
          <w:rtl w:val="true"/>
        </w:rPr>
        <w:footnoteReference w:id="284"/>
      </w:r>
      <w:r>
        <w:rPr>
          <w:rFonts w:ascii="Amiri" w:hAnsi="Amiri" w:eastAsia="Amiri" w:cs="Amiri"/>
          <w:color w:val="111111"/>
          <w:sz w:val="28"/>
          <w:sz w:val="28"/>
          <w:szCs w:val="28"/>
          <w:rtl w:val="true"/>
          <w:lang w:bidi="ar-SA"/>
        </w:rPr>
        <w:t>، وفي فقه الصادق</w:t>
      </w:r>
      <w:r>
        <w:rPr>
          <w:rStyle w:val="FootnoteAnchor"/>
          <w:rtl w:val="true"/>
        </w:rPr>
        <w:footnoteReference w:id="285"/>
      </w:r>
      <w:r>
        <w:rPr>
          <w:rFonts w:ascii="Amiri" w:hAnsi="Amiri" w:eastAsia="Amiri" w:cs="Amiri"/>
          <w:color w:val="111111"/>
          <w:sz w:val="28"/>
          <w:sz w:val="28"/>
          <w:szCs w:val="28"/>
          <w:rtl w:val="true"/>
          <w:lang w:bidi="ar-SA"/>
        </w:rPr>
        <w:t>،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معلومية الحرمة عند الأصحاب والمفروغية منه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المرتكز في أذهان المتشرعة من العوام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هو مراد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حرمة النظر مع خوف الوقوع في الحرام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بالنسبة إلى اعتبار عدم الريبة فيمكن التمسك فيه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فإنّ الحفظ لما كان بمعنى الاهتمام بالشيء كي لا يقع في خلاف ما ينتظره، كان مدلول الآية الكريمة أنه لا بد من التحفظ على الفرج من الزنا، وحيث إنّ النظر إليهن مع الريبة يجعل العورة في معرض الزنا كان مشمولاً للنهي</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الحفظ عبارة عن الصيانة، والمفروض أنه صانه عن الفعل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متجرٍّ، لكن التجري على الشيء مغاير للتضييع؛ ولذا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يحفظ فرجه إذا لم يقع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يمكن أن يقال في حفظ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أنه لو لم يحفظ الأمانة فيما ينبغي حفظها فيه، لكن اتفق عدم ضياعها لم يكن عاصياً لأدلة وجوب حفظ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متجرٍّ، وربما يكون عاصياً من تلك الجهة، بناءً على كون التجري على المعصية معصية، فتأمل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النصوص، بل ظهورها، بل صريح بعضها فيه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06" w:name="pg15684_175352"/>
    </w:p>
    <w:p>
      <w:pPr>
        <w:pStyle w:val="BookText"/>
        <w:rPr/>
      </w:pPr>
      <w:bookmarkEnd w:id="206"/>
      <w:r>
        <w:rPr>
          <w:rFonts w:ascii="Amiri" w:hAnsi="Amiri" w:eastAsia="Amiri" w:cs="Amiri"/>
          <w:color w:val="111111"/>
          <w:sz w:val="28"/>
          <w:sz w:val="28"/>
          <w:szCs w:val="28"/>
          <w:rtl w:val="true"/>
          <w:lang w:bidi="ar-SA"/>
        </w:rPr>
        <w:t>ولا يخفى عدم وضوح عبارته، وإن كان يحتمل إرادته الاستدلال بذلك على شرطية عدم التلذذ، ويحتمل إرادته لكلا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نصاً يدل على ذلك، إلا أن يستدل بالعمومات،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فالنهي عن القرب ظاهره الحرمة، فيكون الذهاب إلى بيت الفاحشة مشمولاً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الظاهر أنّ النهي فيها مقدمي؛ ولذا لا تعتبر كل مقدمة معصية مستقلة، وإلاّ فالذنب الذي فيه ألف مقدمة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وعقاب،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وافق على هذا الشرط كل من رأيت حواشيهم على العروة، وهم ثمانية عشر فقيهاً، فلم يناقشوا فيه</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1572730_2142443653"/>
      <w:bookmarkStart w:id="208" w:name="_Toc81"/>
      <w:bookmarkEnd w:id="207"/>
      <w:r>
        <w:rPr>
          <w:rtl w:val="true"/>
        </w:rPr>
        <w:t>الشرط الثالث</w:t>
      </w:r>
      <w:r>
        <w:rPr>
          <w:rtl w:val="true"/>
        </w:rPr>
        <w:t xml:space="preserve">: </w:t>
      </w:r>
      <w:r>
        <w:rPr>
          <w:rtl w:val="true"/>
        </w:rPr>
        <w:t>عدم الريبة</w:t>
      </w:r>
      <w:bookmarkEnd w:id="208"/>
    </w:p>
    <w:p>
      <w:pPr>
        <w:pStyle w:val="Heading6"/>
        <w:numPr>
          <w:ilvl w:val="5"/>
          <w:numId w:val="1"/>
        </w:numPr>
        <w:rPr/>
      </w:pPr>
      <w:bookmarkStart w:id="209" w:name="__RefHeading___Toc11572732_2142443653"/>
      <w:bookmarkStart w:id="210" w:name="_Toc82"/>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ويقع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الريبة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حرمة النظر بريبة</w:t>
      </w:r>
      <w:r>
        <w:rPr>
          <w:rFonts w:eastAsia="Amiri" w:cs="Amiri" w:ascii="Amiri" w:hAnsi="Amiri"/>
          <w:color w:val="111111"/>
          <w:sz w:val="28"/>
          <w:szCs w:val="28"/>
          <w:rtl w:val="true"/>
          <w:lang w:bidi="ar-SA"/>
        </w:rPr>
        <w:t xml:space="preserve">. </w:t>
      </w:r>
      <w:bookmarkStart w:id="211" w:name="pg15684_175353"/>
    </w:p>
    <w:p>
      <w:pPr>
        <w:pStyle w:val="Heading6"/>
        <w:numPr>
          <w:ilvl w:val="5"/>
          <w:numId w:val="1"/>
        </w:numPr>
        <w:rPr/>
      </w:pPr>
      <w:bookmarkStart w:id="212" w:name="__RefHeading___Toc11572734_2142443653"/>
      <w:bookmarkStart w:id="213" w:name="_Toc83"/>
      <w:bookmarkEnd w:id="211"/>
      <w:bookmarkEnd w:id="212"/>
      <w:r>
        <w:rPr>
          <w:rtl w:val="true"/>
        </w:rPr>
        <w:t>المقام الأول</w:t>
      </w:r>
      <w:r>
        <w:rPr>
          <w:rtl w:val="true"/>
        </w:rPr>
        <w:t xml:space="preserve">: </w:t>
      </w:r>
      <w:r>
        <w:rPr>
          <w:rtl w:val="true"/>
        </w:rPr>
        <w:t>في معنى الريبة</w:t>
      </w:r>
      <w:bookmarkEnd w:id="213"/>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معنى الريبة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معناها هو خوف الوقوع في الحرام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وأقرّهُ عليه جميع من رأيت حواشيهم على العروة، والسيد السبزواري</w:t>
      </w:r>
      <w:r>
        <w:rPr>
          <w:rStyle w:val="FootnoteAnchor"/>
          <w:rtl w:val="true"/>
        </w:rPr>
        <w:footnoteReference w:id="297"/>
      </w:r>
      <w:r>
        <w:rPr>
          <w:rFonts w:ascii="Amiri" w:hAnsi="Amiri" w:eastAsia="Amiri" w:cs="Amiri"/>
          <w:color w:val="111111"/>
          <w:sz w:val="28"/>
          <w:sz w:val="28"/>
          <w:szCs w:val="28"/>
          <w:rtl w:val="true"/>
          <w:lang w:bidi="ar-SA"/>
        </w:rPr>
        <w:t>والسيد الروحاني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المراد بها خوف الوقوع معها في محرم، وهو المعبر عنه بخوف الفتنة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وكذا في نهاية المرام</w:t>
      </w:r>
      <w:r>
        <w:rPr>
          <w:rStyle w:val="FootnoteAnchor"/>
          <w:rtl w:val="true"/>
        </w:rPr>
        <w:footnoteReference w:id="300"/>
      </w:r>
      <w:r>
        <w:rPr>
          <w:rFonts w:ascii="Amiri" w:hAnsi="Amiri" w:eastAsia="Amiri" w:cs="Amiri"/>
          <w:color w:val="111111"/>
          <w:sz w:val="28"/>
          <w:sz w:val="28"/>
          <w:szCs w:val="28"/>
          <w:rtl w:val="true"/>
          <w:lang w:bidi="ar-SA"/>
        </w:rPr>
        <w:t>، وكفاية الأحكام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من الريبة خوف الوقوع معها في محرم، ولعله هو المعبر عنه بخوف الفتنة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اللمعة فسر الريبة بخوف الفتنة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الباب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النظر بلذة، وأن لا يكون بريبة،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يخاف الوقوع في الحرام، ولا عنوان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الحرمة بهذا المعنى الأدلة التي مضت في الشرط الثاني، فليس هذا شرطاً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يحتاج إلى 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كشف اللثام،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ما يخطر بالبال من النظر دون التلذذ به أو خوف افتتان، والفرق بينه وبين الريبة ظاهر مما عرفت؛ ولذا ذكر الثلاثة في التذكرة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يخطر بالبال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الظاهر منه الخواطر السيئة، كأن ينظر إليها مخطراً بباله تقبيلها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السيد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مما يخطر بالبال من النظر الميل إلى الوقوع في الحرام مع المنظور إليه، وإن كان عالماً بعدم وقوعه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تصور الشيء مغاير للميل إليه وسابق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ينفك الميل عن الخطور، وإن أمكن انفكاك الخطور عن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تصور مائدة الطعام الشهي، لكن لا يميل إليه، فالتصور مرحلة متقدمة، والميل إلى الشيء مرحلة متأخرة قد تعقب المرحلة الأولى وقد لا تعقبها، فيبعد تفسير الخطور بالميل، فقد يتحقق الخطور ولا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كلما تحقق الميل تحقق الخطور، حيث لا يمكن الميل إلى الشيء بدون تصوره، فتفسير السيد الحكيم تفسير بالأخص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الخطور صورة ذهنية مجردة، فقد يشتاق وقد لا يشتاق، </w:t>
      </w:r>
      <w:bookmarkStart w:id="214" w:name="pg15684_175355"/>
    </w:p>
    <w:p>
      <w:pPr>
        <w:pStyle w:val="BookText"/>
        <w:rPr/>
      </w:pPr>
      <w:bookmarkEnd w:id="214"/>
      <w:r>
        <w:rPr>
          <w:rFonts w:ascii="Amiri" w:hAnsi="Amiri" w:eastAsia="Amiri" w:cs="Amiri"/>
          <w:color w:val="111111"/>
          <w:sz w:val="28"/>
          <w:sz w:val="28"/>
          <w:szCs w:val="28"/>
          <w:rtl w:val="true"/>
          <w:lang w:bidi="ar-SA"/>
        </w:rPr>
        <w:t>والميل انجذاب واشتياق 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الريبة قصد السوء،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زيد نظرة مريبة في مقابل النظرة البريئة، كأن ينظر إليها بقصد الزنا بها أو ما أشبه، وإن لم تكن لذة فعلية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القصد بمعنى الإجماع والإرادة، وهو متأخر عن التصور والميل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أمكن وقوع الحرام المقصود في الخارج كان مآل ذلك إلى الشرط الثاني، وإن لم يمكن وقوعه في الخارج كان ذلك عبارة عن الميل لا شيئاً آخر قباله،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الاحتمال الثاني توجد ثلاثة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الخطور والميل والقصد حسب اختلاف التعبيرات</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1572736_2142443653"/>
      <w:bookmarkStart w:id="216" w:name="_Toc84"/>
      <w:bookmarkEnd w:id="215"/>
      <w:r>
        <w:rPr>
          <w:rtl w:val="true"/>
        </w:rPr>
        <w:t>المقام الثاني</w:t>
      </w:r>
      <w:r>
        <w:rPr>
          <w:rtl w:val="true"/>
        </w:rPr>
        <w:t xml:space="preserve">: </w:t>
      </w:r>
      <w:r>
        <w:rPr>
          <w:rtl w:val="true"/>
        </w:rPr>
        <w:t>في الدليل على حرمة النظر بريبة</w:t>
      </w:r>
      <w:bookmarkEnd w:id="216"/>
    </w:p>
    <w:p>
      <w:pPr>
        <w:pStyle w:val="BookText"/>
        <w:rPr/>
      </w:pPr>
      <w:r>
        <w:rPr>
          <w:rFonts w:ascii="IRNazanin" w:hAnsi="IRNazanin" w:eastAsia="IRNazanin"/>
          <w:color w:val="111111"/>
          <w:sz w:val="28"/>
          <w:sz w:val="28"/>
          <w:szCs w:val="28"/>
          <w:rtl w:val="true"/>
          <w:lang w:bidi="fa-IR"/>
        </w:rPr>
        <w:t>أما على الاحتمال الأول</w:t>
      </w:r>
      <w:r>
        <w:rPr>
          <w:rStyle w:val="FootnoteAnchor"/>
          <w:rtl w:val="true"/>
        </w:rPr>
        <w:footnoteReference w:id="307"/>
      </w:r>
      <w:r>
        <w:rPr>
          <w:rFonts w:ascii="IRNazanin" w:hAnsi="IRNazanin" w:eastAsia="IRNazanin"/>
          <w:color w:val="111111"/>
          <w:sz w:val="28"/>
          <w:sz w:val="28"/>
          <w:szCs w:val="28"/>
          <w:rtl w:val="true"/>
          <w:lang w:bidi="fa-IR"/>
        </w:rPr>
        <w:t>، فقد مضى</w:t>
      </w:r>
      <w:r>
        <w:rPr>
          <w:rStyle w:val="FootnoteAnchor"/>
          <w:rtl w:val="true"/>
        </w:rPr>
        <w:footnoteReference w:id="308"/>
      </w:r>
      <w:r>
        <w:rPr>
          <w:rFonts w:ascii="Amiri" w:hAnsi="Amiri" w:eastAsia="Amiri" w:cs="Amiri"/>
          <w:color w:val="111111"/>
          <w:sz w:val="28"/>
          <w:sz w:val="28"/>
          <w:szCs w:val="28"/>
          <w:rtl w:val="true"/>
          <w:lang w:bidi="ar-SA"/>
        </w:rPr>
        <w:t>أن الأدلة تدل على الحرمة بهذا المعنى، والتي مضت في الشرط الثاني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الاحتمال الثاني</w:t>
      </w:r>
      <w:r>
        <w:rPr>
          <w:rStyle w:val="FootnoteAnchor"/>
          <w:rtl w:val="true"/>
        </w:rPr>
        <w:footnoteReference w:id="309"/>
      </w:r>
      <w:r>
        <w:rPr>
          <w:rFonts w:ascii="Amiri" w:hAnsi="Amiri" w:eastAsia="Amiri" w:cs="Amiri"/>
          <w:color w:val="111111"/>
          <w:sz w:val="28"/>
          <w:sz w:val="28"/>
          <w:szCs w:val="28"/>
          <w:rtl w:val="true"/>
          <w:lang w:bidi="ar-SA"/>
        </w:rPr>
        <w:t>، فقد استدل السيد الوالد</w:t>
      </w:r>
      <w:r>
        <w:rPr>
          <w:rStyle w:val="FootnoteAnchor"/>
          <w:rtl w:val="true"/>
        </w:rPr>
        <w:footnoteReference w:id="310"/>
      </w:r>
      <w:r>
        <w:rPr>
          <w:rFonts w:ascii="IRNazanin" w:hAnsi="IRNazanin" w:eastAsia="IRNazanin"/>
          <w:color w:val="111111"/>
          <w:sz w:val="28"/>
          <w:sz w:val="28"/>
          <w:szCs w:val="28"/>
          <w:rtl w:val="true"/>
          <w:lang w:bidi="fa-IR"/>
        </w:rPr>
        <w:t xml:space="preserve">على الاشتراط </w:t>
      </w:r>
    </w:p>
    <w:p>
      <w:pPr>
        <w:pStyle w:val="BookText"/>
        <w:rPr/>
      </w:pPr>
      <w:r>
        <w:rPr>
          <w:rFonts w:ascii="Amiri" w:hAnsi="Amiri" w:eastAsia="Amiri" w:cs="Amiri"/>
          <w:color w:val="111111"/>
          <w:sz w:val="28"/>
          <w:sz w:val="28"/>
          <w:szCs w:val="28"/>
          <w:rtl w:val="true"/>
          <w:lang w:bidi="ar-SA"/>
        </w:rPr>
        <w:t>بالمعنى الذي ذكره،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تأمل؛ إذ أغلب مَن رأينا كلماتهم ومنهم صاحب العروة وكل المحشين لم يذكروا هذا الشرط، بل فسروهُ بالشرط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عدم التلذذ والريبة بمعنى خوف الوقوع معها في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النص عن ذلك، فنصوص التجويز لا تشمل النظرة التي يقصد بها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أيضاً على الاشتراط بكل المعاني بارتكاز المتشرعة، حيث إنّ النظر بقصد السوء أو مع الميل إلى الوقوع في الحرام مع المنظور إليه، أو مصحوباً بالخواطر السيئة مستنكر في أذهان المتشرعة،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على الاشتراط بورود كلمة عدم الريبة في كلمات الفقهاء، مرسلين الشرطية إرسال المسلمات، وحيث إنّ مقصود المعظم مجمل، فتكون جميع المعاني المحتملة طرفاً للعلم الإجمالي، فيحتاط باشتراط الجميع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المصادر التي تطرقت إلى ذكر الريبة أو اللذة والريبة معاً بدون تفسير، وقد تلقوا شرطيتها تلقي المسلمات،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والنهاية والسرائر والشرائع والقواعد والتحرير والمختلف وإيضاح الفوائد وجامع </w:t>
      </w:r>
    </w:p>
    <w:p>
      <w:pPr>
        <w:pStyle w:val="BookText"/>
        <w:rPr/>
      </w:pPr>
      <w:r>
        <w:rPr>
          <w:rFonts w:ascii="IRNazanin" w:hAnsi="IRNazanin" w:eastAsia="IRNazanin"/>
          <w:color w:val="111111"/>
          <w:sz w:val="28"/>
          <w:sz w:val="28"/>
          <w:szCs w:val="28"/>
          <w:rtl w:val="true"/>
          <w:lang w:bidi="fa-IR"/>
        </w:rPr>
        <w:t>المقاصد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 اشترط عدم الريبة واللذة مع أمن الفتنة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المهذب البارع اشترط أمن الفتنة وعدم التلذذ وأن لا يكون لريبة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المصادر التي ذكرناها سابقاً فسّرت الريبة بخوف الفتنة، كالروضة والمسالك ونهاية المرام وكفاية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بانحلال العلم الإجمالي، حيث إنّ شرطية عدم خوف الفتنة مسلَّم؛ لما سبق من الأدلة، ومع تنجز أحد أطراف العلم الإجمالي بمنجز سابق ينحل، فتجري في سائر الأطراف أصالة البراءة، كما لو سقطت قطرة دم في أحد إناءين أحدهما المعين مستصحب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الريبة فسرت من الناحية اللغوية بالشك والتهمة</w:t>
      </w:r>
      <w:r>
        <w:rPr>
          <w:rStyle w:val="FootnoteAnchor"/>
          <w:rtl w:val="true"/>
        </w:rPr>
        <w:footnoteReference w:id="316"/>
      </w:r>
      <w:r>
        <w:rPr>
          <w:rFonts w:ascii="IRNazanin" w:hAnsi="IRNazanin" w:eastAsia="IRNazanin"/>
          <w:color w:val="111111"/>
          <w:sz w:val="28"/>
          <w:sz w:val="28"/>
          <w:szCs w:val="28"/>
          <w:rtl w:val="true"/>
          <w:lang w:bidi="fa-IR"/>
        </w:rPr>
        <w:t>، وفسرها بعضهم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قلق النفس واضطرابها</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فلا يعلم المراد من كلمات الفقهاء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الجواهر والمسالك لا يخلو من قرب، بأن تكون النظرة محل الريب، كالخلوة بالأجنبية، حيث إنها محل الريب والشك، فلا يبعد أن يكون مراد الفقهاء بالريبة النظرة التي يشك أنها تنتهي إلى الحرام</w:t>
      </w:r>
      <w:r>
        <w:rPr>
          <w:rFonts w:eastAsia="Amiri" w:cs="Amiri" w:ascii="Amiri" w:hAnsi="Amiri"/>
          <w:color w:val="111111"/>
          <w:sz w:val="28"/>
          <w:szCs w:val="28"/>
          <w:rtl w:val="true"/>
          <w:lang w:bidi="ar-SA"/>
        </w:rPr>
        <w:t xml:space="preserve">. </w:t>
      </w:r>
      <w:bookmarkStart w:id="217" w:name="pg15684_175358"/>
    </w:p>
    <w:p>
      <w:pPr>
        <w:pStyle w:val="BookText"/>
        <w:rPr/>
      </w:pPr>
      <w:bookmarkEnd w:id="217"/>
      <w:r>
        <w:rPr>
          <w:rFonts w:ascii="Amiri" w:hAnsi="Amiri" w:eastAsia="Amiri" w:cs="Amiri"/>
          <w:color w:val="111111"/>
          <w:sz w:val="28"/>
          <w:sz w:val="28"/>
          <w:szCs w:val="28"/>
          <w:rtl w:val="true"/>
          <w:lang w:bidi="ar-SA"/>
        </w:rPr>
        <w:t>أما النظرة المتصورة للحرام أو المائلة للحرام فلعلها بعيدة عن المعنى اللغوي للريبة، أو ذاك المعنى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ندعي الإجماع، لكن لم يعلم تحققه، أو ندعي انصراف النصوص المجوزة أو الاستنكار، فتبقى العمومات الفوقانية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نقول بالعلم الإجمالي، لكنه 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بالاحتياط، فتكون النظرة مشروطة بلا خطورة ولا ميل ولا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بالكلمة الواردة في كلمة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الريبة خوف الوقوع في الحرام مع الشخص المنظور إليه، أو الميل النفساني للوقوع في محرم معه، وإن لم يخف الوقوع فيه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مطابق لتفسير السيد الحكيم</w:t>
      </w:r>
      <w:r>
        <w:rPr>
          <w:rStyle w:val="FootnoteAnchor"/>
          <w:rtl w:val="true"/>
        </w:rPr>
        <w:footnoteReference w:id="319"/>
      </w:r>
      <w:r>
        <w:rPr>
          <w:rFonts w:ascii="IRNazanin" w:hAnsi="IRNazanin" w:eastAsia="IRNazanin"/>
          <w:color w:val="111111"/>
          <w:sz w:val="28"/>
          <w:sz w:val="28"/>
          <w:szCs w:val="28"/>
          <w:rtl w:val="true"/>
          <w:lang w:bidi="fa-IR"/>
        </w:rPr>
        <w:t>للشرط الثالث</w:t>
      </w:r>
      <w:r>
        <w:rPr>
          <w:rFonts w:eastAsia="IRNazanin" w:cs="IRNazanin"/>
          <w:color w:val="111111"/>
          <w:sz w:val="28"/>
          <w:szCs w:val="28"/>
          <w:rtl w:val="true"/>
          <w:lang w:bidi="fa-IR"/>
        </w:rPr>
        <w:t>.</w:t>
      </w:r>
    </w:p>
    <w:p>
      <w:pPr>
        <w:pStyle w:val="Heading5"/>
        <w:numPr>
          <w:ilvl w:val="4"/>
          <w:numId w:val="1"/>
        </w:numPr>
        <w:rPr/>
      </w:pPr>
      <w:bookmarkStart w:id="218" w:name="__RefHeading___Toc11572738_2142443653"/>
      <w:bookmarkStart w:id="219" w:name="_Toc85"/>
      <w:bookmarkEnd w:id="218"/>
      <w:r>
        <w:rPr>
          <w:rtl w:val="true"/>
        </w:rPr>
        <w:t>الفرع السادس</w:t>
      </w:r>
      <w:r>
        <w:rPr>
          <w:rtl w:val="true"/>
        </w:rPr>
        <w:t xml:space="preserve">: </w:t>
      </w:r>
      <w:r>
        <w:rPr>
          <w:rtl w:val="true"/>
        </w:rPr>
        <w:t>في حكم الالتذاذ غير الشهوي</w:t>
      </w:r>
      <w:bookmarkEnd w:id="219"/>
    </w:p>
    <w:p>
      <w:pPr>
        <w:pStyle w:val="BookText"/>
        <w:rPr/>
      </w:pPr>
      <w:r>
        <w:rPr>
          <w:rFonts w:ascii="IRNazanin" w:hAnsi="IRNazanin" w:eastAsia="IRNazanin"/>
          <w:color w:val="111111"/>
          <w:sz w:val="28"/>
          <w:sz w:val="28"/>
          <w:szCs w:val="28"/>
          <w:rtl w:val="true"/>
          <w:lang w:bidi="fa-IR"/>
        </w:rPr>
        <w:t>الالتذاذ بالنظر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الالتذاذ الشهوي، وقد مضت حرمته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الالتذاذ غير الشهوي، نظير الالتذاذ الحاصل عند النظر إلى الورود والأشجار والأنهار، أو النظر إلى مَن يأنس بالنظر إليه والتحدث إليه، وهل يحرم الثاني كما يحرم الأول؟ لم أجد للمسألة تحريراً في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يدعى العدم؛ وذلك لانصراف التلذذ الممنوع عنه في الأدلة اللفظية</w:t>
      </w:r>
      <w:r>
        <w:rPr>
          <w:rStyle w:val="FootnoteAnchor"/>
          <w:rtl w:val="true"/>
        </w:rPr>
        <w:footnoteReference w:id="32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أصل دلالة الأدلة اللفظية على حرمة التلذذ أو حجيتها محل تأمل، إلا أن يدعى الانجبار في بعضها،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التلذذ الشهوي هو القدر المتيقن من الأدلة اللبية، كالإجماع وارتكاز المتشرعة، فيكون النظر بتلذذ غير شهوي مشمولاً لإطلاقات أدلة جواز النظر، ولا انصراف للأدلة عن هذه الصورة كي تشملها العمومات الفوقانية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أو يدل عليه صحيحة علي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مبتلى بالنظر إلى المرأة الجميلة، فيعجبني النظر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بأس إذا عرف اللّه من نيتك الصدق، وإياك والزنا، فإنه يمحق البركة ويهلك الدين</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وردت في مسألة النظر إلى الوجه واليدين، إلا أنه يستفاد منها ومن بعض الفتاوى في تلك المسألة بجواز النظر حكم المقام بالأولوية، ولو في الجملة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تتمة للكلام في هذه الرواية في مسألة النظر إلى الوجه والكفين،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الوالد في تلك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مثل ما يحصل من النظر إلى الأوراد والأطيار الجميلة ونحوها فذلك جائز، وليس من التلذذ الممنوع في المقام، وهذا هو المراد من صحيح ابن سويد، كما لا يخفى على المتأمل</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في المستمسك</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أيضاً أو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زرعة بن محمّد الواردة في الجارية النفيسة، التي وقعت في قلب رجل وأعجب بها،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تعرض لرؤيتها، وكلما رأيتها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 فضله</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وقد سبق ذكرها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نظر العاشق إلى معشوقته لا يخلو عادة عن الالتذاذ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الالتذاذ الشهوي ممنوع بالأدلة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واردة في الأمة، وحكم الحرة مغاير لحكم الأمة، فتأمّل</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أمة، فلو كانت ذمية فهي أمة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مسلمة فيستفاد حكم الأمة الكافرة بطريق أولى</w:t>
      </w:r>
      <w:r>
        <w:rPr>
          <w:rFonts w:eastAsia="Amiri" w:cs="Amiri" w:ascii="Amiri" w:hAnsi="Amiri"/>
          <w:color w:val="111111"/>
          <w:sz w:val="28"/>
          <w:szCs w:val="28"/>
          <w:rtl w:val="true"/>
          <w:lang w:bidi="ar-SA"/>
        </w:rPr>
        <w:t xml:space="preserve">. </w:t>
      </w:r>
      <w:bookmarkStart w:id="220" w:name="pg15684_175361"/>
    </w:p>
    <w:p>
      <w:pPr>
        <w:pStyle w:val="BookText"/>
        <w:rPr/>
      </w:pPr>
      <w:bookmarkEnd w:id="220"/>
      <w:r>
        <w:rPr>
          <w:rFonts w:ascii="Amiri" w:hAnsi="Amiri" w:eastAsia="Amiri" w:cs="Amiri"/>
          <w:color w:val="111111"/>
          <w:sz w:val="28"/>
          <w:sz w:val="28"/>
          <w:szCs w:val="28"/>
          <w:rtl w:val="true"/>
          <w:lang w:bidi="ar-SA"/>
        </w:rPr>
        <w:t>ثم إنه لو شك في أنّ الالتذاذ شهوي أم لا فهل يجوز النظر أولا؟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جواز التمسك بالعام في الشبهة المصداقية للمخصص فظاهر؛ إذ مقتضى الأدلة جواز النظر خرج منه النظر بلذة شهوية، وحيث يشك في انطباق عنوان المخصص يشمل المورد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الحرمة، ففي مورد الشك يتمسك بالعموم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التحتانية خصصت العمومات الفوقانية، وقد قيد العام التحتاني بأن لا يكون بلذة شهوية، فلو شك في تحقق القيد كان انطباق عموم العام التحتاني على المورد مسلّماً، وانطباق القيد غير واضح، فيشمله عموم العام التحتاني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الجواز، فلأصالة البراءة من الحرمة بعد رفع اليد عن جميع الأدلة، حيث لا يعلم أن هذا النظر مصداق لأيها؟</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يتمسك بأصل عدم كونه التذاذياً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المقام من مزال الأقدام، فقد يكون النظر شهوياً في الواقع، لكن الشيطان والنفس الأمارة تسولان للإنسان غير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النظر غير الشهوي مقدمة للنظر الشهوي، فينبغي الحذر التام والأخذ بالاحتياط، فإنه سبيل النجاة، وعلى اللّه التوكل وبه المستعان</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1572740_2142443653"/>
      <w:bookmarkStart w:id="222" w:name="_Toc86"/>
      <w:bookmarkEnd w:id="221"/>
      <w:r>
        <w:rPr>
          <w:rtl w:val="true"/>
        </w:rPr>
        <w:t>الفرع السابع</w:t>
      </w:r>
      <w:r>
        <w:rPr>
          <w:rtl w:val="true"/>
        </w:rPr>
        <w:t xml:space="preserve">: </w:t>
      </w:r>
      <w:r>
        <w:rPr>
          <w:rtl w:val="true"/>
        </w:rPr>
        <w:t>أنواع الالتذاذ المحرم</w:t>
      </w:r>
      <w:bookmarkEnd w:id="2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والتلذذ إما فعلي غير اختياري، أو قصدي فعلي </w:t>
      </w:r>
      <w:bookmarkStart w:id="223" w:name="pg15684_175362"/>
    </w:p>
    <w:p>
      <w:pPr>
        <w:pStyle w:val="BookText"/>
        <w:rPr/>
      </w:pPr>
      <w:bookmarkEnd w:id="223"/>
      <w:r>
        <w:rPr>
          <w:rFonts w:ascii="Amiri" w:hAnsi="Amiri" w:eastAsia="Amiri" w:cs="Amiri"/>
          <w:color w:val="111111"/>
          <w:sz w:val="28"/>
          <w:sz w:val="28"/>
          <w:szCs w:val="28"/>
          <w:rtl w:val="true"/>
          <w:lang w:bidi="ar-SA"/>
        </w:rPr>
        <w:t>اختياري، أو ما يحصل مع عدم التلذذ والريبة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مراده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التلذذ بالفعل،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زمان النظر مع عدم قصده التلذذ من النظر، بأن كان قصده رسم صورتها، إلا أنّ ذلك لا ينفك عن التلذذ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التلذذ بالفعل مع قصده التلذذ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التلذذ في المستقبل، لا حين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حرمة الجميع بالإطلاق</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شمول الأدلة السابقة للصورتين الأوليين، وعدم اختيارية التلذذ في الصورة الأولى لا ينافي الاختيار؛ لأنه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محله أن ما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وجوباً أم امتناعاً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شمول أدلة التحريم لها نوع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بوحدة المناط أو ارتكاز المتشرعة، أو انصراف الأدلة المجوزة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لا يخلو عن مناقشة؛ إذ المناط غير معلوم، وكذا بلوغ ارتكاز القبح إلى حد التحريم، والانصراف غير واضح، فتكون أصالة الإطلاق محكمة، فتأمّل</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1572742_2142443653"/>
      <w:bookmarkStart w:id="225" w:name="_Toc87"/>
      <w:bookmarkEnd w:id="224"/>
      <w:r>
        <w:rPr>
          <w:rtl w:val="true"/>
        </w:rPr>
        <w:t>الفرع الثامن</w:t>
      </w:r>
      <w:r>
        <w:rPr>
          <w:rtl w:val="true"/>
        </w:rPr>
        <w:t xml:space="preserve">: </w:t>
      </w:r>
      <w:r>
        <w:rPr>
          <w:rtl w:val="true"/>
        </w:rPr>
        <w:t>منشأ الوقوع بالحرام بسبب النظر</w:t>
      </w:r>
      <w:bookmarkEnd w:id="2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الوقوع في الحرام بسبب النظر تارة يكون بالعلم، وأخرى بالاطمئنان، </w:t>
      </w:r>
      <w:bookmarkStart w:id="226" w:name="pg15684_175363"/>
    </w:p>
    <w:p>
      <w:pPr>
        <w:pStyle w:val="BookText"/>
        <w:rPr/>
      </w:pPr>
      <w:bookmarkEnd w:id="226"/>
      <w:r>
        <w:rPr>
          <w:rFonts w:ascii="Amiri" w:hAnsi="Amiri" w:eastAsia="Amiri" w:cs="Amiri"/>
          <w:color w:val="111111"/>
          <w:sz w:val="28"/>
          <w:sz w:val="28"/>
          <w:szCs w:val="28"/>
          <w:rtl w:val="true"/>
          <w:lang w:bidi="ar-SA"/>
        </w:rPr>
        <w:t>وثالثة بمطلق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المهذب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إطلاقهم الشمول للجميع</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الخوف للشك، بل للوهم إذا لم يصل في الوهن إلى درجة لا يعتني بمثلها العقلاء، والإجماعات المنقولة وسائر الأدلة التي مضت تشمل جميع المراتب، ولا تختص بالعلم أو الاطمئنان أو الظن</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572744_2142443653"/>
      <w:bookmarkStart w:id="228" w:name="_Toc88"/>
      <w:bookmarkEnd w:id="227"/>
      <w:r>
        <w:rPr>
          <w:rtl w:val="true"/>
        </w:rPr>
        <w:t>الفرع التاسع</w:t>
      </w:r>
      <w:r>
        <w:rPr>
          <w:rtl w:val="true"/>
        </w:rPr>
        <w:t xml:space="preserve">: </w:t>
      </w:r>
      <w:r>
        <w:rPr>
          <w:rtl w:val="true"/>
        </w:rPr>
        <w:t>في المراد بالنهي في قوله</w:t>
      </w:r>
      <w:r>
        <w:rPr>
          <w:rtl w:val="true"/>
        </w:rPr>
        <w:t xml:space="preserve">: </w:t>
      </w:r>
      <w:r>
        <w:rPr>
          <w:rtl w:val="true"/>
        </w:rPr>
        <w:t>إذا نهين لا ينتهين</w:t>
      </w:r>
      <w:bookmarkEnd w:id="228"/>
    </w:p>
    <w:p>
      <w:pPr>
        <w:pStyle w:val="BookText"/>
        <w:rPr/>
      </w:pPr>
      <w:r>
        <w:rPr>
          <w:rFonts w:ascii="Amiri" w:hAnsi="Amiri" w:eastAsia="Amiri" w:cs="Amiri"/>
          <w:color w:val="111111"/>
          <w:sz w:val="28"/>
          <w:sz w:val="28"/>
          <w:szCs w:val="28"/>
          <w:rtl w:val="true"/>
          <w:lang w:bidi="ar-SA"/>
        </w:rPr>
        <w:t>قال السيد الرجائي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يكون المراد النهي بمراتبه من القول والزجر عملاً، فلو فرض إمكان النهي في بعض بلاد المسلمين بغير القول لم يصدق أنهن لا ينتهين إن نهين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يجوز النظر؛ لعدم تحقق العلة التي يدور مدارها الحكم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المقام ظاهر في الزجر الإنشائي المتعلق بوجود الفعل، ولا يشمل الزجر التكويني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التعليل في موثقة عباد؛ إذ لو نهيت نساء أهل تهامة والأعراب وأهل السواد والعلوج بتمام مراتب النهي فلا شك أنّ معظمهن ينتهين بذلك، فلا بد أن يراد النهي اللفظي، فتأمّل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شك في المراد من النهي كان مقتضى القاعدة قصر جواز النظر على اللواتي لا ينتهين بكل مراتب النهي؛ لأنّ المخصص للأدلة الرادعة عن </w:t>
      </w:r>
      <w:bookmarkStart w:id="229" w:name="pg15684_175364"/>
    </w:p>
    <w:p>
      <w:pPr>
        <w:pStyle w:val="BookText"/>
        <w:rPr/>
      </w:pPr>
      <w:bookmarkEnd w:id="229"/>
      <w:r>
        <w:rPr>
          <w:rFonts w:ascii="Amiri" w:hAnsi="Amiri" w:eastAsia="Amiri" w:cs="Amiri"/>
          <w:color w:val="111111"/>
          <w:sz w:val="28"/>
          <w:sz w:val="28"/>
          <w:szCs w:val="28"/>
          <w:rtl w:val="true"/>
          <w:lang w:bidi="ar-SA"/>
        </w:rPr>
        <w:t>النظر منفصل، وحيث إنه مردد بين الأقل والأكثر يقتصر في الخروج عن أصالة العموم العقلائية، وفي التخصيص على القدر المتيقن، وأما غيره فيظل مشمولاً للعموم الرادع</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لو فرض عدم شمول التعليل كفت قاعدة الإلزام في الجواز؛ لما سبق في الفرع الثالث من أنّ العلة تبين حيثية، وتلك المطلقات تبين حيثية أخرى، فإذا انتفت الأولى كفى وجود الثانية، فتأمّل</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1572746_2142443653"/>
      <w:bookmarkStart w:id="231" w:name="_Toc89"/>
      <w:bookmarkEnd w:id="230"/>
      <w:r>
        <w:rPr>
          <w:rtl w:val="true"/>
        </w:rPr>
        <w:t>الفرع العاشر</w:t>
      </w:r>
      <w:r>
        <w:rPr>
          <w:rtl w:val="true"/>
        </w:rPr>
        <w:t xml:space="preserve">: </w:t>
      </w:r>
      <w:r>
        <w:rPr>
          <w:rtl w:val="true"/>
        </w:rPr>
        <w:t>في حكم النظر إلى الفرق المحكوم بكفرهم</w:t>
      </w:r>
      <w:bookmarkEnd w:id="231"/>
    </w:p>
    <w:p>
      <w:pPr>
        <w:pStyle w:val="BookText"/>
        <w:rPr/>
      </w:pP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يلحق بالكفار الفرق المحكوم بكفرهم من المسلمين؛ لأن الأدلة منصرفة عنهم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كالغلاة والخوارج والنواصب، فليس لهم حكم الكفار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يستدل على الجواز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في موثقة عباد</w:t>
      </w:r>
      <w:r>
        <w:rPr>
          <w:rStyle w:val="FootnoteAnchor"/>
          <w:rtl w:val="true"/>
        </w:rPr>
        <w:footnoteReference w:id="333"/>
      </w:r>
      <w:r>
        <w:rPr>
          <w:rFonts w:ascii="Amiri" w:hAnsi="Amiri" w:eastAsia="Amiri" w:cs="Amiri"/>
          <w:color w:val="111111"/>
          <w:sz w:val="28"/>
          <w:sz w:val="28"/>
          <w:szCs w:val="28"/>
          <w:rtl w:val="true"/>
          <w:lang w:bidi="ar-SA"/>
        </w:rPr>
        <w:t>، إن كانوا لا ينتهون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الإعراض بنحو ما تقدّم تقريره في المسألة الأولى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الإلزام، إن كان مذهبهم الجواز؛ لشمول القاعدة للمخالف والكافر على ما قرر في محله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232" w:name="pg15684_175365"/>
    </w:p>
    <w:p>
      <w:pPr>
        <w:pStyle w:val="Heading5"/>
        <w:numPr>
          <w:ilvl w:val="4"/>
          <w:numId w:val="1"/>
        </w:numPr>
        <w:rPr/>
      </w:pPr>
      <w:bookmarkStart w:id="233" w:name="__RefHeading___Toc11572748_2142443653"/>
      <w:bookmarkStart w:id="234" w:name="_Toc90"/>
      <w:bookmarkEnd w:id="232"/>
      <w:bookmarkEnd w:id="233"/>
      <w:r>
        <w:rPr>
          <w:rtl w:val="true"/>
        </w:rPr>
        <w:t>الفرع الحادي عشر</w:t>
      </w:r>
      <w:r>
        <w:rPr>
          <w:rtl w:val="true"/>
        </w:rPr>
        <w:t xml:space="preserve">: </w:t>
      </w:r>
      <w:r>
        <w:rPr>
          <w:rtl w:val="true"/>
        </w:rPr>
        <w:t>في حكم النظر إلى المرتد والمرتدة</w:t>
      </w:r>
      <w:bookmarkEnd w:id="234"/>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المرتد والمرتدة بالكفار؛ لانصراف الأدلة عنهم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لأنّ الحكم تابع للموضوع، وقد تحقق الموضوع، وهو العلوج ونحوه، مضافاً إلى عموم التعليل وقاعدة الإلزام</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1572750_2142443653"/>
      <w:bookmarkStart w:id="236" w:name="_Toc91"/>
      <w:bookmarkEnd w:id="235"/>
      <w:r>
        <w:rPr>
          <w:rtl w:val="true"/>
        </w:rPr>
        <w:t>الفرع الثاني عشر</w:t>
      </w:r>
      <w:r>
        <w:rPr>
          <w:rtl w:val="true"/>
        </w:rPr>
        <w:t xml:space="preserve">: </w:t>
      </w:r>
      <w:r>
        <w:rPr>
          <w:rtl w:val="true"/>
        </w:rPr>
        <w:t>في حكم نظر المسلمة للكافر</w:t>
      </w:r>
      <w:bookmarkEnd w:id="236"/>
    </w:p>
    <w:p>
      <w:pPr>
        <w:pStyle w:val="BookText"/>
        <w:rPr/>
      </w:pPr>
      <w:r>
        <w:rPr>
          <w:rFonts w:ascii="Amiri" w:hAnsi="Amiri" w:eastAsia="Amiri" w:cs="Amiri"/>
          <w:color w:val="111111"/>
          <w:sz w:val="28"/>
          <w:sz w:val="28"/>
          <w:szCs w:val="28"/>
          <w:rtl w:val="true"/>
          <w:lang w:bidi="ar-SA"/>
        </w:rPr>
        <w:t>هل يجوز للمسلمة النظر إلى الكافر بدون ريبة وتلذذ وخوف افتتان؟</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الظاهر ذلك للمناط</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ينبغي الإشكال في عدم جواز النظر لعوارتهم؛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إذ المناط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منصوص، وهو عدم الحرمة، كما في رواية الجعفريات المتقدمة، لكن السند مخدوش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يستدل على الجواز بالأولوية؛ وذلك لتشدد الشارع في نظر الرجل إلى المرأة أكثر من تشدده في العكس، على ما قرر في مسألة النظر إلى الوجه والكفين، فإذا جاز نظر الرجل إلى الكافرة جاز نظر المرأة إلى الكافر بطريق 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بعموم التعليل وقاعدة الإلزام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الكلام هنا فيما يحرم النظر إليه في حد ذاته من الرجل، وأما ما </w:t>
      </w:r>
      <w:bookmarkStart w:id="237" w:name="pg15684_175366"/>
    </w:p>
    <w:p>
      <w:pPr>
        <w:pStyle w:val="BookText"/>
        <w:rPr/>
      </w:pPr>
      <w:bookmarkEnd w:id="237"/>
      <w:r>
        <w:rPr>
          <w:rFonts w:ascii="Amiri" w:hAnsi="Amiri" w:eastAsia="Amiri" w:cs="Amiri"/>
          <w:color w:val="111111"/>
          <w:sz w:val="28"/>
          <w:sz w:val="28"/>
          <w:szCs w:val="28"/>
          <w:rtl w:val="true"/>
          <w:lang w:bidi="ar-SA"/>
        </w:rPr>
        <w:t>يحلّ فلا إشكال في المقام، كالشعر والذراع؛ لشمول دليل الجواز للمسلم والكافر على حد سواء، فلاحظ</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1572752_2142443653"/>
      <w:bookmarkStart w:id="239" w:name="_Toc92"/>
      <w:bookmarkEnd w:id="238"/>
      <w:r>
        <w:rPr>
          <w:rtl w:val="true"/>
        </w:rPr>
        <w:t>الفرع الثالث عشر</w:t>
      </w:r>
      <w:r>
        <w:rPr>
          <w:rtl w:val="true"/>
        </w:rPr>
        <w:t xml:space="preserve">: </w:t>
      </w:r>
      <w:r>
        <w:rPr>
          <w:rtl w:val="true"/>
        </w:rPr>
        <w:t>في حكم النظر إلى الصور التلفزيونية والفوتوغرافية ونحوها</w:t>
      </w:r>
      <w:bookmarkEnd w:id="239"/>
    </w:p>
    <w:p>
      <w:pPr>
        <w:pStyle w:val="Heading6"/>
        <w:numPr>
          <w:ilvl w:val="5"/>
          <w:numId w:val="1"/>
        </w:numPr>
        <w:rPr/>
      </w:pPr>
      <w:bookmarkStart w:id="240" w:name="__RefHeading___Toc11572754_2142443653"/>
      <w:bookmarkStart w:id="241" w:name="_Toc93"/>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هل يجوز النظر إلى الصور التلفزيونية والفوتوغرافية فيما يحرم فيه النظر إلى نفس المرأة؟</w:t>
      </w:r>
    </w:p>
    <w:p>
      <w:pPr>
        <w:pStyle w:val="BookText"/>
        <w:rPr/>
      </w:pP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1572756_2142443653"/>
      <w:bookmarkStart w:id="243" w:name="_Toc94"/>
      <w:bookmarkEnd w:id="242"/>
      <w:r>
        <w:rPr>
          <w:rtl w:val="true"/>
        </w:rPr>
        <w:t>القول الأول</w:t>
      </w:r>
      <w:r>
        <w:rPr>
          <w:rtl w:val="true"/>
        </w:rPr>
        <w:t xml:space="preserve">: </w:t>
      </w:r>
      <w:r>
        <w:rPr>
          <w:rtl w:val="true"/>
        </w:rPr>
        <w:t>حرمة النظر إلى الصور التلفزيونية والفوتوغرافية</w:t>
      </w:r>
      <w:bookmarkEnd w:id="243"/>
    </w:p>
    <w:p>
      <w:pPr>
        <w:pStyle w:val="Heading6"/>
        <w:numPr>
          <w:ilvl w:val="5"/>
          <w:numId w:val="1"/>
        </w:numPr>
        <w:rPr/>
      </w:pPr>
      <w:bookmarkStart w:id="244" w:name="__RefHeading___Toc11572758_2142443653"/>
      <w:bookmarkStart w:id="245" w:name="_Toc95"/>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قد يقال بالحرمة لأدلة</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1572760_2142443653"/>
      <w:bookmarkStart w:id="247" w:name="_Toc96"/>
      <w:bookmarkEnd w:id="246"/>
      <w:r>
        <w:rPr>
          <w:rtl w:val="true"/>
        </w:rPr>
        <w:t>الدليل الأول</w:t>
      </w:r>
      <w:r>
        <w:rPr>
          <w:rtl w:val="true"/>
        </w:rPr>
        <w:t xml:space="preserve">: </w:t>
      </w:r>
      <w:r>
        <w:rPr>
          <w:rtl w:val="true"/>
        </w:rPr>
        <w:t>آية الغض</w:t>
      </w:r>
      <w:bookmarkEnd w:id="247"/>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الغض</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وحيث لم يذكر المتعلق، ولم يخص النظر بنفس المرأة عمَّ الحكم، فإنّ حذف المتعلق يفيد العموم على ما قرر في محله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الروحاني في فقه المسائل المستحدثة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الغض ليس بمعنى ترك النظر، بل أصل الغض النقصان،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من صلاته ومن بصره أي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اغْضُضْ مِنْ صَوْتِكَ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من جهارته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الغض طريقي، بمعنى أنه طريق إلى ترك النظر، لا أنّ له موضوعية في حد ذاته بمقتضى الفهم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كون المراد ترك النظر، فحيث إنّ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كونها لابتداء الغاية، وكونها مزيدة، وكونها للتبعيض، فالأظهر هو الأخير، وعليه فلا بد من التقدير،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 من أبصارهم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التبعيض بلحاظ البصر لا معنى له، فلا بد وأن يكون باعتبار المبصرات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التبعيض بلحاظ نفس البصر لا بلحاظ المبصرات، باعتبار أنه لا يجب الغمض، بل يكفي الخفض، وحيث حذف المتعلق أفاد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الغض عبارة عن قطع النظر عن الاستمتاعات الجنسية، فلا ترتبط بالنظر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سبق بيانه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ليست في مقام البيان من هذه الجهة، فلا ينعقد لها إطلاق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لا تنشئ تحريماً عاماً، بل تنهى عن النظر إلى ما ثبتت حرمته، فلا يستفاد منها حرمة النظر إلى تلك الصور، ويقربه إلى الذهن قول الخطيب لا تستمعوا إلى المحرمات، فلا يدل على أن سماع </w:t>
      </w:r>
      <w:bookmarkStart w:id="248" w:name="pg15684_175368"/>
    </w:p>
    <w:p>
      <w:pPr>
        <w:pStyle w:val="BookText"/>
        <w:rPr/>
      </w:pPr>
      <w:bookmarkEnd w:id="248"/>
      <w:r>
        <w:rPr>
          <w:rFonts w:ascii="Amiri" w:hAnsi="Amiri" w:eastAsia="Amiri" w:cs="Amiri"/>
          <w:color w:val="111111"/>
          <w:sz w:val="28"/>
          <w:sz w:val="28"/>
          <w:szCs w:val="28"/>
          <w:rtl w:val="true"/>
          <w:lang w:bidi="ar-SA"/>
        </w:rPr>
        <w:t>صوت المرأة محرم؛ لأنه ليس في مقام البيان،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مقام إنشاء الحرمة، بل لبيان الحكم بعد الفراغ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يمكن استفادة أية حرمة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القدر المتيقن، حيث إنها لا تبين حكم النظر إلى الأشجار والطيور، وإنما حكم النظر إلى المرأة ولو بقرينة ما قبلها، والقدر المتيقن العورة أو نفس المرأة، وأمّا صورتها فلا</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1572762_2142443653"/>
      <w:bookmarkStart w:id="250" w:name="_Toc97"/>
      <w:bookmarkEnd w:id="249"/>
      <w:r>
        <w:rPr>
          <w:rtl w:val="true"/>
        </w:rPr>
        <w:t>الدليل الثاني</w:t>
      </w:r>
      <w:r>
        <w:rPr>
          <w:rtl w:val="true"/>
        </w:rPr>
        <w:t xml:space="preserve">: </w:t>
      </w:r>
      <w:r>
        <w:rPr>
          <w:rtl w:val="true"/>
        </w:rPr>
        <w:t>شمول الأدلة الناهية عن النظر للمرأة للنظر إلى صورتها</w:t>
      </w:r>
      <w:bookmarkEnd w:id="250"/>
    </w:p>
    <w:p>
      <w:pPr>
        <w:pStyle w:val="BookText"/>
        <w:rPr/>
      </w:pPr>
      <w:r>
        <w:rPr>
          <w:rFonts w:ascii="Amiri" w:hAnsi="Amiri" w:eastAsia="Amiri" w:cs="Amiri"/>
          <w:color w:val="111111"/>
          <w:sz w:val="28"/>
          <w:sz w:val="28"/>
          <w:szCs w:val="28"/>
          <w:rtl w:val="true"/>
          <w:lang w:bidi="ar-SA"/>
        </w:rPr>
        <w:t>لأنّ صورة المرأة هي المرأة بنفسها، نظير ما لو نهى المولى عبده عن النظر إلى وثيقة مكتوبة، فإنّ النظر إلى الصورة المأخوذة عنها نظر إلى الوثيقة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مسامحي، والعرف يراه مسامحة أيضاً كالعقل؛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صورتها لا إليها، ويصح أن يقال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رأيته بنفسه أم رأيت صورته؟</w:t>
      </w:r>
    </w:p>
    <w:p>
      <w:pPr>
        <w:pStyle w:val="BookText"/>
        <w:rPr/>
      </w:pPr>
      <w:r>
        <w:rPr>
          <w:rFonts w:ascii="Amiri" w:hAnsi="Amiri" w:eastAsia="Amiri" w:cs="Amiri"/>
          <w:color w:val="111111"/>
          <w:sz w:val="28"/>
          <w:sz w:val="28"/>
          <w:szCs w:val="28"/>
          <w:rtl w:val="true"/>
          <w:lang w:bidi="ar-SA"/>
        </w:rPr>
        <w:t>ولو فرض أنه إطلاق حقيقي فالدليل منصرف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علامة المجاز، فليس النظر إلى الصورة فرداً للنظر إلى المرأة عقلاً وعرفاً؛ ولذا يصح الاعتراض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قرينة أنك لم تره وإنما رأيت صورته</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1572764_2142443653"/>
      <w:bookmarkStart w:id="252" w:name="_Toc98"/>
      <w:bookmarkEnd w:id="251"/>
      <w:r>
        <w:rPr>
          <w:rtl w:val="true"/>
        </w:rPr>
        <w:t>الدليل الثالث</w:t>
      </w:r>
      <w:r>
        <w:rPr>
          <w:rtl w:val="true"/>
        </w:rPr>
        <w:t xml:space="preserve">: </w:t>
      </w:r>
      <w:r>
        <w:rPr>
          <w:rtl w:val="true"/>
        </w:rPr>
        <w:t>وحدة المناط</w:t>
      </w:r>
      <w:bookmarkEnd w:id="2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الفرق بين النظر إلى المرأة وصورتها، فالنظر إليهما 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قطع بالمناط، بل الفارق موجود، وهو أقربية إمكان الوقوع في الحرام في حالة النظر إلى نفس المرأة من حالة النظر إلى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الأمر بالعكس، فقد ينظر إلى صورتها في خلوته فيقع في الحرام، وقد ينظر إليها فلا يقع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الشرائط المتحدة، فالنظر في حد ذاته إلى ذات المرأة أقرب إلى الحرام،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نفس الملاك في الشرائط المتحدة، وإلا أمكن الاختلاف بين الشيئين إذا وضعا في شرائط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التفاوت بين النظر إلى نفس الشيء والنظر إلى صورته الأدلة الدالة على النظر في المرآة عند الاضطرار</w:t>
      </w:r>
      <w:r>
        <w:rPr>
          <w:rStyle w:val="FootnoteAnchor"/>
          <w:rtl w:val="true"/>
        </w:rPr>
        <w:footnoteReference w:id="343"/>
      </w:r>
      <w:r>
        <w:rPr>
          <w:rFonts w:ascii="Amiri" w:hAnsi="Amiri" w:eastAsia="Amiri" w:cs="Amiri"/>
          <w:color w:val="111111"/>
          <w:sz w:val="28"/>
          <w:sz w:val="28"/>
          <w:szCs w:val="28"/>
          <w:rtl w:val="true"/>
          <w:lang w:bidi="ar-SA"/>
        </w:rPr>
        <w:t>، فإنه لولا تفاوت الأمر بين النظر إلى نفس البدن والنظر إلى الصورة لم يكن وجه لتعين النظر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متحقق بين النظر إليها وإلى صورتها؛ ولذا لم يجز النظر إليها في حال الاضطرار، وإنما إلى المرآة، ولو لم يكن فرق كان مخيراً بين النظر إليها أو إلى صورتها في المرآة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يؤيد التفاوت فتوى جمع بعدم البأس بالنظر في غير المرآة للمحرم </w:t>
      </w:r>
    </w:p>
    <w:p>
      <w:pPr>
        <w:pStyle w:val="BookText"/>
        <w:rPr/>
      </w:pPr>
      <w:r>
        <w:rPr>
          <w:rFonts w:ascii="Amiri" w:hAnsi="Amiri" w:eastAsia="Amiri" w:cs="Amiri"/>
          <w:color w:val="111111"/>
          <w:sz w:val="28"/>
          <w:sz w:val="28"/>
          <w:szCs w:val="28"/>
          <w:rtl w:val="true"/>
          <w:lang w:bidi="ar-SA"/>
        </w:rPr>
        <w:t>مع حرمة نظره في المرآة، مع أنّ قرب أحدهما إلى الآخر أكثر من قرب الصورة لذي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بما يحكي الوجه مثلاً من ماء وغيره من الأجسام الصقيلة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الروحاني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ويختص هذا الحكم بالنظر في المرآة، وأما النظر في غيرها مما يحكي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المنع عنه والتعدي عن المرآة إليه بتنقيح المناط كما ترى، فالمتعين الرجوع إلى الأصل، وهو يقتضي الجواز</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في الفقه بين الماء الصافي والأجسام الصيقلية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النظر في المرآة، ويجوز في جسم صيقلي يعكس كالمرآة، مع أنه لا فرق بينهما عرفاً، والنتيجة واحدة أو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الفقهاء فيما لا يفرق فيه العرف، فكيف بالمقام؟ حيث يفرق العرف قطعاً بين النظر إلى ذات المرأة والنظر إلى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الحكم بالمناط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يقرر المناط بأنّ المفاسد المترتبة على النظر، والتي ذكرت في الروايات الشريفة تترتب أيضاً على النظر إلى الصورة، فالعلل مشتركة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النظرة سهم من سهام إبليس مسموم، وكم من نظرة أورثت حسرة طويلة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بعد النظرة تزرع في القلب الشهوة، وكفى بها لصاحبها فتنة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وحرم النظر إلى شعور النساء المحجوبات بالأزواج وإلى غيرهن من النساء؛ لما فيه من تهييج الرجال وما يدعو إليه التهييج من الفساد والدخول فيما لا يحل ولا يَجمُل</w:t>
      </w:r>
      <w:r>
        <w:rPr>
          <w:rStyle w:val="FootnoteAnchor"/>
          <w:rtl w:val="true"/>
        </w:rPr>
        <w:footnoteReference w:id="349"/>
      </w:r>
      <w:r>
        <w:rPr>
          <w:rFonts w:ascii="Amiri" w:hAnsi="Amiri" w:eastAsia="Amiri" w:cs="Amiri"/>
          <w:color w:val="111111"/>
          <w:sz w:val="28"/>
          <w:sz w:val="28"/>
          <w:szCs w:val="28"/>
          <w:rtl w:val="true"/>
          <w:lang w:bidi="ar-SA"/>
        </w:rPr>
        <w:t>، وكذلك ما أشبه الشعور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نظرة</w:t>
      </w:r>
      <w:r>
        <w:rPr>
          <w:rStyle w:val="FootnoteAnchor"/>
          <w:rtl w:val="true"/>
        </w:rPr>
        <w:footnoteReference w:id="351"/>
      </w:r>
      <w:r>
        <w:rPr>
          <w:rFonts w:ascii="Amiri" w:hAnsi="Amiri" w:eastAsia="Amiri" w:cs="Amiri"/>
          <w:color w:val="111111"/>
          <w:sz w:val="28"/>
          <w:sz w:val="28"/>
          <w:szCs w:val="28"/>
          <w:rtl w:val="true"/>
          <w:lang w:bidi="ar-SA"/>
        </w:rPr>
        <w:t>لك والثانية عليك لا لك</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أخرى يمكن مراجعتها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المذكورات من التهييج والدخول فيما لا يحل ونحوهما حِكَم لا علل، كما لعله الشأن في معظم العلل المذكورة في الروايات الشريفة، وإلا لدار الحكم مدارها وجوداً وعدماً، وجاز النظر إلى نفس المرأة إذا لم </w:t>
      </w:r>
      <w:bookmarkStart w:id="253" w:name="pg15684_175372"/>
    </w:p>
    <w:p>
      <w:pPr>
        <w:pStyle w:val="BookText"/>
        <w:rPr/>
      </w:pPr>
      <w:bookmarkEnd w:id="253"/>
      <w:r>
        <w:rPr>
          <w:rFonts w:ascii="Amiri" w:hAnsi="Amiri" w:eastAsia="Amiri" w:cs="Amiri"/>
          <w:color w:val="111111"/>
          <w:sz w:val="28"/>
          <w:sz w:val="28"/>
          <w:szCs w:val="28"/>
          <w:rtl w:val="true"/>
          <w:lang w:bidi="ar-SA"/>
        </w:rPr>
        <w:t>تترتب عليه تلك المفاسد، ومع كونها حكماً لا يثبت الحكم ولو مع ثبوتها في النظر إلى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التعدية من المرأة إلى الصورة متوقف على كونها عللاً 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هذا الجواب بأنّ التعليل المذكور بمعنى المعرضية لا الوقوع بالفعل، والمعرضية حاصلة بالنظر إلى الصورة كالنظر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العلة التامة المعرضية لزم جواز النظر فيما لا معرضية فيه، كالمرأة القبيحة أو المعوقة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المعرضية النوعية لا الصنفية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مآل ذلك كونها حكمة لا علة،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المعرضية هي العلة التامة للحكم، إلا أنه قد سبق في الشرط الثاني من شرائط جواز النظر أنّ المعرضية للوقوع في الحرام سبب للحرمة في حد ذاتها، 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بين النظر إلى المرأة وصورتها، كما هو مقتضى بعض الأدلة المتقدمة، فالكلام متمحض فيما إذا لم تكن في النظر للصورة معرضية للوقوع في الحرام مطلقاً، فتأمل</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11572766_2142443653"/>
      <w:bookmarkStart w:id="255" w:name="_Toc99"/>
      <w:bookmarkEnd w:id="254"/>
      <w:r>
        <w:rPr>
          <w:rtl w:val="true"/>
        </w:rPr>
        <w:t>الدليل الرابع</w:t>
      </w:r>
      <w:r>
        <w:rPr>
          <w:rtl w:val="true"/>
        </w:rPr>
        <w:t xml:space="preserve">: </w:t>
      </w:r>
      <w:r>
        <w:rPr>
          <w:rtl w:val="true"/>
        </w:rPr>
        <w:t>عدم الفرق بين النظر إلى المرأة وإلى صورتها</w:t>
      </w:r>
      <w:bookmarkEnd w:id="255"/>
    </w:p>
    <w:p>
      <w:pPr>
        <w:pStyle w:val="BookText"/>
        <w:rPr/>
      </w:pPr>
      <w:r>
        <w:rPr>
          <w:rFonts w:ascii="Amiri" w:hAnsi="Amiri" w:eastAsia="Amiri" w:cs="Amiri"/>
          <w:color w:val="111111"/>
          <w:sz w:val="28"/>
          <w:sz w:val="28"/>
          <w:szCs w:val="28"/>
          <w:rtl w:val="true"/>
          <w:lang w:bidi="ar-SA"/>
        </w:rPr>
        <w:t>الارتكاز المتشرعي على عدم الفرق بين النظر إلى المرأة والنظر إلى صورتها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في ثبوت ارتكاز الحرمة في غير ما يأتي من المستثنيات</w:t>
      </w:r>
      <w:r>
        <w:rPr>
          <w:rStyle w:val="FootnoteAnchor"/>
          <w:rtl w:val="true"/>
        </w:rPr>
        <w:footnoteReference w:id="353"/>
      </w:r>
      <w:bookmarkStart w:id="256" w:name="pg15684_175373"/>
    </w:p>
    <w:p>
      <w:pPr>
        <w:pStyle w:val="BookText"/>
        <w:rPr/>
      </w:pPr>
      <w:bookmarkEnd w:id="256"/>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Heading6"/>
        <w:numPr>
          <w:ilvl w:val="5"/>
          <w:numId w:val="1"/>
        </w:numPr>
        <w:rPr/>
      </w:pPr>
      <w:bookmarkStart w:id="257" w:name="__RefHeading___Toc11572768_2142443653"/>
      <w:bookmarkStart w:id="258" w:name="_Toc100"/>
      <w:bookmarkEnd w:id="257"/>
      <w:r>
        <w:rPr>
          <w:rtl w:val="true"/>
        </w:rPr>
        <w:t>القول الثاني</w:t>
      </w:r>
      <w:r>
        <w:rPr>
          <w:rtl w:val="true"/>
        </w:rPr>
        <w:t xml:space="preserve">: </w:t>
      </w:r>
      <w:r>
        <w:rPr>
          <w:rtl w:val="true"/>
        </w:rPr>
        <w:t>التفصيل بين المرأة المعروفة وغيرها</w:t>
      </w:r>
      <w:bookmarkEnd w:id="258"/>
    </w:p>
    <w:p>
      <w:pPr>
        <w:pStyle w:val="BookText"/>
        <w:rPr/>
      </w:pPr>
      <w:r>
        <w:rPr>
          <w:rFonts w:ascii="Amiri" w:hAnsi="Amiri" w:eastAsia="Amiri" w:cs="Amiri"/>
          <w:color w:val="111111"/>
          <w:sz w:val="28"/>
          <w:sz w:val="28"/>
          <w:szCs w:val="28"/>
          <w:rtl w:val="true"/>
          <w:lang w:bidi="ar-SA"/>
        </w:rPr>
        <w:t>وقد يقال بالتفصيل بين المرأة المعروفة عند الناظر وغيرها، فيجوز النظر في الثاني دون الأول،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الاستدلال بذلك باعتبار التعليل، والعلة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وللآية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تقريب القرآن،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الآية الكريمة وجوب إدناء الجلباب؛ لأنّ الإدناء أقرب إلى أن يعرفن بأنهن عفائف نجيبات فلا يؤذين، فإنّ عادة الفجار أن يتعرضوا للمرأة المبتذلة، أما إذا كانت متسترة عرفت بالستر والنجابة ولم يتعرض لها الفساق</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قربّت الجلباب بحيث ستر الرقبة والصدر عرفت المرأة أنها محتشمة،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بالتستر والنجابة والرزانة فلا يتعرضون لها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كن يخرجن ليلاً لقضاء الحاجة من غير امتياز بين الأمة والحرة، وكان في المدينة فساق يتعرضون للإماء، وربما يتعرضون للحرائر، فإذا قيل لهم يقولون حسبناها من الإماء، فأمرت الحرائر أن يخالفن الإماء بالزي ليحتشمن فلا يطمع فيهن،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أَن يُعْرَفْنَ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أقرب أن يعرفن بأنهن حرائر فلا يؤذين من جهة أهل الريبة بالتعرض لهن، بناء على أنهن إماء</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والتفسير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المرأة المعروفة وغيرها؟</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الأولى قابلة للإيذاء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لا يرتبط بالنظر، بل الحرمة لأجل الأذية لا النظر، ثم ما ارتباطه بالنظر إلى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التستر فهنالك ملازمة عرفية بين وجوب التستر وحرمة النظر، ومفاد الآية وجوب التحجب، فيتعدى بالملازمة العرفية من وجوب التحجب إلى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العلة موجودة في صورة المرأة المعروفة كنفس المرأة، فنتعدى من نفس المرأة إلى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هذه حِكَماً لا عللاً، وسوق الكلام فيه كسوقه في سابقه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لا نضايق عن القول بحرمة النظر، إذا كانت هنالك معرضية للإيذاء لما سبق، وإن لم تكن معرضية فلا إشكال في النظر، ولا يثبت التحريم المطلق، فتأمل</w:t>
      </w:r>
      <w:r>
        <w:rPr>
          <w:rFonts w:eastAsia="Amiri" w:cs="Amiri" w:ascii="Amiri" w:hAnsi="Amiri"/>
          <w:color w:val="111111"/>
          <w:sz w:val="28"/>
          <w:szCs w:val="28"/>
          <w:rtl w:val="true"/>
          <w:lang w:bidi="ar-SA"/>
        </w:rPr>
        <w:t xml:space="preserve">. </w:t>
      </w:r>
      <w:bookmarkStart w:id="259" w:name="pg15684_175375"/>
    </w:p>
    <w:p>
      <w:pPr>
        <w:pStyle w:val="Heading6"/>
        <w:numPr>
          <w:ilvl w:val="5"/>
          <w:numId w:val="1"/>
        </w:numPr>
        <w:rPr/>
      </w:pPr>
      <w:bookmarkStart w:id="260" w:name="__RefHeading___Toc11572770_2142443653"/>
      <w:bookmarkStart w:id="261" w:name="_Toc101"/>
      <w:bookmarkEnd w:id="259"/>
      <w:bookmarkEnd w:id="260"/>
      <w:r>
        <w:rPr>
          <w:rtl w:val="true"/>
        </w:rPr>
        <w:t>القول الثالث</w:t>
      </w:r>
      <w:r>
        <w:rPr>
          <w:rtl w:val="true"/>
        </w:rPr>
        <w:t xml:space="preserve">: </w:t>
      </w:r>
      <w:r>
        <w:rPr>
          <w:rtl w:val="true"/>
        </w:rPr>
        <w:t>التفصيل بين البث المباشر وغيره</w:t>
      </w:r>
      <w:bookmarkEnd w:id="261"/>
    </w:p>
    <w:p>
      <w:pPr>
        <w:pStyle w:val="BookText"/>
        <w:rPr/>
      </w:pPr>
      <w:r>
        <w:rPr>
          <w:rFonts w:ascii="Amiri" w:hAnsi="Amiri" w:eastAsia="Amiri" w:cs="Amiri"/>
          <w:color w:val="111111"/>
          <w:sz w:val="28"/>
          <w:sz w:val="28"/>
          <w:szCs w:val="28"/>
          <w:rtl w:val="true"/>
          <w:lang w:bidi="ar-SA"/>
        </w:rPr>
        <w:t>هذا وقد يقال بتفصيل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بين الصورة المرئية عبر البث المباشر وغير المباشر، بعدم الجواز في الأول والجواز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وجهه ما سيأتي إن شاء اللّه تعالى في مسألة النظر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وزان النظر عبر البث المباشر وزان المرآة، فإنه نظر إلى الصورة لا إلى ذات المرأة، بخلاف النظر إلى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كونه مثله دقة لم يجدِ في الحكم بالتحريم؛ لأنه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صورتها لا إليها، فلا تشمله الأدلة الدالة على حرمة النظر إلى المرأة</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1572772_2142443653"/>
      <w:bookmarkStart w:id="263" w:name="_Toc102"/>
      <w:bookmarkEnd w:id="262"/>
      <w:r>
        <w:rPr>
          <w:rtl w:val="true"/>
        </w:rPr>
        <w:t>القول الرابع</w:t>
      </w:r>
      <w:r>
        <w:rPr>
          <w:rtl w:val="true"/>
        </w:rPr>
        <w:t xml:space="preserve">: </w:t>
      </w:r>
      <w:r>
        <w:rPr>
          <w:rtl w:val="true"/>
        </w:rPr>
        <w:t>جواز النظر</w:t>
      </w:r>
      <w:bookmarkEnd w:id="263"/>
    </w:p>
    <w:p>
      <w:pPr>
        <w:pStyle w:val="Heading6"/>
        <w:numPr>
          <w:ilvl w:val="5"/>
          <w:numId w:val="1"/>
        </w:numPr>
        <w:rPr/>
      </w:pPr>
      <w:bookmarkStart w:id="264" w:name="__RefHeading___Toc11572774_2142443653"/>
      <w:bookmarkStart w:id="265" w:name="_Toc103"/>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 ما ذكر من الأدلة للأقوال الثلاثة يتعين المصير إلى القول الرابع وهو الجواز؛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يُتمسك للقول بالجواز بدليل اجتهادي، وهو أخبار النظر في المرآة إلى عورة الخنثى، ذكره في شرح العروة</w:t>
      </w:r>
      <w:r>
        <w:rPr>
          <w:rStyle w:val="FootnoteAnchor"/>
          <w:rtl w:val="true"/>
        </w:rPr>
        <w:footnoteReference w:id="357"/>
      </w:r>
      <w:r>
        <w:rPr>
          <w:rFonts w:ascii="Amiri" w:hAnsi="Amiri" w:eastAsia="Amiri" w:cs="Amiri"/>
          <w:color w:val="111111"/>
          <w:sz w:val="28"/>
          <w:sz w:val="28"/>
          <w:szCs w:val="28"/>
          <w:rtl w:val="true"/>
          <w:lang w:bidi="ar-SA"/>
        </w:rPr>
        <w:t>، وإن أشكل عليه بضعف الخبر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النظر في ذلك المقام ضرورة عرفية، باعتبار توقف معرفة الحق عليه، فلا يتعدى الحكم إلى ما لا ضرورة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الحكم بالنظر عبر المرآة من باب الإرشاد إلى </w:t>
      </w:r>
    </w:p>
    <w:p>
      <w:pPr>
        <w:pStyle w:val="BookText"/>
        <w:rPr/>
      </w:pPr>
      <w:r>
        <w:rPr>
          <w:rFonts w:ascii="Amiri" w:hAnsi="Amiri" w:eastAsia="Amiri" w:cs="Amiri"/>
          <w:color w:val="111111"/>
          <w:sz w:val="28"/>
          <w:sz w:val="28"/>
          <w:szCs w:val="28"/>
          <w:rtl w:val="true"/>
          <w:lang w:bidi="ar-SA"/>
        </w:rPr>
        <w:t>الطريق المحلل كان ذلك دليلاً على المدعى، وإن كان من باب الإرشاد إلى أخف المحذورين في صورة الاضطرار لم يصح الاستدلال به في المقام، وحيث إنه لم يبين الوجه في الأمر بالنظر عبر المرآة كان مجملاً، فلاً تنهض الرواية المزبورة لا للقول بالجواز ولا للقول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الإشكال المذكور إنما يتم في رواية الشيخ المفيد، وأما في رواية يحيى بن أكثم فالظاهر أنه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الشيخ المفيد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ادعى الشخص ما ادعاه من الفرجين،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عدلين من المسلمين أن يحضرا بيتاً خالياً، وأحضر الشخص معهما، وأمر بنصب مرآتين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مقابلة لفرج الشخص، والأخرى مقابلة للمرآة الأخرى، وأمر الشخص بالكشف عن عورته في مقابلة المرآة، حيث لا يراه العدلان، وأمر العدلين بالنظر في المرآة المقابلة لها، فلما تحقق العدلان صحة ما ادعاه الشخص من الفرجين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يحيى بن أكثم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يحيى بن أكثم سأله في المسائل التي 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الخنثى 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تورث الخنثى من المبال، من ينظر إليه إذا بال وشهادة الجارّ إلى نفسه لا تقبل، مع أنه عسى أن يكون امرأة وقد نظر إليها الرجال، أو يكون رجلاً وقد نظر إليه النساء وهذا مما لا يحل؟ فأجاب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يورث من المبال فهو كما قال، وينظر قوم عدول يأخذ كل </w:t>
      </w:r>
    </w:p>
    <w:p>
      <w:pPr>
        <w:pStyle w:val="BookText"/>
        <w:rPr/>
      </w:pPr>
      <w:r>
        <w:rPr>
          <w:rFonts w:ascii="Amiri" w:hAnsi="Amiri" w:eastAsia="Amiri" w:cs="Amiri"/>
          <w:color w:val="111111"/>
          <w:sz w:val="28"/>
          <w:sz w:val="28"/>
          <w:szCs w:val="28"/>
          <w:rtl w:val="true"/>
          <w:lang w:bidi="ar-SA"/>
        </w:rPr>
        <w:t>واحد منهم مرآة ويقوم الخنثى خلفهم عريانة، فينظرون في المرايا فيرون شبحاً فيحكمون عليه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فتدل أو تشعر بجواز النظر في المرآة، وإلا لم يجب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إشكال يحيى بن أكثم؛ لأنه يشكل كيف جوز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وهو محرّم؟</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بالنظر إلى العورة مباشرة، وإنما أمر بالنظر في المرايا، ولو كان ذلك حراماً لأجابه بكونه ضرورة، والضرورات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بنظر محلل لا محرم، فاندفع إشكال يحيى بن أكثم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سند الروايتين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المفيد فهي مرسلة،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بعض أهل النقل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رواية يحيى، فسندها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محمّد، عن محمد بن سعيد الآذربايجاني، وعن محمد بن يحيى، عن عبد اللّه بن جعفر، عن الحسن بن علي بن كيسان جميعاً عن موسى بن محمد أخي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الطريقين إشكال، فإنّ محمد بن سعيد الآذربايجاني مجهول، وكذلك الحسن بن علي بن كيسان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قد يكون إقناعياً، فيحيى بن أكثم كان يتصور حرمة النظر إلى الموضع حتى في مثل هذه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الجواب إقناعياً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إما ضرورة أو إرشاد إلى طريق محلل، وحمل الرواية على مورد الضرورة خلاف الأصل، فإنّ الضرورة من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الرواية من موارد الضرورة، حيث يراد معرفة الحق، فإنّ المسألة مشكلة، ولا يعلم متعلق الحق المالي، فإنّ الخنثى إن كانت أنثى ورثت أقل مما لو كانت ذكراً، ففي هذه الحالة يجيز المولى النظر، ولا يعلم وجه الجواز، فلا يمكن القول بجواز النظر إلى عورة الخنثى في الحالة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المذكور قاعدة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شرعية حتى يتمسك 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مثل المقام غير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وللتقريب إلى الذهن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الفقيه عن جواز نظر الطبيب إلى المرأة، فأجاب بالنظر في المرآة لم يدل ذلك على جواز النظر في المرآة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بأن المورد من موارد الضرورة؛ لإمكان جريان قاعدة العدل والإنصاف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العدل قاعدة عقلائية وشرعية لو قبلناها، وهي مؤخرة عن بقية القواعد، فالقاعدة تجري إذا لم يكن طريق آخر، والشارع جعل </w:t>
      </w:r>
      <w:bookmarkStart w:id="266" w:name="pg15684_175379"/>
    </w:p>
    <w:p>
      <w:pPr>
        <w:pStyle w:val="BookText"/>
        <w:rPr/>
      </w:pPr>
      <w:bookmarkEnd w:id="266"/>
      <w:r>
        <w:rPr>
          <w:rFonts w:ascii="Amiri" w:hAnsi="Amiri" w:eastAsia="Amiri" w:cs="Amiri"/>
          <w:color w:val="111111"/>
          <w:sz w:val="28"/>
          <w:sz w:val="28"/>
          <w:szCs w:val="28"/>
          <w:rtl w:val="true"/>
          <w:lang w:bidi="ar-SA"/>
        </w:rPr>
        <w:t>طريقاً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في المقام الجهل بالموضوع لا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الضرورة، حيث لا يعلم كيفية إيصال الحق إلى صاحبه، وقد يكون هنالك تنازع ومرافعة</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1572776_2142443653"/>
      <w:bookmarkStart w:id="268" w:name="_Toc104"/>
      <w:bookmarkEnd w:id="267"/>
      <w:r>
        <w:rPr>
          <w:rtl w:val="true"/>
        </w:rPr>
        <w:t>صور استثناءات الحكم بجواز النظر</w:t>
      </w:r>
      <w:bookmarkEnd w:id="268"/>
    </w:p>
    <w:p>
      <w:pPr>
        <w:pStyle w:val="BookText"/>
        <w:rPr/>
      </w:pPr>
      <w:r>
        <w:rPr>
          <w:rFonts w:ascii="Amiri" w:hAnsi="Amiri" w:eastAsia="Amiri" w:cs="Amiri"/>
          <w:color w:val="111111"/>
          <w:sz w:val="28"/>
          <w:sz w:val="28"/>
          <w:szCs w:val="28"/>
          <w:rtl w:val="true"/>
          <w:lang w:bidi="ar-SA"/>
        </w:rPr>
        <w:t>ثم إنه تستثنى من الحكم بجواز النظر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 ونحوها</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حرمة النظر إلى ما يحرم النظر إليه في المرآة والماء الصافي، مع التلذذ</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ووافقه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العراقي والمحقق النائيني والمحقق الحائري والسيد البروجردي والسيد أبو الحسن الإصفهاني والسيد الخونساري والسيد عبد الهادي الشيرازي والسيد الحكيم والسيد الوالد والسيد الخوئي والسيد القمي والسيد الگلپايگاني رحمهم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الحرمة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المرآة نظر إلى المرأة نفسها، منتهى الأمر أنه نظر بواسطة الشعاع المنكسر لا المستقيم، فالشعاع تارة مستقيم من البدن إلى العين، وتارة منكسر، فتشمله الأدلة الدالة على حرمة النظر إلى المرأة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في ذلك بأنّ النظر غير واقع على شخص الأجنبية، بل على صورتها المنطبعة في المرآة أو غيرها من الأجسام الشفافة، ولا دليل على </w:t>
      </w:r>
    </w:p>
    <w:p>
      <w:pPr>
        <w:pStyle w:val="BookText"/>
        <w:rPr/>
      </w:pPr>
      <w:r>
        <w:rPr>
          <w:rFonts w:ascii="Amiri" w:hAnsi="Amiri" w:eastAsia="Amiri" w:cs="Amiri"/>
          <w:color w:val="111111"/>
          <w:sz w:val="28"/>
          <w:sz w:val="28"/>
          <w:szCs w:val="28"/>
          <w:rtl w:val="true"/>
          <w:lang w:bidi="ar-SA"/>
        </w:rPr>
        <w:t>حرمة مثل هذا النظر، بعد أن كانت الرؤية فيها على سبيل الانطباع لا الانكسار</w:t>
      </w:r>
      <w:r>
        <w:rPr>
          <w:rStyle w:val="FootnoteAnchor"/>
          <w:rtl w:val="true"/>
        </w:rPr>
        <w:footnoteReference w:id="364"/>
      </w:r>
      <w:r>
        <w:rPr>
          <w:rFonts w:ascii="Amiri" w:hAnsi="Amiri" w:eastAsia="Amiri" w:cs="Amiri"/>
          <w:color w:val="111111"/>
          <w:sz w:val="28"/>
          <w:sz w:val="28"/>
          <w:szCs w:val="28"/>
          <w:rtl w:val="true"/>
          <w:lang w:bidi="ar-SA"/>
        </w:rPr>
        <w:t>، لا أقل من الاحتمال الموجب لجريان أصالة البراءة في المقام، وقد نسب بعض ما ذكر إلى المحقق النراقي في المستند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بالمناقشة في المبنى؛ إذ النور ينكسر في المرآة، فيقع النظر على شخص الأجنبية، لا أن صورتها تنطبع فيها فيقع النظر على الصورة، ولذلك شواهد ومؤيدات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المرآة لا تكفي إلاّ لصورة شخص واحد فيقف أمامها ثلاثة أشخاص فيرى من أمامها نفسه، ومن عن يمنيها يرى صورة من في الجانب الأيسر، ومن على يسارها يرى صورة من في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هذا على أنه ليس انطباعاً، حيث إنّ المرآة غير قابلة لثلاث صور منطبعة، ولو فرض انطباع الصور الثلاث لزم مسح إحداها الأخرى أو اختلاطها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w:t>
      </w:r>
      <w:r>
        <w:rPr>
          <w:rStyle w:val="FootnoteAnchor"/>
          <w:rtl w:val="true"/>
        </w:rPr>
        <w:footnoteReference w:id="366"/>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الانطباع والانكسار من الأبحاث الدقيقة البعيدة عن أذهان العرف، وهم لا يرتابون أنّ الناظر إلى المرأة في المرآة الحاكية لها ناظر إليها حقيقة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يرتاب العرف في أنّ الناظر إلى وجهه عبر المرآة ناظر إلى </w:t>
      </w:r>
    </w:p>
    <w:p>
      <w:pPr>
        <w:pStyle w:val="BookText"/>
        <w:rPr/>
      </w:pPr>
      <w:r>
        <w:rPr>
          <w:rFonts w:ascii="Amiri" w:hAnsi="Amiri" w:eastAsia="Amiri" w:cs="Amiri"/>
          <w:color w:val="111111"/>
          <w:sz w:val="28"/>
          <w:sz w:val="28"/>
          <w:szCs w:val="28"/>
          <w:rtl w:val="true"/>
          <w:lang w:bidi="ar-SA"/>
        </w:rPr>
        <w:t>وجهه حقيقة، لا إلى الصورة المنطبعة عن وجهه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الناهية عن النظر تشمل النظر إلى المرأة عبر المرآة عرفاً، فإنه نظر إليها عرفاً، وإن كان نظراً إلى صورتها المنطبعة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انصراف الأدلة عن النظر في المرآة لانصراف النظر إلى الشائع المتعارف وهي الرؤية بلا واسطة شيء، كما عن المستند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بدوي، وغلبة الوجود لا تقدح في إطلاق المطلقات، إلا إذا استلزمت تحول وجهة اللفظ عن الطبيعة إلى حصة خاصة منها، وليس ذلك حاصلاً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الانصراف ممنوع</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الانصرافات البدوية التي لا يعتنى بها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سلم فالظاهر من الأدلة عدم الخصوصية لغير الفرض، وأن موضوع الحكم هو الإحساس الخاص، وإلا جاز النظر بالآلة النظارة، ولا يمكن الالتزام به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بين أن ينظر إليها مباشرة أو ينظر إليها في المرآة، فإنّ الإحساس </w:t>
      </w:r>
    </w:p>
    <w:p>
      <w:pPr>
        <w:pStyle w:val="BookText"/>
        <w:rPr/>
      </w:pPr>
      <w:r>
        <w:rPr>
          <w:rFonts w:ascii="Amiri" w:hAnsi="Amiri" w:eastAsia="Amiri" w:cs="Amiri"/>
          <w:color w:val="111111"/>
          <w:sz w:val="28"/>
          <w:sz w:val="28"/>
          <w:szCs w:val="28"/>
          <w:rtl w:val="true"/>
          <w:lang w:bidi="ar-SA"/>
        </w:rPr>
        <w:t>والانطباع الخاص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عن الإحساس الخاص</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كمنع الدولة النظر إلى مواقع الجيش، فلا فرق فيه بين النظر المباشر أو عبر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يقرر المناط بأنّ المفاسد المترتبة على النظر بلا واسطة، والتي ذكرت في الآية الشريفة</w:t>
      </w:r>
      <w:r>
        <w:rPr>
          <w:rStyle w:val="FootnoteAnchor"/>
          <w:rtl w:val="true"/>
        </w:rPr>
        <w:footnoteReference w:id="372"/>
      </w:r>
      <w:r>
        <w:rPr>
          <w:rFonts w:ascii="Amiri" w:hAnsi="Amiri" w:eastAsia="Amiri" w:cs="Amiri"/>
          <w:color w:val="111111"/>
          <w:sz w:val="28"/>
          <w:sz w:val="28"/>
          <w:szCs w:val="28"/>
          <w:rtl w:val="true"/>
          <w:lang w:bidi="ar-SA"/>
        </w:rPr>
        <w:t>تترتب أيضاً على النظر بواسطة المرآة، وسوق الكلام في ذلك يعلم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الكلام في دلالتها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المتشرعي على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أشكل في المستمسك في النظر في الماء الصافي من جهة عدم تمامية حكايته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النظر لا تمام الحكاية في النظر؛ وإلا لأشكل الأمر في إطلاقه حرمة النظر في المرآة، مع أنها قد لا تكون تامة الحكاية</w:t>
      </w:r>
      <w:r>
        <w:rPr>
          <w:rStyle w:val="FootnoteAnchor"/>
          <w:rtl w:val="true"/>
        </w:rPr>
        <w:footnoteReference w:id="3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 يريد الانصراف،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من وراء الزجاجة والنظارة والمجهر المتعارف؛ لأنه نظر عرفاً، بل دقة، فتشمله الأدلة الدالة على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الاستثناء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للصور الخلاعية</w:t>
      </w:r>
    </w:p>
    <w:p>
      <w:pPr>
        <w:pStyle w:val="BookText"/>
        <w:rPr/>
      </w:pPr>
      <w:r>
        <w:rPr>
          <w:rFonts w:ascii="Amiri" w:hAnsi="Amiri" w:eastAsia="Amiri" w:cs="Amiri"/>
          <w:color w:val="111111"/>
          <w:sz w:val="28"/>
          <w:sz w:val="28"/>
          <w:szCs w:val="28"/>
          <w:rtl w:val="true"/>
          <w:lang w:bidi="ar-SA"/>
        </w:rPr>
        <w:t>فإنه منكر في أذهان المتشرعة؛ وذلك بمقدار ما يساعده الإنكار في أذهانهم، وإلا فلا وجود لهذه الكلمة في الروايات حتى ندور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الصورة عند مقارنته للمحرمات</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الصورة عند مقارنته للمحرمات، كالالتذاذ الشهوي وخوف الوقوع في الفتنة ونحوهما؛ وذلك لما سبق من الأدلة التي يعم بعضها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النظر إلى الصور والأفلام مدخل خطير من مداخل الشيطان،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فينبغي الاحتياط التام في المقام، واللّه تعالى هو العالم والعاصم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استفتاءات تتعلق بالمقام</w:t>
      </w:r>
      <w:r>
        <w:rPr>
          <w:rStyle w:val="FootnoteAnchor"/>
          <w:rtl w:val="true"/>
        </w:rPr>
        <w:footnoteReference w:id="376"/>
      </w:r>
      <w:r>
        <w:rPr>
          <w:rFonts w:ascii="Amiri" w:hAnsi="Amiri" w:eastAsia="Amiri" w:cs="Amiri"/>
          <w:color w:val="111111"/>
          <w:sz w:val="28"/>
          <w:sz w:val="28"/>
          <w:szCs w:val="28"/>
          <w:rtl w:val="true"/>
          <w:lang w:bidi="ar-SA"/>
        </w:rPr>
        <w:t>ثم لا بأس بذكر بعض الفتاوى المتعلقة بالمقام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كتاب الاستفتاءات 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النظر إلى شاشة التلفزيون في حال مجيء صور نساء مسلمات لكن لا يرتدن الحجاب؟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نظر المرأة إلى صورة الرجل في التلفاز إذا كان أغلب بدنه مكشوفاً، كما لو كان في حلبة المصارعة أو ملعب الكرة أو غير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بامرأة فهل يجوز أن ينظر للصور التي التقطتها لنفسها قبل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كان لا ينبغي ترك الاحتياط</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الصور حال زوجيتها لزوج آخر، وهي الآن زوجته فهل يجوز له أن ينظر للصور التي التقطتها وهي في حبالة الزوج الأول؟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فهل يجوز أن ينظر لصورها حال كونها زوجته؟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الوالد في المسائل المتجددة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التصاوير الجنسية الموجبة للفتنة وإثارة الحرام لا تجوز، وإن لم تكن تصاوير واقعية، بل كانت خيالية، أما الواقعية منها فلها جهة حرمة ثانية أيضاً؛ لحرمة النظر إلى النساء وعورات الرجال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في كلا الأمرين واضح، من غير فرق بين التصوير الفتوغرافي أو التلفزيون أو الفيديو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صراط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يجوز النظر مطلقاً إلى النساء العاريات والرجال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أي 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التلفزيون والمجلات بدون ريبة وتلذذ؟</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النظر إلى الخلاعيات منها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منية السائل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إرشاد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للمرأة أن تشاهد مسابقات السباحة للرجال على شاشة التلفزيون؟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تعمد النظر</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صراط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إلى أفلام يعرض فيها كيفية الاتصال الجنسي وكيفية تكون الجنين وكيفية الولادة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الخلاعيات التي لا يجوز النظر إليها إذا كان مثيراً للشهوة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تغير رأيه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النظر إلى أفلام التلفزيون الغير</w:t>
      </w:r>
      <w:r>
        <w:rPr>
          <w:rStyle w:val="FootnoteAnchor"/>
          <w:rtl w:val="true"/>
        </w:rPr>
        <w:footnoteReference w:id="386"/>
      </w:r>
      <w:r>
        <w:rPr>
          <w:rFonts w:ascii="Amiri" w:hAnsi="Amiri" w:eastAsia="Amiri" w:cs="Amiri"/>
          <w:color w:val="111111"/>
          <w:sz w:val="28"/>
          <w:sz w:val="28"/>
          <w:szCs w:val="28"/>
          <w:rtl w:val="true"/>
          <w:lang w:bidi="ar-SA"/>
        </w:rPr>
        <w:t>خلاعية، ولكنها تحتوي على قصص عاطفية وحب وغرام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النظر إلى صور الكتابيات العاريات أو شبه العاريات في التلفزيون وشبهه لإشباع غريزة حب الاطلاع والاستئناس مع عدم الاطمئنان بحصول اللذة الجنسية؟</w:t>
      </w:r>
    </w:p>
    <w:p>
      <w:pPr>
        <w:pStyle w:val="BookText"/>
        <w:rPr/>
      </w:pP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الالتذاذي إلى الكتابيات، وأما النظر إلى التلفزيون وغيره فإن كانت المرأة معروفة عند الناظر فالنظر إلى التلفزيون كالنظر إلى جسمها خارجاً، وأما إذا لم تكن معروفة عنده فلا بأس به، وإن كان الأحوط تركه مطلقاً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إرشاد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الصور الخلاعية والأفلام الجنسية بدون شهوة هل هو جائز؟</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رؤية هذه الأفلام لا تنفنك غالباً عن إثارة الفتنة وفساد الأخلاق، وكذا الصور المذكورة إذا كانت رؤيته معرضاً لها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المطالب المتقدمة</w:t>
      </w:r>
      <w:r>
        <w:rPr>
          <w:rFonts w:eastAsia="Amiri" w:cs="Amiri" w:ascii="Amiri" w:hAnsi="Amiri"/>
          <w:color w:val="111111"/>
          <w:sz w:val="28"/>
          <w:szCs w:val="28"/>
          <w:rtl w:val="true"/>
          <w:lang w:bidi="ar-SA"/>
        </w:rPr>
        <w:t xml:space="preserve">. </w:t>
      </w:r>
      <w:bookmarkStart w:id="269" w:name="pg15684_175387"/>
    </w:p>
    <w:p>
      <w:pPr>
        <w:pStyle w:val="BookText"/>
        <w:rPr/>
      </w:pPr>
      <w:bookmarkEnd w:id="269"/>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يكون النظر إلى هذه الأفلام والصور مقارنة للمحرمات، ولا أقل من الالتذاذ الشهوي، إلاّ أن يكون الإنسان جداراً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العم السيد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سأله شخص عن الذهاب إلى الأسواق فيقع نظره على النساء، فهل حلال أو حرام،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يسلب نورانية الباطن، فحتى لو فرض أنّ شيئاً منها محلل، ولكن في القلب نور وبهذه النظرات يسلب النور، فيعود القلب ظلمانياً؛ لذا حينما يقرأ دعاء كميل لا يتأثر ولا يبكي؛ لأنّ ما سمعه وشاهده يشكل حجاباً، حتى لو لم تقارن محرماً ولم تنته إلى محرم فرضاً</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1572778_2142443653"/>
      <w:bookmarkStart w:id="271" w:name="_Toc105"/>
      <w:bookmarkEnd w:id="270"/>
      <w:r>
        <w:rPr>
          <w:rtl w:val="true"/>
        </w:rPr>
        <w:t>الفرع الرابع عشر</w:t>
      </w:r>
      <w:r>
        <w:rPr>
          <w:rtl w:val="true"/>
        </w:rPr>
        <w:t xml:space="preserve">: </w:t>
      </w:r>
      <w:r>
        <w:rPr>
          <w:rtl w:val="true"/>
        </w:rPr>
        <w:t>في حكم لمس الكافرة</w:t>
      </w:r>
      <w:bookmarkEnd w:id="271"/>
    </w:p>
    <w:p>
      <w:pPr>
        <w:pStyle w:val="BookText"/>
        <w:rPr/>
      </w:pPr>
      <w:r>
        <w:rPr>
          <w:rFonts w:ascii="Amiri" w:hAnsi="Amiri" w:eastAsia="Amiri" w:cs="Amiri"/>
          <w:color w:val="111111"/>
          <w:sz w:val="28"/>
          <w:sz w:val="28"/>
          <w:szCs w:val="28"/>
          <w:rtl w:val="true"/>
          <w:lang w:bidi="ar-SA"/>
        </w:rPr>
        <w:t>الظاهر أنه لا يجوز اللمس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يبعد أن يكون اللمس الذي ليس فيه تلذذ وريبة وفتنة كالنظر بالنسبة إلى الأمة والكافرة، وإن لم أرَ من تعرض 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المستند في ذلك عموم التعليل في موثقة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بأنهن إذا نهين لا ينتهين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عامة تشمل المقام أيضاً، أو قاعدة الإلزام، وهذان مخصصان لأدلة حرمة اللمس، كما كانا مخصصين لأدلة حرمة النظر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لارتكاز الحرمة في الأذهان، ولأنه لو كان جائزاً لم يبقَ تحت الستار وبان؛ ولإطلاق فتاوى الفقهاء بالحرمة الكاشف عن إعراضهم عن إطلاقي الدليلين المزبورين للمقام، والأمر بحاجة إلى تأمل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الارتكاز لأجل التلذذ والريبة والفتنة، ومع عدمها فلا ارتكاز، كلمس عجوز لعجوزة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الالتزام بذلك في التقبيل، كأن يقبل العجوز العجوزة بلا تلذذ وريبة؟ كلا، وليس ذلك إلا للارتكاز المتحقق في المقام مطلقاً، ويشهد لذلك إنكارهم لمَن يقوم باللمس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الفقهاء عندما تناولوا مسألة اللمس أفتوا بحرمته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هذه الأدلة بمرأى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يستثنوا ذلك، بينما في مسألة النظر استثنوا الكتابية</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5684_175390"/>
      <w:bookmarkStart w:id="273" w:name="pg15684_175390"/>
      <w:bookmarkEnd w:id="273"/>
    </w:p>
    <w:p>
      <w:pPr>
        <w:pStyle w:val="Heading2"/>
        <w:numPr>
          <w:ilvl w:val="1"/>
          <w:numId w:val="1"/>
        </w:numPr>
        <w:rPr/>
      </w:pPr>
      <w:bookmarkStart w:id="274" w:name="pg15684_175390"/>
      <w:bookmarkStart w:id="275" w:name="__RefHeading___Toc11572780_2142443653"/>
      <w:bookmarkStart w:id="276" w:name="_Toc106"/>
      <w:bookmarkEnd w:id="274"/>
      <w:bookmarkEnd w:id="275"/>
      <w:r>
        <w:rPr>
          <w:rtl w:val="true"/>
        </w:rPr>
        <w:t xml:space="preserve">المسألة الثالثة </w:t>
      </w:r>
      <w:r>
        <w:rPr>
          <w:rtl w:val="true"/>
        </w:rPr>
        <w:t xml:space="preserve">: </w:t>
      </w:r>
      <w:r>
        <w:rPr>
          <w:rtl w:val="true"/>
        </w:rPr>
        <w:t>النظر إلى الوجه والكفين من المسلمات</w:t>
      </w:r>
      <w:bookmarkEnd w:id="27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1572782_2142443653"/>
      <w:bookmarkStart w:id="278" w:name="_Toc107"/>
      <w:bookmarkEnd w:id="277"/>
      <w:r>
        <w:rPr>
          <w:rtl w:val="true"/>
        </w:rPr>
        <w:t>اشارة</w:t>
      </w:r>
      <w:bookmarkEnd w:id="27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5684_175392"/>
      <w:bookmarkStart w:id="280" w:name="pg15684_175392"/>
      <w:bookmarkEnd w:id="280"/>
    </w:p>
    <w:p>
      <w:pPr>
        <w:pStyle w:val="Heading3"/>
        <w:numPr>
          <w:ilvl w:val="2"/>
          <w:numId w:val="1"/>
        </w:numPr>
        <w:rPr/>
      </w:pPr>
      <w:bookmarkStart w:id="281" w:name="pg15684_175392"/>
      <w:bookmarkStart w:id="282" w:name="__RefHeading___Toc11572784_2142443653"/>
      <w:bookmarkStart w:id="283" w:name="_Toc108"/>
      <w:bookmarkEnd w:id="281"/>
      <w:bookmarkEnd w:id="282"/>
      <w:r>
        <w:rPr>
          <w:rtl w:val="true"/>
        </w:rPr>
        <w:t>المسألة الثالثة</w:t>
      </w:r>
      <w:r>
        <w:rPr>
          <w:rtl w:val="true"/>
        </w:rPr>
        <w:t xml:space="preserve">: </w:t>
      </w:r>
      <w:r>
        <w:rPr>
          <w:rtl w:val="true"/>
        </w:rPr>
        <w:t>النظر إلى الوجه والكفين من المسلمات</w:t>
      </w:r>
      <w:bookmarkEnd w:id="283"/>
    </w:p>
    <w:p>
      <w:pPr>
        <w:pStyle w:val="Heading4"/>
        <w:numPr>
          <w:ilvl w:val="3"/>
          <w:numId w:val="1"/>
        </w:numPr>
        <w:rPr/>
      </w:pPr>
      <w:bookmarkStart w:id="284" w:name="__RefHeading___Toc11572786_2142443653"/>
      <w:bookmarkStart w:id="285" w:name="_Toc109"/>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وقد اختلفت الأنظار في حكم النظر إلى الوجه والكفين للمسلمات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مورد الخلاف بينهم، حتى إنه قد يتفق الخلاف من فقيه واحد يختار في أحكام الستر في الصلاة الجواز، وفي المقام المنع أو بالعكس</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عدم التخالف في بعض الكلمات؛ إذ المبحوث في المقام حرمة النظر، والمبحوث في ذلك المقام وجوب الستر، ولا تنافي بين اختيار عدم وجوب الستر وحرمة النظر،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ظهر من بعض المحشين من نسبة التناقض إلى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أفتى في المجلد الأول من العروة بعدم وجوب الستر</w:t>
      </w:r>
      <w:r>
        <w:rPr>
          <w:rStyle w:val="FootnoteAnchor"/>
          <w:rtl w:val="true"/>
        </w:rPr>
        <w:footnoteReference w:id="392"/>
      </w:r>
      <w:r>
        <w:rPr>
          <w:rFonts w:ascii="Amiri" w:hAnsi="Amiri" w:eastAsia="Amiri" w:cs="Amiri"/>
          <w:color w:val="111111"/>
          <w:sz w:val="28"/>
          <w:sz w:val="28"/>
          <w:szCs w:val="28"/>
          <w:rtl w:val="true"/>
          <w:lang w:bidi="ar-SA"/>
        </w:rPr>
        <w:t>، بينما أفتى في المجلد الثاني بحرمة النظر احتياطا</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لإمكان الجمع بين جواز الكشف وحرمة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بينهما محققة فيما لو كان ذلك بمرأى ومنظر الناس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كما هو الحال في جواز كشف الرجل لصدره مثلاً، ومع ذلك لا يجوز للمرأة أن تنظر إليه على بعض المباني</w:t>
      </w:r>
      <w:r>
        <w:rPr>
          <w:rFonts w:eastAsia="Amiri" w:cs="Amiri" w:ascii="Amiri" w:hAnsi="Amiri"/>
          <w:color w:val="111111"/>
          <w:sz w:val="28"/>
          <w:szCs w:val="28"/>
          <w:rtl w:val="true"/>
          <w:lang w:bidi="ar-SA"/>
        </w:rPr>
        <w:t xml:space="preserve">. </w:t>
      </w:r>
      <w:bookmarkStart w:id="286" w:name="pg15684_175393"/>
    </w:p>
    <w:p>
      <w:pPr>
        <w:pStyle w:val="Heading4"/>
        <w:numPr>
          <w:ilvl w:val="3"/>
          <w:numId w:val="1"/>
        </w:numPr>
        <w:rPr/>
      </w:pPr>
      <w:bookmarkStart w:id="287" w:name="__RefHeading___Toc11572788_2142443653"/>
      <w:bookmarkStart w:id="288" w:name="_Toc110"/>
      <w:bookmarkEnd w:id="286"/>
      <w:bookmarkEnd w:id="287"/>
      <w:r>
        <w:rPr>
          <w:rtl w:val="true"/>
        </w:rPr>
        <w:t>الأقوال في المسألة الثالثة</w:t>
      </w:r>
      <w:bookmarkEnd w:id="288"/>
    </w:p>
    <w:p>
      <w:pPr>
        <w:pStyle w:val="Heading5"/>
        <w:numPr>
          <w:ilvl w:val="4"/>
          <w:numId w:val="1"/>
        </w:numPr>
        <w:rPr/>
      </w:pPr>
      <w:bookmarkStart w:id="289" w:name="__RefHeading___Toc11572790_2142443653"/>
      <w:bookmarkStart w:id="290" w:name="_Toc111"/>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وعلى كلٍ فالأقوال في المسألة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النظرة الأولى والثانية</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1572792_2142443653"/>
      <w:bookmarkStart w:id="292" w:name="_Toc112"/>
      <w:bookmarkEnd w:id="291"/>
      <w:r>
        <w:rPr>
          <w:rtl w:val="true"/>
        </w:rPr>
        <w:t>القول الأول</w:t>
      </w:r>
      <w:r>
        <w:rPr>
          <w:rtl w:val="true"/>
        </w:rPr>
        <w:t xml:space="preserve">: </w:t>
      </w:r>
      <w:r>
        <w:rPr>
          <w:rtl w:val="true"/>
        </w:rPr>
        <w:t>جواز النظر مطلقاً</w:t>
      </w:r>
      <w:bookmarkEnd w:id="292"/>
    </w:p>
    <w:p>
      <w:pPr>
        <w:pStyle w:val="Heading6"/>
        <w:numPr>
          <w:ilvl w:val="5"/>
          <w:numId w:val="1"/>
        </w:numPr>
        <w:rPr/>
      </w:pPr>
      <w:bookmarkStart w:id="293" w:name="__RefHeading___Toc11572794_2142443653"/>
      <w:bookmarkStart w:id="294" w:name="_Toc113"/>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ونسب هذا القول إلى الشيخ في النهاية والتبيان والتهذيب والاستبصار، وإلى الشيخ الكليني في الكافي، وإلى جماعة من المتأخرين، منهم المحقق السبزواري في الكفاية والفيض الكاشاني في المفاتيح</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هذا القول المحدث البحراني والمحقق النراقي والشيخ الأعظم، ذكر ذلك المستمسك</w:t>
      </w:r>
      <w:r>
        <w:rPr>
          <w:rStyle w:val="FootnoteAnchor"/>
          <w:rtl w:val="true"/>
        </w:rPr>
        <w:footnoteReference w:id="395"/>
      </w:r>
      <w:r>
        <w:rPr>
          <w:rFonts w:ascii="Amiri" w:hAnsi="Amiri" w:eastAsia="Amiri" w:cs="Amiri"/>
          <w:color w:val="111111"/>
          <w:sz w:val="28"/>
          <w:sz w:val="28"/>
          <w:szCs w:val="28"/>
          <w:rtl w:val="true"/>
          <w:lang w:bidi="ar-SA"/>
        </w:rPr>
        <w:t>، وورد في بعض الكتب أنّ الشيخ الأعظم مصرّ عليه</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1572796_2142443653"/>
      <w:bookmarkStart w:id="296" w:name="_Toc114"/>
      <w:bookmarkEnd w:id="295"/>
      <w:r>
        <w:rPr>
          <w:rtl w:val="true"/>
        </w:rPr>
        <w:t>أدلة القول الأول</w:t>
      </w:r>
      <w:bookmarkEnd w:id="296"/>
    </w:p>
    <w:p>
      <w:pPr>
        <w:pStyle w:val="Heading6"/>
        <w:numPr>
          <w:ilvl w:val="5"/>
          <w:numId w:val="1"/>
        </w:numPr>
        <w:rPr/>
      </w:pPr>
      <w:bookmarkStart w:id="297" w:name="__RefHeading___Toc11572798_2142443653"/>
      <w:bookmarkStart w:id="298" w:name="_Toc115"/>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واستدل على هذا القول بالكتاب العزيز والسنة الشريفة وسيرة المتشرعة وأصالة البراءة وغيرها من الأدلة، ونذكر فيما يلي الأدلة تباعاً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1572800_2142443653"/>
      <w:bookmarkStart w:id="300" w:name="_Toc116"/>
      <w:bookmarkEnd w:id="299"/>
      <w:r>
        <w:rPr>
          <w:rtl w:val="true"/>
        </w:rPr>
        <w:t>الدليل الأول</w:t>
      </w:r>
      <w:r>
        <w:rPr>
          <w:rtl w:val="true"/>
        </w:rPr>
        <w:t>:</w:t>
      </w:r>
      <w:bookmarkEnd w:id="30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معنى الزينة</w:t>
      </w:r>
    </w:p>
    <w:p>
      <w:pPr>
        <w:pStyle w:val="BookText"/>
        <w:rPr/>
      </w:pPr>
      <w:r>
        <w:rPr>
          <w:rFonts w:ascii="Amiri" w:hAnsi="Amiri" w:eastAsia="Amiri" w:cs="Amiri"/>
          <w:color w:val="111111"/>
          <w:sz w:val="28"/>
          <w:sz w:val="28"/>
          <w:szCs w:val="28"/>
          <w:rtl w:val="true"/>
          <w:lang w:bidi="ar-SA"/>
        </w:rPr>
        <w:t>والمراد من الزينة إما أدوات الزينة، وهي التي يعبر عنها بالزينة العرضية، كالخاتم، أو موضع أدوات الزينة، وهي التي يعبر عنها بالزينة الذاتية، كالوجه، أوكلتاهما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بعض الروايات الشريفة إرادة المعنى الأول، كما في موثقة زرارة</w:t>
      </w:r>
      <w:r>
        <w:rPr>
          <w:rStyle w:val="FootnoteAnchor"/>
          <w:rtl w:val="true"/>
        </w:rPr>
        <w:footnoteReference w:id="397"/>
      </w:r>
      <w:r>
        <w:rPr>
          <w:rFonts w:ascii="Amiri" w:hAnsi="Amiri" w:eastAsia="Amiri" w:cs="Amiri"/>
          <w:color w:val="111111"/>
          <w:sz w:val="28"/>
          <w:sz w:val="28"/>
          <w:szCs w:val="28"/>
          <w:rtl w:val="true"/>
          <w:lang w:bidi="ar-SA"/>
        </w:rPr>
        <w:t>، ويظهر من بعضها إرادة المعنى الثاني، كما في صحيحة الفضيل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إرادة كلا المعنيين من الآية الكريمة، إما باعتبار استعمال اللفظ في المعنيين بناءً على جوازه كما هو المختار، أو باعتبار إرادة الجامع لهما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المقصود في المقام الاستدلال بالآية الكريمة بنفسها، لا بضميمة الروايات الشريفة، ليرى أنّ القرآن الكريم بنفسه يدل على الجواز أو 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إن كان المراد المعنى الأول يقرر الاستدلال بثبوت الملازمة بين جواز الإبداء لها، وجواز إبداء محلها؛ إذ لا يمكن عادة ظهور الزينة بدون ظهور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المراد الثاني فالأمر أوضح، ومنه يظهر الكلام في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الإشكالات على الدليل الأول</w:t>
      </w:r>
    </w:p>
    <w:p>
      <w:pPr>
        <w:pStyle w:val="BookText"/>
        <w:rPr/>
      </w:pPr>
      <w:r>
        <w:rPr>
          <w:rFonts w:ascii="Amiri" w:hAnsi="Amiri" w:eastAsia="Amiri" w:cs="Amiri"/>
          <w:color w:val="111111"/>
          <w:sz w:val="28"/>
          <w:sz w:val="28"/>
          <w:szCs w:val="28"/>
          <w:rtl w:val="true"/>
          <w:lang w:bidi="ar-SA"/>
        </w:rPr>
        <w:t>وفي المقام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 بين جواز الإبداء وجواز النظر</w:t>
      </w:r>
    </w:p>
    <w:p>
      <w:pPr>
        <w:pStyle w:val="BookText"/>
        <w:rPr/>
      </w:pPr>
      <w:r>
        <w:rPr>
          <w:rFonts w:ascii="Amiri" w:hAnsi="Amiri" w:eastAsia="Amiri" w:cs="Amiri"/>
          <w:color w:val="111111"/>
          <w:sz w:val="28"/>
          <w:sz w:val="28"/>
          <w:szCs w:val="28"/>
          <w:rtl w:val="true"/>
          <w:lang w:bidi="ar-SA"/>
        </w:rPr>
        <w:t>إنّ جواز الإبداء لا يلازم جواز النظر؛ إذ لا ملازمة بينهما، فإنّ الإبداء بمعنى الإظهار في مقابل الستر، وجواز الإظهار لا يلازم 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متعدياً باللام كان بمعنى الإراءة، وجواز إراءة شيء لشخص يلازم جواز نظره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الروحاني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الممكن أن يرفع الشارع الأقدس وجوب الستر عليها بالنسبة إلى الوجه والكفين، للعسر والحرج أو لغير ذلك، بخلاف سائر البدن، وإن وجب على الناظر الغض، كما عساه يقال في بدن الرجل بالنسبة إلى المرأة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إذ جواز الإبداء لا يلازم جواز النظر عقلاً، لكن يلازمه عرفاً، خاصة مع كون المسألة محل الابتلاء كثيراً، بل تتكرر كل يوم ملايين المرات، ومقتضى الطبع والجبلة أن ينظر الرجال إلى المرأة المكشوفة الوجه والكفين، فكان اللازم الردع، فعدم الردع دليل تجويز الشارع النظر، ويتضح ذلك بملاحظة قانون وضعي يشرع جواز إبداء النساء لوجوههن، دون أن يحظر على الرجال النظر إليهن، فإنه دليل الجواز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يخفى، حيث إنه تلازم بين كشف الوجه واليد وبين النظر، ذكر كثير من الفقهاء أدلة البابين جوازاً أو منعاً في مسألة واحدة، فليس ذلك من باب الخلط بين المسألتين كما توهم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العم السيد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لا تلازم بين الاثنين، وأنّ الخلط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الظهور الاتفاقي</w:t>
      </w:r>
    </w:p>
    <w:p>
      <w:pPr>
        <w:pStyle w:val="BookText"/>
        <w:rPr/>
      </w:pPr>
      <w:r>
        <w:rPr>
          <w:rFonts w:ascii="Amiri" w:hAnsi="Amiri" w:eastAsia="Amiri" w:cs="Amiri"/>
          <w:color w:val="111111"/>
          <w:sz w:val="28"/>
          <w:sz w:val="28"/>
          <w:szCs w:val="28"/>
          <w:rtl w:val="true"/>
          <w:lang w:bidi="ar-SA"/>
        </w:rPr>
        <w:t>إنّ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الاتفاقي لا الإظهار الاختياري، فيكون معنى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عليهن إبداء زينتهن عن عمد وقصد، وأمّا ما ظهر بغير تعمد واختيار فلا بأس به، كما لو هبت ريح مثلاً فظهر وجه المرأة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التبيين</w:t>
      </w:r>
      <w:r>
        <w:rPr>
          <w:rStyle w:val="FootnoteAnchor"/>
          <w:rtl w:val="true"/>
        </w:rPr>
        <w:footnoteReference w:id="401"/>
      </w:r>
      <w:r>
        <w:rPr>
          <w:rFonts w:ascii="Amiri" w:hAnsi="Amiri" w:eastAsia="Amiri" w:cs="Amiri"/>
          <w:color w:val="111111"/>
          <w:sz w:val="28"/>
          <w:sz w:val="28"/>
          <w:szCs w:val="28"/>
          <w:rtl w:val="true"/>
          <w:lang w:bidi="ar-SA"/>
        </w:rPr>
        <w:t>والتقريب</w:t>
      </w:r>
      <w:r>
        <w:rPr>
          <w:rStyle w:val="FootnoteAnchor"/>
          <w:rtl w:val="true"/>
        </w:rPr>
        <w:footnoteReference w:id="402"/>
      </w:r>
      <w:r>
        <w:rPr>
          <w:rFonts w:ascii="Amiri" w:hAnsi="Amiri" w:eastAsia="Amiri" w:cs="Amiri"/>
          <w:color w:val="111111"/>
          <w:sz w:val="28"/>
          <w:sz w:val="28"/>
          <w:szCs w:val="28"/>
          <w:rtl w:val="true"/>
          <w:lang w:bidi="ar-SA"/>
        </w:rPr>
        <w:t>، لا أقل من احتمال ذلك، وإذا جاء الاحتمال بطل الاستدلال، ومفاد الاستثناء تأكيد تعميم الحرمة لكل أنواع الإظهار،كما هو الشأن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حيث إنه ليس المراد بيان عدم الإشكال فيما مضى مما كان في عهد الجاهلية؛ لأنّ الماضي لا يتعلق به التكليف، فلا يكون محل النهي، بل المراد تأكيد الحرمة في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لا يخل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 إنما هو في الظهور الاتفاقي غير الاختياري،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مجمل مردد بين المعنيين، فلا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إذ عليه يكون الاستثناء منقطعاً؛ لعدم تعلق التكليف بما هو خارج عن الاختيار، فيكون استثناؤه من متعلق التكليف استثناءً منقطعاً، وهو خلاف الظاهر، وكثرة الاستثناء المنقطع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 إِلاَّ مَا قَدْ سَلَفَ</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إلى غير ذلك، كما أشار إليه السيد الرجائي حفظه اللّه</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في ظهور أداة الاستثناء في الاتصال، كما أن كثرة استعمال صيغة الأمر في الندب لا تقدح في ظهورها في الوجوب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ذلك التعارض بين الظاهرين، فالظهور العرفي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الظهور لا الإظهار، فيستلزم ذلك الاستثناء المنقطع، وهو </w:t>
      </w:r>
    </w:p>
    <w:p>
      <w:pPr>
        <w:pStyle w:val="BookText"/>
        <w:rPr/>
      </w:pPr>
      <w:r>
        <w:rPr>
          <w:rFonts w:ascii="Amiri" w:hAnsi="Amiri" w:eastAsia="Amiri" w:cs="Amiri"/>
          <w:color w:val="111111"/>
          <w:sz w:val="28"/>
          <w:sz w:val="28"/>
          <w:szCs w:val="28"/>
          <w:rtl w:val="true"/>
          <w:lang w:bidi="ar-SA"/>
        </w:rPr>
        <w:t>خلاف الظاهر، فما وجه تقديم أحدهما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إن شاء اللّه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الأشياء التي طبعها الأولي طبع الظهور، كالكف والوجه، خاصة الفلاحات والبائعات وما أشبه، حيث طبيعة العمل والحياة تقتضي ظهورهما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المرأة في البيت ولا كلام فيه، وتارة تكون في المجتمع وتريد أن تتحفظ كاملاً، كالنساء المجللات المحتشمات اللاتي يتكلفن ويغطين الوجه والكف، وهذا جيد ومطلوب ومحبوب واحتياط، لكن عندما تكون فلاحة أو بائعة فالطبيعة الأولية للتعامل مع الحياة تقتضي ظهور هذا المقدار من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سألت أحد الشيبة عن كيفية ستر المرأة الفلاحة والقروية قبل سبعين سنة في كربلاء والنجف، فأجاب كان يظهر بعض الوجه والكف، ولم ينهَ عن ذلك العلماء، ولو لم يكن الأمر كذلك من قبل لبان حيث يظهر وقت تغير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p>
    <w:p>
      <w:pPr>
        <w:pStyle w:val="BookText"/>
        <w:rPr/>
      </w:pPr>
      <w:r>
        <w:rPr>
          <w:rFonts w:ascii="Amiri" w:hAnsi="Amiri" w:eastAsia="Amiri" w:cs="Amiri"/>
          <w:color w:val="111111"/>
          <w:sz w:val="28"/>
          <w:sz w:val="28"/>
          <w:szCs w:val="28"/>
          <w:rtl w:val="true"/>
          <w:lang w:bidi="ar-SA"/>
        </w:rPr>
        <w:t>إن هذه الجملة من الآية الكريمة مخصصة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بالزينة الظاهرة ما يظهر بعد ضرب الخمار على جيوبهن، وهي الوجه والكفان والقدمان والثياب، فالمراد أن لا يبدين الزينة إلا للمذكورين في الآية الكريمة،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بعولتهن و</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لبعولتهن حكم خاص معلوم من الخارج، ومقتضى ذلك أنه لا </w:t>
      </w:r>
    </w:p>
    <w:p>
      <w:pPr>
        <w:pStyle w:val="BookText"/>
        <w:rPr/>
      </w:pPr>
      <w:r>
        <w:rPr>
          <w:rFonts w:ascii="Amiri" w:hAnsi="Amiri" w:eastAsia="Amiri" w:cs="Amiri"/>
          <w:color w:val="111111"/>
          <w:sz w:val="28"/>
          <w:sz w:val="28"/>
          <w:szCs w:val="28"/>
          <w:rtl w:val="true"/>
          <w:lang w:bidi="ar-SA"/>
        </w:rPr>
        <w:t xml:space="preserve">يجوز لهن إبداء وجوههن للأجنبي، ولا يجوز إبداء صدورهن وظهورهن وغيرهما مما لا 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للمحارم والأجانب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تكون الآية لغواً، حيث يُكتفى بحكم البعولة، وأمّا غيره فلا يحق إبداء أي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جواز إبداء الزينة الظاهرة للمحارم، فإنّ المولى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 لا يحق الإبداء إلا للزينة الظاهرة،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الزينة الظاهرة لا تبدينها إلا للمحارم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مقطع من الآية يبين قيداً، فيضم أحدهما إلى الآخر،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فتدل الآية على عدم جواز كشف الوجه والكفين للأجنبي، وإذا حرم الإبداء حرم النظر للملازمة بينهما، وهو ضد المطلوب، كما قال بذلك السيد الخوئي</w:t>
      </w:r>
      <w:r>
        <w:rPr>
          <w:rStyle w:val="FootnoteAnchor"/>
          <w:rtl w:val="true"/>
        </w:rPr>
        <w:footnoteReference w:id="410"/>
      </w:r>
      <w:r>
        <w:rPr>
          <w:rFonts w:ascii="Amiri" w:hAnsi="Amiri" w:eastAsia="Amiri" w:cs="Amiri"/>
          <w:color w:val="111111"/>
          <w:sz w:val="28"/>
          <w:sz w:val="28"/>
          <w:szCs w:val="28"/>
          <w:rtl w:val="true"/>
          <w:lang w:bidi="ar-SA"/>
        </w:rPr>
        <w:t>ولكن بتقرير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إذ جملة الاستثناء تنحل إلى عقد سلب وعقد إيجاب، فالمستفاد من الجملتين المذكورتين في الآية الكريمة ثلاثة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إبداء الزينة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إبداء الزينة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إبداء الزينة للمحارم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إنه لا تنافي بين الحكمين الأخيرين عرفاً، ولا قرينة خارجية على تقييد أحدهما بالآخر، وحيث إنّ حذف المتعلق يفيد العموم يكون الحكم </w:t>
      </w:r>
    </w:p>
    <w:p>
      <w:pPr>
        <w:pStyle w:val="BookText"/>
        <w:rPr/>
      </w:pPr>
      <w:r>
        <w:rPr>
          <w:rFonts w:ascii="Amiri" w:hAnsi="Amiri" w:eastAsia="Amiri" w:cs="Amiri"/>
          <w:color w:val="111111"/>
          <w:sz w:val="28"/>
          <w:sz w:val="28"/>
          <w:szCs w:val="28"/>
          <w:rtl w:val="true"/>
          <w:lang w:bidi="ar-SA"/>
        </w:rPr>
        <w:t>الثاني، المستفاد من الجملة الأولى جواز إبداء الزينة الظاهرة لجميع الناس، ويكون الحكم الثالث المستفاد من الجملة الثانية جواز إبداء جميع أنواع الزينة للمحارم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إبداء الزينة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يخصصه بأحدٍ كان حذف المتعلق مفيداً للعموم، فيكون المفاد جواز إبداء الزينة الظاهرة لجميع الناس،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إبداء الزينة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يقيد الزينة بقيد، فيكون المفاد جواز إبداء جميع أنواع الزينة للمحارم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العورة المستفاد حكمها بالأدلة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الجملتين حتى يقيد أحدهما بالآخر،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بالفهم العرفي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 المفسرة للزينة</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كافٍ في عدم الوثوق، ضرورة اختلافه اختلافاً لا يرجى جمعه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إلى اختلاف الروايات الواردة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تفسيرها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والمسكة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القلب</w:t>
      </w:r>
      <w:r>
        <w:rPr>
          <w:rStyle w:val="FootnoteAnchor"/>
          <w:rtl w:val="true"/>
        </w:rPr>
        <w:footnoteReference w:id="412"/>
      </w:r>
      <w:r>
        <w:rPr>
          <w:rFonts w:ascii="Amiri" w:hAnsi="Amiri" w:eastAsia="Amiri" w:cs="Amiri"/>
          <w:color w:val="111111"/>
          <w:sz w:val="28"/>
          <w:sz w:val="28"/>
          <w:szCs w:val="28"/>
          <w:rtl w:val="true"/>
          <w:lang w:bidi="ar-SA"/>
        </w:rPr>
        <w:t>كما في رواية أبي بصير</w:t>
      </w:r>
      <w:r>
        <w:rPr>
          <w:rStyle w:val="FootnoteAnchor"/>
          <w:rtl w:val="true"/>
        </w:rPr>
        <w:footnoteReference w:id="413"/>
      </w:r>
      <w:r>
        <w:rPr>
          <w:rFonts w:ascii="Amiri" w:hAnsi="Amiri" w:eastAsia="Amiri" w:cs="Amiri"/>
          <w:color w:val="111111"/>
          <w:sz w:val="28"/>
          <w:sz w:val="28"/>
          <w:szCs w:val="28"/>
          <w:rtl w:val="true"/>
          <w:lang w:bidi="ar-SA"/>
        </w:rPr>
        <w:t>، وفي بعضها تفسيرها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والخاتم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414"/>
      </w:r>
      <w:r>
        <w:rPr>
          <w:rFonts w:ascii="Amiri" w:hAnsi="Amiri" w:eastAsia="Amiri" w:cs="Amiri"/>
          <w:color w:val="111111"/>
          <w:sz w:val="28"/>
          <w:sz w:val="28"/>
          <w:szCs w:val="28"/>
          <w:rtl w:val="true"/>
          <w:lang w:bidi="ar-SA"/>
        </w:rPr>
        <w:t>، وفي بعضها تفسيرها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الثياب والكحل والخاتم وخضاب الكف والسوار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أبي الجارود</w:t>
      </w:r>
      <w:r>
        <w:rPr>
          <w:rStyle w:val="FootnoteAnchor"/>
          <w:rtl w:val="true"/>
        </w:rPr>
        <w:footnoteReference w:id="415"/>
      </w:r>
      <w:r>
        <w:rPr>
          <w:rFonts w:ascii="Amiri" w:hAnsi="Amiri" w:eastAsia="Amiri" w:cs="Amiri"/>
          <w:color w:val="111111"/>
          <w:sz w:val="28"/>
          <w:sz w:val="28"/>
          <w:szCs w:val="28"/>
          <w:rtl w:val="true"/>
          <w:lang w:bidi="ar-SA"/>
        </w:rPr>
        <w:t>، وفي بعضها تفسيرها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مكارم الأخلاق</w:t>
      </w:r>
      <w:r>
        <w:rPr>
          <w:rStyle w:val="FootnoteAnchor"/>
          <w:rtl w:val="true"/>
        </w:rPr>
        <w:footnoteReference w:id="416"/>
      </w:r>
      <w:r>
        <w:rPr>
          <w:rFonts w:ascii="Amiri" w:hAnsi="Amiri" w:eastAsia="Amiri" w:cs="Amiri"/>
          <w:color w:val="111111"/>
          <w:sz w:val="28"/>
          <w:sz w:val="28"/>
          <w:szCs w:val="28"/>
          <w:rtl w:val="true"/>
          <w:lang w:bidi="ar-SA"/>
        </w:rPr>
        <w:t>، فلا يعلم المراد منها؛ لاختلاف الروايات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بينها عرفاً؛ إذ يحمل كل منها على بيان بعض المصاديق، ولعل السر في ذلك أنه لا تعارض بين منطوق كل واحد من هذه الأخبار مع منطوق البعض الآخر، بل التعارض بين منطوق كلٍّ ومفهوم الآخر الدال على الحصر، وحيث إنّ دلالة المفهوم بالظهور ودلالة المنطوق بالصراحة يرفع اليد عن ظهور كل منها بصراحة المنطوق في كل منها،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مفهوم كلٍّ بمنطوق الآخر، والنتيجة جواز الجميع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ما ذكره جملة من الفقهاء في الروايات الواردة في تفسير الفسوق المحرم في حالة الإحرام؛ إذ ورد في صحيح معاوية بن عمار تفسيره بالكذب والسباب</w:t>
      </w:r>
      <w:r>
        <w:rPr>
          <w:rStyle w:val="FootnoteAnchor"/>
          <w:rtl w:val="true"/>
        </w:rPr>
        <w:footnoteReference w:id="417"/>
      </w:r>
      <w:r>
        <w:rPr>
          <w:rFonts w:ascii="Amiri" w:hAnsi="Amiri" w:eastAsia="Amiri" w:cs="Amiri"/>
          <w:color w:val="111111"/>
          <w:sz w:val="28"/>
          <w:sz w:val="28"/>
          <w:szCs w:val="28"/>
          <w:rtl w:val="true"/>
          <w:lang w:bidi="ar-SA"/>
        </w:rPr>
        <w:t>، وورد في صحيح علي بن جعفر تفسيره بالكذب والمفاخرة</w:t>
      </w:r>
      <w:r>
        <w:rPr>
          <w:rStyle w:val="FootnoteAnchor"/>
          <w:rtl w:val="true"/>
        </w:rPr>
        <w:footnoteReference w:id="418"/>
      </w:r>
      <w:r>
        <w:rPr>
          <w:rFonts w:ascii="Amiri" w:hAnsi="Amiri" w:eastAsia="Amiri" w:cs="Amiri"/>
          <w:color w:val="111111"/>
          <w:sz w:val="28"/>
          <w:sz w:val="28"/>
          <w:szCs w:val="28"/>
          <w:rtl w:val="true"/>
          <w:lang w:bidi="ar-SA"/>
        </w:rPr>
        <w:t xml:space="preserve">، حيث يرفع اليد عن ظهور مفهوم كل بصراحة منطوق الآخر </w:t>
      </w:r>
    </w:p>
    <w:p>
      <w:pPr>
        <w:pStyle w:val="BookText"/>
        <w:rPr/>
      </w:pPr>
      <w:r>
        <w:rPr>
          <w:rFonts w:ascii="Amiri" w:hAnsi="Amiri" w:eastAsia="Amiri" w:cs="Amiri"/>
          <w:color w:val="111111"/>
          <w:sz w:val="28"/>
          <w:sz w:val="28"/>
          <w:szCs w:val="28"/>
          <w:rtl w:val="true"/>
          <w:lang w:bidi="ar-SA"/>
        </w:rPr>
        <w:t>والحكم بحرمة الجميع، أو يقال بالتخصيص على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ضعف جملة من الروايات الواردة في تفسير الآية الكريمة،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الكلام فعلاً في دلالة الآية الكريمة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المفهوم تتعارض الروايات لتعارض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الكلي للمفهومين إضافي لا حقيقي حتى يتعارضا، وقد خرج منه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بالزينة الثياب</w:t>
      </w:r>
    </w:p>
    <w:p>
      <w:pPr>
        <w:pStyle w:val="BookText"/>
        <w:rPr/>
      </w:pPr>
      <w:r>
        <w:rPr>
          <w:rFonts w:ascii="Amiri" w:hAnsi="Amiri" w:eastAsia="Amiri" w:cs="Amiri"/>
          <w:color w:val="111111"/>
          <w:sz w:val="28"/>
          <w:sz w:val="28"/>
          <w:szCs w:val="28"/>
          <w:rtl w:val="true"/>
          <w:lang w:bidi="ar-SA"/>
        </w:rPr>
        <w:t>إنه محمول على زينة الثياب، كما حكي عن ابن مسعود</w:t>
      </w:r>
      <w:r>
        <w:rPr>
          <w:rStyle w:val="FootnoteAnchor"/>
          <w:rtl w:val="true"/>
        </w:rPr>
        <w:footnoteReference w:id="420"/>
      </w:r>
      <w:r>
        <w:rPr>
          <w:rFonts w:ascii="Amiri" w:hAnsi="Amiri" w:eastAsia="Amiri" w:cs="Amiri"/>
          <w:color w:val="111111"/>
          <w:sz w:val="28"/>
          <w:sz w:val="28"/>
          <w:szCs w:val="28"/>
          <w:rtl w:val="true"/>
          <w:lang w:bidi="ar-SA"/>
        </w:rPr>
        <w:t>،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إرادة الثياب الظاهرة منه</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الروحاني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الزينة الظاهرة فسرت بتفاسير، منها ما عن ابن مسعود من تفسيرها بالثياب، ومنها غير ذلك</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يريد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خلاف الظاهر في نفسه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إذ تشخيص ظهور ما ظهر موقوف على معرفة كيفية حجاب </w:t>
      </w:r>
    </w:p>
    <w:p>
      <w:pPr>
        <w:pStyle w:val="BookText"/>
        <w:rPr/>
      </w:pPr>
      <w:r>
        <w:rPr>
          <w:rFonts w:ascii="Amiri" w:hAnsi="Amiri" w:eastAsia="Amiri" w:cs="Amiri"/>
          <w:color w:val="111111"/>
          <w:sz w:val="28"/>
          <w:sz w:val="28"/>
          <w:szCs w:val="28"/>
          <w:rtl w:val="true"/>
          <w:lang w:bidi="ar-SA"/>
        </w:rPr>
        <w:t>النساء آنذاك، وهي غير معلومة، فلا طريق إلى معرفة المراد بما ظهر،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العادة والجبلة على ظهوره، والأصل فيه الظهور، كما في الكشاف</w:t>
      </w:r>
      <w:r>
        <w:rPr>
          <w:rStyle w:val="FootnoteAnchor"/>
          <w:rtl w:val="true"/>
        </w:rPr>
        <w:footnoteReference w:id="424"/>
      </w:r>
      <w:r>
        <w:rPr>
          <w:rFonts w:ascii="Amiri" w:hAnsi="Amiri" w:eastAsia="Amiri" w:cs="Amiri"/>
          <w:color w:val="111111"/>
          <w:sz w:val="28"/>
          <w:sz w:val="28"/>
          <w:szCs w:val="28"/>
          <w:rtl w:val="true"/>
          <w:lang w:bidi="ar-SA"/>
        </w:rPr>
        <w:t>، فإن كانت العادة الجارية كشف الوجه والكفين كانا من المراد، وإن كانت العادة سترهما كان المراد الثياب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المستمسك تأمل من جهة ثانية،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لو فرض عدم شمول الزينة الظاهرة للثياب إلا أنّ التفسير الصحيح يجعله مشمولاً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الآية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بكيفية الحجاب لابد من التمسك بظهور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فإنّ الأحكام مجعولة على نهج القضايا الحقيقية دائماً، والمقام من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هنا خارجية لا حقيقية، وإلا فإنّ النساء الغربيات يخرجن ذراعهن اليوم، فهل يمكن القول بشمول الآية لهن؟</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بالمجتمع الإسلامي المتدين، فإنّ الخطاب للمؤمنات،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المتدينات، ولو فرض شمول الآية لغيرهن أمكن القول بعدم شمول الحكم لهن للدليل الخاص</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لا تختص بالمجتمع الإسلامي، وعلى فرضه فإنّ المراد من المؤمنات اللاتي يؤمن باللّه، والآن نجد الكثير منهن يكشفن شعورهن، فلا يعقل أن يوكل المولى القضية إلى الحقيقية، فهل يعقل أن يراد بها كل </w:t>
      </w:r>
    </w:p>
    <w:p>
      <w:pPr>
        <w:pStyle w:val="BookText"/>
        <w:rPr/>
      </w:pPr>
      <w:r>
        <w:rPr>
          <w:rFonts w:ascii="Amiri" w:hAnsi="Amiri" w:eastAsia="Amiri" w:cs="Amiri"/>
          <w:color w:val="111111"/>
          <w:sz w:val="28"/>
          <w:sz w:val="28"/>
          <w:szCs w:val="28"/>
          <w:rtl w:val="true"/>
          <w:lang w:bidi="ar-SA"/>
        </w:rPr>
        <w:t>ما ظهر بطبعه في أي وقت؟</w:t>
      </w:r>
    </w:p>
    <w:p>
      <w:pPr>
        <w:pStyle w:val="BookText"/>
        <w:rPr/>
      </w:pPr>
      <w:r>
        <w:rPr>
          <w:rFonts w:ascii="Amiri" w:hAnsi="Amiri" w:eastAsia="Amiri" w:cs="Amiri"/>
          <w:color w:val="111111"/>
          <w:sz w:val="28"/>
          <w:sz w:val="28"/>
          <w:szCs w:val="28"/>
          <w:rtl w:val="true"/>
          <w:lang w:bidi="ar-SA"/>
        </w:rPr>
        <w:t>هذا، ولكن قد يدعى إمكان تحصيل العلم الخارجي بعدم ستر النساء وجوههن وأكفهن آنذاك، خاصة في القرى والبوادي، فتكون من الزينة الظاهرة بطبعها فيشملها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في جميع الأعصار والأمصار على عدم معاملة الوجه والكفين في المرأة معاملة العورة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السيرة في هذه الموارد</w:t>
      </w:r>
      <w:r>
        <w:rPr>
          <w:rStyle w:val="FootnoteAnchor"/>
          <w:rtl w:val="true"/>
        </w:rPr>
        <w:footnoteReference w:id="426"/>
      </w:r>
      <w:r>
        <w:rPr>
          <w:rFonts w:ascii="Amiri" w:hAnsi="Amiri" w:eastAsia="Amiri" w:cs="Amiri"/>
          <w:color w:val="111111"/>
          <w:sz w:val="28"/>
          <w:sz w:val="28"/>
          <w:szCs w:val="28"/>
          <w:rtl w:val="true"/>
          <w:lang w:bidi="ar-SA"/>
        </w:rPr>
        <w:t>قائمة على العكس</w:t>
      </w:r>
      <w:r>
        <w:rPr>
          <w:rStyle w:val="FootnoteAnchor"/>
          <w:rtl w:val="true"/>
        </w:rPr>
        <w:footnoteReference w:id="427"/>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نضايق من تحققها بالنسبة إلى النساء المجللات في البلدان الكبار، وأمّا على سبيل العموم فكلا، فهي</w:t>
      </w:r>
      <w:r>
        <w:rPr>
          <w:rStyle w:val="FootnoteAnchor"/>
          <w:rtl w:val="true"/>
        </w:rPr>
        <w:footnoteReference w:id="428"/>
      </w:r>
      <w:r>
        <w:rPr>
          <w:rFonts w:ascii="Amiri" w:hAnsi="Amiri" w:eastAsia="Amiri" w:cs="Amiri"/>
          <w:color w:val="111111"/>
          <w:sz w:val="28"/>
          <w:sz w:val="28"/>
          <w:szCs w:val="28"/>
          <w:rtl w:val="true"/>
          <w:lang w:bidi="ar-SA"/>
        </w:rPr>
        <w:t>مختصة بطائفة من النساء في بعض البلاد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أنه لو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المتدينات يتحجبن ويسترن الوجه والكفين، ثم تبدل إلى غيره فجأة أو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 في التاريخ</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المستمسك أيضاً</w:t>
      </w:r>
      <w:r>
        <w:rPr>
          <w:rStyle w:val="FootnoteAnchor"/>
          <w:rtl w:val="true"/>
        </w:rPr>
        <w:footnoteReference w:id="431"/>
      </w:r>
      <w:r>
        <w:rPr>
          <w:rFonts w:ascii="IRNazanin" w:hAnsi="IRNazanin" w:eastAsia="IRNazanin"/>
          <w:color w:val="111111"/>
          <w:sz w:val="28"/>
          <w:sz w:val="28"/>
          <w:szCs w:val="28"/>
          <w:rtl w:val="true"/>
          <w:lang w:bidi="fa-IR"/>
        </w:rPr>
        <w:t>من أنه</w:t>
      </w:r>
      <w:r>
        <w:rPr>
          <w:rStyle w:val="FootnoteAnchor"/>
          <w:rtl w:val="true"/>
        </w:rPr>
        <w:footnoteReference w:id="432"/>
      </w:r>
      <w:r>
        <w:rPr>
          <w:rFonts w:ascii="Amiri" w:hAnsi="Amiri" w:eastAsia="Amiri" w:cs="Amiri"/>
          <w:color w:val="111111"/>
          <w:sz w:val="28"/>
          <w:sz w:val="28"/>
          <w:szCs w:val="28"/>
          <w:rtl w:val="true"/>
          <w:lang w:bidi="ar-SA"/>
        </w:rPr>
        <w:t xml:space="preserve">مخالف لقرينة السياق مع قوله </w:t>
      </w:r>
      <w:bookmarkStart w:id="301" w:name="pg15684_175405"/>
    </w:p>
    <w:p>
      <w:pPr>
        <w:pStyle w:val="BookText"/>
        <w:rPr/>
      </w:pPr>
      <w:bookmarkEnd w:id="301"/>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غير ظاهرة، بل بين الجملتين كمال الملاءمة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هذا المعنى</w:t>
      </w:r>
      <w:r>
        <w:rPr>
          <w:rStyle w:val="FootnoteAnchor"/>
          <w:rtl w:val="true"/>
        </w:rPr>
        <w:footnoteReference w:id="433"/>
      </w:r>
      <w:r>
        <w:rPr>
          <w:rFonts w:ascii="Amiri" w:hAnsi="Amiri" w:eastAsia="Amiri" w:cs="Amiri"/>
          <w:color w:val="111111"/>
          <w:sz w:val="28"/>
          <w:sz w:val="28"/>
          <w:szCs w:val="28"/>
          <w:rtl w:val="true"/>
          <w:lang w:bidi="ar-SA"/>
        </w:rPr>
        <w:t>مخالف للروايات المفسرة للآية الكريمة، لكن الكلام فعلاً فيما يستفاد من الآية الكريمة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نستظهر أنّ الآية بحد ذاتها تدل على جواز كشف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للاستفادة من الآية بحد ذاتها، فإنّ القرآن له مفسر، وإلاّ فهو عبارة 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بالآية والرواية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معرفة مفاد الآية في حد ذاتها، فلو ادُعي دلالتها على جواز كشف الوجه والكفين فلا بد من معرفة الدلالة، وهذا ينفع في البحوث الاحتجاجية</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11572802_2142443653"/>
      <w:bookmarkStart w:id="303" w:name="_Toc117"/>
      <w:bookmarkEnd w:id="302"/>
      <w:r>
        <w:rPr>
          <w:rtl w:val="true"/>
        </w:rPr>
        <w:t>الدليل الثاني</w:t>
      </w:r>
      <w:r>
        <w:rPr>
          <w:rtl w:val="true"/>
        </w:rPr>
        <w:t xml:space="preserve">: </w:t>
      </w:r>
      <w:r>
        <w:rPr>
          <w:rtl w:val="true"/>
        </w:rPr>
        <w:t>قوله تعالى</w:t>
      </w:r>
      <w:r>
        <w:rPr>
          <w:rtl w:val="true"/>
        </w:rPr>
        <w:t>: {</w:t>
      </w:r>
      <w:r>
        <w:rPr>
          <w:rtl w:val="true"/>
        </w:rPr>
        <w:t>وَلْيَضْرِبْنَ بِخُمُرِهِنَّ عَلَى جُيُوبِهِنَّ</w:t>
      </w:r>
      <w:r>
        <w:rPr>
          <w:rtl w:val="true"/>
        </w:rPr>
        <w:t>}</w:t>
      </w:r>
      <w:bookmarkEnd w:id="303"/>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تخصيص الجيوب بوجوب الستر يدل على عدم وجوب ستر الوجه، وإلا كان أولى بالذكر من الجيب؛ لأنّ الخمار يستر الجيب غالباً ولا يستر الوجه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304" w:name="pg15684_175406"/>
    </w:p>
    <w:p>
      <w:pPr>
        <w:pStyle w:val="BookText"/>
        <w:rPr/>
      </w:pPr>
      <w:bookmarkEnd w:id="304"/>
      <w:r>
        <w:rPr>
          <w:rFonts w:ascii="Amiri" w:hAnsi="Amiri" w:eastAsia="Amiri" w:cs="Amiri"/>
          <w:color w:val="111111"/>
          <w:sz w:val="28"/>
          <w:sz w:val="28"/>
          <w:szCs w:val="28"/>
          <w:rtl w:val="true"/>
          <w:lang w:bidi="ar-SA"/>
        </w:rPr>
        <w:t>وفيه نظر؛ لأنّ اللقب لا مفهوم له، ولعل وجه تخصيص الجيوب بالذكر ما ذكره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جيوبهن واسعة تبدو منها نحورهن وصدورهن وما حواليها، وكن يسدلن الخمر من ورائهن فتبقى مكشوفة، فأمرن بأن يسدلنها من قدامهن حتى يغطينها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الجواز بنحو ما في المستمسك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قماش معمول إلى الآن يلف حول الرأس دون الوجه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يصنع الخمار للوجه، فلا أولوية لذكره، بل لا معنى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تغطية الوجه بالخمار من الفوق والتحت، فلا يبدو إلا العين، كما يمكن ثقب الخمار للرؤية، كما يمكن أن يكون شفافاً، وقد 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الخمار ثوب تغطي به المرأة رأسها</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والرأس يشمل الوجه أيضاً، كما أنّ من المتعارف عند بعض النساء ستر الوجه بالخمار،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كيفية الخمار في ذلك الوقت، هل إنه كان يغطي الوجه أم لا؟</w:t>
      </w:r>
    </w:p>
    <w:p>
      <w:pPr>
        <w:pStyle w:val="Heading6"/>
        <w:numPr>
          <w:ilvl w:val="5"/>
          <w:numId w:val="1"/>
        </w:numPr>
        <w:rPr/>
      </w:pPr>
      <w:bookmarkStart w:id="305" w:name="__RefHeading___Toc11572804_2142443653"/>
      <w:bookmarkStart w:id="306" w:name="_Toc118"/>
      <w:bookmarkEnd w:id="305"/>
      <w:r>
        <w:rPr>
          <w:rtl w:val="true"/>
        </w:rPr>
        <w:t>الدليل الثالث</w:t>
      </w:r>
      <w:r>
        <w:rPr>
          <w:rtl w:val="true"/>
        </w:rPr>
        <w:t xml:space="preserve">: </w:t>
      </w:r>
      <w:r>
        <w:rPr>
          <w:rtl w:val="true"/>
        </w:rPr>
        <w:t>رواية زرارة</w:t>
      </w:r>
      <w:bookmarkEnd w:id="30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عيسى، عن محمد بن خالد والحسين بن سعيد، عن القاسم بن عروة، عن عبد اللّه 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الزينة الظاهرة الكحل </w:t>
      </w:r>
    </w:p>
    <w:p>
      <w:pPr>
        <w:pStyle w:val="BookText"/>
        <w:rPr/>
      </w:pPr>
      <w:r>
        <w:rPr>
          <w:rFonts w:ascii="IRNazanin" w:hAnsi="IRNazanin" w:eastAsia="IRNazanin"/>
          <w:color w:val="111111"/>
          <w:sz w:val="28"/>
          <w:sz w:val="28"/>
          <w:szCs w:val="28"/>
          <w:rtl w:val="true"/>
          <w:lang w:bidi="fa-IR"/>
        </w:rPr>
        <w:t>والخاتم</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الإشكالات على الدليل الثالث</w:t>
      </w:r>
    </w:p>
    <w:p>
      <w:pPr>
        <w:pStyle w:val="BookText"/>
        <w:rPr/>
      </w:pPr>
      <w:r>
        <w:rPr>
          <w:rFonts w:ascii="Amiri" w:hAnsi="Amiri" w:eastAsia="Amiri" w:cs="Amiri"/>
          <w:color w:val="111111"/>
          <w:sz w:val="28"/>
          <w:sz w:val="28"/>
          <w:szCs w:val="28"/>
          <w:rtl w:val="true"/>
          <w:lang w:bidi="ar-SA"/>
        </w:rPr>
        <w:t>وفي الاستدلال بهذه الرواية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w:t>
      </w:r>
    </w:p>
    <w:p>
      <w:pPr>
        <w:pStyle w:val="BookText"/>
        <w:rPr/>
      </w:pPr>
      <w:r>
        <w:rPr>
          <w:rFonts w:ascii="Amiri" w:hAnsi="Amiri" w:eastAsia="Amiri" w:cs="Amiri"/>
          <w:color w:val="111111"/>
          <w:sz w:val="28"/>
          <w:sz w:val="28"/>
          <w:szCs w:val="28"/>
          <w:rtl w:val="true"/>
          <w:lang w:bidi="ar-SA"/>
        </w:rPr>
        <w:t>إذ ورد في سنده القاسم بن عروة ولم يذكر له توثيق</w:t>
      </w:r>
      <w:r>
        <w:rPr>
          <w:rStyle w:val="FootnoteAnchor"/>
          <w:rtl w:val="true"/>
        </w:rPr>
        <w:footnoteReference w:id="441"/>
      </w:r>
      <w:r>
        <w:rPr>
          <w:rFonts w:ascii="Amiri" w:hAnsi="Amiri" w:eastAsia="Amiri" w:cs="Amiri"/>
          <w:color w:val="111111"/>
          <w:sz w:val="28"/>
          <w:sz w:val="28"/>
          <w:szCs w:val="28"/>
          <w:rtl w:val="true"/>
          <w:lang w:bidi="ar-SA"/>
        </w:rPr>
        <w:t xml:space="preserve">، وصرح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 بأنّ الخبر مجهول</w:t>
      </w:r>
      <w:r>
        <w:rPr>
          <w:rStyle w:val="FootnoteAnchor"/>
          <w:rtl w:val="true"/>
        </w:rPr>
        <w:footnoteReference w:id="442"/>
      </w:r>
      <w:r>
        <w:rPr>
          <w:rFonts w:ascii="Amiri" w:hAnsi="Amiri" w:eastAsia="Amiri" w:cs="Amiri"/>
          <w:color w:val="111111"/>
          <w:sz w:val="28"/>
          <w:sz w:val="28"/>
          <w:szCs w:val="28"/>
          <w:rtl w:val="true"/>
          <w:lang w:bidi="ar-SA"/>
        </w:rPr>
        <w:t>، وتبعه السيد الروحاني</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دفع الإشكال بطرق ثلاثة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الثقات، حيث روى عنه كل من ابن أبي عمير والبزنطي، وقد ذكر في محله أن مشايخ الثلاثة ثقات، وهو بحث مبنائي، وقد اعتمد على هذا الطريق الشيخ الأعظم في كتاب الصلاة في رواية أخرى</w:t>
      </w:r>
      <w:r>
        <w:rPr>
          <w:rStyle w:val="FootnoteAnchor"/>
          <w:rtl w:val="true"/>
        </w:rPr>
        <w:footnoteReference w:id="444"/>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لهذا وصف في المختلف هذه الرواية بالصحة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فمع أن قاسم بن عروة في السند إلا أن العلامة قال بصحتها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صحح حديثه السيد الحكيم في المواقيت</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السيد الخوئي عنها بالموثقة</w:t>
      </w:r>
      <w:r>
        <w:rPr>
          <w:rStyle w:val="FootnoteAnchor"/>
          <w:rtl w:val="true"/>
        </w:rPr>
        <w:footnoteReference w:id="448"/>
      </w:r>
      <w:r>
        <w:rPr>
          <w:rFonts w:ascii="Amiri" w:hAnsi="Amiri" w:eastAsia="Amiri" w:cs="Amiri"/>
          <w:color w:val="111111"/>
          <w:sz w:val="28"/>
          <w:sz w:val="28"/>
          <w:szCs w:val="28"/>
          <w:rtl w:val="true"/>
          <w:lang w:bidi="ar-SA"/>
        </w:rPr>
        <w:t>، لكنه ذكر في موضع آخر أنه لم تثبت وثاقته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رواية الكليني عن شخص يكشف عن اعتماده عليه، وكثرة روايته عنه تكشف عن كون القرينة داخلية لا خارجية، وقد مضى توضيحه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وجدته في الكافي عن القاسم بن عروة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 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 وفي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 وفي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 وفي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 وفي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 وفي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 فالمجموع واحد وأربعون حديثاً، وأكثر هذه الروايات متعلقة بالأحكام الشرعية</w:t>
      </w:r>
      <w:r>
        <w:rPr>
          <w:rStyle w:val="FootnoteAnchor"/>
          <w:rtl w:val="true"/>
        </w:rPr>
        <w:footnoteReference w:id="450"/>
      </w:r>
      <w:r>
        <w:rPr>
          <w:rFonts w:ascii="Amiri" w:hAnsi="Amiri" w:eastAsia="Amiri" w:cs="Amiri"/>
          <w:color w:val="111111"/>
          <w:sz w:val="28"/>
          <w:sz w:val="28"/>
          <w:szCs w:val="28"/>
          <w:rtl w:val="true"/>
          <w:lang w:bidi="ar-SA"/>
        </w:rPr>
        <w:t xml:space="preserve">، مع العلم بأنّ قسماً قليلاً منها مكرر، وكما أنّ هنالك حديثين حول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الفقيه أيضاً له روايات، 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وفي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يحتوي على ستة عشر ألف حديث، فلا يعتبر ما ذكر إكثاراً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عليه بهذا المقدار يكشف عن كون قرينة وثاقته داخلية، كما في مثال المعالم</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موت ابن الملك، وقد مثلنا سابقاً فيما لو اعتمد المرجع على مخبر عشر مرات مثلاً، فهو كثير في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المستند على نحو العموم، لا خصوص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ضعف بعض تلك الأخبار سنداً لا يخرجها عن الحجية عندنا، سيما مع انجبارها باشتهار الجواز ولو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استنادهم إلى خصوص هذه الرواية أو الروايات، كي تنجبر بعمل المشهور، ولعل مستندهم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روايات صحيحة وصريحة في الحكم المذكور، أو لأنهم تمسكوا بأصالة الجواز، فلا دليل على جبر الرواية بمجرد مطابقة الشهرة الفتوائية لمفادها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الأمارات قد تؤيد وثاقته أو حسنه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داود أنّ الكشي ذكر أنه ممدوح</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نسب إلى العلامة تصحيحه حديثاً في سنده القاسم بن عروة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الشيخ المفيد إياه في كتابه المسائل الصاغانية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هذه القرائن الأربعة الأخيرة في المعجم، وإن ناقش في جميعها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 المفسرة للزينة</w:t>
      </w:r>
    </w:p>
    <w:p>
      <w:pPr>
        <w:pStyle w:val="BookText"/>
        <w:rPr/>
      </w:pPr>
      <w:r>
        <w:rPr>
          <w:rFonts w:ascii="Amiri" w:hAnsi="Amiri" w:eastAsia="Amiri" w:cs="Amiri"/>
          <w:color w:val="111111"/>
          <w:sz w:val="28"/>
          <w:sz w:val="28"/>
          <w:szCs w:val="28"/>
          <w:rtl w:val="true"/>
          <w:lang w:bidi="ar-SA"/>
        </w:rPr>
        <w:t>وهو ما ذكره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الروايات المفسرة للزينة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جواز الإبداء وجواز النظر</w:t>
      </w:r>
    </w:p>
    <w:p>
      <w:pPr>
        <w:pStyle w:val="BookText"/>
        <w:rPr/>
      </w:pPr>
      <w:r>
        <w:rPr>
          <w:rFonts w:ascii="Amiri" w:hAnsi="Amiri" w:eastAsia="Amiri" w:cs="Amiri"/>
          <w:color w:val="111111"/>
          <w:sz w:val="28"/>
          <w:sz w:val="28"/>
          <w:szCs w:val="28"/>
          <w:rtl w:val="true"/>
          <w:lang w:bidi="ar-SA"/>
        </w:rPr>
        <w:t>وقد مرّ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جملة إلا ما ظهر بالبعولة</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معارضة بها، وحيث إنّ هذه الرواية تفسير لتلك الجملة فهي لا تجدي في الاستدلال على جواز الإظهار للأجانب شيئاً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البحث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المهذب</w:t>
      </w:r>
    </w:p>
    <w:p>
      <w:pPr>
        <w:pStyle w:val="BookText"/>
        <w:rPr/>
      </w:pPr>
      <w:r>
        <w:rPr>
          <w:rFonts w:ascii="Amiri" w:hAnsi="Amiri" w:eastAsia="Amiri" w:cs="Amiri"/>
          <w:color w:val="111111"/>
          <w:sz w:val="28"/>
          <w:sz w:val="28"/>
          <w:szCs w:val="28"/>
          <w:rtl w:val="true"/>
          <w:lang w:bidi="ar-SA"/>
        </w:rPr>
        <w:t>وهو ما ذكره في المهذب،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أن يكون المراد من مثل هذه الأخبار عدم وجوب التحفظ عليهن لكونه موجبا للضيق والحرج، وحكم الظهور الاتفاقي لا الإظهار العمدي الاختياري، فإنه بعيد عن مذاق الشرع المجد على تحفظهن، والستر عليهن مهما أمكنه ذلك، بل ذلك بعيد عن مذاق المتشرعين والمتشرعات</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لذلك وجهاً آخر، وهو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أن يراد بها أيضاً عدم وجوب التحفظ عليهنّ لهذه المواضع عند احتمال وجود الأجنبي؛ لكونه عسراً وحرجاً، مع إمكان حملها على الظهور الاتفاقي لا تعمد الإظهار للأجانب لمواضع الزينة الظاهرة، فإنّه بعيد جداً عن مذاق الشرع والمتشرعة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أنّ على المرأة أن تتحفظ في ذراعها وسائر أنحاء بدنها إن احتملت وجود الأجنبي، أما بالنسبة إلى الوجه والكفين فحينما لا تعلم وجوده جاز أن تخرجهما، فإن اتفق وجوده سترتهما فوراً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إذ الحمل على عدم وجوب التحفظ عليهن خلاف ظاهر الآية الكريمة؛ لكون الجملة استثناء من عدم جواز الإبداء، فيكون مفادها جواز الإبداء، وليست استثناء من وجوب التحفظ كي يكون مفادها عدم وجوب التحفظ على ما ظهر منها، وشمول النهي في المستثنى منه للإبداء المسبب عن عدم التحفظ لا يقدح فيما ذكر؛ لكون مفاده حينئذٍ حرمة جميع أنواع الإبداء، فيكون مفاد المستثنى جواز جميع أنواع </w:t>
      </w:r>
    </w:p>
    <w:p>
      <w:pPr>
        <w:pStyle w:val="BookText"/>
        <w:rPr/>
      </w:pPr>
      <w:r>
        <w:rPr>
          <w:rFonts w:ascii="IRNazanin" w:hAnsi="IRNazanin" w:eastAsia="IRNazanin"/>
          <w:color w:val="111111"/>
          <w:sz w:val="28"/>
          <w:sz w:val="28"/>
          <w:szCs w:val="28"/>
          <w:rtl w:val="true"/>
          <w:lang w:bidi="fa-IR"/>
        </w:rPr>
        <w:t>الإبداء، لا خصوص الإبداء المسبب عن عدم التحفظ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تنهى عن الإبداء، فيكون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إبداء ما ظهر، ولم تأمر الآية بوجوب التحفظ إلا ما ظهر، حتى يقال بعدم وجوب التحفظ في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حملها على الظهور الاتفاقي فهو خلاف ظاهر الخبر</w:t>
      </w:r>
      <w:r>
        <w:rPr>
          <w:rStyle w:val="FootnoteAnchor"/>
          <w:rtl w:val="true"/>
        </w:rPr>
        <w:footnoteReference w:id="459"/>
      </w:r>
      <w:r>
        <w:rPr>
          <w:rFonts w:ascii="Amiri" w:hAnsi="Amiri" w:eastAsia="Amiri" w:cs="Amiri"/>
          <w:color w:val="111111"/>
          <w:sz w:val="28"/>
          <w:sz w:val="28"/>
          <w:szCs w:val="28"/>
          <w:rtl w:val="true"/>
          <w:lang w:bidi="ar-SA"/>
        </w:rPr>
        <w:t>إذ ظاهر اسم الفاعل في مثل المقام الظهور المستقر لا الظهور الاتفاقي غير المستقر،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كون مرجع الإشكال إلى ظهور الآية الكريمة في الظهور الاتفاقي، فتحمل الرواية المفسرة لها على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مضى التأمل في ظهور الآية الكريمة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إرادة الشارع التحفظ عليهن فهو مسلم، إلا أنّ صرف وجود المقتضي لا يكفي في وجود المقتضى، ما لم تجتمع جميع الشرائط وترتفع جميع الموانع، ولعل هناك في المقام شرطاً غير متوفر، أو مانعاً يمنع من تأثير ذلك المقتضي في المنع، ولعله لذا جوز الشارع للمرأة كشف الوجه في حالة الإحرام مع وجود المقتضي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الشرعية ليست تكوينية، فلإثبات الحكم الشرعي يكفي الظهور والعموم، فلا ضرورة للقول بتحقق احتمال عدم الشرط أو وجود المانع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المقتضي موجوداً والمانع مفقوداً والشرط متوفراً قطعنا </w:t>
      </w:r>
    </w:p>
    <w:p>
      <w:pPr>
        <w:pStyle w:val="BookText"/>
        <w:rPr/>
      </w:pPr>
      <w:r>
        <w:rPr>
          <w:rFonts w:ascii="Amiri" w:hAnsi="Amiri" w:eastAsia="Amiri" w:cs="Amiri"/>
          <w:color w:val="111111"/>
          <w:sz w:val="28"/>
          <w:sz w:val="28"/>
          <w:szCs w:val="28"/>
          <w:rtl w:val="true"/>
          <w:lang w:bidi="ar-SA"/>
        </w:rPr>
        <w:t>بوجود المعلول؛ لأنها تمثل العلة التامة، فلنفي وجود المعلول يكفي احتمال عدم وجود الشرط، أو احتمال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الجعل الشرعي أمر تكويني وإن كان المجعول أمراً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يريد التحفظ، لكن لعل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كالحرج أو ارتداد بعضهن عن الدين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رفع تأثير المقتضي في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وجود المقتضي فقد تحققت العلة التامة؛ لإمكان الحكم بارتفاع الموانع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قاعدة المقتضي والمانع وهي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السيد الرجائي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الاستثناء المنقطع</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وقد أراد إثبات الإجمال في الآية؛ لعدم دلالتها على كون الاستثناء متصلاً أو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لظهور الخبر في الظهور المستقر، ولا يصلح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كالاستثناء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الظاهر عن ظهوره،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الإجمال في الآية فلا إجمال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الرواية يرفع الإجمال عن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الكحل والخاتم أعم من النظر إلى الوجه والكفين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ذكره السيد الروحاني،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جواز النظر إلى الكحل والخاتم ولو إلى مواضعهما أعم من النظر إلى الوجه والكفين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307" w:name="pg15684_175414"/>
    </w:p>
    <w:p>
      <w:pPr>
        <w:pStyle w:val="BookText"/>
        <w:rPr/>
      </w:pPr>
      <w:bookmarkEnd w:id="307"/>
      <w:r>
        <w:rPr>
          <w:rFonts w:ascii="Amiri" w:hAnsi="Amiri" w:eastAsia="Amiri" w:cs="Amiri"/>
          <w:color w:val="111111"/>
          <w:sz w:val="28"/>
          <w:sz w:val="28"/>
          <w:szCs w:val="28"/>
          <w:rtl w:val="true"/>
          <w:lang w:bidi="ar-SA"/>
        </w:rPr>
        <w:t>وقال السيد الرجائي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إلغاء خصوصية الكحل والخاتم والتعدي إلى مطلق الوجه والكفين أو كونهما كناية عن الوجه والكفين غير مسموعة؛ لأنّ المرأة ربما تحتاج إلى إظهارهما بخصوصهما، من دون حاجة إلى إظهار غيرهما، كما إذا أرادت الخروج، فإنه يكفيها أن لا تستر عينها حتى ترى طريقها، وتخرج إحدى أصابعها التي فيها خاتم أو جميع أصابعها فقط</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من أدلة حرمة إظهار الوجه والكفين؛ لأنه في مقام بيان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الكحل والخاتم فقط، فيقتصر في الجواز عليهما، أو مع مواضعهما الملازم كشفهما لكشفها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فهم الخصوصية خلاف فهم جمهور الفقهاء</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1572806_2142443653"/>
      <w:bookmarkStart w:id="309" w:name="_Toc119"/>
      <w:bookmarkEnd w:id="308"/>
      <w:r>
        <w:rPr>
          <w:rtl w:val="true"/>
        </w:rPr>
        <w:t>الدليل الرابع</w:t>
      </w:r>
      <w:r>
        <w:rPr>
          <w:rtl w:val="true"/>
        </w:rPr>
        <w:t xml:space="preserve">: </w:t>
      </w:r>
      <w:r>
        <w:rPr>
          <w:rtl w:val="true"/>
        </w:rPr>
        <w:t>رواية أبي بصير</w:t>
      </w:r>
      <w:bookmarkEnd w:id="309"/>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عن سعدان بن مسلم،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والمسكة وهي القلب</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الإشكالات على الدليل الرابع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سعدان بن مسلم</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إذ لم يوثق في كتب الرجال، وقال المجلسي عن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دفع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في كامل الزيارات في زيارات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ذكره في شرح العروة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المبنى نظر، مع أنه عدل عنه، وتفصيل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تفسير القمي</w:t>
      </w:r>
      <w:r>
        <w:rPr>
          <w:rStyle w:val="FootnoteAnchor"/>
          <w:rtl w:val="true"/>
        </w:rPr>
        <w:footnoteReference w:id="468"/>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ولعله لذا عبر عن هذه الرواية في شرح العروة بالمعتبرة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والمبنى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القميين والأعاظم عنه، وفي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كثير من الأجلاء عنه توجب اعتبار حديثه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المبنى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عنه، كما ذكره الشيخ الطوسي في رجاله</w:t>
      </w:r>
      <w:r>
        <w:rPr>
          <w:rStyle w:val="FootnoteAnchor"/>
          <w:rtl w:val="true"/>
        </w:rPr>
        <w:footnoteReference w:id="472"/>
      </w:r>
      <w:r>
        <w:rPr>
          <w:rFonts w:ascii="Amiri" w:hAnsi="Amiri" w:eastAsia="Amiri" w:cs="Amiri"/>
          <w:color w:val="111111"/>
          <w:sz w:val="28"/>
          <w:sz w:val="28"/>
          <w:szCs w:val="28"/>
          <w:rtl w:val="true"/>
          <w:lang w:bidi="ar-SA"/>
        </w:rPr>
        <w:t>، وهو 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مرضي عندنا، فيثبت اعتباره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الكليني عنه في الكافي، ففي 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 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 وفي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 وفي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 وفي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 وفي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 وفي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فالمجموع ثلاث وثلاثون رواية،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مسلم، وأمّا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ففي الكافي روى عنه أكثر من عشرين رواية، وقد جزم في المعجم</w:t>
      </w:r>
      <w:r>
        <w:rPr>
          <w:rStyle w:val="FootnoteAnchor"/>
          <w:rtl w:val="true"/>
        </w:rPr>
        <w:footnoteReference w:id="473"/>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تم ذلك كان المجموع خمسين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أنّ إكثار الكليني طريق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قال السيد الرجائي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السند سعدان بن مسلم، وهو غير موثق في كتب الرجال، بل عن موضع من الوجيزة أنه ضعيف</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ثبت ذلك تعارض الجرح والتوثيق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فيها، والمذكور فيها برقم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مجهول</w:t>
      </w:r>
      <w:r>
        <w:rPr>
          <w:rStyle w:val="FootnoteAnchor"/>
          <w:rtl w:val="true"/>
        </w:rPr>
        <w:footnoteReference w:id="475"/>
      </w:r>
      <w:r>
        <w:rPr>
          <w:rFonts w:ascii="Amiri" w:hAnsi="Amiri" w:eastAsia="Amiri" w:cs="Amiri"/>
          <w:color w:val="111111"/>
          <w:sz w:val="28"/>
          <w:sz w:val="28"/>
          <w:szCs w:val="28"/>
          <w:rtl w:val="true"/>
          <w:lang w:bidi="ar-SA"/>
        </w:rPr>
        <w:t xml:space="preserve">، و في </w:t>
      </w:r>
    </w:p>
    <w:p>
      <w:pPr>
        <w:pStyle w:val="BookText"/>
        <w:rPr/>
      </w:pP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بحسنه عند ذكر طريق الصدوق إليه بعد القول بجهالته عند المشهور</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أدلة التوثيق أقوى من تضعيف المجلسي لو 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تدل على الوثاقة على العموم، وتضعيف المجلسي خاص، فيتقدم الخاص على العام، ويكون استثناءً من التوثيق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دليل على توثيقه على المبنى، وهو متقدم ومعاصر، فيحصل التعارض بينهما، ويتقدم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مختص باليد فلا يشمل الوجه</w:t>
      </w:r>
    </w:p>
    <w:p>
      <w:pPr>
        <w:pStyle w:val="BookText"/>
        <w:rPr/>
      </w:pPr>
      <w:r>
        <w:rPr>
          <w:rFonts w:ascii="Amiri" w:hAnsi="Amiri" w:eastAsia="Amiri" w:cs="Amiri"/>
          <w:color w:val="111111"/>
          <w:sz w:val="28"/>
          <w:sz w:val="28"/>
          <w:szCs w:val="28"/>
          <w:rtl w:val="true"/>
          <w:lang w:bidi="ar-SA"/>
        </w:rPr>
        <w:t>ما ذكره السيد الروحاني،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مختص باليد، ولا يكون متعرضاً للوجه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أيضاً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لعدم معرفتنا بالملاكات، بل الأولوية معكوسة؛ لأنّ الوجه أكثر فتنة من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للإجماع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السيد الروحاني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دل على الجواز لدل على جواز النظر إلى موضع السوار، وهو ما فوق الكف، وهو لا يجوز بالإجماع</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310" w:name="pg15684_175418"/>
    </w:p>
    <w:p>
      <w:pPr>
        <w:pStyle w:val="BookText"/>
        <w:rPr/>
      </w:pPr>
      <w:bookmarkEnd w:id="310"/>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يخصص بالأدلة الخارجية بما كان في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السوار في الكف لا فوقه، فإن الكف إلى الزندين، وقد دلت الرواية على جواز النظر إلى السوار، فتدل على جواز النظر إلى الكف بالملازمة العرفية، وأمّا ما فوق الكف فهو خارج بالأدلة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بعض الرواية لا يوجب الوهن في باقيها، فالمسكة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بالدليل الخارجي، فيبقى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واشتمال بعض تلك على ما لا يجوز النظر إليه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كالقدمين وموضع 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إذ خروج بعض خبر بدليل لا يوهن في غيره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الكلام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الرابع</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1572808_2142443653"/>
      <w:bookmarkStart w:id="312" w:name="_Toc120"/>
      <w:bookmarkEnd w:id="311"/>
      <w:r>
        <w:rPr>
          <w:rtl w:val="true"/>
        </w:rPr>
        <w:t>الدليل الخامس</w:t>
      </w:r>
      <w:r>
        <w:rPr>
          <w:rtl w:val="true"/>
        </w:rPr>
        <w:t xml:space="preserve">: </w:t>
      </w:r>
      <w:r>
        <w:rPr>
          <w:rtl w:val="true"/>
        </w:rPr>
        <w:t>رواية مروك بن عبيد</w:t>
      </w:r>
      <w:bookmarkEnd w:id="312"/>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مروك بن عبيد،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يحل للرجل أن يرى من المرأة إذا لم يكن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 والقدمان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الإشكالات على الدليل الخامس</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مرسلة</w:t>
      </w:r>
    </w:p>
    <w:p>
      <w:pPr>
        <w:pStyle w:val="BookText"/>
        <w:rPr/>
      </w:pPr>
      <w:r>
        <w:rPr>
          <w:rFonts w:ascii="Amiri" w:hAnsi="Amiri" w:eastAsia="Amiri" w:cs="Amiri"/>
          <w:color w:val="111111"/>
          <w:sz w:val="28"/>
          <w:sz w:val="28"/>
          <w:szCs w:val="28"/>
          <w:rtl w:val="true"/>
          <w:lang w:bidi="ar-SA"/>
        </w:rPr>
        <w:t>إنّ الرواية مرسلة وإن كانت في الكافي،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الكافي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إرساله ربما لا يهم؛ لأنّ في سنده أحمد بن محمد بن عيسى، الذي أخرج البرقي من قم؛ لأنه يعتمد الضعفاء ويروي المراسيل</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لأنه يحتمل كون العلة الإكثار من ذلك، ولعل ذلك إشارة إلى قسم خاص من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ينقل الشخص رواية مرسلة واحدة، لكن لا يكثر النقل ولا يكون دأبه ذلك، كما هو الحال بالنسبة إلى بعض من يطمئن بسرعة فينقل بكثرة، ولعل البرقي كان كذلك فلذا اُخرج، و يؤيده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يدل على التجدد والاستمرار، فلا يمنع ذلك من نقل مرسلة واحدة؛ لقوة مضمونها، أو لعدم مخالفتها لشيء، وهذا خلاف مَن دأبه كذلك، فالقدح كثرة الرواية لا الرواية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الرواية على جواز النظر إلى القدمين</w:t>
      </w:r>
    </w:p>
    <w:p>
      <w:pPr>
        <w:pStyle w:val="BookText"/>
        <w:rPr/>
      </w:pPr>
      <w:r>
        <w:rPr>
          <w:rFonts w:ascii="Amiri" w:hAnsi="Amiri" w:eastAsia="Amiri" w:cs="Amiri"/>
          <w:color w:val="111111"/>
          <w:sz w:val="28"/>
          <w:sz w:val="28"/>
          <w:szCs w:val="28"/>
          <w:rtl w:val="true"/>
          <w:lang w:bidi="ar-SA"/>
        </w:rPr>
        <w:t>ما ذكره السيد الروحاني،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مشتمل على جواز النظر إلى القدمين ولا قائل به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تقدم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تضمنت زيادة القدمين، مع أن ظاهر </w:t>
      </w:r>
    </w:p>
    <w:p>
      <w:pPr>
        <w:pStyle w:val="BookText"/>
        <w:rPr/>
      </w:pPr>
      <w:r>
        <w:rPr>
          <w:rFonts w:ascii="Amiri" w:hAnsi="Amiri" w:eastAsia="Amiri" w:cs="Amiri"/>
          <w:color w:val="111111"/>
          <w:sz w:val="28"/>
          <w:sz w:val="28"/>
          <w:szCs w:val="28"/>
          <w:rtl w:val="true"/>
          <w:lang w:bidi="ar-SA"/>
        </w:rPr>
        <w:t>كلامهم تخصيص الاستثناء بالوجه 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كما ترى صريحة في استثنائه أيضاً، ويؤيده ما صرحوا به في كتاب الصلاة، حيث إنّ المشهور بينهم أن بدن المرأة كله عورة، ما خلا الوجه والكفين والقدمين فلم يوجبوا ستره في الصلاة، وهو أظهر ظاهر في تجويزهم النظر إلى هذه الثلاثة المذكورة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الستر الصلاتي غير الستر الواجب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الوالد، حيث جوز عدم ستر القدمين</w:t>
      </w:r>
      <w:r>
        <w:rPr>
          <w:rStyle w:val="FootnoteAnchor"/>
          <w:rtl w:val="true"/>
        </w:rPr>
        <w:footnoteReference w:id="484"/>
      </w:r>
      <w:r>
        <w:rPr>
          <w:rFonts w:ascii="Amiri" w:hAnsi="Amiri" w:eastAsia="Amiri" w:cs="Amiri"/>
          <w:color w:val="111111"/>
          <w:sz w:val="28"/>
          <w:sz w:val="28"/>
          <w:szCs w:val="28"/>
          <w:rtl w:val="true"/>
          <w:lang w:bidi="ar-SA"/>
        </w:rPr>
        <w:t xml:space="preserve">، وقد اعتمد الكليني على الرواية، ومال إليه صاحب الحدائق، ومقتضى الاعتبار أيضاً ذلك؛ لأن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الفلاحات والقرويات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يلبسن الجورب، وقد بحثت شخصياً قبل سنوات حينما كنت في الحج فلم أرَ أصحاب المحلات والأسواق مَن يعرف الجورب، مما يدل على ذلك، لكن الأمر مشكل وبحاجة إلى بحث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محتملة للنظر الاتفاقي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الجواهر في بعض أخبار الباب،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 لإرادة النظر الاتفاقي الذي يكون مقدماته اختيارية، على معنى أنه لا يجب على الرجل الغض باحتمال وقوع نظره على وجه أجنبية وكفيها أو مظنته للعسر والحرج وإن وجب عليه ذلك بالنسبة إلى باقي بدنها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313" w:name="pg15684_175421"/>
    </w:p>
    <w:p>
      <w:pPr>
        <w:pStyle w:val="BookText"/>
        <w:rPr/>
      </w:pPr>
      <w:bookmarkEnd w:id="313"/>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الرجل وقوع نظره على وجه المرأة وكفيها جاز له النظر، بخلاف غيرهما كالذراع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جواز الرؤية بعدم وجوب التحفظ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لبيان الحلية في الجملة</w:t>
      </w:r>
    </w:p>
    <w:p>
      <w:pPr>
        <w:pStyle w:val="BookText"/>
        <w:rPr/>
      </w:pPr>
      <w:r>
        <w:rPr>
          <w:rFonts w:ascii="Amiri" w:hAnsi="Amiri" w:eastAsia="Amiri" w:cs="Amiri"/>
          <w:color w:val="111111"/>
          <w:sz w:val="28"/>
          <w:sz w:val="28"/>
          <w:szCs w:val="28"/>
          <w:rtl w:val="true"/>
          <w:lang w:bidi="ar-SA"/>
        </w:rPr>
        <w:t>ما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أيضاً إرادة بيان حلية ذلك في الجملة، ولو للقواعد من النساء، أو لغير أولي الإربة من الرجال ولغير ذلك</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تقييد للمطلق بدون دليل ظاهر</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1572810_2142443653"/>
      <w:bookmarkStart w:id="315" w:name="_Toc121"/>
      <w:bookmarkEnd w:id="314"/>
      <w:r>
        <w:rPr>
          <w:rtl w:val="true"/>
        </w:rPr>
        <w:t>الدليل السادس</w:t>
      </w:r>
      <w:r>
        <w:rPr>
          <w:rtl w:val="true"/>
        </w:rPr>
        <w:t xml:space="preserve">: </w:t>
      </w:r>
      <w:r>
        <w:rPr>
          <w:rtl w:val="true"/>
        </w:rPr>
        <w:t>رواية مسعدة بن زياد</w:t>
      </w:r>
      <w:bookmarkEnd w:id="315"/>
    </w:p>
    <w:p>
      <w:pPr>
        <w:pStyle w:val="BookText"/>
        <w:rPr/>
      </w:pPr>
      <w:r>
        <w:rPr>
          <w:rFonts w:ascii="Amiri" w:hAnsi="Amiri" w:eastAsia="Amiri" w:cs="Amiri"/>
          <w:color w:val="111111"/>
          <w:sz w:val="28"/>
          <w:sz w:val="28"/>
          <w:szCs w:val="28"/>
          <w:rtl w:val="true"/>
          <w:lang w:bidi="ar-SA"/>
        </w:rPr>
        <w:t>وهي كما ينقلها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في قرب الإسناد، عن هارون بن مسلم، عن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جعفراً وسئل عما تظهر المرأة من زينتها،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والكفين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 عنها بالصحيحة كل من صاحب الجواهر والسيد الوالد والسيد السبزواري والسيد الروحاني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عبر عنها السيد الخوئي بالموثقة</w:t>
      </w:r>
      <w:r>
        <w:rPr>
          <w:rStyle w:val="FootnoteAnchor"/>
          <w:rtl w:val="true"/>
        </w:rPr>
        <w:footnoteReference w:id="489"/>
      </w:r>
      <w:r>
        <w:rPr>
          <w:rFonts w:ascii="Amiri" w:hAnsi="Amiri" w:eastAsia="Amiri" w:cs="Amiri"/>
          <w:color w:val="111111"/>
          <w:sz w:val="28"/>
          <w:sz w:val="28"/>
          <w:szCs w:val="28"/>
          <w:rtl w:val="true"/>
          <w:lang w:bidi="ar-SA"/>
        </w:rPr>
        <w:t>، ولم يظهر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الإشكالات على الدليل السادس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الاستدلال بهذه الرواية إشكالات، مضافاً إلى بعض </w:t>
      </w:r>
    </w:p>
    <w:p>
      <w:pPr>
        <w:pStyle w:val="BookText"/>
        <w:rPr/>
      </w:pPr>
      <w:r>
        <w:rPr>
          <w:rFonts w:ascii="Amiri" w:hAnsi="Amiri" w:eastAsia="Amiri" w:cs="Amiri"/>
          <w:color w:val="111111"/>
          <w:sz w:val="28"/>
          <w:sz w:val="28"/>
          <w:szCs w:val="28"/>
          <w:rtl w:val="true"/>
          <w:lang w:bidi="ar-SA"/>
        </w:rPr>
        <w:t>الإشكالات المتقدمة، كإشكال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w:t>
      </w:r>
    </w:p>
    <w:p>
      <w:pPr>
        <w:pStyle w:val="BookText"/>
        <w:rPr/>
      </w:pPr>
      <w:r>
        <w:rPr>
          <w:rFonts w:ascii="Amiri" w:hAnsi="Amiri" w:eastAsia="Amiri" w:cs="Amiri"/>
          <w:color w:val="111111"/>
          <w:sz w:val="28"/>
          <w:sz w:val="28"/>
          <w:szCs w:val="28"/>
          <w:rtl w:val="true"/>
          <w:lang w:bidi="ar-SA"/>
        </w:rPr>
        <w:t>وهو إشكال مهم؛ لأنه يسقط مئات الروايات عن الحجية والاعتبار، وقد ذكره السيد الرجائي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أنّ قرب الإسناد الموجود هو قرب الإسناد الذي للحميري، فإنه قد عد من كتبه قرب الإسناد، لكن لا طريق لنا إلى أنّ هذا الموجود هو ذاك، وأمّا دعوى أنّ لصاحب الوسائل طريقاً إلى الكتاب ففيها أنّ الذي يظهر منه في فوائد الوسائل أنه ثبت عنده أنّ الكتب التي روى عنها هي لأربابها بالقرائن، فالكتاب المذكور عنده كالمعلوم كونه للحميري، ولم يصل إليه الكتاب بالمناولة إلى أن ينتهي إلى الحميري</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إخبار الثقة يحمل على الحس عند الدوران بينه وبين الحدس، وبمثل هذا الجواب يجاب عن إشكال احتمال الحدس في توثيقات الرجاليين لمَن لم يعاصروهم، كما أنّ به يجاب عن إشكال احتمال الحدس في شهادة البينة والعدل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الحس قائم بأن وصل إليه الكتاب يداً بيد، أو مناولة من شيخ إلى شيخ، أو قراءة على شيخ، أو سماعاً من شيخ، أو كون القرائن القائمة حسية أو قريبة من الحس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بيان بعض الطرق التي نروي بها الكتب المذكورة عن مؤلفيها</w:t>
      </w:r>
      <w:r>
        <w:rPr>
          <w:rStyle w:val="FootnoteAnchor"/>
          <w:rtl w:val="true"/>
        </w:rPr>
        <w:footnoteReference w:id="491"/>
      </w:r>
      <w:r>
        <w:rPr>
          <w:rFonts w:ascii="Amiri" w:hAnsi="Amiri" w:eastAsia="Amiri" w:cs="Amiri"/>
          <w:color w:val="111111"/>
          <w:sz w:val="28"/>
          <w:sz w:val="28"/>
          <w:szCs w:val="28"/>
          <w:rtl w:val="true"/>
          <w:lang w:bidi="ar-SA"/>
        </w:rPr>
        <w:t xml:space="preserve">، وإنما ذكرنا ذلك تيمناً وتبركاً، باتصال السلسلة </w:t>
      </w:r>
    </w:p>
    <w:p>
      <w:pPr>
        <w:pStyle w:val="BookText"/>
        <w:rPr/>
      </w:pPr>
      <w:r>
        <w:rPr>
          <w:rFonts w:ascii="Amiri" w:hAnsi="Amiri" w:eastAsia="Amiri" w:cs="Amiri"/>
          <w:color w:val="111111"/>
          <w:sz w:val="28"/>
          <w:sz w:val="28"/>
          <w:szCs w:val="28"/>
          <w:rtl w:val="true"/>
          <w:lang w:bidi="ar-SA"/>
        </w:rPr>
        <w:t xml:space="preserve">بأصحاب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لتوقف العمل عليه؛ لتواتر تلك الكتب وقيام القرائن على صحتها وثبوتها، كما يأتي إن شاء اللّه تعالى</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الكتب المعتمدة التي نقلت منها أحاديث هذا الكتاب، وشهد بصحتها مؤلفوها وغيرهم وقامت القرائن على ثبوتها، وتواترت عن مؤلفيها، أو علمت صحة نسبتها إليهم بحيث لم يبق فيها شك ولا ريب</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وذكر كتاب قرب الإسناد تحت رقم </w:t>
      </w:r>
      <w:r>
        <w:rPr>
          <w:rFonts w:eastAsia="Amiri" w:cs="Amiri" w:ascii="Amiri" w:hAnsi="Amiri"/>
          <w:color w:val="111111"/>
          <w:sz w:val="28"/>
          <w:szCs w:val="28"/>
          <w:lang w:bidi="ar-SA"/>
        </w:rPr>
        <w:t>26</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حدس الخبير إذا لم يثبت خطؤه حجة، كما هو الحال في حدس المقومين،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والفقهاء عادة يعتمدون على قرب الإسناد في كتبهم الفقهية، ومنها ما نقلناه عن الجواهر وشرح العروة والفقه والمهذب وفقه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مضطربة المتن</w:t>
      </w:r>
    </w:p>
    <w:p>
      <w:pPr>
        <w:pStyle w:val="BookText"/>
        <w:rPr/>
      </w:pPr>
      <w:r>
        <w:rPr>
          <w:rFonts w:ascii="Amiri" w:hAnsi="Amiri" w:eastAsia="Amiri" w:cs="Amiri"/>
          <w:color w:val="111111"/>
          <w:sz w:val="28"/>
          <w:sz w:val="28"/>
          <w:szCs w:val="28"/>
          <w:rtl w:val="true"/>
          <w:lang w:bidi="ar-SA"/>
        </w:rPr>
        <w:t>وهو ما ذكره السيد الرجائي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الاضطراب في متن الرواية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وهو إشكال يسقط كل الروايات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قرب الإسناد من الأصول المعتبرة المشهورة، وكتبناه من نسخة قديمة مأخوذة من خط الشيخ محمد بن إدريس، وكان عليها صورة خطه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الذي نقلته منه كان فيه لحن صريح وكلام </w:t>
      </w:r>
    </w:p>
    <w:p>
      <w:pPr>
        <w:pStyle w:val="BookText"/>
        <w:rPr/>
      </w:pPr>
      <w:r>
        <w:rPr>
          <w:rFonts w:ascii="Amiri" w:hAnsi="Amiri" w:eastAsia="Amiri" w:cs="Amiri"/>
          <w:color w:val="111111"/>
          <w:sz w:val="28"/>
          <w:sz w:val="28"/>
          <w:szCs w:val="28"/>
          <w:rtl w:val="true"/>
          <w:lang w:bidi="ar-SA"/>
        </w:rPr>
        <w:t>مضطرب، فصورته على ما وجدته خوفاً من التغيير والتبديل، فالناظر فيه يمهد العذر فقد بينت عذري فيه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عن هذا الإشكال بنظير ما ذكره الشيخ الأعظم في غير المقام في الجواب عن شبهة قادحية التحريف على القول به في حجية ظواهر الكتاب، حيث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وقوع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التمسك بالظواهر؛ لعدم العلم الإجمالي باختلال الظواهر بذلك، مع أنه لو علم لكان من قبيل الشبهة الغير المحصورة</w:t>
      </w:r>
      <w:r>
        <w:rPr>
          <w:rStyle w:val="FootnoteAnchor"/>
          <w:rtl w:val="true"/>
        </w:rPr>
        <w:footnoteReference w:id="497"/>
      </w:r>
      <w:r>
        <w:rPr>
          <w:rFonts w:ascii="Amiri" w:hAnsi="Amiri" w:eastAsia="Amiri" w:cs="Amiri"/>
          <w:color w:val="111111"/>
          <w:sz w:val="28"/>
          <w:sz w:val="28"/>
          <w:szCs w:val="28"/>
          <w:rtl w:val="true"/>
          <w:lang w:bidi="ar-SA"/>
        </w:rPr>
        <w:t>، مع أنه لو كان من قبيل الشبهة المحصورة أمكن القول بعدم قدحه؛ لاحتمال كون الظاهر المصروف عن ظاهره من الظواهر الغير المتعلقة</w:t>
      </w:r>
      <w:r>
        <w:rPr>
          <w:rStyle w:val="FootnoteAnchor"/>
          <w:rtl w:val="true"/>
        </w:rPr>
        <w:footnoteReference w:id="498"/>
      </w:r>
      <w:r>
        <w:rPr>
          <w:rFonts w:ascii="Amiri" w:hAnsi="Amiri" w:eastAsia="Amiri" w:cs="Amiri"/>
          <w:color w:val="111111"/>
          <w:sz w:val="28"/>
          <w:sz w:val="28"/>
          <w:szCs w:val="28"/>
          <w:rtl w:val="true"/>
          <w:lang w:bidi="ar-SA"/>
        </w:rPr>
        <w:t>بالأحكام الشرعية العملية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 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نوعان، فقد يخل بالظواهر وقد لا يخل، ولا علم بأن اللحن والتحريف الواقع هل أخل بها أم لا؟ والعلم الإجمالي أنما يكون مؤثراً إذا ترتب عليه الأثر على كل تقدير، أما إذا ترتب عليه الأثر على تقدير دون تقدير فلا أثر له؛ لاحتمال كون التحريف من النوع الذي لا يوجب اختلال الظاهر 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حصول العلم بأنه من التحريفات المخلة بالظاهر، لكنه </w:t>
      </w:r>
    </w:p>
    <w:p>
      <w:pPr>
        <w:pStyle w:val="BookText"/>
        <w:rPr/>
      </w:pPr>
      <w:r>
        <w:rPr>
          <w:rFonts w:ascii="Amiri" w:hAnsi="Amiri" w:eastAsia="Amiri" w:cs="Amiri"/>
          <w:color w:val="111111"/>
          <w:sz w:val="28"/>
          <w:sz w:val="28"/>
          <w:szCs w:val="28"/>
          <w:rtl w:val="true"/>
          <w:lang w:bidi="ar-SA"/>
        </w:rPr>
        <w:t>شبهة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 شبهة محصورة احتمل أنه ليس في آيات الأحكام، بل في آيات العقائد مثلاً، أو قصص التاريخ أو ذم شخص، فلا يكون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الأجوبة الثلاثة يمكن تطبيقها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فيما ذكره الشيخ من الأجوبة الثلاثة نظر؛ فلا ينفع لا في ذلك المقام، ولا في هذا المقام؛ إذ احتمال وقوع التحريف في القرائن المتصلة فيما هو محل الابتلاء مع احتمال الكثرة يمنع عن انعقاد أصل الظهور عند العقلاء، فإنّ انعقاد الظهور موقوف على ثبوت عدم وجود قرينة متصلة فيما هو محل الابتلاء، أو قلته بنحو لا يعتني به العقلاء، ولم يثبت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التحريف ينفي الحجية لا الظهور، كالرواية العامية، حيث لا إشكال في ظهورها، وإنما الإشكال في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الحاصل إما في منفصل أو متصل، فمع احتمال وقوع التحريف في القرائن المتصلة فيما هو محل الابتلاء لا ينعقد الظهور أصلاً؛ لأنّ انعقاد الظهور عند العقلاء موقوف على ثبوت عدم وجود قرينة متصلة، ومع وجود هذا الاحتمال لم ينعقد الظهور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التحريف فيما هو محل الابتلاء قليلاً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كواحد في عشرة آلاف مما لا يعتني به العقلاء</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 أما مع احتمال الكثير في </w:t>
      </w:r>
    </w:p>
    <w:p>
      <w:pPr>
        <w:pStyle w:val="BookText"/>
        <w:rPr/>
      </w:pPr>
      <w:r>
        <w:rPr>
          <w:rFonts w:ascii="Amiri" w:hAnsi="Amiri" w:eastAsia="Amiri" w:cs="Amiri"/>
          <w:color w:val="111111"/>
          <w:sz w:val="28"/>
          <w:sz w:val="28"/>
          <w:szCs w:val="28"/>
          <w:rtl w:val="true"/>
          <w:lang w:bidi="ar-SA"/>
        </w:rPr>
        <w:t>الكثير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لم يعلم حدود الاضطراب وكمية الروايات المضطربة، وهل هي في روايات الأحكام أو الأدعية أو في مقدمة الكتاب؛ لأنّ عبارة ابن إدريس مجملة، ومثله يسلب الحجية عن الكتاب؟</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الاضطراب في النسخة التي وصلت إلى المجلسي لا يلازم وقوع الاضطراب في النسخة التي وصلت إلى صاحب الوسائل، فلصاحب الوسائل طريق لا يمر إلى المجلسي ولا إلى ابن إدريس، وقد ذكر طريقه في خاتمة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تتعلّق بمعنى اللحن والاضطراب</w:t>
      </w:r>
    </w:p>
    <w:p>
      <w:pPr>
        <w:pStyle w:val="BookText"/>
        <w:rPr/>
      </w:pPr>
      <w:r>
        <w:rPr>
          <w:rFonts w:ascii="Amiri" w:hAnsi="Amiri" w:eastAsia="Amiri" w:cs="Amiri"/>
          <w:color w:val="111111"/>
          <w:sz w:val="28"/>
          <w:sz w:val="28"/>
          <w:szCs w:val="28"/>
          <w:rtl w:val="true"/>
          <w:lang w:bidi="ar-SA"/>
        </w:rPr>
        <w:t>فقد ورد في تلك العبارة المذكورة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 لحن صريح وكلام مضطرب</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واللحن كما في بعض المعاجم اللغوية بمعنى الخطأ في الإعراب والبناء</w:t>
      </w:r>
      <w:r>
        <w:rPr>
          <w:rStyle w:val="FootnoteAnchor"/>
          <w:rtl w:val="true"/>
        </w:rPr>
        <w:footnoteReference w:id="502"/>
      </w:r>
      <w:r>
        <w:rPr>
          <w:rFonts w:ascii="Amiri" w:hAnsi="Amiri" w:eastAsia="Amiri" w:cs="Amiri"/>
          <w:color w:val="111111"/>
          <w:sz w:val="28"/>
          <w:sz w:val="28"/>
          <w:szCs w:val="28"/>
          <w:rtl w:val="true"/>
          <w:lang w:bidi="ar-SA"/>
        </w:rPr>
        <w:t>، كرفع المنصوب مثلاً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الاضطراب، فقد فسر في بعض الكتب الدرائية باختلاف الراوي أو الرواة في المتن أو الإسناد</w:t>
      </w:r>
      <w:r>
        <w:rPr>
          <w:rStyle w:val="FootnoteAnchor"/>
          <w:rtl w:val="true"/>
        </w:rPr>
        <w:footnoteReference w:id="503"/>
      </w:r>
      <w:r>
        <w:rPr>
          <w:rFonts w:ascii="Amiri" w:hAnsi="Amiri" w:eastAsia="Amiri" w:cs="Amiri"/>
          <w:color w:val="111111"/>
          <w:sz w:val="28"/>
          <w:sz w:val="28"/>
          <w:szCs w:val="28"/>
          <w:rtl w:val="true"/>
          <w:lang w:bidi="ar-SA"/>
        </w:rPr>
        <w:t>، فيروي مرة بوجه وأخرى على وجه 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فالاضطراب في السند كأن يروي مرة عن الشخص بلا واسطة، وأخرى مع 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والاضطراب في المتن كأن يروي تارة أنه يعتبر ما يخرج من الجانب الأيمن حيضاً عند الاشتباه بالقرحة، وأخرى أنه يعتبر ما يخرج من الجانب الأيسر حيضاً، وحيث إنّ اللحن والاضطراب يمكن أن يؤديا إلى اختلاف المعنى أو الحكم، فالاعتماد على ما ثبت فيه الخطأ والاضطراب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السؤال عما تظهره المرأة للمحارم</w:t>
      </w:r>
    </w:p>
    <w:p>
      <w:pPr>
        <w:pStyle w:val="BookText"/>
        <w:rPr/>
      </w:pPr>
      <w:r>
        <w:rPr>
          <w:rFonts w:ascii="Amiri" w:hAnsi="Amiri" w:eastAsia="Amiri" w:cs="Amiri"/>
          <w:color w:val="111111"/>
          <w:sz w:val="28"/>
          <w:sz w:val="28"/>
          <w:szCs w:val="28"/>
          <w:rtl w:val="true"/>
          <w:lang w:bidi="ar-SA"/>
        </w:rPr>
        <w:t xml:space="preserve">ما ذكره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السؤال عما تُظهره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مسعدة يحكي سؤالاً سأله رجل الإمام، وهذا السؤال لو لم يكن ظاهراً فيما تُظهره المرأة من الزينة للمحارم فلا أقل من إجماله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المتعلق يفيد العموم، فلو أراد السؤال عما تظهره المرأة لمحارمها لقيد ذلك، فعدم التقييد يدل على أنّ الإظهار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معارضة بغيرها</w:t>
      </w:r>
    </w:p>
    <w:p>
      <w:pPr>
        <w:pStyle w:val="BookText"/>
        <w:rPr/>
      </w:pPr>
      <w:r>
        <w:rPr>
          <w:rFonts w:ascii="Amiri" w:hAnsi="Amiri" w:eastAsia="Amiri" w:cs="Amiri"/>
          <w:color w:val="111111"/>
          <w:sz w:val="28"/>
          <w:sz w:val="28"/>
          <w:szCs w:val="28"/>
          <w:rtl w:val="true"/>
          <w:lang w:bidi="ar-SA"/>
        </w:rPr>
        <w:t>وهو ما ذكره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ظهوره في جواز إظهارها الوجه والكفين للأجانب، لعارضه خبر أبي بصير وخبر زرارة، وخبر أبي الجارود</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لأنه لا معارضة عرفاً؛ إذ يحمل كل منها على بيان بعض المصاديق، وقد سبق بيان ذلك في جواب الإشكال الرابع على الدليل الأول، فراجع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تعارض؛ لأنّ السؤال عن تفسير الزينة في الآية، والسؤال </w:t>
      </w:r>
      <w:bookmarkStart w:id="316" w:name="pg15684_175428"/>
    </w:p>
    <w:p>
      <w:pPr>
        <w:pStyle w:val="BookText"/>
        <w:rPr/>
      </w:pPr>
      <w:bookmarkEnd w:id="316"/>
      <w:r>
        <w:rPr>
          <w:rFonts w:ascii="Amiri" w:hAnsi="Amiri" w:eastAsia="Amiri" w:cs="Amiri"/>
          <w:color w:val="111111"/>
          <w:sz w:val="28"/>
          <w:sz w:val="28"/>
          <w:szCs w:val="28"/>
          <w:rtl w:val="true"/>
          <w:lang w:bidi="ar-SA"/>
        </w:rPr>
        <w:t>الآخر عما تظهره المرأة، فلا معارضة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جواز إظهار الكحل والخاتم يدل على عدم جواز إظهار الوجه والكفين؛ لأنه في مقام التحديد، والدليل الآخر يجوز إظهار الوجه والكفين، فتحصل المعارضة، فما ذكرناه من بيان بعض المصاديق هو الجواب، وقد مضى الوجه الفني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تلك الأخبار الزينة العرضية، وموضوع هذا الخبر الزينة الذاتية، كما أشار إليه بنفسه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11572812_2142443653"/>
      <w:bookmarkStart w:id="318" w:name="_Toc122"/>
      <w:bookmarkEnd w:id="317"/>
      <w:r>
        <w:rPr>
          <w:rtl w:val="true"/>
        </w:rPr>
        <w:t>الدليل السابع</w:t>
      </w:r>
      <w:r>
        <w:rPr>
          <w:rtl w:val="true"/>
        </w:rPr>
        <w:t xml:space="preserve">: </w:t>
      </w:r>
      <w:r>
        <w:rPr>
          <w:rtl w:val="true"/>
        </w:rPr>
        <w:t>صحيحة الفضيل</w:t>
      </w:r>
      <w:bookmarkEnd w:id="318"/>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Style w:val="FootnoteAnchor"/>
          <w:rtl w:val="true"/>
        </w:rPr>
        <w:footnoteReference w:id="507"/>
      </w:r>
      <w:r>
        <w:rPr>
          <w:rFonts w:ascii="Amiri" w:hAnsi="Amiri" w:eastAsia="Amiri" w:cs="Amiri"/>
          <w:color w:val="111111"/>
          <w:sz w:val="28"/>
          <w:sz w:val="28"/>
          <w:szCs w:val="28"/>
          <w:rtl w:val="true"/>
          <w:lang w:bidi="ar-SA"/>
        </w:rPr>
        <w:t>، عن أحمد بن محمد بن عيسى، عن ابن محبوب، عن جميل بن دراج، عن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الذراعين من المرأة، هما من الزينة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الخمار من الزينة وما دون السوارين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أسفل، وأمّا احتمال كون دون بمعنى تحت،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يستره الخمار والسواران، أو كونه بمعنى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المقاييس</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فمعنى دون الخمار ما قرب من الخمار، وهو الوجه والعنق </w:t>
      </w:r>
    </w:p>
    <w:p>
      <w:pPr>
        <w:pStyle w:val="BookText"/>
        <w:rPr/>
      </w:pPr>
      <w:r>
        <w:rPr>
          <w:rFonts w:ascii="Amiri" w:hAnsi="Amiri" w:eastAsia="Amiri" w:cs="Amiri"/>
          <w:color w:val="111111"/>
          <w:sz w:val="28"/>
          <w:sz w:val="28"/>
          <w:szCs w:val="28"/>
          <w:rtl w:val="true"/>
          <w:lang w:bidi="ar-SA"/>
        </w:rPr>
        <w:t>وبعض شعر مقدم الرأس، ومعنى ما دون السوارين ما قرب منهما من الذراع والكف، أو كونه بمعنى غير،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يعطى ولد دون ولد، فمعنى الرواية الشريفة أن غير الخمار وغير السوارين مما تتزين به المرأة من الزينة، لا يجوز إبداؤها إلا للمحارم، فكل ذلك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تحت، يعني ما تحت الخمار،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القرب،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من الخمار والسوارين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أسفل مقابل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الأخير خلاف الظاهر، بل ربما خلاف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التفصيل قاطع للشركة، فما فوق الخمار والسوارين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والكفين لا بأس بإبدائهما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w:t>
      </w:r>
      <w:r>
        <w:rPr>
          <w:rStyle w:val="FootnoteAnchor"/>
          <w:rtl w:val="true"/>
        </w:rPr>
        <w:footnoteReference w:id="510"/>
      </w:r>
      <w:r>
        <w:rPr>
          <w:rFonts w:ascii="Amiri" w:hAnsi="Amiri" w:eastAsia="Amiri" w:cs="Amiri"/>
          <w:color w:val="111111"/>
          <w:sz w:val="28"/>
          <w:sz w:val="28"/>
          <w:szCs w:val="28"/>
          <w:rtl w:val="true"/>
          <w:lang w:bidi="ar-SA"/>
        </w:rPr>
        <w:t>دلالة ظاهرة على خروج الوجه والكفين عن الزينة التي يحرم إبداؤها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 أن ما يستره الخمار هو الرأس والرقبة والوجه خارج عنه، وأنّ الكف فوق السوار لا دونه، فيكونان خارجين عن الزينة</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ونحوه ما في الفقه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الإشكالات على الدليل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الدليل إشكالات، مضافاً إلى 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الشيء لا ينفي ما عداه</w:t>
      </w:r>
    </w:p>
    <w:p>
      <w:pPr>
        <w:pStyle w:val="BookText"/>
        <w:rPr/>
      </w:pPr>
      <w:r>
        <w:rPr>
          <w:rFonts w:ascii="Amiri" w:hAnsi="Amiri" w:eastAsia="Amiri" w:cs="Amiri"/>
          <w:color w:val="111111"/>
          <w:sz w:val="28"/>
          <w:sz w:val="28"/>
          <w:szCs w:val="28"/>
          <w:rtl w:val="true"/>
          <w:lang w:bidi="ar-SA"/>
        </w:rPr>
        <w:t>ما ذكره السيد الروحاني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الصحيح سؤالاً وجواباً ناظر إلى العقد الإيجابي، ولا نظر له إلى العقد السلبي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ظاهره التفصيل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تقدم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السؤال عن الزينة السائغ إبداؤها للمحارم</w:t>
      </w:r>
    </w:p>
    <w:p>
      <w:pPr>
        <w:pStyle w:val="BookText"/>
        <w:rPr/>
      </w:pPr>
      <w:r>
        <w:rPr>
          <w:rFonts w:ascii="Amiri" w:hAnsi="Amiri" w:eastAsia="Amiri" w:cs="Amiri"/>
          <w:color w:val="111111"/>
          <w:sz w:val="28"/>
          <w:sz w:val="28"/>
          <w:szCs w:val="28"/>
          <w:rtl w:val="true"/>
          <w:lang w:bidi="ar-SA"/>
        </w:rPr>
        <w:t>وهو ما ذكره السيد الرجائي،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سؤال هذا الراوي الجليل عن إبداء الذراعين للأجانب، بل كان يعلم جواز إبداء المرأة وجهها وكفيها للمحارم، لكن لم يدرِ جواز إبداء الذراعين للمحارم، فسأل عنهما، وهو غير مستبعد، فقد كان جواز إبدائها الشعر للمحارم غير واضح</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أن يكون سؤال الراوي عن الزينة السائغ إبداؤها للمحارم، لا عن الزينة المحرم إبداؤها للأجانب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نفسر سؤال فضيل بتفسيرين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عن عقد المستثنى منه،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جواز إبداء الوجه والكفين مسلّماً عنده، فيسأل عن جواز إبداء الذراعين أيضاً؟ فيجاب بالعدم، وأنّ الذراعين وما دون الخمار وما </w:t>
      </w:r>
    </w:p>
    <w:p>
      <w:pPr>
        <w:pStyle w:val="BookText"/>
        <w:rPr/>
      </w:pPr>
      <w:r>
        <w:rPr>
          <w:rFonts w:ascii="Amiri" w:hAnsi="Amiri" w:eastAsia="Amiri" w:cs="Amiri"/>
          <w:color w:val="111111"/>
          <w:sz w:val="28"/>
          <w:sz w:val="28"/>
          <w:szCs w:val="28"/>
          <w:rtl w:val="true"/>
          <w:lang w:bidi="ar-SA"/>
        </w:rPr>
        <w:t>دون السوارين من الزينة المحرمة، فيتم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السؤال عن عقد المستثنى،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 يعلم أن الوجه والكفين من الزينة الجائز إظهارها للمحارم، فيسأل عن حكم الذراعين للمحارم، فيجاب بأنّ الذراعين وما دون الخمار، كقليل من الصدر والعنق، وما دون السوارين،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إلى الكتف مثلاً من الزينة الجائز إبداؤها للمحارم، فيكون توسعة في دائرة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إمّا ظاهرة فيما ذكر أو لا أقل من الاحتمال المبطل للاستدلال، فلا ترتبط بإبداء الزينة للأجانب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السؤال عن الزينة الملفوظة في المستثنى منه، لا عن الزينة المقدرة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أو الذهني، إمّا إشارة إلى زينتهن الموجودة في المستثنى منه، وهي ملفوظة وظاهرة، وإمّا إشارة إلى زينتهن غير الملفوظة المقدرة في المستثنى، والظاهر من الرواية أن السؤال عن الزينة المحرمة المذكورة في المستثنى منه، لا الزينة المحللة المقدرة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مع دقته غير عرفي، فإنّ العرف لا يفهم هذا المعنى؛ ولذا لم يخطر على بال أحد من الفقهاء الذين تعرضوا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صحيحة الفضيل في الحرمة لا الجواز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ذكره السيد الخوئي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الصحيحة في الحرمة أظهر من الجواز، فإن الظاهر أن المراد بما دون الخمار هو ما يعم الوجه أيضاً؛ </w:t>
      </w:r>
    </w:p>
    <w:p>
      <w:pPr>
        <w:pStyle w:val="BookText"/>
        <w:rPr/>
      </w:pPr>
      <w:r>
        <w:rPr>
          <w:rFonts w:ascii="Amiri" w:hAnsi="Amiri" w:eastAsia="Amiri" w:cs="Amiri"/>
          <w:color w:val="111111"/>
          <w:sz w:val="28"/>
          <w:sz w:val="28"/>
          <w:szCs w:val="28"/>
          <w:rtl w:val="true"/>
          <w:lang w:bidi="ar-SA"/>
        </w:rPr>
        <w:t xml:space="preserve">لأنه مما يكون على الرأس، فيكون الوجه مما هو دونه لا محالة، ولا مبرر لملاحظة الخمار من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يكون على 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دونه هو الرقبة خاصة، بل ما دونه الوجه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بل الواضح أن المراد بما دون السوارين هو ما يكون دونهما إلى أطراف الأصابع، وحمل ذلك على الفاصلة اليسيرة بينهما وبين الكف، بحيث يكون الكف خارجاً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دون السوارين، لا يخلو عن تعسف</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دون الخمار للوجه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نظر؛ إذ الوجه دون جزء الخمار لا دون الخمار، ودونه هو الصدر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الخمار هو المجموع الذي يلف على الرأس، فيكون دونه الصدر مثلاً، وأمّا الوجه فهو دون أعلى الخمار،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الثوب يعني ما ينتهي عنده الثوب، فلو كان في الصدر فتحة لم يطلق عليه دون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دون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على جواز كشف الوجه موقوفة على معرفة وضع الحجاب آنذاك، فإن فرض جريان العادة على ستر النساء وجوههن لم يكن في الرواية الشريفة دلالة على جواز كشف الوجه، إلا أن يضم إلى ذلك العلم الخارجي بعدم ستر النساء وجوههن، كما مرّت الإشارة إلى ذلك في الإشكال الخامس على الدليل الأول، فلا يكون دليلاً لما ذهب إليه ولا دليلاً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دون السوارين فيما يكون دونهما </w:t>
      </w:r>
      <w:bookmarkStart w:id="319" w:name="pg15684_175433"/>
    </w:p>
    <w:p>
      <w:pPr>
        <w:pStyle w:val="BookText"/>
        <w:rPr/>
      </w:pPr>
      <w:bookmarkEnd w:id="319"/>
      <w:r>
        <w:rPr>
          <w:rFonts w:ascii="Amiri" w:hAnsi="Amiri" w:eastAsia="Amiri" w:cs="Amiri"/>
          <w:color w:val="111111"/>
          <w:sz w:val="28"/>
          <w:sz w:val="28"/>
          <w:szCs w:val="28"/>
          <w:rtl w:val="true"/>
          <w:lang w:bidi="ar-SA"/>
        </w:rPr>
        <w:t>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تام؛ إذ الكف دون السوار عرفاً، وما يكون فوقه هو الذراع، فالاستدلال بهذه الرواية على جواز كشف الكف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سألت جمعاً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فأجابوا جميعاً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يقول الذراع، فما استظهره جمع من أن دون السوارين بمعنى الذراع</w:t>
      </w:r>
      <w:r>
        <w:rPr>
          <w:rStyle w:val="FootnoteAnchor"/>
          <w:rtl w:val="true"/>
        </w:rPr>
        <w:footnoteReference w:id="516"/>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يدل على ما رامه من حرمة إظهار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مطلق؛ إذ يشمل الكف وقسماً مما فوقه؛ لعدم ملاصقة السوار عادة للكف، والمطلق قابل للتقييد بالأدلة الدالة على جواز إظهار الكفين،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 إباؤه عن التقييد بما فوق الكف فهو قابل للجمع بينه وبين الأدلة المجوزة بالحمل على الكراهة، لكن يبقى ظهورها في حد ذاتها في حرمة كشف الكفين</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11572814_2142443653"/>
      <w:bookmarkStart w:id="321" w:name="_Toc123"/>
      <w:bookmarkEnd w:id="320"/>
      <w:r>
        <w:rPr>
          <w:rtl w:val="true"/>
        </w:rPr>
        <w:t>الدليل الثامن</w:t>
      </w:r>
      <w:r>
        <w:rPr>
          <w:rtl w:val="true"/>
        </w:rPr>
        <w:t xml:space="preserve">: </w:t>
      </w:r>
      <w:r>
        <w:rPr>
          <w:rtl w:val="true"/>
        </w:rPr>
        <w:t>صحيحة علي بن سويد</w:t>
      </w:r>
      <w:bookmarkEnd w:id="32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مبتلى بالنظر إلى المرأة الجميلة، فيعجبني النظر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بأس إذا عرف اللّه من نيتك الصدق، وإياك والزنا، فإنه يمحق البركة، ويهلك الدين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عمدة ما استند إليه الشيخ الأعظم في القول بالجواز</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الإشكالات على الدليل الثامن</w:t>
      </w:r>
    </w:p>
    <w:p>
      <w:pPr>
        <w:pStyle w:val="BookText"/>
        <w:rPr/>
      </w:pPr>
      <w:r>
        <w:rPr>
          <w:rFonts w:ascii="Amiri" w:hAnsi="Amiri" w:eastAsia="Amiri" w:cs="Amiri"/>
          <w:color w:val="111111"/>
          <w:sz w:val="28"/>
          <w:sz w:val="28"/>
          <w:szCs w:val="28"/>
          <w:rtl w:val="true"/>
          <w:lang w:bidi="ar-SA"/>
        </w:rPr>
        <w:t>ويرد على الاستدلال بذلك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الصحيحة في النظر الاتفاقي</w:t>
      </w:r>
    </w:p>
    <w:p>
      <w:pPr>
        <w:pStyle w:val="BookText"/>
        <w:rPr/>
      </w:pPr>
      <w:r>
        <w:rPr>
          <w:rFonts w:ascii="Amiri" w:hAnsi="Amiri" w:eastAsia="Amiri" w:cs="Amiri"/>
          <w:color w:val="111111"/>
          <w:sz w:val="28"/>
          <w:sz w:val="28"/>
          <w:szCs w:val="28"/>
          <w:rtl w:val="true"/>
          <w:lang w:bidi="ar-SA"/>
        </w:rPr>
        <w:t>ما ذكره السيد الخوئي من أن هذه الصحيحة دالة على جواز النظر إليها حتى مع قصده التلذذ من الأوّل،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فيعجبني النظر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لا يمكن الالتزام به، ولم يقل به أحد منا، فلا بد من حملها على اقتضاء عمله لذلك، ووقوع النظر من دون قصد أو تعمد</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وصحيح ابن سويد محمول على إرادة إني مبتلى باتفاق وقوع النظر إلى الامرأة الجميلة، وأنه يحصل له بعد ذلك لذة، فأجابه بنفي البأس إذا عرف اللّه من نيتك الصدق، وأنك غير متعمد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المراد الرخصة له في النظر إلى الامرأة الجميلة التي يعجبه النظر إليها، الذي يمكن دعوى الضرورة على عدم جوازه، والضرورة على عدم وقوع ذلك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من عادته الحث والترغيب في عدم ذلك</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الرواية على إرادة النظر الاتفاقي، وأنه يحصل له بعد ذلك لذة،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البأس إذا عرف اللّه من نيتك الصدق، وأنك غير </w:t>
      </w:r>
    </w:p>
    <w:p>
      <w:pPr>
        <w:pStyle w:val="BookText"/>
        <w:rPr/>
      </w:pPr>
      <w:r>
        <w:rPr>
          <w:rFonts w:ascii="Amiri" w:hAnsi="Amiri" w:eastAsia="Amiri" w:cs="Amiri"/>
          <w:color w:val="111111"/>
          <w:sz w:val="28"/>
          <w:sz w:val="28"/>
          <w:szCs w:val="28"/>
          <w:rtl w:val="true"/>
          <w:lang w:bidi="ar-SA"/>
        </w:rPr>
        <w:t>متعمد لذلك، ثم حذره عن الزنا،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النظر الذي يخاف منه ذلك، أو أن المراد إياك وزنا العين،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النظر للتلذذ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عدم صلاحية النظر الاتفاقي لأن يكون موضوعاً لحكم شرعي ولو الإباحة يدفعها منع ذلك باعتبار مقدماته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توضيحه بأن النظر الاتفاقي يمكن أن يكون موضوعاً لحكم شرعي، باعتبار اختيارية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الحمل على النظر الاتفاقي ما في المهذب</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إذ الإعجاب أعم من التلذذ الشهوي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تقييد الإطلاق بعدم كون الإعجاب شهوياً بالأدلة الثمانية التي مضت في الفرع الخامس من المسألة الثانية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عثرنا على كلام للسيد الخوئي يخالف ما ذهب إليه،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ابتلاءه بالنظر إلى النساء من جهة اقتضاء شغله ذلك، ككونه بزّازاً أو صائغاً ونحوهما، ممن يتّجر في حاجيات النسوان، فيبتلى بمواجهتهنّ في مقام البيع والشراء، فسأل عما قد يتطرقه عند النظر من الإعجاب بهن والتمتع بجمالهن، على ما هو مقتضى الطبع البشري من التذاذه من النظر إلى كل شيء جميل، سواء كان إنساناً أم حيواناً أم جماداً، كمجسمة جميلة، أم تصوير حسن ونحو ذلك،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البأس إذا عرف اللّه من نيّته الصدق،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نظره نظراً ساذجاً والإعجاب الذي يدخله ناشئاً عن </w:t>
      </w:r>
    </w:p>
    <w:p>
      <w:pPr>
        <w:pStyle w:val="BookText"/>
        <w:rPr/>
      </w:pPr>
      <w:r>
        <w:rPr>
          <w:rFonts w:ascii="Amiri" w:hAnsi="Amiri" w:eastAsia="Amiri" w:cs="Amiri"/>
          <w:color w:val="111111"/>
          <w:sz w:val="28"/>
          <w:sz w:val="28"/>
          <w:szCs w:val="28"/>
          <w:rtl w:val="true"/>
          <w:lang w:bidi="ar-SA"/>
        </w:rPr>
        <w:t>الفطرة البشرية المقتضية للالتذاذ بكلّ شيء بديع دون الإعجاب والالتذاذ المنبعثين عن القوة الشهوية، والمنبعثين عن الغريزة الجنسية التي هي من سنخ نظر الزوج إلى زوجته؛ إذ من الواضح عدم الملازمة بين هذين النوعين من النظر، فقد يلتذ الإنسان من النظر إلى وجه ولده الجميل، من دون أن يخطر بباله انبعاث هذه اللذة عن الشهوة والغريزة الجنسية، وكذا غير ولده من الأمثلة المتقدمة، فهذا التفكيك متحقق حتى في النظر إلى المرأة الجميلة الأجنبية،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بين هذين النوعين، وخصّ الجواز بالنوع الأوّل الذي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اللّه من نيتك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والزنا، فانّ التحذير عن الوقوع في الزنا قرينة قطعية على أنّ المراد من النظر المنفي عنه البأس ما كان من النوع الأوّل المأمون عن الزنا، دون الثاني الذي هو معرض للافتتان ويؤدي إلى الزنا غالباً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ذكر في مباني المنهاج دلالة الرواية بالصراحة على جواز النظر مع التلذذ والشهوة، وأشكل على دعوى شرح العروة القطع بخلاف مفاد الرواية بأن عهدته عليه، فإنّ الأحكام الشرعية أمرها بيد الشارع، ولا مجال لإعمال النظر فيها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الإعجاب أعم من التلذذ الشهوي، والمطلق قابل للتقييد، </w:t>
      </w:r>
    </w:p>
    <w:p>
      <w:pPr>
        <w:pStyle w:val="BookText"/>
        <w:rPr/>
      </w:pPr>
      <w:r>
        <w:rPr>
          <w:rFonts w:ascii="Amiri" w:hAnsi="Amiri" w:eastAsia="Amiri" w:cs="Amiri"/>
          <w:color w:val="111111"/>
          <w:sz w:val="28"/>
          <w:sz w:val="28"/>
          <w:szCs w:val="28"/>
          <w:rtl w:val="true"/>
          <w:lang w:bidi="ar-SA"/>
        </w:rPr>
        <w:t>وقد سبق ذكر الأدلة الدالة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بشهوة ولكن لا يصل إلى الزنا، فيجوز مطلق النظر مع عدم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الإطلاق قيد بالأدلة الثمانية، فالكلام أن الإعجاب لا يساوي الالتذاذ الشهوي، فقد يرى شيخاً نورانياً فينظر إليه بلذة وإعجاب، وكالنظر إلى الوردة أو نظر الأب إلى ولده الجميل، بخلاف نظر الفاسق الفاجر إلى ذلك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الرواية للشعر</w:t>
      </w:r>
    </w:p>
    <w:p>
      <w:pPr>
        <w:pStyle w:val="BookText"/>
        <w:rPr/>
      </w:pPr>
      <w:r>
        <w:rPr>
          <w:rFonts w:ascii="Amiri" w:hAnsi="Amiri" w:eastAsia="Amiri" w:cs="Amiri"/>
          <w:color w:val="111111"/>
          <w:sz w:val="28"/>
          <w:sz w:val="28"/>
          <w:szCs w:val="28"/>
          <w:rtl w:val="true"/>
          <w:lang w:bidi="ar-SA"/>
        </w:rPr>
        <w:t>وهو ما ذكره السيد الخوئي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أنها غير مختصة بالوجه واليدين، فتشمل الشعر أيضاً، وهو مقطوع البطلان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الإطلاق قابل للتقييد بالأدلة الخارجية، مع أنه لا إطلاق له؛ لأنه حكاية فعل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التفكيك بين السؤال والجواب فيكون الجواب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المرأة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يدور حول سؤال السائل،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يحتوي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المرأة الجميلة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معنى لتعلق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فلا بد أن يتعلق بالثاني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 النظر المذكور في السؤال، فهو مبتلى بشيء ما، فقد يكون ذلك بالنظر إلى وجهها، فيكون الجواب خاصاً بحدود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المراد النظر إلى الجسم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على ذلك النظر إلى المرأة، بل إلى ثيابها، بالإضافة إلى أنه عرف بأنها جميلة، فلا بد أن يكون النظر إلى مقدار من وجهها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ابن سويد تمنعه من النظر العمدي</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حملها على عدم التعمد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البعيد جداً أن يفعل علي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جلالة قدره وعظم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قاصداً متلذذاً، ثم ينقله بكل صراحة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الابتلاء تارة يكون ابتلاءً نفسانياً من جهة غلبة النفس الأمارة وقاهرية القوة الشهوية، فيجد نفسه مبتلى بالبخوع للميولات النفسانية، وأخرى يكون ابتلاءً عملياً،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اقتضاء شغله لذلك مثلاً، كما أنّ الإعجاب قد يكون إعجاباً شهوياً، وقد يكون إعجاباً غير شهوي، وقد أشار إلى ذلك في شرح العروة</w:t>
      </w:r>
      <w:r>
        <w:rPr>
          <w:rStyle w:val="FootnoteAnchor"/>
          <w:rtl w:val="true"/>
        </w:rPr>
        <w:footnoteReference w:id="527"/>
      </w:r>
      <w:r>
        <w:rPr>
          <w:rFonts w:ascii="Amiri" w:hAnsi="Amiri" w:eastAsia="Amiri" w:cs="Amiri"/>
          <w:color w:val="111111"/>
          <w:sz w:val="28"/>
          <w:sz w:val="28"/>
          <w:szCs w:val="28"/>
          <w:rtl w:val="true"/>
          <w:lang w:bidi="ar-SA"/>
        </w:rPr>
        <w:t>، ولعلّ الابتلاء العملي والإعجاب غير الشهوي لا ينافي جلالة القدر وعظم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علي بن سويد كسلمان المحمدي، حتى ينافي ذلك عظم شأنه؟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روايات تدل على جلالة شأنه، وأنّ له من آل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خاصة، وقد نقلها الكشي</w:t>
      </w:r>
      <w:r>
        <w:rPr>
          <w:rStyle w:val="FootnoteAnchor"/>
          <w:rtl w:val="true"/>
        </w:rPr>
        <w:footnoteReference w:id="528"/>
      </w:r>
      <w:r>
        <w:rPr>
          <w:rFonts w:ascii="Amiri" w:hAnsi="Amiri" w:eastAsia="Amiri" w:cs="Amiri"/>
          <w:color w:val="111111"/>
          <w:sz w:val="28"/>
          <w:sz w:val="28"/>
          <w:szCs w:val="28"/>
          <w:rtl w:val="true"/>
          <w:lang w:bidi="ar-SA"/>
        </w:rPr>
        <w:t>وأبو علي الحائري في منتهى المقال ووثقها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في صورة الاضطرار للنظر</w:t>
      </w:r>
    </w:p>
    <w:p>
      <w:pPr>
        <w:pStyle w:val="BookText"/>
        <w:rPr/>
      </w:pPr>
      <w:r>
        <w:rPr>
          <w:rFonts w:ascii="Amiri" w:hAnsi="Amiri" w:eastAsia="Amiri" w:cs="Amiri"/>
          <w:color w:val="111111"/>
          <w:sz w:val="28"/>
          <w:sz w:val="28"/>
          <w:szCs w:val="28"/>
          <w:rtl w:val="true"/>
          <w:lang w:bidi="ar-SA"/>
        </w:rPr>
        <w:t>إنّ ظاهر الرواية السؤال عن صورة الاضطرار إلى النظر،كاقتضاء شغله لذلك، كما في الطبيب ونحوه، وليس الكلام في الاضطرار، ولا إطلاق لكلمة مبتلى؛ لأنه حكاية فعل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 من الابتلاء الاضطرار إليه وعدم إمكان التحرز</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التعبير بالابتلاء هو الاضطرار، وكأن الوجه في السؤال ما يدخله بعد النظر المعبر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فيعجبني</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فرض عدم الظهور فلا أقل من تطرق الاحتمال، وهو مسقط للاستدلال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اضطرار إلى النظر؛ لإمكان تبديل العمل، وأدلة الاضطرار لا تشمل الاضطرار الذي يكون بالاختيار؛ وذلك بكون مقدماته اختيارية، ولم يستفصل في الجواب عن إمكان التغيير وعدمه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العرفي لا العقلي، كما أشار </w:t>
      </w:r>
    </w:p>
    <w:p>
      <w:pPr>
        <w:pStyle w:val="BookText"/>
        <w:rPr/>
      </w:pPr>
      <w:r>
        <w:rPr>
          <w:rFonts w:ascii="Amiri" w:hAnsi="Amiri" w:eastAsia="Amiri" w:cs="Amiri"/>
          <w:color w:val="111111"/>
          <w:sz w:val="28"/>
          <w:sz w:val="28"/>
          <w:szCs w:val="28"/>
          <w:rtl w:val="true"/>
          <w:lang w:bidi="ar-SA"/>
        </w:rPr>
        <w:t xml:space="preserve">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إذ الألفاظ تحمل على المعاني العرفية، إلا مع قيام الدليل على الخلاف، وتبديل العمل أمر متعسر عادة، فيكون المكلف مضطراً للاستمرار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الاضطرار يتعدى إلى الطرف الآخر الذي يتقوم به رفع الاضطرار، وحيث إنّ الناس مضطرون إلى مراجعة أرباب الصنائع والمهن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حكم الجواز إليهم، وإن لم يكونوا بأنفسهم مضطرين إلى العمل؛ إذ لا يمكن للشارع أن يجوز الفعل للمضطر ويحرمه على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اضطرار الراوي إلى عمله عقلاً، وعدم إمكان تبديله إياه، وحيث إنّ الرواية تتضمن حكاية قضية خارجية لا يكون لها 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وهي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كونه قيداً لا علة،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لتخصيص الحكم بمَن له عمل، بل يشمل الماشي في الأسواق من دون سبب، وإن أبيت إلاّ عن التخصيص فيمكن جعل الحكم على موضوع المبتلى، فيجوز النظر لمَن كان مبتلى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حكاية فعل خارجي، ولا يعلم حدود الابتلاء ووجهه، والحكم خاص لموضوع خاص، حيث لم يقل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للمبتلى بالنظر إلى النساء أن ينظر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بالإطلاق، فكما أن السؤال لا إطلاق </w:t>
      </w:r>
      <w:bookmarkStart w:id="322" w:name="pg15684_175441"/>
    </w:p>
    <w:p>
      <w:pPr>
        <w:pStyle w:val="BookText"/>
        <w:rPr/>
      </w:pPr>
      <w:bookmarkEnd w:id="322"/>
      <w:r>
        <w:rPr>
          <w:rFonts w:ascii="Amiri" w:hAnsi="Amiri" w:eastAsia="Amiri" w:cs="Amiri"/>
          <w:color w:val="111111"/>
          <w:sz w:val="28"/>
          <w:sz w:val="28"/>
          <w:szCs w:val="28"/>
          <w:rtl w:val="true"/>
          <w:lang w:bidi="ar-SA"/>
        </w:rPr>
        <w:t>فيه كذلك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الجواهر والسيد الخوئي والسيد السبزواري حملوا الرواية على النظر الاتفاقي، والمحقق النراقي حملها على الاضطرار، وأمّا السيد الوالد فقد ارتضى دلالتها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الإشكال الرابع فالرواية ساقطة عن الاستدلال، وأمّا مع القول بالإطلاق فهي تدلّ على الجواز، ولقلنا بما قال به الشيخ</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1572816_2142443653"/>
      <w:bookmarkStart w:id="324" w:name="_Toc124"/>
      <w:bookmarkEnd w:id="323"/>
      <w:r>
        <w:rPr>
          <w:rtl w:val="true"/>
        </w:rPr>
        <w:t>الدليل التاسع</w:t>
      </w:r>
      <w:r>
        <w:rPr>
          <w:rtl w:val="true"/>
        </w:rPr>
        <w:t xml:space="preserve">: </w:t>
      </w:r>
      <w:r>
        <w:rPr>
          <w:rtl w:val="true"/>
        </w:rPr>
        <w:t>موثقة زرعة</w:t>
      </w:r>
      <w:bookmarkEnd w:id="324"/>
    </w:p>
    <w:p>
      <w:pPr>
        <w:pStyle w:val="BookText"/>
        <w:rPr/>
      </w:pPr>
      <w:r>
        <w:rPr>
          <w:rFonts w:ascii="Amiri" w:hAnsi="Amiri" w:eastAsia="Amiri" w:cs="Amiri"/>
          <w:color w:val="111111"/>
          <w:sz w:val="28"/>
          <w:sz w:val="28"/>
          <w:szCs w:val="28"/>
          <w:rtl w:val="true"/>
          <w:lang w:bidi="ar-SA"/>
        </w:rPr>
        <w:t>ما استدل به في مباني المنهاج</w:t>
      </w:r>
      <w:r>
        <w:rPr>
          <w:rStyle w:val="FootnoteAnchor"/>
          <w:rtl w:val="true"/>
        </w:rPr>
        <w:footnoteReference w:id="533"/>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عيسى، عن علي بن الحكم، عن زرعة بن محمد</w:t>
      </w:r>
      <w:r>
        <w:rPr>
          <w:rStyle w:val="FootnoteAnchor"/>
          <w:rtl w:val="true"/>
        </w:rPr>
        <w:footnoteReference w:id="5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بالمدينة له جارية نفيسة فوقعت في قلب رجل وأعجب بها، فشكا ذلك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لرؤيتها، وكلما رأيتها فقل أسال اللّه من فضله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ذلك فعرض لسيد الجارية سفر وأراد أن يودعها عند ذلك الرجل فأبى فباعه إياها</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وفي الحديث فيه تفصيل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هذه الرواية تدل بالصراحة على جواز النظر إلى الأجنبية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إذ الأمة في الرواية موضوع حكم ثبت للغير،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يجوز النظر إليها، لا موضوع لحكم ثابت لها، فلا تقاس بها الحرة، خاصة مع العلم </w:t>
      </w:r>
      <w:bookmarkStart w:id="325" w:name="pg15684_175442"/>
    </w:p>
    <w:p>
      <w:pPr>
        <w:pStyle w:val="BookText"/>
        <w:rPr/>
      </w:pPr>
      <w:bookmarkEnd w:id="325"/>
      <w:r>
        <w:rPr>
          <w:rFonts w:ascii="Amiri" w:hAnsi="Amiri" w:eastAsia="Amiri" w:cs="Amiri"/>
          <w:color w:val="111111"/>
          <w:sz w:val="28"/>
          <w:sz w:val="28"/>
          <w:szCs w:val="28"/>
          <w:rtl w:val="true"/>
          <w:lang w:bidi="ar-SA"/>
        </w:rPr>
        <w:t>باختلاف كثير من أحكام الحرة والأمة في الشرع، وعليه فلا مسرح لقاعدة الاشتراك في التكاليف في المقام، فما نحن فيه نظير ما لو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يجوز تحليلها للغير، 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يجوز أيضاً تحليلها بقاعدة الاشتراك؟ وكذا لو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يجوز للرجال الصلاة خلفه، فهل يستفاد منه أن المرأة يجوز للرجال الصلاة خلفها؟</w:t>
      </w:r>
    </w:p>
    <w:p>
      <w:pPr>
        <w:pStyle w:val="BookText"/>
        <w:rPr/>
      </w:pPr>
      <w:r>
        <w:rPr>
          <w:rFonts w:ascii="Amiri" w:hAnsi="Amiri" w:eastAsia="Amiri" w:cs="Amiri"/>
          <w:color w:val="111111"/>
          <w:sz w:val="28"/>
          <w:sz w:val="28"/>
          <w:szCs w:val="28"/>
          <w:rtl w:val="true"/>
          <w:lang w:bidi="ar-SA"/>
        </w:rPr>
        <w:t>فإنّ مفاد الاشتراك في التكليف ثبوت الحكم لبقية المكلفين إذا ثبت لمكلف واحد، أما لو كان شيء موضوعاً لحكم متعلق بالآخرين، بأن ثبت الحكم للآخرين فلا يمكن تعدية الحكم إلى موضوع آخر، كالأمة التي هي موضوع لجواز النظر للآخرين، فلا يمكن تعدية الحكم إلى الحرة التي هي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باحتمال كون النظر إلى هيكلها من وراء الحجاب لا الوجه فبعيد، إذ الرؤية اُسندت إلى نفس الأمة لا إلى ثيابها، خاصة مع دلالة القرائن على كشف الإماء لوجوههن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تدل على الجواز حتى مع التلذذ والشهوة، والعرف ببابك</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يعدو الإطلاق، وهو قابل للتقييد بالأدلة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استدل بهذه الرواية، وقد تفرد بها السيد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عليه</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1572818_2142443653"/>
      <w:bookmarkStart w:id="327" w:name="_Toc125"/>
      <w:bookmarkEnd w:id="326"/>
      <w:r>
        <w:rPr>
          <w:rtl w:val="true"/>
        </w:rPr>
        <w:t>الدليل العاشر</w:t>
      </w:r>
      <w:r>
        <w:rPr>
          <w:rtl w:val="true"/>
        </w:rPr>
        <w:t xml:space="preserve">: </w:t>
      </w:r>
      <w:r>
        <w:rPr>
          <w:rtl w:val="true"/>
        </w:rPr>
        <w:t>رواية أبي الجارود</w:t>
      </w:r>
      <w:bookmarkEnd w:id="3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الجارود، عن أبي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الثياب والكحل والخاتم وخضاب الكف والسوار، والزينة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للناس، وزينة للمحرم، وزينة للزوج، فأما زينة الناس فقد ذكرنا، وأمّا زينة المحرم فموضع القلادة فما فوقها، والدملج</w:t>
      </w:r>
      <w:r>
        <w:rPr>
          <w:rStyle w:val="FootnoteAnchor"/>
          <w:rtl w:val="true"/>
        </w:rPr>
        <w:footnoteReference w:id="538"/>
      </w:r>
      <w:r>
        <w:rPr>
          <w:rFonts w:ascii="Amiri" w:hAnsi="Amiri" w:eastAsia="Amiri" w:cs="Amiri"/>
          <w:color w:val="111111"/>
          <w:sz w:val="28"/>
          <w:sz w:val="28"/>
          <w:szCs w:val="28"/>
          <w:rtl w:val="true"/>
          <w:lang w:bidi="ar-SA"/>
        </w:rPr>
        <w:t>فما دونه والخلخال وما أسفل منه، وأمّا زينة الزوج فالجسد كله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الإشكالات على الدليل العاشر</w:t>
      </w:r>
    </w:p>
    <w:p>
      <w:pPr>
        <w:pStyle w:val="BookText"/>
        <w:rPr/>
      </w:pPr>
      <w:r>
        <w:rPr>
          <w:rFonts w:ascii="Amiri" w:hAnsi="Amiri" w:eastAsia="Amiri" w:cs="Amiri"/>
          <w:color w:val="111111"/>
          <w:sz w:val="28"/>
          <w:sz w:val="28"/>
          <w:szCs w:val="28"/>
          <w:rtl w:val="true"/>
          <w:lang w:bidi="ar-SA"/>
        </w:rPr>
        <w:t>ويرد على الاستدلال بها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p>
    <w:p>
      <w:pPr>
        <w:pStyle w:val="BookText"/>
        <w:rPr/>
      </w:pPr>
      <w:r>
        <w:rPr>
          <w:rFonts w:ascii="Amiri" w:hAnsi="Amiri" w:eastAsia="Amiri" w:cs="Amiri"/>
          <w:color w:val="111111"/>
          <w:sz w:val="28"/>
          <w:sz w:val="28"/>
          <w:szCs w:val="28"/>
          <w:rtl w:val="true"/>
          <w:lang w:bidi="ar-SA"/>
        </w:rPr>
        <w:t>ضعف أبي الجارود زياد بن المنذر لتضعيف الكشي إياه</w:t>
      </w:r>
      <w:r>
        <w:rPr>
          <w:rStyle w:val="FootnoteAnchor"/>
          <w:rtl w:val="true"/>
        </w:rPr>
        <w:footnoteReference w:id="540"/>
      </w:r>
      <w:r>
        <w:rPr>
          <w:rFonts w:ascii="Amiri" w:hAnsi="Amiri" w:eastAsia="Amiri" w:cs="Amiri"/>
          <w:color w:val="111111"/>
          <w:sz w:val="28"/>
          <w:sz w:val="28"/>
          <w:szCs w:val="28"/>
          <w:rtl w:val="true"/>
          <w:lang w:bidi="ar-SA"/>
        </w:rPr>
        <w:t>، وقال السيد الرجائي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ورد الذم في أبي الجارود، فالسند غير واضح</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 بوثاقته؛ 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المقتضي فلأمور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في تفسير القمي</w:t>
      </w:r>
      <w:r>
        <w:rPr>
          <w:rStyle w:val="FootnoteAnchor"/>
          <w:rtl w:val="true"/>
        </w:rPr>
        <w:footnoteReference w:id="542"/>
      </w:r>
      <w:r>
        <w:rPr>
          <w:rFonts w:ascii="Amiri" w:hAnsi="Amiri" w:eastAsia="Amiri" w:cs="Amiri"/>
          <w:color w:val="111111"/>
          <w:sz w:val="28"/>
          <w:sz w:val="28"/>
          <w:szCs w:val="28"/>
          <w:rtl w:val="true"/>
          <w:lang w:bidi="ar-SA"/>
        </w:rPr>
        <w:t>، وهو حجة على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المبنى نظر مذكور في محله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أنّ المبنى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أعم من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فقهاء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الأعلام الرؤساء المأخوذ عنهم الحلال والحرام والفتيا والأحكام، الذين لا يطعن عليهم، ولا طريق إلى ذم واحد منهم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المعتمد بعنوان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 يكرهون ما رواه محمد بن سنان عنه، ويعتمدون ما رواه محمد بن بكر الأرجني</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فلا إشكال في أبي الجارود، وإنما الإشكال في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اعتمادهم لخصوصية في الأرجني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لراوٍ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مقبول دون الآخر، يستفاد منه أنه ثقة، وإنما الإشكال في أحد الطريقين، وابن الغضائري معروف في تسرعه في تضعيفاته، وبالذات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أقل من ثلاثة منهم، لا أقل من اعتباره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المتصور في المقام أمور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سرحوباً في رواية ذكرها الكشي،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أن أبا الجارود سمي سرحوباً وتنسب إليه السرحوبية من الزيدية، سماه بذلك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سرحوباً اسم شيطان أعمى يسكن البحر، وكان أبو الجارود مكفوفاً أعمى أعمى القلب</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روايات في ذمه،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فمرت بنا جارية معها قمقم فقلبته،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إن كان قَلَبَ قَلْب أبي الجارود كما قلبت هذه الجارية هذا القمقم فما ذنبي</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فعل أبو الجارود، أما واللّه لا يموت إلا تائهاً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كلها ضعيفة</w:t>
      </w:r>
      <w:r>
        <w:rPr>
          <w:rStyle w:val="FootnoteAnchor"/>
          <w:rtl w:val="true"/>
        </w:rPr>
        <w:footnoteReference w:id="550"/>
      </w:r>
      <w:r>
        <w:rPr>
          <w:rFonts w:ascii="Amiri" w:hAnsi="Amiri" w:eastAsia="Amiri" w:cs="Amiri"/>
          <w:color w:val="111111"/>
          <w:sz w:val="28"/>
          <w:sz w:val="28"/>
          <w:szCs w:val="28"/>
          <w:rtl w:val="true"/>
          <w:lang w:bidi="ar-SA"/>
        </w:rPr>
        <w:t>، مع أنّ معظمها لا تنافي الوثاقة؛ لأنها ذم لعقيدته لا نفي لوثاقته، فقد يكون التائه المقلوب القلب ثقة، فالوثاقة لا ترتبط بالديانة، فقد يكون منحرفاً، لكن لا يكذب، كالاعتماد في الأخبار على العامي والطاطري والفطحي والناووسي وغيرهم، فلا ينافي ذلك توثيق المفيد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الكشي إياه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نجد تضعيفاً منه،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الجارود مكفوفاً أعمى </w:t>
      </w:r>
    </w:p>
    <w:p>
      <w:pPr>
        <w:pStyle w:val="BookText"/>
        <w:rPr/>
      </w:pPr>
      <w:r>
        <w:rPr>
          <w:rFonts w:ascii="IRNazanin" w:hAnsi="IRNazanin" w:eastAsia="IRNazanin"/>
          <w:color w:val="111111"/>
          <w:sz w:val="28"/>
          <w:sz w:val="28"/>
          <w:szCs w:val="28"/>
          <w:rtl w:val="true"/>
          <w:lang w:bidi="fa-IR"/>
        </w:rPr>
        <w:t>أعمى القلب</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ولا يدلّ ذلك على عدم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العلامة المجلسي إياه في رجاله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أمارات التوثيق أقوى، خاصة أنها صدرت من المتقدمين، كالمفيد و ابن الغضائري وغيرهما، فتتقدم على تضعيف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الوحيد البهبهاني في تعليقته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المراد من الطعن والذم المنفيين ما هو بالقياس إلى الاعتماد عليه وقبول قوله و وثاقته، كما هو الظاهر من رواياته، ومن عد عمار السّاباطي وأمثاله منهم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تناقض السيد الخوئي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ولكنه ضعفه في ترجمة البراء بن عازب</w:t>
      </w:r>
      <w:r>
        <w:rPr>
          <w:rStyle w:val="FootnoteAnchor"/>
          <w:rtl w:val="true"/>
        </w:rPr>
        <w:footnoteReference w:id="555"/>
      </w:r>
      <w:r>
        <w:rPr>
          <w:rFonts w:ascii="Amiri" w:hAnsi="Amiri" w:eastAsia="Amiri" w:cs="Amiri"/>
          <w:color w:val="111111"/>
          <w:sz w:val="28"/>
          <w:sz w:val="28"/>
          <w:szCs w:val="28"/>
          <w:rtl w:val="true"/>
          <w:lang w:bidi="ar-SA"/>
        </w:rPr>
        <w:t>، بعد ذكر الحديث الرابع والأربعين من الخصال لوقوعه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الإشكال الأول محل تأمل، فإنّ الراوي ثقة، لكنه مطعون في عقيدته، وقد ثبت أنه زيدي</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أنكم ترون الاعتبار للمتأخرين كالمتقدمين، فيتعارض فيه التوثيق والتضعيف، ولا فرق في ذلك بين تعدد التوثيق ووحدة التضعيف، كعدم تقديم البينتين على البينة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أمارات التوثيق أقوى فتتقدم، وأمّا التعدد والوحدة، فقد قال البعض،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الوالد في شرحه على العروة</w:t>
      </w:r>
      <w:r>
        <w:rPr>
          <w:rStyle w:val="FootnoteAnchor"/>
          <w:rtl w:val="true"/>
        </w:rPr>
        <w:footnoteReference w:id="557"/>
      </w:r>
      <w:r>
        <w:rPr>
          <w:rFonts w:ascii="Amiri" w:hAnsi="Amiri" w:eastAsia="Amiri" w:cs="Amiri"/>
          <w:color w:val="111111"/>
          <w:sz w:val="28"/>
          <w:sz w:val="28"/>
          <w:szCs w:val="28"/>
          <w:rtl w:val="true"/>
          <w:lang w:bidi="ar-SA"/>
        </w:rPr>
        <w:t xml:space="preserve">، بتقديم المتعدد، ويشهد له رواية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لأكثرهم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الناحية العقلائية حينما تلاحظونهما تجدون أنّ شهادات التوثيق أقوى عقلائياً من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الرواية</w:t>
      </w:r>
    </w:p>
    <w:p>
      <w:pPr>
        <w:pStyle w:val="BookText"/>
        <w:rPr/>
      </w:pPr>
      <w:r>
        <w:rPr>
          <w:rFonts w:ascii="Amiri" w:hAnsi="Amiri" w:eastAsia="Amiri" w:cs="Amiri"/>
          <w:color w:val="111111"/>
          <w:sz w:val="28"/>
          <w:sz w:val="28"/>
          <w:szCs w:val="28"/>
          <w:rtl w:val="true"/>
          <w:lang w:bidi="ar-SA"/>
        </w:rPr>
        <w:t>وقد ذكره السيد الخوئي،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مرسلة؛ لأن أبا الجارود ممن يروي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فالفصل بينه وبين علي بن إبراهيم كثير جداً، فلا يمكن أن يروي عنه مباشرة</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وتبعه في مباني المنهاج</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أبا الجارود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بدليل ما قاله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أصحاب أبي جعفر، وروى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وتغير لما خرج زيد رضي اللّه عنه</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وقد خرج زيد بعد استشهاد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أعوام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ولبيان عدم الإمكان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استشهد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فلا بد أن تكون ولادة أبي الجارود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حتى يروي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ولد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واستشهد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بقي علي بن إبراهيم حياً إلى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لما رواه الصدوق في العيون عن حمزة بن محمد</w:t>
      </w:r>
      <w:r>
        <w:rPr>
          <w:rStyle w:val="FootnoteAnchor"/>
          <w:rtl w:val="true"/>
        </w:rPr>
        <w:footnoteReference w:id="5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علي بن إبراهيم سنة سبع وثلاثمائة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أن نفرض أنّ أبا الجارود عمّر حوالي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أعوام، وعلي بن إبراهيم أيضاً عمّر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والتقيا ببعض فروى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فلتصحيح رواية أحدهما عن الآخر لابد من فرض ولادة أبي الجارود سنة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وأنه عاش إلى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وفرض أن علي بن إبراهيم ولد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عمره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عند وفاة أبي الجارود، وقد عاش إلى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وهذا مما 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حمزة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فلا بد من البحث في إمكان الاعتماد على المجهول في رواية التواريخ، ويرى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الاعتماد، وعليه بناء العقلاء في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هذا المقدار يسلب الوثوق؛ ولذا أسقط السيد الخوئي الرواية وتبعه السيد القمي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هذه الشبهة بوجهين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الرجائي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يبعد أن يكون التفسير المنسوب إلى علي بن إبراهيم مركباً من تفسيره وتفسير أبي الجارود، وعدم </w:t>
      </w:r>
    </w:p>
    <w:p>
      <w:pPr>
        <w:pStyle w:val="BookText"/>
        <w:rPr/>
      </w:pPr>
      <w:r>
        <w:rPr>
          <w:rFonts w:ascii="Amiri" w:hAnsi="Amiri" w:eastAsia="Amiri" w:cs="Amiri"/>
          <w:color w:val="111111"/>
          <w:sz w:val="28"/>
          <w:sz w:val="28"/>
          <w:szCs w:val="28"/>
          <w:rtl w:val="true"/>
          <w:lang w:bidi="ar-SA"/>
        </w:rPr>
        <w:t>ذكر الطريق هنا إلى أبي الجارود عول على ذكره في سائر الموارد</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فالرواية ليست عن علي بن إبراهيم حتى يشكل عليها بالإرسال، بل هي عن تفسير أبي الجارود مسنداً، وسنده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سورة آل عمران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عياش، عن زياد بن المنذر أبي الجارود</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المقام لم يذكر السند لتعويله على بقية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الرجائي من تلفيق التفسيرين ذكره بعض علماء الرجال أيضاً، وقد ذكروا لذلك 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الطريق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تكفل بالقضاء على شبهة الإرسال؛ إذ يكون الخبر مسنداً حينئذٍ، إلا أنه يتضمن الوقوع في مشكلة الضعف؛ لضعف بعض من وقع في سند تفسير أبي الجارود، فإنه رواه أبو الفضل بسنده عن كثير بن عياش القطان، وسند النجاشي والشيخ ينتهيان إليه أيضاً، فكل الطرق تنتهي إلى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ضعفه الشيخ</w:t>
      </w:r>
      <w:r>
        <w:rPr>
          <w:rStyle w:val="FootnoteAnchor"/>
          <w:rtl w:val="true"/>
        </w:rPr>
        <w:footnoteReference w:id="566"/>
      </w:r>
      <w:r>
        <w:rPr>
          <w:rFonts w:ascii="Amiri" w:hAnsi="Amiri" w:eastAsia="Amiri" w:cs="Amiri"/>
          <w:color w:val="111111"/>
          <w:sz w:val="28"/>
          <w:sz w:val="28"/>
          <w:szCs w:val="28"/>
          <w:rtl w:val="true"/>
          <w:lang w:bidi="ar-SA"/>
        </w:rPr>
        <w:t>، ووروده في تفسير القمي لا يجدي، إما لعدم ارتضاء المبنى، وإمّا لتعارض التوثيق والتضعيف فيتساقطان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التعويل على ذكر السند في سائر الموارد مجرد احتمال، وكما يحتمل ذلك يحتمل الإرسال،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يحتمل نقل علي بن إبراهيم عن كتاب أبي الجارود مباشرة لا عنه بتخلل واسطة محذوفة ومقتضى أصالة الحس علمه بكونه كتابه عن طريق الحس لا الحدس، فيكون الخبر حسياً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ربما يعلم مما سبق،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الطريقان حسيان، فكما يمكن أن يكون نقل علي بن إبراهيم عن أبي الجارود مباشرة، كذلك يمكن أن يكون نقله عن واسطة محذوفة ثقة عنده، وتوثيقه كافٍ، فيدور الأمر بين الحس والحس، ولا ترجيح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احتمال ثالث، وهو اعتماد علي بن إبراهيم على وثاقة الواسطة للقرائن الاجتهادية، فيدور الأمر بين الحس والحدس، وتتقدم أصالة الحس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طريق آخر لحل الإشكال،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الراوي محذوفاً، إلا أنه ثقة؛ لكونه شيخاً مباشراً لعلي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بوثاقته مع احتمال كونه مما تعارض فيه التوثيق والتضعيف، ولا يصح التمسك بالعام في الشبهة المصداقية، كما هو الحال في كثير بن عياش، كما يجري مثله في مراسيل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 الخبر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ذكره السيد الروحاني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ضعيف السند والأصحاب </w:t>
      </w:r>
      <w:bookmarkStart w:id="328" w:name="pg15684_175451"/>
    </w:p>
    <w:p>
      <w:pPr>
        <w:pStyle w:val="BookText"/>
        <w:rPr/>
      </w:pPr>
      <w:bookmarkEnd w:id="328"/>
      <w:r>
        <w:rPr>
          <w:rFonts w:ascii="IRNazanin" w:hAnsi="IRNazanin" w:eastAsia="IRNazanin"/>
          <w:color w:val="111111"/>
          <w:sz w:val="28"/>
          <w:sz w:val="28"/>
          <w:szCs w:val="28"/>
          <w:rtl w:val="true"/>
          <w:lang w:bidi="fa-IR"/>
        </w:rPr>
        <w:t>أعرضوا عنه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نظره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زينة المحرم فموضع القلادة فما فوقها والدملج فما دونه والخلخال وما أسفل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أعرض المشهور عنه لجواز نظر المحارم إلى ما خلا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عن بعض الخبر لا يوجب سقوط 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الرجائي</w:t>
      </w:r>
    </w:p>
    <w:p>
      <w:pPr>
        <w:pStyle w:val="BookText"/>
        <w:rPr/>
      </w:pPr>
      <w:r>
        <w:rPr>
          <w:rFonts w:ascii="Amiri" w:hAnsi="Amiri" w:eastAsia="Amiri" w:cs="Amiri"/>
          <w:color w:val="111111"/>
          <w:sz w:val="28"/>
          <w:sz w:val="28"/>
          <w:szCs w:val="28"/>
          <w:rtl w:val="true"/>
          <w:lang w:bidi="ar-SA"/>
        </w:rPr>
        <w:t>ما ذكره السيد الرجائي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ما يدل عليه جواز إراءتها للناس الزينة الظاهرة، وهي الثياب والكفان ومن الوجه الكحل فقط، ولا وجه لإلغاء خصوصية الكحل والتعدي إلى جميع الوجه، أو كون ذكره كناية عن تمام الوجه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البحث في ذلك في الإشكال السابع على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العاشر</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1572820_2142443653"/>
      <w:bookmarkStart w:id="330" w:name="_Toc126"/>
      <w:bookmarkEnd w:id="329"/>
      <w:r>
        <w:rPr>
          <w:rtl w:val="true"/>
        </w:rPr>
        <w:t>الدليل الحادي عشر</w:t>
      </w:r>
      <w:r>
        <w:rPr>
          <w:rtl w:val="true"/>
        </w:rPr>
        <w:t xml:space="preserve">: </w:t>
      </w:r>
      <w:r>
        <w:rPr>
          <w:rtl w:val="true"/>
        </w:rPr>
        <w:t>رواية علي بن جعفر</w:t>
      </w:r>
      <w:bookmarkEnd w:id="330"/>
    </w:p>
    <w:p>
      <w:pPr>
        <w:pStyle w:val="BookText"/>
        <w:rPr/>
      </w:pPr>
      <w:r>
        <w:rPr>
          <w:rFonts w:ascii="Amiri" w:hAnsi="Amiri" w:eastAsia="Amiri" w:cs="Amiri"/>
          <w:color w:val="111111"/>
          <w:sz w:val="28"/>
          <w:sz w:val="28"/>
          <w:szCs w:val="28"/>
          <w:rtl w:val="true"/>
          <w:lang w:bidi="ar-SA"/>
        </w:rPr>
        <w:t xml:space="preserve">وهي ما رواه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ما يصلح له أن ينظر إليه من المرأة التي لا تحل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 وموضع السوار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لا تتوقف على قبول الملازمة العرفية؛ لأن السؤال حول </w:t>
      </w:r>
    </w:p>
    <w:p>
      <w:pPr>
        <w:pStyle w:val="BookText"/>
        <w:rPr/>
      </w:pPr>
      <w:r>
        <w:rPr>
          <w:rFonts w:ascii="IRNazanin" w:hAnsi="IRNazanin" w:eastAsia="IRNazanin"/>
          <w:color w:val="111111"/>
          <w:sz w:val="28"/>
          <w:sz w:val="28"/>
          <w:szCs w:val="28"/>
          <w:rtl w:val="true"/>
          <w:lang w:bidi="fa-IR"/>
        </w:rPr>
        <w:t>النظر لا الإبداء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الإشكالات على الدليل الحادي عشر</w:t>
      </w:r>
    </w:p>
    <w:p>
      <w:pPr>
        <w:pStyle w:val="BookText"/>
        <w:rPr/>
      </w:pPr>
      <w:r>
        <w:rPr>
          <w:rFonts w:ascii="Amiri" w:hAnsi="Amiri" w:eastAsia="Amiri" w:cs="Amiri"/>
          <w:color w:val="111111"/>
          <w:sz w:val="28"/>
          <w:sz w:val="28"/>
          <w:szCs w:val="28"/>
          <w:rtl w:val="true"/>
          <w:lang w:bidi="ar-SA"/>
        </w:rPr>
        <w:t>ويرد على الاستدلال بها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p>
    <w:p>
      <w:pPr>
        <w:pStyle w:val="BookText"/>
        <w:rPr/>
      </w:pPr>
      <w:r>
        <w:rPr>
          <w:rFonts w:ascii="Amiri" w:hAnsi="Amiri" w:eastAsia="Amiri" w:cs="Amiri"/>
          <w:color w:val="111111"/>
          <w:sz w:val="28"/>
          <w:sz w:val="28"/>
          <w:szCs w:val="28"/>
          <w:rtl w:val="true"/>
          <w:lang w:bidi="ar-SA"/>
        </w:rPr>
        <w:t>ما ذكره في شرح العروة،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ضعيفة سنداً بعبد اللّه بن الحسن؛ إذ لم يرد فيه أي توثيق أو مدح</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حفيد علي بن جعفر، فيكون ابن حفيد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وهناك طريقتان لحل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السيد الحكيم 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يعرف بقدح ولا مدح غير اعتماد الحميري عليه في رواية كتاب جده، ولعل هذا المقدار كافٍ في اعتباره في المقام عندهم</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بحث مهم، حيث يترتب عليه اعتبار مئات الروايات أو عدمه، ولتقريب هذه الطريقة لا بد من ملاحظة شخصية الحميري، فقد 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القميين ووجههم قدم الكوفة سنة نيف وتسعين ومائتين، وسمع أهلها منه فأكثروا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شيوخ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السيد البروجردي في مقدمة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سعة علمه وعلوّ مقامه، كما لا يخفى على البصير بأحوال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كبار الطبقة الثامنة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قرب الإسناد ينقسم إلى جزءين، الجزء الأول منه مروي بهذا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الحميري عن أبيه، عن هارون بن مسلم، عن مسعد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الجزء الثاني، فيحتوي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كلها عن عبد اللّه بن الحسن، عن جده علي بن جعفر، ومن المستبعد أن يكتب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يروي نصفه عن واحد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روايته عن جده، فإنّ كثرة الرواية تدل على حسن حال الراوي؛ وذلك لما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المبنى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هنالك نظرية أخرى، مفادها أنّ جميع الروايات في كتبنا معتبرة إلا ما ثبت بطلانه بالدليل؛ وذلك لأنّ القدماء أخرجوا الروايات الشاذة وعرضوها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ذكرها الشيخ في الفرائد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كتاب قرب الإسناد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مضى الكلام في ذلك في الإشكال الأول والثاني على الدليل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واردة في المرأة التي يحرم نكاحها</w:t>
      </w:r>
    </w:p>
    <w:p>
      <w:pPr>
        <w:pStyle w:val="BookText"/>
        <w:rPr/>
      </w:pPr>
      <w:r>
        <w:rPr>
          <w:rFonts w:ascii="Amiri" w:hAnsi="Amiri" w:eastAsia="Amiri" w:cs="Amiri"/>
          <w:color w:val="111111"/>
          <w:sz w:val="28"/>
          <w:sz w:val="28"/>
          <w:szCs w:val="28"/>
          <w:rtl w:val="true"/>
          <w:lang w:bidi="ar-SA"/>
        </w:rPr>
        <w:t>ما ذكره السيد الخوئي،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أنها واردة في المرأة التي يحرم نكاحها، ومن الواضح أنها ليست إلا المحرم، فلا يبقى لها ارتباط بمحل كلامنا، بل يمكننا استفادة الحرمة منها؛ نظراً إلى تخصيص الجواز بالمحارم، فمن العجيب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على الجواز</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إرادة المحارم، فالمراد من لا تحل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نكاحها</w:t>
      </w:r>
      <w:r>
        <w:rPr>
          <w:rStyle w:val="FootnoteAnchor"/>
          <w:rtl w:val="true"/>
        </w:rPr>
        <w:footnoteReference w:id="578"/>
      </w:r>
      <w:r>
        <w:rPr>
          <w:rFonts w:ascii="Amiri" w:hAnsi="Amiri" w:eastAsia="Amiri" w:cs="Amiri"/>
          <w:color w:val="111111"/>
          <w:sz w:val="28"/>
          <w:sz w:val="28"/>
          <w:szCs w:val="28"/>
          <w:rtl w:val="true"/>
          <w:lang w:bidi="ar-SA"/>
        </w:rPr>
        <w:t>، ونظيره في المهذب</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بل ظهور الرواية في الأجنبيات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 أنه يحل له أكثر من ذلك من المحارم، وظاهر الرواية التحديد،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السيد الروحاني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العمل بخبر لا يوجب حمله على معنى آخر</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 فالرواية مجملة ولا يعلم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لا تحل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 حمله على معنى آخر حتى لا يطرح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السيد الخوئي من دلالة الرواية على حرمة النظر إلى </w:t>
      </w:r>
      <w:bookmarkStart w:id="331" w:name="pg15684_175455"/>
    </w:p>
    <w:p>
      <w:pPr>
        <w:pStyle w:val="BookText"/>
        <w:rPr/>
      </w:pPr>
      <w:bookmarkEnd w:id="331"/>
      <w:r>
        <w:rPr>
          <w:rFonts w:ascii="Amiri" w:hAnsi="Amiri" w:eastAsia="Amiri" w:cs="Amiri"/>
          <w:color w:val="111111"/>
          <w:sz w:val="28"/>
          <w:sz w:val="28"/>
          <w:szCs w:val="28"/>
          <w:rtl w:val="true"/>
          <w:lang w:bidi="ar-SA"/>
        </w:rPr>
        <w:t>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الشيء لا ينفي ما عداه، فهو ساكت عن الأجنبية ولا مفهوم له، فلا يمكن استفادة الحرمة ولا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ما لم يُفت به أحد</w:t>
      </w:r>
    </w:p>
    <w:p>
      <w:pPr>
        <w:pStyle w:val="BookText"/>
        <w:rPr/>
      </w:pPr>
      <w:r>
        <w:rPr>
          <w:rFonts w:ascii="Amiri" w:hAnsi="Amiri" w:eastAsia="Amiri" w:cs="Amiri"/>
          <w:color w:val="111111"/>
          <w:sz w:val="28"/>
          <w:sz w:val="28"/>
          <w:szCs w:val="28"/>
          <w:rtl w:val="true"/>
          <w:lang w:bidi="ar-SA"/>
        </w:rPr>
        <w:t>وهو ما ذكره السيد الروحاني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ما في ذيله من استثناء موضع السوار لم يفت به أحد بالنسبة إلى الأجنبية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مباني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تكون قابلة للعمل بعد قيام الضرورة على خلافها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بعض الرواية لا يوجب سقوطها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تخصيصه بما كان من موضعه في الكف، فإنها تدل على موضع السوار، وهو من الكف فيخرج الباقي، وهو ما فوق الكف، فتأمل</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1572822_2142443653"/>
      <w:bookmarkStart w:id="333" w:name="_Toc127"/>
      <w:bookmarkEnd w:id="332"/>
      <w:r>
        <w:rPr>
          <w:rtl w:val="true"/>
        </w:rPr>
        <w:t>الدليل الثاني عشر</w:t>
      </w:r>
      <w:r>
        <w:rPr>
          <w:rtl w:val="true"/>
        </w:rPr>
        <w:t>:</w:t>
      </w:r>
      <w:bookmarkEnd w:id="333"/>
    </w:p>
    <w:p>
      <w:pPr>
        <w:pStyle w:val="BookText"/>
        <w:rPr/>
      </w:pPr>
      <w:r>
        <w:rPr>
          <w:rFonts w:ascii="Amiri" w:hAnsi="Amiri" w:eastAsia="Amiri" w:cs="Amiri"/>
          <w:color w:val="111111"/>
          <w:sz w:val="28"/>
          <w:sz w:val="28"/>
          <w:szCs w:val="28"/>
          <w:rtl w:val="true"/>
          <w:lang w:bidi="ar-SA"/>
        </w:rPr>
        <w:t xml:space="preserve">ما روي في تفسير جامع الجوامع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الكفان والأصابع</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مرسلة</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11572824_2142443653"/>
      <w:bookmarkStart w:id="335" w:name="_Toc128"/>
      <w:bookmarkEnd w:id="334"/>
      <w:r>
        <w:rPr>
          <w:rtl w:val="true"/>
        </w:rPr>
        <w:t>الدليل الثالث عشر</w:t>
      </w:r>
      <w:r>
        <w:rPr>
          <w:rtl w:val="true"/>
        </w:rPr>
        <w:t xml:space="preserve">: </w:t>
      </w:r>
      <w:r>
        <w:rPr>
          <w:rtl w:val="true"/>
        </w:rPr>
        <w:t>خبر جابر بن عبد اللّه الأنصاري</w:t>
      </w:r>
      <w:bookmarkEnd w:id="33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عدة من أصحابنا، عن أحمد بن أبي عبد اللّه، عن إسماعيل بن </w:t>
      </w:r>
    </w:p>
    <w:p>
      <w:pPr>
        <w:pStyle w:val="BookText"/>
        <w:rPr/>
      </w:pPr>
      <w:r>
        <w:rPr>
          <w:rFonts w:ascii="Amiri" w:hAnsi="Amiri" w:eastAsia="Amiri" w:cs="Amiri"/>
          <w:color w:val="111111"/>
          <w:sz w:val="28"/>
          <w:sz w:val="28"/>
          <w:szCs w:val="28"/>
          <w:rtl w:val="true"/>
          <w:lang w:bidi="ar-SA"/>
        </w:rPr>
        <w:t>مهران، عن عبيد بن معاوية بن شريح، عن سيف بن عميرة، عن عمرو بن شمر، عن جابر</w:t>
      </w:r>
      <w:r>
        <w:rPr>
          <w:rStyle w:val="FootnoteAnchor"/>
          <w:rtl w:val="true"/>
        </w:rPr>
        <w:footnoteReference w:id="584"/>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فلما انتهيت إلى الباب وضع يده عليه فدفعه، ثم قال السلام عليكم،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أنا ومن معي؟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عليَّ قناع،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خذي فضل ملحفتك فقنعي به رأسك،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معي؟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معك،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وإذا 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أصفر كأنه بطن جرادة،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لي أرى وجهك أصفر؟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الجوع،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مشبع الجوعة ودافع الضيعة</w:t>
      </w:r>
      <w:r>
        <w:rPr>
          <w:rStyle w:val="FootnoteAnchor"/>
          <w:rtl w:val="true"/>
        </w:rPr>
        <w:footnoteReference w:id="585"/>
      </w:r>
      <w:r>
        <w:rPr>
          <w:rFonts w:ascii="Amiri" w:hAnsi="Amiri" w:eastAsia="Amiri" w:cs="Amiri"/>
          <w:color w:val="111111"/>
          <w:sz w:val="28"/>
          <w:sz w:val="28"/>
          <w:szCs w:val="28"/>
          <w:rtl w:val="true"/>
          <w:lang w:bidi="ar-SA"/>
        </w:rPr>
        <w:t>، أشبع فاطمة بنت محمد،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لنظرت إلى الدم ينحدر من قصاصها حتى عاد وجهها أحمر، فما جاعت بعد ذلك اليوم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هذا الخبر على جواز النظر إلى الوجه من جهتين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الصديقة الكبرى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الاستدلال من هذه الجهة مبني على وجود الملازمة بين جواز الكشف وجواز النظر؛ إذ قد يقال بجواز الأول وحرمة الثاني، وقد مضى البحث في </w:t>
      </w:r>
    </w:p>
    <w:p>
      <w:pPr>
        <w:pStyle w:val="BookText"/>
        <w:rPr/>
      </w:pPr>
      <w:r>
        <w:rPr>
          <w:rFonts w:ascii="Amiri" w:hAnsi="Amiri" w:eastAsia="Amiri" w:cs="Amiri"/>
          <w:color w:val="111111"/>
          <w:sz w:val="28"/>
          <w:sz w:val="28"/>
          <w:szCs w:val="28"/>
          <w:rtl w:val="true"/>
          <w:lang w:bidi="ar-SA"/>
        </w:rPr>
        <w:t>الملازمة، وقد ملنا سابقاً إلى ثبوتها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لم ينكرا على جابر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الإشكالات على الدليل الثالث عشر</w:t>
      </w:r>
    </w:p>
    <w:p>
      <w:pPr>
        <w:pStyle w:val="BookText"/>
        <w:rPr/>
      </w:pPr>
      <w:r>
        <w:rPr>
          <w:rFonts w:ascii="Amiri" w:hAnsi="Amiri" w:eastAsia="Amiri" w:cs="Amiri"/>
          <w:color w:val="111111"/>
          <w:sz w:val="28"/>
          <w:sz w:val="28"/>
          <w:szCs w:val="28"/>
          <w:rtl w:val="true"/>
          <w:lang w:bidi="ar-SA"/>
        </w:rPr>
        <w:t>وفي الاستدلال بهذا الخبر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w:t>
      </w:r>
    </w:p>
    <w:p>
      <w:pPr>
        <w:pStyle w:val="BookText"/>
        <w:rPr/>
      </w:pPr>
      <w:r>
        <w:rPr>
          <w:rFonts w:ascii="Amiri" w:hAnsi="Amiri" w:eastAsia="Amiri" w:cs="Amiri"/>
          <w:color w:val="111111"/>
          <w:sz w:val="28"/>
          <w:sz w:val="28"/>
          <w:szCs w:val="28"/>
          <w:rtl w:val="true"/>
          <w:lang w:bidi="ar-SA"/>
        </w:rPr>
        <w:t>وذلك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عبيد بن معاوية بن شريح، وهو مهمل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عمرو بن شمر، وله روايات كثيرة، فقد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لكن ضعّفه النجاشي في موردين عند التعرض لترجمته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وعند التعرض لترجمة جابر بن يزيد الجعفي،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جماعة غُمِزَ فيهم وضُعِّفوا، منهم عمرو بن شمر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ضَعف الخبر من هذه الجهة السيد الخوئي والسيد القمي والسيد الروحاني والسيد الرجائي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لذلك أو لما ذكر في الجهة الأولى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وثاقة عمرو بن شمر</w:t>
      </w:r>
    </w:p>
    <w:p>
      <w:pPr>
        <w:pStyle w:val="BookText"/>
        <w:rPr/>
      </w:pPr>
      <w:r>
        <w:rPr>
          <w:rFonts w:ascii="Amiri" w:hAnsi="Amiri" w:eastAsia="Amiri" w:cs="Amiri"/>
          <w:color w:val="111111"/>
          <w:sz w:val="28"/>
          <w:sz w:val="28"/>
          <w:szCs w:val="28"/>
          <w:rtl w:val="true"/>
          <w:lang w:bidi="ar-SA"/>
        </w:rPr>
        <w:t>هذا، ولكن قد يقال بوثاقة عمرو بن شمر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خمسة من أصحاب الإجماع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من اعتماد الشيخ المفيد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مباني ما ذكر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عندكم وثاقة مشايخ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عندنا وثاقة مشايخه المباشرين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لكونه من مشايخ الثلاثة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وإلا تمّ الطريق الرابع، بل هو من غير الثلاثة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الشيخ المفيد بمثابة توثيقه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الشيخ المفيد غير توثيقه، فقد تكون القرينة خارجية، وقد عبر البعض بأنّ توثيقه وإن كان معتمداً، ولكن اعتماده لا يساوي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ثبت أنّ الشيخ اعتمد عليه في مواطن كثيرة دلَّ على أنّ القرينة داخلية، فيدل على التوثيق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عنه في الكافي، والصدوق في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الإحصاء روى عنه في الكافي في الجزء الأول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وفي الثاني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وفي الثالث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وفي الرابع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وفي الخامس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وفي السادس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وفي السابع روايتين، وفي الثامن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فيكون المجموع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في كامل الزيارات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وروى عنه في مَن لا يحضره الفقيه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الكليني على روايات الكافي، والصدوق على روايات مَن لا يحضره الفقيه، ويبعد أن تكون القرينة في كلها خارجية، فيدل على اعتمادهما عليه للقرينة الداخلية، وهي الوثاقة لا للقرائن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فرض نهوض ما ذكر بوثاقته، إلا أنه يتعارض الجرح والتوثيق، ويكون المصير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أمارات الوثاقة أقوى، خاصة مع احتمال كون التضعيف للروايات المروية لا للراوي؛ وذلك لاحتمال أن يكون حكم النجاشي على الشخص من خلال رواياته كابن الغضائري، فيحتمل أن يكون تضعيفه إما لأجل تضعيف ابن الغضائري، أو لاعتماده على قراءة متون رواياته؛ لاشتمالها على الفضائل، فاتهم بالغلو</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مخالف للظاهر، فإنّ ظاهر الحكم بالضعف هو ضعف الراوي لا الرواية،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الدلالي</w:t>
      </w:r>
    </w:p>
    <w:p>
      <w:pPr>
        <w:pStyle w:val="BookText"/>
        <w:rPr/>
      </w:pPr>
      <w:r>
        <w:rPr>
          <w:rFonts w:ascii="Amiri" w:hAnsi="Amiri" w:eastAsia="Amiri" w:cs="Amiri"/>
          <w:color w:val="111111"/>
          <w:sz w:val="28"/>
          <w:sz w:val="28"/>
          <w:szCs w:val="28"/>
          <w:rtl w:val="true"/>
          <w:lang w:bidi="ar-SA"/>
        </w:rPr>
        <w:t>حيث يبعد ذلك من أمثالها صلوات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بالنظر الاتفاقي أو لغير ذلك، وإلا فمن المستبعد نظره العمدي إليها بمحضر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يمكن القطع بعدمه؛ ضرورة معلومية كون الأولى خلافه من سائر النساء والرجال، فضلاً عن سيدة النساء وجابر</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فالرجل الذي من عامة الناس لا ينبغي له أن ينظر، فكيف بجابر وهو جليل القدر، والمرأة كذلك لا ينبغي لها أن تظهر، فكيف بسيدة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السيد الخوئي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متنها غير قابل للتصديق، فإنّ مقام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ظهورها أمام الرجل الأجنبي بحيث يراها قطعاً، فإن كل امرأة شريفة تأبى ذلك، فكيف بسيدة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يمكن الاستدلال بها حتى لو صحت أسانيدها؛ إذ لا يمكننا التصديق بخروج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سافرة الوجه عند جابر ونحوه من الأجانب، فإنّ مثل هذا لا يكاد يصدر عن امرأة عادية عفيفة، فضلاً عن سيدة النساء بضعة سيد الأنبياء مصدر كل عفة وحياء، وقد ورد أن ابنتها زينب وهي الصديقة 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تخرج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ليلاً عندما لم يكن أحد يرى شخصها، بل ولا شبحها، فإذا كانت هذه </w:t>
      </w:r>
    </w:p>
    <w:p>
      <w:pPr>
        <w:pStyle w:val="BookText"/>
        <w:rPr/>
      </w:pPr>
      <w:r>
        <w:rPr>
          <w:rFonts w:ascii="Amiri" w:hAnsi="Amiri" w:eastAsia="Amiri" w:cs="Amiri"/>
          <w:color w:val="111111"/>
          <w:sz w:val="28"/>
          <w:sz w:val="28"/>
          <w:szCs w:val="28"/>
          <w:rtl w:val="true"/>
          <w:lang w:bidi="ar-SA"/>
        </w:rPr>
        <w:t>حالة ابنتها وهي الصديقة الصغرى، فما ظنك بها نفسها وهي الصديقة الكبرى؟</w:t>
      </w:r>
    </w:p>
    <w:p>
      <w:pPr>
        <w:pStyle w:val="BookText"/>
        <w:rPr/>
      </w:pPr>
      <w:r>
        <w:rPr>
          <w:rFonts w:ascii="Amiri" w:hAnsi="Amiri" w:eastAsia="Amiri" w:cs="Amiri"/>
          <w:color w:val="111111"/>
          <w:sz w:val="28"/>
          <w:sz w:val="28"/>
          <w:szCs w:val="28"/>
          <w:rtl w:val="true"/>
          <w:lang w:bidi="ar-SA"/>
        </w:rPr>
        <w:t>وبالجملة لا يسعنا التصديق بخروجها مكشفة الوجه عند جابر بتاتاً، ولا نحتمل صدق الحديث بوجه، مهما صح السند وقوي المستند</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فقه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البديهي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النساء أن لا يرين الرجال ولا يراهن الرجال، لم تكن كاشفة عن وجهها بمحضر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ينظر إليها، فيتعين طرح الخبر أو تأويله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المستبعد جداً النظر العمدي من جابر إلى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يمكن أن يكون من الاتفاقي غير الاختياري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وهي التي قالت لأبيها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النساء أن لا يرين الرجال ولا يراهن الرجال،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مني</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قد يجاب بأنّ الاستقباح إنما هو للوازم المكتنفة، كالخواطر السيئة لا للنظر في حد ذاته، وإلا فلا قبح فيه، لا من جهة الناظر ولا من جهة المنظور إليه، فهو كنظر الملائكة إلى وليّة من الأولياء، وفي هذا الجواب إشكال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جابراً جليل القدر من أصحاب النبي وأمير المؤمنين </w:t>
      </w:r>
    </w:p>
    <w:p>
      <w:pPr>
        <w:pStyle w:val="BookText"/>
        <w:rPr/>
      </w:pPr>
      <w:r>
        <w:rPr>
          <w:rFonts w:ascii="Amiri" w:hAnsi="Amiri" w:eastAsia="Amiri" w:cs="Amiri"/>
          <w:color w:val="111111"/>
          <w:sz w:val="28"/>
          <w:sz w:val="28"/>
          <w:szCs w:val="28"/>
          <w:rtl w:val="true"/>
          <w:lang w:bidi="ar-SA"/>
        </w:rPr>
        <w:t xml:space="preserve">والحسن والحسين والسجاد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الأصفياء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السابقين، ومن جملة مَن لم يرتدوا بعد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منقطع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وفي رواية أنه من الأربعة الذين انتهى إليهم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إنما هو استبعاد، فالرواية وإن كانت تامة لا تدل على جواز كشف الوجه أو النظر؛ لأنها حكاية فعل لا يعلم وجهه، فربما كان جابر محرماً لها بسبب أو رضاع ولو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فإن فعل شيئاً دل على جوازه، ولو كان محرماً لنقل ذلك وانعكس في التاريخ، بالإضافة إلى أنه لم يكن وجه للاستئذان والأمر بالتقنع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بالنظر الاتفاقي غير الاختياري مستلزم لنسبة السهو أو الخطأ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اتفاقي من قبل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أن يجعل المعصوم نفسه في محضر حرام غير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كما لو مرّ المعصوم من مكان فأصابه سهم، فالخطأ من الفاعل، والمعصوم يتحرك بالأسلوب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الحادثة قبل نزول آية الحجاب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في المسائل الفقهية،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كونه قبل نزول </w:t>
      </w:r>
    </w:p>
    <w:p>
      <w:pPr>
        <w:pStyle w:val="BookText"/>
        <w:rPr/>
      </w:pPr>
      <w:r>
        <w:rPr>
          <w:rFonts w:ascii="Amiri" w:hAnsi="Amiri" w:eastAsia="Amiri" w:cs="Amiri"/>
          <w:color w:val="111111"/>
          <w:sz w:val="28"/>
          <w:sz w:val="28"/>
          <w:szCs w:val="28"/>
          <w:rtl w:val="true"/>
          <w:lang w:bidi="ar-SA"/>
        </w:rPr>
        <w:t>الحجاب،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وجوب ستر جميع الجسد</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معارض باحتمال كونه بعد نزول الحجاب، ومع تكافئ الاحتمالين وتساقطهما يكون المرجع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نزول آية الحجاب معلوم والآخر مجهول، فيستصحب عدم حصول الواقعة إلى حين وجوب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معلوم التاريخ ومجهول التاريخ، فإنه وإن كان الزمان الحقيقي معلوماً لكن الزمان الإضافي مجهول؛ ولذا لم يفرق جمع من المحققين في الحدث والطهارة بين أن يكون أحدهما معلوم التاريخ أو يكونا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في تخصيص الخاص للعام بين كونه متقدماً عليه أو متأخراً عنه؛ لأنّ الأمر يدور بين التخصيص والنسخ، والأول أولى، ولعل بناء الفقه على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وردت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عامة مفادها حرمة جميع حيوانات البحر، ورواية خاصة مفادها حلية السمك والروبيان، فإن بناء الفقهاء على تخصيص العام بالخاص، وإن فرض كون الخاص متقدماً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حتى لو فرض أنّ الحجاب المحلل لبعض الوجه ورد متقدماً، والمحرم ورد متأخراً، إلا أن الأول تخصيص في الدليل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وتقريره، فإن بناء الفقه على أن الخاص يخصص العام على كل تقدير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مروية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الجواز خاصاً </w:t>
      </w:r>
    </w:p>
    <w:p>
      <w:pPr>
        <w:pStyle w:val="BookText"/>
        <w:rPr/>
      </w:pPr>
      <w:r>
        <w:rPr>
          <w:rFonts w:ascii="Amiri" w:hAnsi="Amiri" w:eastAsia="Amiri" w:cs="Amiri"/>
          <w:color w:val="111111"/>
          <w:sz w:val="28"/>
          <w:sz w:val="28"/>
          <w:szCs w:val="28"/>
          <w:rtl w:val="true"/>
          <w:lang w:bidi="ar-SA"/>
        </w:rPr>
        <w:t xml:space="preserve">بفترة زمنية معينة انتهت بنزول الحجاب لنبه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معارض بغيره</w:t>
      </w:r>
    </w:p>
    <w:p>
      <w:pPr>
        <w:pStyle w:val="BookText"/>
        <w:rPr/>
      </w:pPr>
      <w:r>
        <w:rPr>
          <w:rFonts w:ascii="IRNazanin" w:hAnsi="IRNazanin" w:eastAsia="IRNazanin"/>
          <w:color w:val="111111"/>
          <w:sz w:val="28"/>
          <w:sz w:val="28"/>
          <w:szCs w:val="28"/>
          <w:rtl w:val="true"/>
          <w:lang w:bidi="fa-IR"/>
        </w:rPr>
        <w:t>وهو ما ذكره في المسائل الفقهية،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معارضته بما روي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ما يكون للنساء أن لا يرين الرجال ولا يراهن الرجال،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مني</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مرسلة، فلا تصلح للمعارضة، فقد وردت في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عيسى في كشف الغمة، نقلاً من كتاب أخبار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أي شيء خير للنساء؟ فعيينا بذلك كلنا حتى تفرقنا، فرجعت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فأخبرتها بالذي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 أحد منا علمه ولا 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أعرفه، خير للنساء أن لا يرين الرجال ولا يراهن الرجال، فرجعت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سألتنا أي شيء خير للنساء؟ خير لهن أن لا يرين الرجال ولا يراهن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فلم تعلمه وأنت عندي،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فأعجب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والواسطة بين ابن بابويه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مذكورة، ولم نجد سنداً لهذه الرواية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بأن قاعدة التسامح تقتضي استحباب ذلك أو كراهة الضد، </w:t>
      </w:r>
      <w:bookmarkStart w:id="336" w:name="pg15684_175465"/>
    </w:p>
    <w:p>
      <w:pPr>
        <w:pStyle w:val="BookText"/>
        <w:rPr/>
      </w:pPr>
      <w:bookmarkEnd w:id="336"/>
      <w:r>
        <w:rPr>
          <w:rFonts w:ascii="Amiri" w:hAnsi="Amiri" w:eastAsia="Amiri" w:cs="Amiri"/>
          <w:color w:val="111111"/>
          <w:sz w:val="28"/>
          <w:sz w:val="28"/>
          <w:szCs w:val="28"/>
          <w:rtl w:val="true"/>
          <w:lang w:bidi="ar-SA"/>
        </w:rPr>
        <w:t xml:space="preserve">ويبعد ترك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للمستحب أو فعله للمكروه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في ذلك بأنّ المستحبات متزاحمة، فقد يترك مستحب لمزاحمته بمستحب آخر مساوٍ أو أهم، وكذا في فعل المكروه، فتأمل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معارضة، فالرواية المذكورة تتضمن الكراهة، ورواية جابر تدل على المشروعية، ولعل الإتيان به لملاك مزاحم أهم يرفع الكراهة عن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نظائر كالنوم بين الطلوعين</w:t>
      </w:r>
      <w:r>
        <w:rPr>
          <w:rStyle w:val="FootnoteAnchor"/>
          <w:rtl w:val="true"/>
        </w:rPr>
        <w:footnoteReference w:id="602"/>
      </w:r>
      <w:r>
        <w:rPr>
          <w:rFonts w:ascii="Amiri" w:hAnsi="Amiri" w:eastAsia="Amiri" w:cs="Amiri"/>
          <w:color w:val="111111"/>
          <w:sz w:val="28"/>
          <w:sz w:val="28"/>
          <w:szCs w:val="28"/>
          <w:rtl w:val="true"/>
          <w:lang w:bidi="ar-SA"/>
        </w:rPr>
        <w:t>، وتأخير الصلاة عن أول الوقت</w:t>
      </w:r>
      <w:r>
        <w:rPr>
          <w:rStyle w:val="FootnoteAnchor"/>
          <w:rtl w:val="true"/>
        </w:rPr>
        <w:footnoteReference w:id="603"/>
      </w:r>
      <w:r>
        <w:rPr>
          <w:rFonts w:ascii="Amiri" w:hAnsi="Amiri" w:eastAsia="Amiri" w:cs="Amiri"/>
          <w:color w:val="111111"/>
          <w:sz w:val="28"/>
          <w:sz w:val="28"/>
          <w:szCs w:val="28"/>
          <w:rtl w:val="true"/>
          <w:lang w:bidi="ar-SA"/>
        </w:rPr>
        <w:t>، وأكل الجبن</w:t>
      </w:r>
      <w:r>
        <w:rPr>
          <w:rStyle w:val="FootnoteAnchor"/>
          <w:rtl w:val="true"/>
        </w:rPr>
        <w:footnoteReference w:id="604"/>
      </w:r>
      <w:r>
        <w:rPr>
          <w:rFonts w:ascii="Amiri" w:hAnsi="Amiri" w:eastAsia="Amiri" w:cs="Amiri"/>
          <w:color w:val="111111"/>
          <w:sz w:val="28"/>
          <w:sz w:val="28"/>
          <w:szCs w:val="28"/>
          <w:rtl w:val="true"/>
          <w:lang w:bidi="ar-SA"/>
        </w:rPr>
        <w:t>، كما في بعض الروايات</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1572826_2142443653"/>
      <w:bookmarkStart w:id="338" w:name="_Toc129"/>
      <w:bookmarkEnd w:id="337"/>
      <w:r>
        <w:rPr>
          <w:rtl w:val="true"/>
        </w:rPr>
        <w:t>الدليل الرابع عشر</w:t>
      </w:r>
      <w:r>
        <w:rPr>
          <w:rtl w:val="true"/>
        </w:rPr>
        <w:t xml:space="preserve">: </w:t>
      </w:r>
      <w:r>
        <w:rPr>
          <w:rtl w:val="true"/>
        </w:rPr>
        <w:t xml:space="preserve">رؤية سلمان ليد الزهراء </w:t>
      </w:r>
      <w:r>
        <w:rPr>
          <w:rtl w:val="true"/>
        </w:rPr>
        <w:t>(</w:t>
      </w:r>
      <w:r>
        <w:rPr>
          <w:rtl w:val="true"/>
        </w:rPr>
        <w:t>عليها السلام</w:t>
      </w:r>
      <w:r>
        <w:rPr>
          <w:rtl w:val="true"/>
        </w:rPr>
        <w:t xml:space="preserve">) </w:t>
      </w:r>
      <w:r>
        <w:rPr>
          <w:rtl w:val="true"/>
        </w:rPr>
        <w:t>حين إدارة الرحى</w:t>
      </w:r>
      <w:bookmarkEnd w:id="33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المستند،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وتؤيد المطلوب الأخبار المتضمنة لرؤية سلمان يدي سيدة النساء دامية عند إدارة الرحى</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339" w:name="pg15684_175466"/>
    </w:p>
    <w:p>
      <w:pPr>
        <w:pStyle w:val="BookText"/>
        <w:rPr/>
      </w:pPr>
      <w:bookmarkEnd w:id="339"/>
      <w:r>
        <w:rPr>
          <w:rFonts w:ascii="Amiri" w:hAnsi="Amiri" w:eastAsia="Amiri" w:cs="Amiri"/>
          <w:color w:val="111111"/>
          <w:sz w:val="28"/>
          <w:sz w:val="28"/>
          <w:szCs w:val="28"/>
          <w:rtl w:val="true"/>
          <w:lang w:bidi="ar-SA"/>
        </w:rPr>
        <w:t>والخبر كما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قدامها رحى تطحن بها الشعير، وعلى عمود الرحى دم سائل والحسين في ناحية الدار يتضور من الجوع،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دبرت كفاك</w:t>
      </w:r>
      <w:r>
        <w:rPr>
          <w:rStyle w:val="FootnoteAnchor"/>
          <w:rtl w:val="true"/>
        </w:rPr>
        <w:footnoteReference w:id="606"/>
      </w:r>
      <w:r>
        <w:rPr>
          <w:rFonts w:ascii="IRNazanin" w:hAnsi="IRNazanin" w:eastAsia="IRNazanin"/>
          <w:color w:val="111111"/>
          <w:sz w:val="28"/>
          <w:sz w:val="28"/>
          <w:szCs w:val="28"/>
          <w:rtl w:val="true"/>
          <w:lang w:bidi="fa-IR"/>
        </w:rPr>
        <w:t>، وهذه فضة،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الخدمة لها يوماً فكان أمس يوم خدمتها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الدليل مضافاً إلى ما تقدم، إشكال سندي ودلالي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روي تارة مرسلاً كما في البحار وأخرى مسنداً كما في دلائل الإمامة</w:t>
      </w:r>
      <w:r>
        <w:rPr>
          <w:rStyle w:val="FootnoteAnchor"/>
          <w:rtl w:val="true"/>
        </w:rPr>
        <w:footnoteReference w:id="608"/>
      </w:r>
      <w:r>
        <w:rPr>
          <w:rFonts w:ascii="Amiri" w:hAnsi="Amiri" w:eastAsia="Amiri" w:cs="Amiri"/>
          <w:color w:val="111111"/>
          <w:sz w:val="28"/>
          <w:sz w:val="28"/>
          <w:szCs w:val="28"/>
          <w:rtl w:val="true"/>
          <w:lang w:bidi="ar-SA"/>
        </w:rPr>
        <w:t>لكنّه يشتمل على بعض المجاهيل كالفزاري، ولم أعثر على رواية مسندة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تضمن الخبر النظر، فلعله عرف ذلك من خلال قولها صلوات اللّه عليها، ففي رواية دلائل الإمامة</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رسول اللّه ذات يوم وأنا أريد الصلاة، فحاذيت باب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أنا بهاتف من داخل الدار</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1572828_2142443653"/>
      <w:bookmarkStart w:id="341" w:name="_Toc130"/>
      <w:bookmarkEnd w:id="340"/>
      <w:r>
        <w:rPr>
          <w:rtl w:val="true"/>
        </w:rPr>
        <w:t>الدليل الخامس عشر</w:t>
      </w:r>
      <w:r>
        <w:rPr>
          <w:rtl w:val="true"/>
        </w:rPr>
        <w:t xml:space="preserve">: </w:t>
      </w:r>
      <w:r>
        <w:rPr>
          <w:rtl w:val="true"/>
        </w:rPr>
        <w:t>رواية المحاسن</w:t>
      </w:r>
      <w:bookmarkEnd w:id="34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والذراعان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342" w:name="pg15684_175467"/>
    </w:p>
    <w:p>
      <w:pPr>
        <w:pStyle w:val="BookText"/>
        <w:rPr/>
      </w:pPr>
      <w:bookmarkEnd w:id="342"/>
      <w:r>
        <w:rPr>
          <w:rFonts w:ascii="Amiri" w:hAnsi="Amiri" w:eastAsia="Amiri" w:cs="Amiri"/>
          <w:color w:val="111111"/>
          <w:sz w:val="28"/>
          <w:sz w:val="28"/>
          <w:szCs w:val="28"/>
          <w:rtl w:val="true"/>
          <w:lang w:bidi="ar-SA"/>
        </w:rPr>
        <w:t>ولعل المراد بالذراعين الكفان، وإلاّ فلم ينقل عن أحد جواز كشف 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اللغة للذراع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 أي ما فوق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والمرفق إلى انتهاء الأصابع</w:t>
      </w:r>
      <w:r>
        <w:rPr>
          <w:rStyle w:val="FootnoteAnchor"/>
          <w:rtl w:val="true"/>
        </w:rPr>
        <w:footnoteReference w:id="611"/>
      </w:r>
      <w:r>
        <w:rPr>
          <w:rFonts w:ascii="Amiri" w:hAnsi="Amiri" w:eastAsia="Amiri" w:cs="Amiri"/>
          <w:color w:val="111111"/>
          <w:sz w:val="28"/>
          <w:sz w:val="28"/>
          <w:szCs w:val="28"/>
          <w:rtl w:val="true"/>
          <w:lang w:bidi="ar-SA"/>
        </w:rPr>
        <w:t>، فلعل المراد منها بعض الذراعين، وذلك بعلاقة الكل والجزء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الدليل أنّ الرواية مرسلة؛ إذ لم يذكر لها سند، فجميع المصادر تنتهي إلى المحاسن بلا سند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ورود بعض المناقشات المتقدمة أيضاً</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11572830_2142443653"/>
      <w:bookmarkStart w:id="344" w:name="_Toc131"/>
      <w:bookmarkEnd w:id="343"/>
      <w:r>
        <w:rPr>
          <w:rtl w:val="true"/>
        </w:rPr>
        <w:t>الدليل السادس عشر</w:t>
      </w:r>
      <w:r>
        <w:rPr>
          <w:rtl w:val="true"/>
        </w:rPr>
        <w:t xml:space="preserve">: </w:t>
      </w:r>
      <w:r>
        <w:rPr>
          <w:rtl w:val="true"/>
        </w:rPr>
        <w:t>الأخبار الدالة على كشف المرأة وجهها حال الإحرام</w:t>
      </w:r>
      <w:bookmarkEnd w:id="344"/>
    </w:p>
    <w:p>
      <w:pPr>
        <w:pStyle w:val="BookText"/>
        <w:rPr/>
      </w:pPr>
      <w:r>
        <w:rPr>
          <w:rFonts w:ascii="Amiri" w:hAnsi="Amiri" w:eastAsia="Amiri" w:cs="Amiri"/>
          <w:color w:val="111111"/>
          <w:sz w:val="28"/>
          <w:sz w:val="28"/>
          <w:szCs w:val="28"/>
          <w:rtl w:val="true"/>
          <w:lang w:bidi="ar-SA"/>
        </w:rPr>
        <w:t>ما تضمن من الأخبار كشف المرأة وجهها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إنه يؤيد الجواز جملة من المؤيدات،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باب الحج، وأن إحرام المرأة في وجهها، فإنّ المستفاد من رواياته أنه ليس استثناءً عن الحرام، فإنه إذا كان كشف الوجه حراماً أمكن التستر بالمروحة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أيضاً بهذه الأخبار السيد الحكيم في المستمسك</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تمامية الدليل مبتنية على الملازمة، فإذا جاز الكشف في </w:t>
      </w:r>
    </w:p>
    <w:p>
      <w:pPr>
        <w:pStyle w:val="BookText"/>
        <w:rPr/>
      </w:pPr>
      <w:r>
        <w:rPr>
          <w:rFonts w:ascii="Amiri" w:hAnsi="Amiri" w:eastAsia="Amiri" w:cs="Amiri"/>
          <w:color w:val="111111"/>
          <w:sz w:val="28"/>
          <w:sz w:val="28"/>
          <w:szCs w:val="28"/>
          <w:rtl w:val="true"/>
          <w:lang w:bidi="ar-SA"/>
        </w:rPr>
        <w:t>الحج جاز النظر إليها في الحج، فيدل على جواز النظر في الحج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الاستثناء من الحرام، وتحول الحرام إلى واجب أو مباح وبالعكس لملاك يقتضي ذلك، كتحول الغيبة المحرمة إلى جائزة أو واجبة، وكما يمكن الاستثناء من الفضيلة يمكن الاستثناء من الحرمة، ولعل وجوب الكشف لتذوق المرأة الحر والبرد، أو لامتحان الناظر والمنظور إليه، أو لغير ذلك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متحقق على كل حال، فهو استثناء إما من الحرام إذا كان كشف الوجه حراماً، أو الفضيلة إذا كان الأفضل لها أن تستر وجهها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الحرام إلى واجب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الغلبة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يسلب الظهور عنه، فإنه إذا دار الأمر بين أن نحمل هذه الرواية على تحولها من الحرام أو الجائز لم يستسغ العرف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الحرام كثير جداً، كحرمة الكذب والغيبة والربا ومستثنياتها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يتضح أن جواز أو وجوب الكشف في الحج دال على الجواز مطلقاً، وكأنّ الحج امتحان متعدد الأبعاد، كمَن يرمي الجمار فيواجه امرأة مكشفة الوجه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فقه الصادق،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لو دل على </w:t>
      </w:r>
    </w:p>
    <w:p>
      <w:pPr>
        <w:pStyle w:val="BookText"/>
        <w:rPr/>
      </w:pPr>
      <w:r>
        <w:rPr>
          <w:rFonts w:ascii="Amiri" w:hAnsi="Amiri" w:eastAsia="Amiri" w:cs="Amiri"/>
          <w:color w:val="111111"/>
          <w:sz w:val="28"/>
          <w:sz w:val="28"/>
          <w:szCs w:val="28"/>
          <w:rtl w:val="true"/>
          <w:lang w:bidi="ar-SA"/>
        </w:rPr>
        <w:t>شيء فإنما هو عدم وجوب الستر لا جواز النظر</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المهذب</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مضى الكلام في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ونصوص الإحرام إنما هو لحكم الإحرام من حيث إنّ إحرامها في وجهها، فلا يجوز وضع شيء عليه، وإن وجب عليها الستر بما لا يمسه، كما هو المتعارف الآن في إحرام النساء المتدينات</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فقه الصادق</w:t>
      </w:r>
      <w:r>
        <w:rPr>
          <w:rStyle w:val="FootnoteAnchor"/>
          <w:rtl w:val="true"/>
        </w:rPr>
        <w:footnoteReference w:id="618"/>
      </w:r>
      <w:r>
        <w:rPr>
          <w:rFonts w:ascii="IRNazanin" w:hAnsi="IRNazanin" w:eastAsia="IRNazanin"/>
          <w:color w:val="111111"/>
          <w:sz w:val="28"/>
          <w:sz w:val="28"/>
          <w:szCs w:val="28"/>
          <w:rtl w:val="true"/>
          <w:lang w:bidi="fa-IR"/>
        </w:rPr>
        <w:t>والمهذب</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فروايات الإحرام لا تدل على كشف الوجه، وإنما على عدم وجود ساتر ملاصق للوجه كالبرقع المتداول، فيجب الحجاب بلا ستر، بأن تضع قبة وتسدل عليها النقاب حتى تذوق الحر والبرد، أو تضع مروحة وتضع شيئاً أمام وجهها، وهو مقتضى الجمع بين الدليلين ولا منافاة بينهما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لأنه قد أمر بالإسفار الجزئي أو سوغ ذلك، وهو ينافي وجوب الستر الكلي، كما هو مدعى الجواهر، ويظهر ذلك بملاحظة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w:t>
      </w:r>
      <w:r>
        <w:rPr>
          <w:rStyle w:val="FootnoteAnchor"/>
          <w:rtl w:val="true"/>
        </w:rPr>
        <w:footnoteReference w:id="620"/>
      </w:r>
      <w:r>
        <w:rPr>
          <w:rFonts w:ascii="Amiri" w:hAnsi="Amiri" w:eastAsia="Amiri" w:cs="Amiri"/>
          <w:color w:val="111111"/>
          <w:sz w:val="28"/>
          <w:sz w:val="28"/>
          <w:szCs w:val="28"/>
          <w:rtl w:val="true"/>
          <w:lang w:bidi="ar-SA"/>
        </w:rPr>
        <w:t>، عن الحلبي</w:t>
      </w:r>
      <w:r>
        <w:rPr>
          <w:rStyle w:val="FootnoteAnchor"/>
          <w:rtl w:val="true"/>
        </w:rPr>
        <w:footnoteReference w:id="621"/>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متنقبة،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أحرمي وأسفري وأرخي ثوبك من فوق رأسك، فإنك إن تنقبت لم يتغير لونك،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 عينيها،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فمها؟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مطلقة، فيصح الستر أكثر من ذلك، ويجب بمقتضى أدلة الحجاب، فلا دليل على الإسفار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قاطع للشركة، والغاية لها مفهوم، فيلزم التغطية إلى العينين أو الفم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أمر بالإسفار الكلي، كما عن الحميري في قرب الإسناد، عن أحمد بن محمد بن عيسى، عن أحمد بن محمد 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محرمة قد استترت بمروحة، فأماط المروحة بنفسه عن وجهها</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وظاهره الإسفار الكلي أو شبه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بقرينة الجمع بين الروايات إنّ الإسفار المأمور به هو الإسفار في حد نفسه، لا الإسفار أمام الأجانب، ويدل على ذلك رواية محمد بن علي بن الحسين بإسناده عن سماعة</w:t>
      </w:r>
      <w:r>
        <w:rPr>
          <w:rStyle w:val="FootnoteAnchor"/>
          <w:rtl w:val="true"/>
        </w:rPr>
        <w:footnoteReference w:id="624"/>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 بها رجل استترت منه بثوبها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ومفادها أنها تسفر لكن تغطي وجهها عندما يمر منها رجل، وقد مضى </w:t>
      </w:r>
      <w:bookmarkStart w:id="345" w:name="pg15684_175471"/>
    </w:p>
    <w:p>
      <w:pPr>
        <w:pStyle w:val="BookText"/>
        <w:rPr/>
      </w:pPr>
      <w:bookmarkEnd w:id="345"/>
      <w:r>
        <w:rPr>
          <w:rFonts w:ascii="Amiri" w:hAnsi="Amiri" w:eastAsia="Amiri" w:cs="Amiri"/>
          <w:color w:val="111111"/>
          <w:sz w:val="28"/>
          <w:sz w:val="28"/>
          <w:szCs w:val="28"/>
          <w:rtl w:val="true"/>
          <w:lang w:bidi="ar-SA"/>
        </w:rPr>
        <w:t>ثبوت الملازمة العرفية بين وجوب الستر وحرمة النظر، كما لو قيل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الورقة عن الأغيار، فإنّ معناه عدم جواز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كون المرأة مَحرماً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عموم لها ولا إطلاق</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11572832_2142443653"/>
      <w:bookmarkStart w:id="347" w:name="_Toc132"/>
      <w:bookmarkEnd w:id="346"/>
      <w:r>
        <w:rPr>
          <w:rtl w:val="true"/>
        </w:rPr>
        <w:t>الدليل السابع عشر</w:t>
      </w:r>
      <w:r>
        <w:rPr>
          <w:rtl w:val="true"/>
        </w:rPr>
        <w:t xml:space="preserve">: </w:t>
      </w:r>
      <w:r>
        <w:rPr>
          <w:rtl w:val="true"/>
        </w:rPr>
        <w:t>الروايات الدالة على تغسيل الأجانب وجه المرأة وكفيها</w:t>
      </w:r>
      <w:bookmarkEnd w:id="347"/>
    </w:p>
    <w:p>
      <w:pPr>
        <w:pStyle w:val="BookText"/>
        <w:rPr/>
      </w:pPr>
      <w:r>
        <w:rPr>
          <w:rFonts w:ascii="Amiri" w:hAnsi="Amiri" w:eastAsia="Amiri" w:cs="Amiri"/>
          <w:color w:val="111111"/>
          <w:sz w:val="28"/>
          <w:sz w:val="28"/>
          <w:szCs w:val="28"/>
          <w:rtl w:val="true"/>
          <w:lang w:bidi="ar-SA"/>
        </w:rPr>
        <w:t>ما دلّ على تغسيل الأجانب وجه المرأة وكفيها عند موتها إذا لم يوجد لها محرم ولا مماثل</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628"/>
      </w:r>
      <w:r>
        <w:rPr>
          <w:rFonts w:ascii="Amiri" w:hAnsi="Amiri" w:eastAsia="Amiri" w:cs="Amiri"/>
          <w:color w:val="111111"/>
          <w:sz w:val="28"/>
          <w:sz w:val="28"/>
          <w:szCs w:val="28"/>
          <w:rtl w:val="true"/>
          <w:lang w:bidi="ar-SA"/>
        </w:rPr>
        <w:t>بعنوان المؤيد، كما ذكره السيد الحكيم</w:t>
      </w:r>
      <w:r>
        <w:rPr>
          <w:rStyle w:val="FootnoteAnchor"/>
          <w:rtl w:val="true"/>
        </w:rPr>
        <w:footnoteReference w:id="629"/>
      </w:r>
      <w:r>
        <w:rPr>
          <w:rFonts w:ascii="Amiri" w:hAnsi="Amiri" w:eastAsia="Amiri" w:cs="Amiri"/>
          <w:color w:val="111111"/>
          <w:sz w:val="28"/>
          <w:sz w:val="28"/>
          <w:szCs w:val="28"/>
          <w:rtl w:val="true"/>
          <w:lang w:bidi="ar-SA"/>
        </w:rPr>
        <w:t>والمحقق النراقي</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المرأة تكون في السفر مع الرجال ليس فيهم لها ذو محرم، ولا معهم امرأة، فتموت المرأة ما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ما أوجب اللّه عليه التيمم ولا تمس، ولا يكشف لها شيء من محاسنها التي أمر اللّه بسترها،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بطن كفيها، ثم يغسل وجهها، ثم يغسل ظهر كفيها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على هذا الاستدلال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الملازمة بين التغسيل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الملازمة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فيما ذكره في فقه الصادق،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أفهم وجه دلالة تلك النصوص على هذا الحكم، فإنها على اختلاف مضامينها ليس فيها ما ينافي عدم النظر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هو الملازمة العرفية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هذه الأخبار،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الأوّل من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المفضل بن عمر</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بعبد الرحمن بن سالم، والخبر السادس</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بمحمد بن أسلم الجبلي، والخبر الثامن</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بعمرو بن شمر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الصحيح منها كفاية للدلالة على المقصود، ولو في الجملة، كخبر داود بن فرقد،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w:t>
      </w:r>
      <w:r>
        <w:rPr>
          <w:rStyle w:val="FootnoteAnchor"/>
          <w:rtl w:val="true"/>
        </w:rPr>
        <w:footnoteReference w:id="636"/>
      </w:r>
      <w:r>
        <w:rPr>
          <w:rFonts w:ascii="Amiri" w:hAnsi="Amiri" w:eastAsia="Amiri" w:cs="Amiri"/>
          <w:color w:val="111111"/>
          <w:sz w:val="28"/>
          <w:sz w:val="28"/>
          <w:szCs w:val="28"/>
          <w:rtl w:val="true"/>
          <w:lang w:bidi="ar-SA"/>
        </w:rPr>
        <w:t>، عن علي بن النعمان، عن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صاحب لنا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مع رجال ليس فيهم ذو محرم، هل يغسلونها وعليها ثيابها؟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يدخل ذلك عليهم، ولكن يغسلون </w:t>
      </w:r>
    </w:p>
    <w:p>
      <w:pPr>
        <w:pStyle w:val="BookText"/>
        <w:rPr/>
      </w:pPr>
      <w:r>
        <w:rPr>
          <w:rFonts w:ascii="Amiri" w:hAnsi="Amiri" w:eastAsia="Amiri" w:cs="Amiri"/>
          <w:color w:val="111111"/>
          <w:sz w:val="28"/>
          <w:sz w:val="28"/>
          <w:szCs w:val="28"/>
          <w:rtl w:val="true"/>
          <w:lang w:bidi="ar-SA"/>
        </w:rPr>
        <w:t>كفيها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الرجائي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معارضته بالأخبار الصحيحة الدالة على أنها تدفن، ولا يغسل منها شيء</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الظاهر منها نفي وجوب الغُسل بالضم، لا نفي وجوب الغَسل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أو الإطلاق في تلك الروايات قابل للتخصيص بروايات الباب، ففي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المرأة تموت في السفر، وليس معها ذو محرم ولا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كما هي بثيابها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ماتت مع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وتدفن ولا تغسل</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فلا يصنع بها الأعمال التي تعمل للميت من التغسيل والتكفين والتحنيط، وهو لا ينافي غسل وجهها وكفيها لمكان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متعارضة في أنفسها؛ لأن بعضها يدل على خصوص الكف، وبعضها يدل على الكف والجبهة التي هي موضع التيمم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تعارض؛ إذ يمكن الحمل على التخيير أو التقييد، فإحدى </w:t>
      </w:r>
    </w:p>
    <w:p>
      <w:pPr>
        <w:pStyle w:val="BookText"/>
        <w:rPr/>
      </w:pPr>
      <w:r>
        <w:rPr>
          <w:rFonts w:ascii="Amiri" w:hAnsi="Amiri" w:eastAsia="Amiri" w:cs="Amiri"/>
          <w:color w:val="111111"/>
          <w:sz w:val="28"/>
          <w:sz w:val="28"/>
          <w:szCs w:val="28"/>
          <w:rtl w:val="true"/>
          <w:lang w:bidi="ar-SA"/>
        </w:rPr>
        <w:t>الروايات توجب غسل الكف والأخرى 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بطن الكف والوجه وظهر الكف، ورابعة موضع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أحد بالوجوب، مع أنّ الصحيح منها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واردة في مورد خاص، واحتمال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الشارع موجود، ولا دليل على تعدية الحكم إلى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جواز كشف الوجه والكفين في حال الموت على ذلك في حال الحياة، فهو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التي قد يستشعر منها العموم</w:t>
      </w:r>
      <w:r>
        <w:rPr>
          <w:rStyle w:val="FootnoteAnchor"/>
          <w:rtl w:val="true"/>
        </w:rPr>
        <w:footnoteReference w:id="642"/>
      </w:r>
      <w:r>
        <w:rPr>
          <w:rFonts w:ascii="Amiri" w:hAnsi="Amiri" w:eastAsia="Amiri" w:cs="Amiri"/>
          <w:color w:val="111111"/>
          <w:sz w:val="28"/>
          <w:sz w:val="28"/>
          <w:szCs w:val="28"/>
          <w:rtl w:val="true"/>
          <w:lang w:bidi="ar-SA"/>
        </w:rPr>
        <w:t>فضعيفة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المهذب،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يعمل به في مورده، فكيف يتعدى إلى غيره؟ ونسبه بعض الفقهاء إلى الشذوذ، كما في الجواهر</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لم يثبت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حملوا هذه الأحاديث على الاستحباب، ذكره الشيخ وغيره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نقله السيد السبزواري عن الجواهر فلم أجده، بل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يقال باستحباب غسل مواضع التيمم منها مع عدم اللمس؛ </w:t>
      </w:r>
      <w:bookmarkStart w:id="348" w:name="pg15684_175475"/>
    </w:p>
    <w:p>
      <w:pPr>
        <w:pStyle w:val="BookText"/>
        <w:rPr/>
      </w:pPr>
      <w:bookmarkEnd w:id="348"/>
      <w:r>
        <w:rPr>
          <w:rFonts w:ascii="Amiri" w:hAnsi="Amiri" w:eastAsia="Amiri" w:cs="Amiri"/>
          <w:color w:val="111111"/>
          <w:sz w:val="28"/>
          <w:sz w:val="28"/>
          <w:szCs w:val="28"/>
          <w:rtl w:val="true"/>
          <w:lang w:bidi="ar-SA"/>
        </w:rPr>
        <w:t>لما رواه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المبسوط والنهاية والتهذيب جواز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الاستبصار بعد ذكر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فيها أن تحمل على ضرب من الاستحباب،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الأحوط دفنها مع عدم فعل شيء من ذلك بها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وجدته في الجواهر،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مهجور وشاذ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المذكور غير تام حتى وإن ثبت الإعراض؛ لأنّ للرواية 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 وهو جواز الكشف بعد الموت، والتزامي، وهو جوازه قبل الموت، وقد أعرض عن الأول دون الثاني، فالإعراض عن مؤدى واحد، وهو منطوق الرواية لا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الالتزامية تابعة للدلالة المطابقية، فإن سقطت الثانية سقطت الأولى، فليس عقلائياً إسقاط الرواية في موردها ثم الحكم بها في مورد آخر، فإن ذلك لا يخلو من غرابة</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1572834_2142443653"/>
      <w:bookmarkStart w:id="350" w:name="_Toc133"/>
      <w:bookmarkEnd w:id="349"/>
      <w:r>
        <w:rPr>
          <w:rtl w:val="true"/>
        </w:rPr>
        <w:t>الدليل الثامن عشر</w:t>
      </w:r>
      <w:r>
        <w:rPr>
          <w:rtl w:val="true"/>
        </w:rPr>
        <w:t xml:space="preserve">: </w:t>
      </w:r>
      <w:r>
        <w:rPr>
          <w:rtl w:val="true"/>
        </w:rPr>
        <w:t>صحيحة أبي حمزة الثمالي</w:t>
      </w:r>
      <w:bookmarkEnd w:id="3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المسلمة يصيبها البلاء في جسدها إما كسر أو جراح في مكان لا يصلح النظر إليه، ويكون الرجل أرفق بعلاجه من النساء، أيصلح له النظر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إليه فليعالجها إن شاءت</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النظر إلى المرأة في الجملة، وليس إلا الوجه والكفين للإجماع على المنع في غيرها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الرواية كالصريحة في أن من جسد المرأة ما يصلح النظر إليه وما لا يصلح</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يفهم منه الفرق بين أجزاء جسم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مباني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 أن النظر إلى بعض مواضع جسد المرأة جائز</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فقه الصادق استفادة الجواز أيضاً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استفاد هؤلاء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الدليل أو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بدن المرأة بعضه يصلح النظر إليه وبعضه لا يصلح، والقدر المتيقن منه الوجه والكفان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أنه لا يصلح النظر إليه لا من الرجال ولا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لا يصلح النظر إليه من الرجال، فلا يدل على المدعى، ويدل على ذلك إطلاق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يقيد </w:t>
      </w:r>
    </w:p>
    <w:p>
      <w:pPr>
        <w:pStyle w:val="BookText"/>
        <w:rPr/>
      </w:pPr>
      <w:r>
        <w:rPr>
          <w:rFonts w:ascii="Amiri" w:hAnsi="Amiri" w:eastAsia="Amiri" w:cs="Amiri"/>
          <w:color w:val="111111"/>
          <w:sz w:val="28"/>
          <w:sz w:val="28"/>
          <w:szCs w:val="28"/>
          <w:rtl w:val="true"/>
          <w:lang w:bidi="ar-SA"/>
        </w:rPr>
        <w:t>بكون النظر من الرجل، وحذف المتعلق يفيد العموم، بل يكفي احتمال ذلك، فإن تطرق الاحتمال 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كلام السائل، وحيث لم يكن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ذلك الحكم، بل في مقام بيان 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المعالجة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السكوت على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ردع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يرد في كلام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مقصوداً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التقرير؛ إذ كان السكوت معرضاً لتفويت غرض المولى، ووقوع المكلف في التورط في مخالفة الحكم الواقعي، كما هو كذلك في المقام،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للأغراض المولوية، فيجب عليه 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جلالة الراوي تمنع عن خطئه في فهم هذا الحكم، فقد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خيار أصحابنا وثقاتهم ومعتمديهم في الرواية والحديث، 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في زمانه مثل سلمان في زمانه</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خواص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وقد كان من أصحاب الإمام الحسن والإمام الحسين والإمام السجاد والإمام الباقر والإمام الصادق 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351" w:name="pg15684_175478"/>
    </w:p>
    <w:p>
      <w:pPr>
        <w:pStyle w:val="BookText"/>
        <w:rPr/>
      </w:pPr>
      <w:bookmarkEnd w:id="351"/>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وصفية، وقد قرر في محله</w:t>
      </w:r>
      <w:r>
        <w:rPr>
          <w:rStyle w:val="FootnoteAnchor"/>
          <w:rtl w:val="true"/>
        </w:rPr>
        <w:footnoteReference w:id="654"/>
      </w:r>
      <w:r>
        <w:rPr>
          <w:rFonts w:ascii="Amiri" w:hAnsi="Amiri" w:eastAsia="Amiri" w:cs="Amiri"/>
          <w:color w:val="111111"/>
          <w:sz w:val="28"/>
          <w:sz w:val="28"/>
          <w:szCs w:val="28"/>
          <w:rtl w:val="true"/>
          <w:lang w:bidi="ar-SA"/>
        </w:rPr>
        <w:t>أنّ الوصف لا مفهوم له، فلا يتعين أن يكون الإتيان بهذا الوصف للاحتراز عما يحل النظر إليه، بل قد يكون مسوقاً لغرض آخر، كما هو الشأن في جميع الجمل الوصفية، وكأنه ذكر الوصف لبيان الحكم الأولي للنظر توطئة للسؤال عن الحكم الثانوي،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المحل وإن كان حراماً بالعنوان الأولي، لكن هل يحل بطرو العنوان الثانوي أو 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سائر الجمل الوصفية،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حيث لا يشترط في حرمتها أن تكون في الحجر، وإنما أتي بالوصف لغرض آخر،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حيث لا يجوز القتل حتى مع عدم الإملاق، فالقاعدة العامة مع الشك في الظهور أنه لا مفهوم للجملة الوصفية،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التنويع</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1572836_2142443653"/>
      <w:bookmarkStart w:id="353" w:name="_Toc134"/>
      <w:bookmarkEnd w:id="352"/>
      <w:r>
        <w:rPr>
          <w:rtl w:val="true"/>
        </w:rPr>
        <w:t>الدليل التاسع عشر</w:t>
      </w:r>
      <w:r>
        <w:rPr>
          <w:rtl w:val="true"/>
        </w:rPr>
        <w:t xml:space="preserve">: </w:t>
      </w:r>
      <w:r>
        <w:rPr>
          <w:rtl w:val="true"/>
        </w:rPr>
        <w:t>النصوص المتعرضة لستر الشعر عن الغلام إذا احتلم</w:t>
      </w:r>
      <w:bookmarkEnd w:id="353"/>
    </w:p>
    <w:p>
      <w:pPr>
        <w:pStyle w:val="BookText"/>
        <w:rPr/>
      </w:pPr>
      <w:r>
        <w:rPr>
          <w:rFonts w:ascii="Amiri" w:hAnsi="Amiri" w:eastAsia="Amiri" w:cs="Amiri"/>
          <w:color w:val="111111"/>
          <w:sz w:val="28"/>
          <w:sz w:val="28"/>
          <w:szCs w:val="28"/>
          <w:rtl w:val="true"/>
          <w:lang w:bidi="ar-SA"/>
        </w:rPr>
        <w:t>فإنها تدل على عدم لزوم ستر الوجه وجواز نظره إليه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كصحيحة البزنطي،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أحمد بن محمد بن أبي نصر</w:t>
      </w:r>
      <w:r>
        <w:rPr>
          <w:rStyle w:val="FootnoteAnchor"/>
          <w:rtl w:val="true"/>
        </w:rPr>
        <w:footnoteReference w:id="657"/>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الغلام بالصلاة وهو ابن سبع سنين، ولا تغطي المرأة شعرها منه حتى يحتلم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 بمفهوم الغاية على أنه لو احتلم غطت منه شعرها، وحيث خصص الشعر بالذكر دل على عدم وجوب تغطية الوجه، وإلا كان أولى بالذكر، واحتمال كونه كناية عن الرأس كله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الاستدلال بهذه الرواية يتوقف على قبول الملازمة، وقد سبق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نظر الرواية إلى الغلام قبل الاحتلام لا بعده، وكان جواز النظر إلى الوجه مفروغاً منه، ويكون الحكم لبيان جواز كشف الشعر للغلام، فلا يكون له مفهوم ليدل على حكم الوجه بعد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الغلام غطت المرأة شعرها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المجال للاستدلال المذكور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ذكر الشعر ولم يذكر الوجه؟</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للإشكال وجهاً لولا ما يأتي من الروايات الكثيرة حول الشعر، مما يكون كل التركيز فيها عليه، ولعلّ بملاحظة المجموع يتم الاستدلال أو الإشعار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الاستدلال بهذه الرواية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المسائل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يحتمل أن يكون الشعر كالصدر والظهر مما يجب ستره، بحيث لا يبدو أصلاً لا قصداً ولا بغير قصد، لحاجة ولا لغير حاجة، بخلاف الوجه، فإنه يجب ستره لكن ربما يبدو بلا قصد أو لحاجة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الظاهر، والحاجة كما تسوغ كشف الوجه تسوغ كشف </w:t>
      </w:r>
    </w:p>
    <w:p>
      <w:pPr>
        <w:pStyle w:val="BookText"/>
        <w:rPr/>
      </w:pPr>
      <w:r>
        <w:rPr>
          <w:rFonts w:ascii="Amiri" w:hAnsi="Amiri" w:eastAsia="Amiri" w:cs="Amiri"/>
          <w:color w:val="111111"/>
          <w:sz w:val="28"/>
          <w:sz w:val="28"/>
          <w:szCs w:val="28"/>
          <w:rtl w:val="true"/>
          <w:lang w:bidi="ar-SA"/>
        </w:rPr>
        <w:t>الشعر أيضاً، والفرق بين الوجه وغيره في عدم لزوم التحفظ عن النظر الاتفاقي بالنسبة إلى الوجه، بخلاف سائر البدن، خلاف ظهور الأدلة في الفعلية لا المعرضية، فمعنى تغطي فعلية التغطية، ومعنى لا تغطي عدم فعلية التغطية، وليس المدلول المعرضية وعدم المعرضية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للفرق بين الوجه والشعر، فمع الضرورة جاز كشفهما وإلا فلا، فلماذا خصص الشعر؟</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المسائل الفقهية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فلا يدل على جواز كشف تمام الوجه، بل يدل على عدم وجوب تغطية تمام الوجه، ولعله ما عدا العين، كما دل بعض الأخبار على جواز إظهار الكحل</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بجواز كشف بعض الوجه دون بعض خلاف الإجماع المركب،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لم يفهموا التفصيل من الروايات، بل فهموا الجواز المطلق أو الحرمة المطلقة،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فالدليل يثبت المقصود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الاستدلال محل نظر، فإنّ إثبات شيء لا ينفي ما عداه،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وجبت عليه الصلاة، فهل يعني ذلك عدم وجوب الصوم؟</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أولى بالذكر، فلو قال للسافرة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 شعرك، كان مثار التساؤل، لماذا لم يذكر الوجه؟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هنالك علة في عدم ذكر الوجه، كعدم القبول أو </w:t>
      </w:r>
      <w:bookmarkStart w:id="354" w:name="pg15684_175481"/>
    </w:p>
    <w:p>
      <w:pPr>
        <w:pStyle w:val="BookText"/>
        <w:rPr/>
      </w:pPr>
      <w:bookmarkEnd w:id="354"/>
      <w:r>
        <w:rPr>
          <w:rFonts w:ascii="Amiri" w:hAnsi="Amiri" w:eastAsia="Amiri" w:cs="Amiri"/>
          <w:color w:val="111111"/>
          <w:sz w:val="28"/>
          <w:sz w:val="28"/>
          <w:szCs w:val="28"/>
          <w:rtl w:val="true"/>
          <w:lang w:bidi="ar-SA"/>
        </w:rPr>
        <w:t>التدرج في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النهي عن المنكر ببيان الحكم</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1572838_2142443653"/>
      <w:bookmarkStart w:id="356" w:name="_Toc135"/>
      <w:bookmarkEnd w:id="355"/>
      <w:r>
        <w:rPr>
          <w:rtl w:val="true"/>
        </w:rPr>
        <w:t>الدليل العشرون</w:t>
      </w:r>
      <w:r>
        <w:rPr>
          <w:rtl w:val="true"/>
        </w:rPr>
        <w:t xml:space="preserve">: </w:t>
      </w:r>
      <w:r>
        <w:rPr>
          <w:rtl w:val="true"/>
        </w:rPr>
        <w:t>الروايات الدالة على النظر لشعر المرأة جوازاً ومنعاً</w:t>
      </w:r>
      <w:bookmarkEnd w:id="356"/>
    </w:p>
    <w:p>
      <w:pPr>
        <w:pStyle w:val="BookText"/>
        <w:rPr/>
      </w:pPr>
      <w:r>
        <w:rPr>
          <w:rFonts w:ascii="Amiri" w:hAnsi="Amiri" w:eastAsia="Amiri" w:cs="Amiri"/>
          <w:color w:val="111111"/>
          <w:sz w:val="28"/>
          <w:sz w:val="28"/>
          <w:szCs w:val="28"/>
          <w:rtl w:val="true"/>
          <w:lang w:bidi="ar-SA"/>
        </w:rPr>
        <w:t>ما يستفاد من الروايات الواردة في الموارد المختلفة حول النظر إلى شعر المرأة جوازاً أو منعاً، الدال على مفروغية جواز النظر إلى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لا يتوقف على قبول الملازمة؛ لأنه يدل على جواز النظر بالدلالة المطابقية، بخلاف الدليل السابق، فإنّ الاستدلال به يتوقف على قبول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 كما 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أيحل له أن ينظر إلى شعر أخت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من القواعد،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والغريبة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عباد بن صهيب،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شعور نساء أهل تهامة والأعراب وأهل البوادي من أهل الذمة والعلوج</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محمد بن إسحاق</w:t>
      </w:r>
      <w:r>
        <w:rPr>
          <w:rStyle w:val="FootnoteAnchor"/>
          <w:rtl w:val="true"/>
        </w:rPr>
        <w:footnoteReference w:id="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p>
    <w:p>
      <w:pPr>
        <w:pStyle w:val="BookText"/>
        <w:rPr/>
      </w:pPr>
      <w:r>
        <w:rPr>
          <w:rFonts w:ascii="Amiri" w:hAnsi="Amiri" w:eastAsia="Amiri" w:cs="Amiri"/>
          <w:color w:val="111111"/>
          <w:sz w:val="28"/>
          <w:sz w:val="28"/>
          <w:szCs w:val="28"/>
          <w:rtl w:val="true"/>
          <w:lang w:bidi="ar-SA"/>
        </w:rPr>
        <w:t>للرجل الخصي يدخل على نسائه فيناولهن الوضوء</w:t>
      </w:r>
      <w:r>
        <w:rPr>
          <w:rStyle w:val="FootnoteAnchor"/>
          <w:rtl w:val="true"/>
        </w:rPr>
        <w:footnoteReference w:id="664"/>
      </w:r>
      <w:r>
        <w:rPr>
          <w:rFonts w:ascii="Amiri" w:hAnsi="Amiri" w:eastAsia="Amiri" w:cs="Amiri"/>
          <w:color w:val="111111"/>
          <w:sz w:val="28"/>
          <w:sz w:val="28"/>
          <w:szCs w:val="28"/>
          <w:rtl w:val="true"/>
          <w:lang w:bidi="ar-SA"/>
        </w:rPr>
        <w:t>فيرى شعورهن؟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الرابعة</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 يرى شعر مولاته وساقها؟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فالسؤال عن الشعر دون الوجه دال على مفروغية جواز النظر إلى الوجه، وغالب الظن أنه لو تتبع شخص لوجد في الروايات السؤال عن الشعر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يختلف الأمر بين الخصي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وارد، لكن لم نعهد مَن يقول بالتفصيل بين المملوك وغيره، فلا بد من التتبع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في المسائل الفقهية نظير الجواب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كون المركوز في أذهان السائلين جواز النظر إلى الوجه والكفين أو المفروغية عنه، فلعله من أجل أن كشف بعض الوجه كالعين وبعض اليد كالخاتم مطلقاً، أو في بعض الأحيان، كحال الضرورة كان جائزاً، بخلاف الشعر وسائر مواضع البدن، فإنّ لزوم سترها في جميع الحالات ثابت عندهم، وهو </w:t>
      </w:r>
      <w:bookmarkStart w:id="357" w:name="pg15684_175483"/>
    </w:p>
    <w:p>
      <w:pPr>
        <w:pStyle w:val="BookText"/>
        <w:rPr/>
      </w:pPr>
      <w:bookmarkEnd w:id="357"/>
      <w:r>
        <w:rPr>
          <w:rFonts w:ascii="Amiri" w:hAnsi="Amiri" w:eastAsia="Amiri" w:cs="Amiri"/>
          <w:color w:val="111111"/>
          <w:sz w:val="28"/>
          <w:sz w:val="28"/>
          <w:szCs w:val="28"/>
          <w:rtl w:val="true"/>
          <w:lang w:bidi="ar-SA"/>
        </w:rPr>
        <w:t>المركوز في أذهانهم والمفروغ عنه عندهم، فلذا سألوا عن إبدائها لبعض الأشخاص</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التأمل فيه مما مضى</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11572840_2142443653"/>
      <w:bookmarkStart w:id="359" w:name="_Toc136"/>
      <w:bookmarkEnd w:id="358"/>
      <w:r>
        <w:rPr>
          <w:rtl w:val="true"/>
        </w:rPr>
        <w:t>الدليل الحادي والعشرون</w:t>
      </w:r>
      <w:r>
        <w:rPr>
          <w:rtl w:val="true"/>
        </w:rPr>
        <w:t xml:space="preserve">: </w:t>
      </w:r>
      <w:r>
        <w:rPr>
          <w:rtl w:val="true"/>
        </w:rPr>
        <w:t>جواز سماع صوت الأجنبية</w:t>
      </w:r>
      <w:bookmarkEnd w:id="359"/>
    </w:p>
    <w:p>
      <w:pPr>
        <w:pStyle w:val="BookText"/>
        <w:rPr/>
      </w:pPr>
      <w:r>
        <w:rPr>
          <w:rFonts w:ascii="Amiri" w:hAnsi="Amiri" w:eastAsia="Amiri" w:cs="Amiri"/>
          <w:color w:val="111111"/>
          <w:sz w:val="28"/>
          <w:sz w:val="28"/>
          <w:szCs w:val="28"/>
          <w:rtl w:val="true"/>
          <w:lang w:bidi="ar-SA"/>
        </w:rPr>
        <w:t>ما ذكره الشيخ الأعظم من الأخبار الدالة على جواز سماع صوت المرأة الأجنبية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جواز السماع وجواز النظر،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فَاسْأَلُوهُنَّ مِن وَرَاء حِجَابٍ</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تجويز سماع صوت امرأة مكشوفة الوجه ومحادثتها قد يلازم جواز النظر إلى وجهها عرفاً؛ إذ محادثة شخص ملازمة عادة للنظر إليه، فتجويزها ملازم لتجويزه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تتميم الدليل بادعاء جريان السيرة على كشف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فرض ثبوت السيرة تكون دليلاً قائماً بنفسه بدون حاجة إلى ضم هذه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جريان السيرة على كشف الوجه لم يحتج الاستدلال إلى ضم تجويز سماع صوتها، ومع عدم ثبوت ذلك لا ينفع التجويز المزبور في إثبات جواز كشف الوجه، فتأمل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 السيرة على كشف الوجه ينفع لمن لا يسلم بالملازمة </w:t>
      </w:r>
      <w:bookmarkStart w:id="360" w:name="pg15684_175484"/>
    </w:p>
    <w:p>
      <w:pPr>
        <w:pStyle w:val="BookText"/>
        <w:rPr/>
      </w:pPr>
      <w:bookmarkEnd w:id="360"/>
      <w:r>
        <w:rPr>
          <w:rFonts w:ascii="Amiri" w:hAnsi="Amiri" w:eastAsia="Amiri" w:cs="Amiri"/>
          <w:color w:val="111111"/>
          <w:sz w:val="28"/>
          <w:sz w:val="28"/>
          <w:szCs w:val="28"/>
          <w:rtl w:val="true"/>
          <w:lang w:bidi="ar-SA"/>
        </w:rPr>
        <w:t>بين جواز الكشف وجواز النظر، فبالسيرة يثبت الكشف للوجه، وبدليل جواز سماع صوت الأجنبية يثبت جواز النظر إلى الوجه بالملازمة بينه وبين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ينكر الملازمة في المقام الأول ينكرها في المقام الثاني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مؤكد للملازمة العرفية،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هنا أوضح من الملازمة هناك، وإلا فالدعوى المذكورة بمفردها غير وافية</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1572842_2142443653"/>
      <w:bookmarkStart w:id="362" w:name="_Toc137"/>
      <w:bookmarkEnd w:id="361"/>
      <w:r>
        <w:rPr>
          <w:rtl w:val="true"/>
        </w:rPr>
        <w:t>الدليل الثاني والعشرون</w:t>
      </w:r>
      <w:r>
        <w:rPr>
          <w:rtl w:val="true"/>
        </w:rPr>
        <w:t xml:space="preserve">: </w:t>
      </w:r>
      <w:r>
        <w:rPr>
          <w:rtl w:val="true"/>
        </w:rPr>
        <w:t>الأخبار الدالة على كراهة القنازع</w:t>
      </w:r>
      <w:bookmarkEnd w:id="362"/>
    </w:p>
    <w:p>
      <w:pPr>
        <w:pStyle w:val="BookText"/>
        <w:rPr/>
      </w:pPr>
      <w:r>
        <w:rPr>
          <w:rFonts w:ascii="Amiri" w:hAnsi="Amiri" w:eastAsia="Amiri" w:cs="Amiri"/>
          <w:color w:val="111111"/>
          <w:sz w:val="28"/>
          <w:sz w:val="28"/>
          <w:szCs w:val="28"/>
          <w:rtl w:val="true"/>
          <w:lang w:bidi="ar-SA"/>
        </w:rPr>
        <w:t>ما ذكره الشيخ أيضاً، حيث قال عند مناقشة أدلة منع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كراهة القنازع والقصة، ونقش الراحة بالخضاب للمرأة، وأن نساء بني إسرائيل هلكن بهذه؛ إذ لو وجب ستر الوجه والكفين كغيرها لم يكره تزيينها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يكره تزيين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شاءت</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ضعف السند في هذه الروايات</w:t>
      </w:r>
      <w:r>
        <w:rPr>
          <w:rStyle w:val="FootnoteAnchor"/>
          <w:rtl w:val="true"/>
        </w:rPr>
        <w:footnoteReference w:id="672"/>
      </w:r>
      <w:r>
        <w:rPr>
          <w:rFonts w:ascii="Amiri" w:hAnsi="Amiri" w:eastAsia="Amiri" w:cs="Amiri"/>
          <w:color w:val="111111"/>
          <w:sz w:val="28"/>
          <w:sz w:val="28"/>
          <w:szCs w:val="28"/>
          <w:rtl w:val="true"/>
          <w:lang w:bidi="ar-SA"/>
        </w:rPr>
        <w:t>، وإن كان بحاجة إلى تتبع أكثر، وما عثرنا عليه فيه نوع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هي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القنازع</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والقصص</w:t>
      </w:r>
      <w:r>
        <w:rPr>
          <w:rStyle w:val="FootnoteAnchor"/>
          <w:rtl w:val="true"/>
        </w:rPr>
        <w:footnoteReference w:id="674"/>
      </w:r>
      <w:r>
        <w:rPr>
          <w:rFonts w:ascii="Amiri" w:hAnsi="Amiri" w:eastAsia="Amiri" w:cs="Amiri"/>
          <w:color w:val="111111"/>
          <w:sz w:val="28"/>
          <w:sz w:val="28"/>
          <w:szCs w:val="28"/>
          <w:rtl w:val="true"/>
          <w:lang w:bidi="ar-SA"/>
        </w:rPr>
        <w:t>ونقش الخضاب على الراحة،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هلكت نساء بني إسرائيل من قبل القصص ونقش الخضاب</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الإشكال من جهة النوفلي، ففي وثاقته كلام بحثناه في موضع آخر</w:t>
      </w:r>
      <w:r>
        <w:rPr>
          <w:rStyle w:val="FootnoteAnchor"/>
          <w:rtl w:val="true"/>
        </w:rPr>
        <w:footnoteReference w:id="677"/>
      </w:r>
      <w:r>
        <w:rPr>
          <w:rFonts w:ascii="Amiri" w:hAnsi="Amiri" w:eastAsia="Amiri" w:cs="Amiri"/>
          <w:color w:val="111111"/>
          <w:sz w:val="28"/>
          <w:sz w:val="28"/>
          <w:szCs w:val="28"/>
          <w:rtl w:val="true"/>
          <w:lang w:bidi="ar-SA"/>
        </w:rPr>
        <w:t>، وقد جمع بعض القرائن الدالة على وثاقته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w:t>
      </w:r>
      <w:r>
        <w:rPr>
          <w:rStyle w:val="FootnoteAnchor"/>
          <w:rtl w:val="true"/>
        </w:rPr>
        <w:footnoteReference w:id="679"/>
      </w:r>
      <w:r>
        <w:rPr>
          <w:rFonts w:ascii="IRNazanin" w:hAnsi="IRNazanin" w:eastAsia="IRNazanin"/>
          <w:color w:val="111111"/>
          <w:sz w:val="28"/>
          <w:sz w:val="28"/>
          <w:szCs w:val="28"/>
          <w:rtl w:val="true"/>
          <w:lang w:bidi="fa-IR"/>
        </w:rPr>
        <w:t>، عن محمد بن الحسن بن شمون</w:t>
      </w:r>
      <w:r>
        <w:rPr>
          <w:rStyle w:val="FootnoteAnchor"/>
          <w:rtl w:val="true"/>
        </w:rPr>
        <w:footnoteReference w:id="680"/>
      </w:r>
      <w:r>
        <w:rPr>
          <w:rFonts w:ascii="IRNazanin" w:hAnsi="IRNazanin" w:eastAsia="IRNazanin"/>
          <w:color w:val="111111"/>
          <w:sz w:val="28"/>
          <w:sz w:val="28"/>
          <w:szCs w:val="28"/>
          <w:rtl w:val="true"/>
          <w:lang w:bidi="fa-IR"/>
        </w:rPr>
        <w:t>، عن عبد اللّه بن عبد الرحمن</w:t>
      </w:r>
      <w:r>
        <w:rPr>
          <w:rStyle w:val="FootnoteAnchor"/>
          <w:rtl w:val="true"/>
        </w:rPr>
        <w:footnoteReference w:id="681"/>
      </w:r>
      <w:r>
        <w:rPr>
          <w:rFonts w:ascii="IRNazanin" w:hAnsi="IRNazanin" w:eastAsia="IRNazanin"/>
          <w:color w:val="111111"/>
          <w:sz w:val="28"/>
          <w:sz w:val="28"/>
          <w:szCs w:val="28"/>
          <w:rtl w:val="true"/>
          <w:lang w:bidi="fa-IR"/>
        </w:rPr>
        <w:t>، عن مسمع</w:t>
      </w:r>
      <w:r>
        <w:rPr>
          <w:rStyle w:val="FootnoteAnchor"/>
          <w:rtl w:val="true"/>
        </w:rPr>
        <w:footnoteReference w:id="682"/>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تحل لامرأة حاضت</w:t>
      </w:r>
      <w:r>
        <w:rPr>
          <w:rStyle w:val="FootnoteAnchor"/>
          <w:rtl w:val="true"/>
        </w:rPr>
        <w:footnoteReference w:id="683"/>
      </w:r>
      <w:r>
        <w:rPr>
          <w:rFonts w:ascii="Amiri" w:hAnsi="Amiri" w:eastAsia="Amiri" w:cs="Amiri"/>
          <w:color w:val="111111"/>
          <w:sz w:val="28"/>
          <w:sz w:val="28"/>
          <w:szCs w:val="28"/>
          <w:rtl w:val="true"/>
          <w:lang w:bidi="ar-SA"/>
        </w:rPr>
        <w:t>أن تتخذ قصة أو جمة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التسامح تثبت الكراهة، وكراهته تدل على جواز كشف اليد</w:t>
      </w:r>
      <w:r>
        <w:rPr>
          <w:rFonts w:eastAsia="Amiri" w:cs="Amiri" w:ascii="Amiri" w:hAnsi="Amiri"/>
          <w:color w:val="111111"/>
          <w:sz w:val="28"/>
          <w:szCs w:val="28"/>
          <w:rtl w:val="true"/>
          <w:lang w:bidi="ar-SA"/>
        </w:rPr>
        <w:t xml:space="preserve">. </w:t>
      </w:r>
      <w:bookmarkStart w:id="363" w:name="pg15684_175486"/>
    </w:p>
    <w:p>
      <w:pPr>
        <w:pStyle w:val="BookText"/>
        <w:rPr/>
      </w:pPr>
      <w:bookmarkEnd w:id="363"/>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تثبت الكراهة بالعنوان الثانوي، وهو عنوان البلوغ، ولا تثبت صدور الخبر عن المعصوم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بدلالة الاقتضاء يدل على عدم وجوب ستر الوجه والكفين، والأمر بحاجة إلى تتبع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 الواردة كون المبغوضية ذاتية، لا طريقية،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مبغوضاً من حيث رؤية الأجنبي مع إمكان النقض بالقنازع والقصة، فإنه لو كان النهي طريقياً لزم جواز كشف الشعر، وهو خلاف الإجماع،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بذاتها تدل على الجواز لولا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 بعض الرواية طريقياً وبعضه موضوعياً،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وجود نهيين عرضيين، النهي عن أصل إبداء الشيء، والنهي عن تزيينه، كي لا يكون سبباً للهلكة عند إبدائه عمداً أو اتفاقاً، فلا يدل النهي عن التزيين على انتفاء النهي عن الإبداء، فتأمل</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1572844_2142443653"/>
      <w:bookmarkStart w:id="365" w:name="_Toc138"/>
      <w:bookmarkEnd w:id="364"/>
      <w:r>
        <w:rPr>
          <w:rtl w:val="true"/>
        </w:rPr>
        <w:t>الدليل الثالث والعشرون</w:t>
      </w:r>
      <w:r>
        <w:rPr>
          <w:rtl w:val="true"/>
        </w:rPr>
        <w:t xml:space="preserve">: </w:t>
      </w:r>
      <w:r>
        <w:rPr>
          <w:rtl w:val="true"/>
        </w:rPr>
        <w:t>السيرة قائمة على عدم ستر الوجه</w:t>
      </w:r>
      <w:bookmarkEnd w:id="365"/>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في الاستدلال على عدم وجوب ستر الوجه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الوجه لا يجب ستره بإجماع علماء الإسلام، وكذا الكفان عندنا؛ لأنهما ليسا بعورة؛ إذ الغالب كشفهما دائماً؛ لأنّ الحاجة داعية إلى ذلك للأخذ والعطاء وقضاء المهام وكذا الرجلان، بل كشفهما أغلب في العادة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كما أنّ الوجه والكفين ليسا بعورة في غير الصلاة، كذلك لا </w:t>
      </w:r>
    </w:p>
    <w:p>
      <w:pPr>
        <w:pStyle w:val="BookText"/>
        <w:rPr/>
      </w:pPr>
      <w:r>
        <w:rPr>
          <w:rFonts w:ascii="Amiri" w:hAnsi="Amiri" w:eastAsia="Amiri" w:cs="Amiri"/>
          <w:color w:val="111111"/>
          <w:sz w:val="28"/>
          <w:sz w:val="28"/>
          <w:szCs w:val="28"/>
          <w:rtl w:val="true"/>
          <w:lang w:bidi="ar-SA"/>
        </w:rPr>
        <w:t>يكونان عورة في الصلاة، حيث لا فرق بينهما بين العورة الصلاتية وغير الصلاتية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المسالك في ضمن نقل أدلة المجوزين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لإطباق الناس في كل عصر على خروج النساء على وجه يحصل منه بدو ذلك</w:t>
      </w:r>
      <w:r>
        <w:rPr>
          <w:rStyle w:val="FootnoteAnchor"/>
          <w:rtl w:val="true"/>
        </w:rPr>
        <w:footnoteReference w:id="687"/>
      </w:r>
      <w:r>
        <w:rPr>
          <w:rFonts w:ascii="Amiri" w:hAnsi="Amiri" w:eastAsia="Amiri" w:cs="Amiri"/>
          <w:color w:val="111111"/>
          <w:sz w:val="28"/>
          <w:sz w:val="28"/>
          <w:szCs w:val="28"/>
          <w:rtl w:val="true"/>
          <w:lang w:bidi="ar-SA"/>
        </w:rPr>
        <w:t>من غير نكير</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 ذلك ضمن أدلة المجوزين صاحب الحدائق</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ظاهر نقلهما من غير رد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الإشكالات على الدليل الثالث والعشرين</w:t>
      </w:r>
    </w:p>
    <w:p>
      <w:pPr>
        <w:pStyle w:val="BookText"/>
        <w:rPr/>
      </w:pPr>
      <w:r>
        <w:rPr>
          <w:rFonts w:ascii="Amiri" w:hAnsi="Amiri" w:eastAsia="Amiri" w:cs="Amiri"/>
          <w:color w:val="111111"/>
          <w:sz w:val="28"/>
          <w:sz w:val="28"/>
          <w:szCs w:val="28"/>
          <w:rtl w:val="true"/>
          <w:lang w:bidi="ar-SA"/>
        </w:rPr>
        <w:t>وقد يورد على ذلك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معارضة بمثلها</w:t>
      </w:r>
    </w:p>
    <w:p>
      <w:pPr>
        <w:pStyle w:val="BookText"/>
        <w:rPr/>
      </w:pPr>
      <w:r>
        <w:rPr>
          <w:rFonts w:ascii="Amiri" w:hAnsi="Amiri" w:eastAsia="Amiri" w:cs="Amiri"/>
          <w:color w:val="111111"/>
          <w:sz w:val="28"/>
          <w:sz w:val="28"/>
          <w:szCs w:val="28"/>
          <w:rtl w:val="true"/>
          <w:lang w:bidi="ar-SA"/>
        </w:rPr>
        <w:t>ما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والسيرة والطريقة معارضة بمثلها من المتدينات والمتدينين في جميع الأعصار والأمصار</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فهن لا يتكشفن وهم لا ينظرون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سيرة المتشرعات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لا تبالي منهن بالدين تكشف عن غير الوجه، فضلاً عن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العملية بين المتدينين والمتدينات بترك النظر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جريان سيرة جملة من المتشرعة على الستر لا جميعهم،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ينفي وجود سيرة أخرى إلى جانبها، والفعل لا يدل على الوجوب، غاية الأمر دلالته على الرجحان، بينما ترك الستر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جريان سيرة جميع المتشرعة على الستر فالمظنون، بل المطمأن به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كلام المختلف والمسالك والحدائق؛ إذ لا يمكن جريان سيرة جميع المتشرعة على الستر، وادعاء غلبة الكشف أو إطباق الناس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المثبت للسيرة على الكشف وجدها في الجملة، والنافي لم يجدها، ولا شك في تقديم قول المثبت على قول النافي إن كان مرجع النفي إلى عدم العلم لا العلم بالعدم، إلا أنّ ذلك خلاف ظاهر كلام الجواهر والمهذب،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يقرب جريان السيرة على الكشف بأننا نشاهد أن كثيراً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سكنة القرى والأرياف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يسترن وجوههن وأكفهن، ولا يخلو الأمر من أن يكون ذلك قديماً، أو حادثاً في العصور المتأخرة، والثاني غير ممكن؛ لأنه لو كان لبان، ولنقل ذلك في التواريخ ونحوها، فيتعين الأول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السيرة فليست تامة بعد ما نرى من تعارف كشف الوجه عند نساء البوادي والأعراب وأمثالهن، وإنما اُعتيد ستره في المدن؛ لأنه نوع من النزاهة والتعفف، كما يعتاد عدم ظهور ملابس النساء، لا لأنه </w:t>
      </w:r>
    </w:p>
    <w:p>
      <w:pPr>
        <w:pStyle w:val="BookText"/>
        <w:rPr/>
      </w:pPr>
      <w:r>
        <w:rPr>
          <w:rFonts w:ascii="Amiri" w:hAnsi="Amiri" w:eastAsia="Amiri" w:cs="Amiri"/>
          <w:color w:val="111111"/>
          <w:sz w:val="28"/>
          <w:sz w:val="28"/>
          <w:szCs w:val="28"/>
          <w:rtl w:val="true"/>
          <w:lang w:bidi="ar-SA"/>
        </w:rPr>
        <w:t>حرام؛ بل لأجل ذلك</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شرح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السيرة ممنوعة من أصلها، سيما في مثل القرى والقصبات والبلدان أيضاً، بل لعل السيرة في هذه الموارد قائمة على العكس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نضايق من تحققها بالإضافة إلى النساء المجللات في البلدان الكبار، وأمّا على سبيل العموم فكلا، فهي مختصة بطائفة من النساء في 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منع السيرة هنا أيضاً، فإنّ المجللات أنما يتسترن عن الأجانب المحض دون الأقارب، وإن لم يكونوا محارم، كزوج الأخت أو أخ الزوج أو ابن العم ونحوهم ممن يسكنون في دار واحدة معها، فإنهن لا يتسترن غالباً عن مثل هؤلاء الأقارب، مع أنهم أجانب شرعيون، وإن لم يكونوا كذلك عرفاً، و من المعلوم عدم الفرق في وجوب الستر عن الأجنبي بين العرفي والشرعي، كما يفصح عنه الصحيح المتقدم الوارد في شعر أخت المرأة المتضمن أنها والغريبة سواء، فيظهر أن السيرة في موردها أنما هي لجهة أخرى لا للمنع الشرعي، وإلا كان مقتضاها عدم الفرق بين الموارد</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تعارضت السيرتان فالحكم التساقط ولا حجية لأحدهما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وجود سيرتين على الفعل والترك ثبت الجواز؛ لأنّ الفعل يدل على الجواز، بينما الترك لا يدل على الحرمة، كما لو رأينا بعض </w:t>
      </w:r>
    </w:p>
    <w:p>
      <w:pPr>
        <w:pStyle w:val="BookText"/>
        <w:rPr/>
      </w:pPr>
      <w:r>
        <w:rPr>
          <w:rFonts w:ascii="Amiri" w:hAnsi="Amiri" w:eastAsia="Amiri" w:cs="Amiri"/>
          <w:color w:val="111111"/>
          <w:sz w:val="28"/>
          <w:sz w:val="28"/>
          <w:szCs w:val="28"/>
          <w:rtl w:val="true"/>
          <w:lang w:bidi="ar-SA"/>
        </w:rPr>
        <w:t>المتشرعة يبيعون معاطاة وبعضهم لا يبيعون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أنما تكون حجة إذا كانت سيرة جميع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حجيتها أن تكون سيرة الجميع، بل يكفي في الحجية سيرة بعضهم إذا كانت جامعة لشروط الحجية، ولعل التارك تركه لأجل الاحتياط أو الأفضيلة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لما ذكر، فإنه لو كانت سيرة التاركين ناشئة عن رأيهم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بالترك بأن كانوا يلتزمون بستر الوجه عن 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أنه لا يعلم كون منشئه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الأمر أنّ صاحب الجواهر لم يرَ امرأة متدينة متكشفة، بينما العلامة وصاحب الحدائق والمسالك يدعون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أو تقريراً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نساء متدينات لا يسترن 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يستشهد للسيرة المدعاة على الكشف بشواهد من الأخبار الصادرة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النهي عن النظر إلى النساء</w:t>
      </w:r>
      <w:r>
        <w:rPr>
          <w:rStyle w:val="FootnoteAnchor"/>
          <w:rtl w:val="true"/>
        </w:rPr>
        <w:footnoteReference w:id="694"/>
      </w:r>
      <w:r>
        <w:rPr>
          <w:rFonts w:ascii="Amiri" w:hAnsi="Amiri" w:eastAsia="Amiri" w:cs="Amiri"/>
          <w:color w:val="111111"/>
          <w:sz w:val="28"/>
          <w:sz w:val="28"/>
          <w:szCs w:val="28"/>
          <w:rtl w:val="true"/>
          <w:lang w:bidi="ar-SA"/>
        </w:rPr>
        <w:t>، والنهي عن النظرة الثانية</w:t>
      </w:r>
      <w:r>
        <w:rPr>
          <w:rStyle w:val="FootnoteAnchor"/>
          <w:rtl w:val="true"/>
        </w:rPr>
        <w:footnoteReference w:id="695"/>
      </w:r>
      <w:r>
        <w:rPr>
          <w:rFonts w:ascii="Amiri" w:hAnsi="Amiri" w:eastAsia="Amiri" w:cs="Amiri"/>
          <w:color w:val="111111"/>
          <w:sz w:val="28"/>
          <w:sz w:val="28"/>
          <w:szCs w:val="28"/>
          <w:rtl w:val="true"/>
          <w:lang w:bidi="ar-SA"/>
        </w:rPr>
        <w:t>، فإنّ هذه الأخبار تكون بلا موضوع لو كانت النساء سافرات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السلام على الشابة</w:t>
      </w:r>
      <w:r>
        <w:rPr>
          <w:rStyle w:val="FootnoteAnchor"/>
          <w:rtl w:val="true"/>
        </w:rPr>
        <w:footnoteReference w:id="696"/>
      </w:r>
      <w:r>
        <w:rPr>
          <w:rFonts w:ascii="Amiri" w:hAnsi="Amiri" w:eastAsia="Amiri" w:cs="Amiri"/>
          <w:color w:val="111111"/>
          <w:sz w:val="28"/>
          <w:sz w:val="28"/>
          <w:szCs w:val="28"/>
          <w:rtl w:val="true"/>
          <w:lang w:bidi="ar-SA"/>
        </w:rPr>
        <w:t>، وهو يدل على أنّ النساء كن كاشفات الوجوه، وبذلك تتميز الشابة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نظر الفضل إلى المرأة الخثعمية، وقد رواها في التذكرة</w:t>
      </w:r>
      <w:r>
        <w:rPr>
          <w:rStyle w:val="FootnoteAnchor"/>
          <w:rtl w:val="true"/>
        </w:rPr>
        <w:footnoteReference w:id="697"/>
      </w:r>
      <w:r>
        <w:rPr>
          <w:rFonts w:ascii="Amiri" w:hAnsi="Amiri" w:eastAsia="Amiri" w:cs="Amiri"/>
          <w:color w:val="111111"/>
          <w:sz w:val="28"/>
          <w:sz w:val="28"/>
          <w:szCs w:val="28"/>
          <w:rtl w:val="true"/>
          <w:lang w:bidi="ar-SA"/>
        </w:rPr>
        <w:t>، ومنها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جريان سيرة المتدينين لا جريان السيرة مطلقاً، وما تثبته هذه الروايات حصول الكشف إجمالاً، لا صدوره من المتدينين،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المراد النظر للإماء أو أهل الذمة أو القواعد، أو اللواتي إذا نهين لا ينتهين، أو عند اتفاق كشف الوجه، أو في حالة الإحرام، أو النظر إليهن من وراء الثياب، لكنه لا يخلو من بعد،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وتمييز الشابة عن غيرها يمكن بالصوت أو القوام أو نحو ذلك، أو لظهور الوجه عصياناً،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أنه لم يثبت قيام سيرة المتشرعة على الستر،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خلاف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تقدم يظهر النظر فيما ذكره في المسائل الفقهية،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والمنكر لهذه السيرة</w:t>
      </w:r>
      <w:r>
        <w:rPr>
          <w:rStyle w:val="FootnoteAnchor"/>
          <w:rtl w:val="true"/>
        </w:rPr>
        <w:footnoteReference w:id="69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في بعض البلاد العربية وغيرها في عصرنا يخرجن ساترات البدن من جميع جوانبه من الوجه وغيره، حتى </w:t>
      </w:r>
    </w:p>
    <w:p>
      <w:pPr>
        <w:pStyle w:val="BookText"/>
        <w:rPr/>
      </w:pPr>
      <w:r>
        <w:rPr>
          <w:rFonts w:ascii="Amiri" w:hAnsi="Amiri" w:eastAsia="Amiri" w:cs="Amiri"/>
          <w:color w:val="111111"/>
          <w:sz w:val="28"/>
          <w:sz w:val="28"/>
          <w:szCs w:val="28"/>
          <w:rtl w:val="true"/>
          <w:lang w:bidi="ar-SA"/>
        </w:rPr>
        <w:t>إنّ بعضهن يلبسن الفقازين، فيسأل عن أن هذه الكيفية منذ متى بدأت؟ وفي أي زمان حدثت؟ ومن أحدثها؟ وهل يمكن لأحد أن يدعي أنها حدثت في الأزمنة الأخيرة التي تسربت فيها آداب الكفار وأعرافهم إلى البلاد الإسلامية أو أنها كانت من سابق الزمان؟</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الكيفية التي نجدها من التحجب الكامل لا يعقل أن تكون جديدة، وإنما هي قديمة وممتدة إلى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ينفي وجود سيرة أخرى على الكشف إلى جانب السيرة على الستر، وقد مضى أنّ الفعل لا يدل على الوجوب، بينما الترك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جواب آخر عن دعوى السيرة على ستر الوجه، وهو ما ذكره الشهيد الثاني في المسالك، حيث أجاب عن ادعاء اتفاق المسلمين على منع النساء أن يخرجن سافرات الوجوه،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اتفاق المسلمين عليه معارض بمثله، ولو تم لم يلزم منه تحريم هذا المقدار؛ لجواز استناد منعهن إلى المروة والغيرة، بل هو الأظهر، أو على جهة الأفضلية إذ لا شك فيها</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فلا يعلم أن مستند المنع هو الحكم الشرعي، بل قد يكون لعوامل أخرى، كالغيرة مثلاً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إذ يبعد اتفاق الكل على اختلاف مشاربهم وبلادهم وعاداتهم، والملابسات المكتنفة بهم على المنع لمجرد المروة أو الأفضلية، كما قد </w:t>
      </w:r>
    </w:p>
    <w:p>
      <w:pPr>
        <w:pStyle w:val="BookText"/>
        <w:rPr/>
      </w:pPr>
      <w:r>
        <w:rPr>
          <w:rFonts w:ascii="Amiri" w:hAnsi="Amiri" w:eastAsia="Amiri" w:cs="Amiri"/>
          <w:color w:val="111111"/>
          <w:sz w:val="28"/>
          <w:sz w:val="28"/>
          <w:szCs w:val="28"/>
          <w:rtl w:val="true"/>
          <w:lang w:bidi="ar-SA"/>
        </w:rPr>
        <w:t>يقال ذلك في إعفاء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ستر الوجه والكفين كان عادة مستحكمة في الشعوب، لا من مختصات المتشرعة بما هم متشرعة، فلعل استمرار الستر كان استمراراً لتلك العادات لا استناداً إلى الوجوب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ما نقله بعض التواريخ عن العرب ينافي ذلك؛ إذ يظهر منها أنّ ستر الوجه لم يكن متداولاً بينهم، فلو ثبتت سيرة على الستر لكانت مستندة إلى الوجوب الشرعي،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فالأولى منع قيام سيرة المتشرعة على الستر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الكل على اختلافهم لا يدل على الوجوب أو الحرمة؛ لاحتمال كون منشئه شيئاً آخر، كاتفاقهم على زيارة القبور، أو عدم الخروج بغير ملابس في الشوارع، أو عدم أكل الطعام الوسخ، مما يدل على تقيدهم بالنظافة، وإنما تقيدهم يدل على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غير مقيدين بالرجحان، فلو ثبت أنهم لم يتقيدوا بشيء ثم تقيدوا به لإسلامهم دل على أن منشأه الإلزام الشرعي، وفي الأمثلة المذكورة نظر، فإنهم يخرجون مكشفين في البحر وشبهه، وأمّا النظافة فلا يتقيد بها كل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المذكور من الأدلة التي يركن إليها في وجوب إعفاء اللحية، فكيف صارت سيرتهم جميعاً على التقيد بإعفاء اللحى، مع أنهم لم يكونوا مقيدين من قبل؟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القول بعدم حجية السيرة مطلقاً؛ لأنه يحتمل في كل سيرة </w:t>
      </w:r>
      <w:bookmarkStart w:id="366" w:name="pg15684_175494"/>
    </w:p>
    <w:p>
      <w:pPr>
        <w:pStyle w:val="BookText"/>
        <w:rPr/>
      </w:pPr>
      <w:bookmarkEnd w:id="366"/>
      <w:r>
        <w:rPr>
          <w:rFonts w:ascii="Amiri" w:hAnsi="Amiri" w:eastAsia="Amiri" w:cs="Amiri"/>
          <w:color w:val="111111"/>
          <w:sz w:val="28"/>
          <w:sz w:val="28"/>
          <w:szCs w:val="28"/>
          <w:rtl w:val="true"/>
          <w:lang w:bidi="ar-SA"/>
        </w:rPr>
        <w:t>أن تكون استمراراً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عادة مستحكمة في الشعوب نقول بذلك، وكذا إذا احتمل أن منشأها العادة، فإن السيرة أنما تكون حجة إذا كانت كاشفة عن البيان الشرعي كشفاً إنياً،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صاحب المسالك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اتصال السيرة بزمن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يعلم اتصال هذه السيرة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ويظهر الجواب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يقال بحجية السيرة في حد نفسها، وإن لم يعلم اتصالها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أنّ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إلى هذا الرأي، كما صرح السيد الحكيم في بعض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لسيرة صلحاء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الكشف لا يستلزم جواز النظر وفيه ما سبق من الملازمة الطبيعية بين الكشف والنظر، ولو كان حراماً لوجب التنبيه عليه</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1572846_2142443653"/>
      <w:bookmarkStart w:id="368" w:name="_Toc139"/>
      <w:bookmarkEnd w:id="367"/>
      <w:r>
        <w:rPr>
          <w:rtl w:val="true"/>
        </w:rPr>
        <w:t>الدليل الرابع والعشرون</w:t>
      </w:r>
      <w:r>
        <w:rPr>
          <w:rtl w:val="true"/>
        </w:rPr>
        <w:t xml:space="preserve">: </w:t>
      </w:r>
      <w:r>
        <w:rPr>
          <w:rtl w:val="true"/>
        </w:rPr>
        <w:t>النصوص الدالة على جواز وضع القواعد جلابيبهن وخمرهن</w:t>
      </w:r>
      <w:bookmarkEnd w:id="368"/>
    </w:p>
    <w:p>
      <w:pPr>
        <w:pStyle w:val="BookText"/>
        <w:rPr/>
      </w:pPr>
      <w:r>
        <w:rPr>
          <w:rFonts w:ascii="Amiri" w:hAnsi="Amiri" w:eastAsia="Amiri" w:cs="Amiri"/>
          <w:color w:val="111111"/>
          <w:sz w:val="28"/>
          <w:sz w:val="28"/>
          <w:szCs w:val="28"/>
          <w:rtl w:val="true"/>
          <w:lang w:bidi="ar-SA"/>
        </w:rPr>
        <w:t>فإنّ ظاهرها المفروغية عن جواز كشف الوجه واليدين مطلقاً، وإنما الفرق بين القواعد وغيرهن جواز وضع الخمار للقواعد، المستلزم لكشف شعورهنّ، وأمّا جواز كشف الوجه والكفين فهو مشترك بينهن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الواردة في النصوص المعتبرة</w:t>
      </w:r>
      <w:r>
        <w:rPr>
          <w:rStyle w:val="FootnoteAnchor"/>
          <w:rtl w:val="true"/>
        </w:rPr>
        <w:footnoteReference w:id="701"/>
      </w:r>
      <w:r>
        <w:rPr>
          <w:rFonts w:ascii="IRNazanin" w:hAnsi="IRNazanin" w:eastAsia="IRNazanin"/>
          <w:color w:val="111111"/>
          <w:sz w:val="28"/>
          <w:sz w:val="28"/>
          <w:szCs w:val="28"/>
          <w:rtl w:val="true"/>
          <w:lang w:bidi="fa-IR"/>
        </w:rPr>
        <w:t xml:space="preserve">وضع </w:t>
      </w:r>
    </w:p>
    <w:p>
      <w:pPr>
        <w:pStyle w:val="BookText"/>
        <w:rPr/>
      </w:pPr>
      <w:r>
        <w:rPr>
          <w:rFonts w:ascii="Amiri" w:hAnsi="Amiri" w:eastAsia="Amiri" w:cs="Amiri"/>
          <w:color w:val="111111"/>
          <w:sz w:val="28"/>
          <w:sz w:val="28"/>
          <w:szCs w:val="28"/>
          <w:rtl w:val="true"/>
          <w:lang w:bidi="ar-SA"/>
        </w:rPr>
        <w:t>الثياب والجلباب والخمار، ولم يعلم كيفية لبسها، فلعلها كانت ساترة للوجه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عدة روايات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يصلح لهن أن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قرأ ويضعن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والخمار</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يعلم كيفية الثياب والجلباب والخمار قبل أن تضعها المرأة القاعدة؟ فهنالك غموض في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الجلباب غطاء يوضع على الرأس ويغطي الصدر أيضاً</w:t>
      </w:r>
      <w:r>
        <w:rPr>
          <w:rStyle w:val="FootnoteAnchor"/>
          <w:rtl w:val="true"/>
        </w:rPr>
        <w:footnoteReference w:id="705"/>
      </w:r>
      <w:r>
        <w:rPr>
          <w:rFonts w:ascii="Amiri" w:hAnsi="Amiri" w:eastAsia="Amiri" w:cs="Amiri"/>
          <w:color w:val="111111"/>
          <w:sz w:val="28"/>
          <w:sz w:val="28"/>
          <w:szCs w:val="28"/>
          <w:rtl w:val="true"/>
          <w:lang w:bidi="ar-SA"/>
        </w:rPr>
        <w:t>، فهو أكبر من الخمار، فهل كان يغطي الوجه أم لا؟ و المفروض في الاستدلال أنه لا يغطي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بعض العبارات أن الخمار غير ساتر للوجه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الخمار ثوب تغطي به المرأة رأسها</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 الا أنّ </w:t>
      </w:r>
    </w:p>
    <w:p>
      <w:pPr>
        <w:pStyle w:val="BookText"/>
        <w:rPr/>
      </w:pPr>
      <w:r>
        <w:rPr>
          <w:rFonts w:ascii="Amiri" w:hAnsi="Amiri" w:eastAsia="Amiri" w:cs="Amiri"/>
          <w:color w:val="111111"/>
          <w:sz w:val="28"/>
          <w:sz w:val="28"/>
          <w:szCs w:val="28"/>
          <w:rtl w:val="true"/>
          <w:lang w:bidi="ar-SA"/>
        </w:rPr>
        <w:t>العبارة مجملة فلا يعلم أنه يشمل الوجه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الرأس المنسبل على جبينها</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فالجلابيب جمع جلباب، وهو خمار المرأة وهي المقنعة تغطي جبينها ورأسها</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وظاهرهما خروج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أكبر من الخمار</w:t>
      </w:r>
      <w:r>
        <w:rPr>
          <w:rStyle w:val="FootnoteAnchor"/>
          <w:rtl w:val="true"/>
        </w:rPr>
        <w:footnoteReference w:id="709"/>
      </w:r>
      <w:r>
        <w:rPr>
          <w:rFonts w:ascii="Amiri" w:hAnsi="Amiri" w:eastAsia="Amiri" w:cs="Amiri"/>
          <w:color w:val="111111"/>
          <w:sz w:val="28"/>
          <w:sz w:val="28"/>
          <w:szCs w:val="28"/>
          <w:rtl w:val="true"/>
          <w:lang w:bidi="ar-SA"/>
        </w:rPr>
        <w:t xml:space="preserve">، وهو ما يراه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الملاحف تدنيها المرأة على وجهها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أوسع من الخمار ودون الرداء، 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يغطى به من ثوب وغيره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القمص والخمر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القميص</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أو الثوب الواسع</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369" w:name="pg15684_175497"/>
    </w:p>
    <w:p>
      <w:pPr>
        <w:pStyle w:val="BookText"/>
        <w:rPr/>
      </w:pPr>
      <w:bookmarkEnd w:id="369"/>
      <w:r>
        <w:rPr>
          <w:rFonts w:ascii="Amiri" w:hAnsi="Amiri" w:eastAsia="Amiri" w:cs="Amiri"/>
          <w:color w:val="111111"/>
          <w:sz w:val="28"/>
          <w:sz w:val="28"/>
          <w:szCs w:val="28"/>
          <w:rtl w:val="true"/>
          <w:lang w:bidi="ar-SA"/>
        </w:rPr>
        <w:t>ويبدو أن للجلباب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الفرق بين القواعد وغيرهن في الشعر لا الوجه،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يحل له أن ينظر إلى شعر أخت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من القواعد،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والغريبة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النظر إليه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 وذراعها</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وكأن الوجه 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في الدليل المذكور نوع من الغموض للنهوض بالمدعى</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11572848_2142443653"/>
      <w:bookmarkStart w:id="371" w:name="_Toc140"/>
      <w:bookmarkEnd w:id="370"/>
      <w:r>
        <w:rPr>
          <w:rtl w:val="true"/>
        </w:rPr>
        <w:t>الدليل الخامس والعشرون</w:t>
      </w:r>
      <w:r>
        <w:rPr>
          <w:rtl w:val="true"/>
        </w:rPr>
        <w:t xml:space="preserve">: </w:t>
      </w:r>
      <w:r>
        <w:rPr>
          <w:rtl w:val="true"/>
        </w:rPr>
        <w:t>وجود العسر والحرج في اجتناب النظر</w:t>
      </w:r>
      <w:bookmarkEnd w:id="371"/>
    </w:p>
    <w:p>
      <w:pPr>
        <w:pStyle w:val="BookText"/>
        <w:rPr/>
      </w:pPr>
      <w:r>
        <w:rPr>
          <w:rFonts w:ascii="Amiri" w:hAnsi="Amiri" w:eastAsia="Amiri" w:cs="Amiri"/>
          <w:color w:val="111111"/>
          <w:sz w:val="28"/>
          <w:sz w:val="28"/>
          <w:szCs w:val="28"/>
          <w:rtl w:val="true"/>
          <w:lang w:bidi="ar-SA"/>
        </w:rPr>
        <w:t>ما نقله في الجواهر،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العسر والحرج في اجتناب ذلك</w:t>
      </w:r>
      <w:r>
        <w:rPr>
          <w:rStyle w:val="FootnoteAnchor"/>
          <w:rtl w:val="true"/>
        </w:rPr>
        <w:footnoteReference w:id="717"/>
      </w:r>
      <w:r>
        <w:rPr>
          <w:rFonts w:ascii="Amiri" w:hAnsi="Amiri" w:eastAsia="Amiri" w:cs="Amiri"/>
          <w:color w:val="111111"/>
          <w:sz w:val="28"/>
          <w:sz w:val="28"/>
          <w:szCs w:val="28"/>
          <w:rtl w:val="true"/>
          <w:lang w:bidi="ar-SA"/>
        </w:rPr>
        <w:t>لمزاولتهن البيع والشراء وغيرهما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والعسر والحرج في مثل الأعراب الذين لا ينتهون إذا نهوا مرتفع بعدم وجوب الغض عنهم، وعدم البأس مع اتفاق وقوع النظر عليهم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لما سبق في المسألة الأولى من إعراض مشهور الفقهاء عن الخبر، وقد ذكر صاحب الجواهر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كون المراد منه</w:t>
      </w:r>
      <w:r>
        <w:rPr>
          <w:rStyle w:val="FootnoteAnchor"/>
          <w:rtl w:val="true"/>
        </w:rPr>
        <w:footnoteReference w:id="720"/>
      </w:r>
      <w:r>
        <w:rPr>
          <w:rFonts w:ascii="IRNazanin" w:hAnsi="IRNazanin" w:eastAsia="IRNazanin"/>
          <w:color w:val="111111"/>
          <w:sz w:val="28"/>
          <w:sz w:val="28"/>
          <w:szCs w:val="28"/>
          <w:rtl w:val="true"/>
          <w:lang w:bidi="fa-IR"/>
        </w:rPr>
        <w:t xml:space="preserve">عدم </w:t>
      </w:r>
      <w:bookmarkStart w:id="372" w:name="pg15684_175498"/>
    </w:p>
    <w:p>
      <w:pPr>
        <w:pStyle w:val="BookText"/>
        <w:rPr/>
      </w:pPr>
      <w:bookmarkEnd w:id="372"/>
      <w:r>
        <w:rPr>
          <w:rFonts w:ascii="Amiri" w:hAnsi="Amiri" w:eastAsia="Amiri" w:cs="Amiri"/>
          <w:color w:val="111111"/>
          <w:sz w:val="28"/>
          <w:sz w:val="28"/>
          <w:szCs w:val="28"/>
          <w:rtl w:val="true"/>
          <w:lang w:bidi="ar-SA"/>
        </w:rPr>
        <w:t>وجوب الغض، وعدم حرمة التردد في الأسواق من هذه الجهة</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فظاهر كلامه أنه لم يعمل بالخبر، وإنما حمله على جواز الذهاب إلى الأسواق، وعدم وجوب غض البصر، فإذا وقع نظره عليهن وجب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العسر وكذا الحرج شخصي ويتقدر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العسر ليس من الأمور المتأصلة التي لا يختلف الحال فيها من شخص إلى شخص، ومن حالة إلى حالة، ومن زمان إلى زمان، ومن مكان إلى مكان، إلى غير ذلك، بل من الأمور الإضافية، وحيث إنّ ثبوت المحمول فرع ثبوت الموضوع يتوقف رفع العسر للحكم على ثبوته بالنسبة إلى شخص المكلف في الزمان المعين، والمكان المعين إلى آخره، فلا يمكن رفعه للحكم مطلقاً، وعليه فالدليل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رفع الحرج للحرمة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الجواب الأخير تأملاً، وتفصيل الكلام في القواعد الفقهية</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1572850_2142443653"/>
      <w:bookmarkStart w:id="374" w:name="_Toc141"/>
      <w:bookmarkEnd w:id="373"/>
      <w:r>
        <w:rPr>
          <w:rtl w:val="true"/>
        </w:rPr>
        <w:t>الدليل السادس والعشرون</w:t>
      </w:r>
      <w:r>
        <w:rPr>
          <w:rtl w:val="true"/>
        </w:rPr>
        <w:t xml:space="preserve">: </w:t>
      </w:r>
      <w:r>
        <w:rPr>
          <w:rtl w:val="true"/>
        </w:rPr>
        <w:t>إجراء أصالة البراءة</w:t>
      </w:r>
      <w:bookmarkEnd w:id="374"/>
    </w:p>
    <w:p>
      <w:pPr>
        <w:pStyle w:val="BookText"/>
        <w:rPr/>
      </w:pPr>
      <w:r>
        <w:rPr>
          <w:rFonts w:ascii="Amiri" w:hAnsi="Amiri" w:eastAsia="Amiri" w:cs="Amiri"/>
          <w:color w:val="111111"/>
          <w:sz w:val="28"/>
          <w:sz w:val="28"/>
          <w:szCs w:val="28"/>
          <w:rtl w:val="true"/>
          <w:lang w:bidi="ar-SA"/>
        </w:rPr>
        <w:t>أصالة البراءة أو استصحاب البراءة أو كلاهما معاً</w:t>
      </w:r>
      <w:r>
        <w:rPr>
          <w:rStyle w:val="FootnoteAnchor"/>
          <w:rtl w:val="true"/>
        </w:rPr>
        <w:footnoteReference w:id="722"/>
      </w:r>
      <w:r>
        <w:rPr>
          <w:rFonts w:ascii="Amiri" w:hAnsi="Amiri" w:eastAsia="Amiri" w:cs="Amiri"/>
          <w:color w:val="111111"/>
          <w:sz w:val="28"/>
          <w:sz w:val="28"/>
          <w:szCs w:val="28"/>
          <w:rtl w:val="true"/>
          <w:lang w:bidi="ar-SA"/>
        </w:rPr>
        <w:t>، لو وصلت النوبة إلى الشك؛ إذ الجواز لا يحتاج إلى دليل بخلاف المنع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هذا الدليل المحقق النراقي والسيد الروحاني</w:t>
      </w:r>
      <w:r>
        <w:rPr>
          <w:rStyle w:val="FootnoteAnchor"/>
          <w:rtl w:val="true"/>
        </w:rPr>
        <w:footnoteReference w:id="723"/>
      </w:r>
      <w:r>
        <w:rPr>
          <w:rFonts w:ascii="Amiri" w:hAnsi="Amiri" w:eastAsia="Amiri" w:cs="Amiri"/>
          <w:color w:val="111111"/>
          <w:sz w:val="28"/>
          <w:sz w:val="28"/>
          <w:szCs w:val="28"/>
          <w:rtl w:val="true"/>
          <w:lang w:bidi="ar-SA"/>
        </w:rPr>
        <w:t xml:space="preserve">، واعتمد عليه </w:t>
      </w:r>
      <w:bookmarkStart w:id="375" w:name="pg15684_175499"/>
    </w:p>
    <w:p>
      <w:pPr>
        <w:pStyle w:val="BookText"/>
        <w:rPr/>
      </w:pPr>
      <w:bookmarkEnd w:id="375"/>
      <w:r>
        <w:rPr>
          <w:rFonts w:ascii="Amiri" w:hAnsi="Amiri" w:eastAsia="Amiri" w:cs="Amiri"/>
          <w:color w:val="111111"/>
          <w:sz w:val="28"/>
          <w:sz w:val="28"/>
          <w:szCs w:val="28"/>
          <w:rtl w:val="true"/>
          <w:lang w:bidi="ar-SA"/>
        </w:rPr>
        <w:t>لولا المرتكزات، والسيد الخوئي</w:t>
      </w:r>
      <w:r>
        <w:rPr>
          <w:rStyle w:val="FootnoteAnchor"/>
          <w:rtl w:val="true"/>
        </w:rPr>
        <w:footnoteReference w:id="724"/>
      </w:r>
      <w:r>
        <w:rPr>
          <w:rFonts w:ascii="Amiri" w:hAnsi="Amiri" w:eastAsia="Amiri" w:cs="Amiri"/>
          <w:color w:val="111111"/>
          <w:sz w:val="28"/>
          <w:sz w:val="28"/>
          <w:szCs w:val="28"/>
          <w:rtl w:val="true"/>
          <w:lang w:bidi="ar-SA"/>
        </w:rPr>
        <w:t>والسيد القمّي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قال في المهذب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مقتضاه عدم الجواز مطلقاً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أنه أراد معنى آخر، وهو القاعدة المستفادة من الآيات الكريمة والأخبار الشريفة ومرتكزات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أدلة القول بالجواز</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1572852_2142443653"/>
      <w:bookmarkStart w:id="377" w:name="_Toc142"/>
      <w:bookmarkEnd w:id="376"/>
      <w:r>
        <w:rPr>
          <w:rtl w:val="true"/>
        </w:rPr>
        <w:t>القول الثاني</w:t>
      </w:r>
      <w:r>
        <w:rPr>
          <w:rtl w:val="true"/>
        </w:rPr>
        <w:t xml:space="preserve">: </w:t>
      </w:r>
      <w:r>
        <w:rPr>
          <w:rtl w:val="true"/>
        </w:rPr>
        <w:t>حرمة النظر مطلقاً</w:t>
      </w:r>
      <w:bookmarkEnd w:id="377"/>
    </w:p>
    <w:p>
      <w:pPr>
        <w:pStyle w:val="Heading6"/>
        <w:numPr>
          <w:ilvl w:val="5"/>
          <w:numId w:val="1"/>
        </w:numPr>
        <w:rPr/>
      </w:pPr>
      <w:bookmarkStart w:id="378" w:name="__RefHeading___Toc11572854_2142443653"/>
      <w:bookmarkStart w:id="379" w:name="_Toc143"/>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مطلقاً</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وقد استدل عليه أو يمكن الاستدلال له بأدلة، وهي</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1572856_2142443653"/>
      <w:bookmarkStart w:id="381" w:name="_Toc144"/>
      <w:bookmarkEnd w:id="380"/>
      <w:r>
        <w:rPr>
          <w:rtl w:val="true"/>
        </w:rPr>
        <w:t>الدليل الأول</w:t>
      </w:r>
      <w:r>
        <w:rPr>
          <w:rtl w:val="true"/>
        </w:rPr>
        <w:t xml:space="preserve">: </w:t>
      </w:r>
      <w:r>
        <w:rPr>
          <w:rtl w:val="true"/>
        </w:rPr>
        <w:t>آية الغض</w:t>
      </w:r>
      <w:bookmarkEnd w:id="381"/>
    </w:p>
    <w:p>
      <w:pPr>
        <w:pStyle w:val="Heading6"/>
        <w:numPr>
          <w:ilvl w:val="5"/>
          <w:numId w:val="1"/>
        </w:numPr>
        <w:rPr/>
      </w:pPr>
      <w:bookmarkStart w:id="382" w:name="__RefHeading___Toc11572858_2142443653"/>
      <w:bookmarkStart w:id="383" w:name="_Toc145"/>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4" w:name="__RefHeading___Toc11572860_2142443653"/>
      <w:bookmarkStart w:id="385" w:name="_Toc146"/>
      <w:bookmarkEnd w:id="384"/>
      <w:r>
        <w:rPr>
          <w:rtl w:val="true"/>
        </w:rPr>
        <w:t>الإشكالات على الدليل الأول</w:t>
      </w:r>
      <w:bookmarkEnd w:id="385"/>
    </w:p>
    <w:p>
      <w:pPr>
        <w:pStyle w:val="BookText"/>
        <w:rPr/>
      </w:pPr>
      <w:r>
        <w:rPr>
          <w:rFonts w:ascii="Amiri" w:hAnsi="Amiri" w:eastAsia="Amiri" w:cs="Amiri"/>
          <w:color w:val="111111"/>
          <w:sz w:val="28"/>
          <w:sz w:val="28"/>
          <w:szCs w:val="28"/>
          <w:rtl w:val="true"/>
          <w:lang w:bidi="ar-SA"/>
        </w:rPr>
        <w:t>ويرد على الاستدلال بالآية الكريمة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الآية بالنظر إلى العورة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الكريمة مختصة بالنظر إلى العورة، فلا تشمل النظر إلى الوجه والكفين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تقييد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 المتيقن الخارجي لا يقدح في ثبوت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للتقييد ببعض الروايات الواردة في المقام، لكن الظاهر أنها محل إشكال سنداً أو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وفرض على البصر أن لا ينظر إلى ما حرم اللّه عليه، وأن يعرض عما نهى اللّه عنه مما لا يحل له وهو عمله، وهو من الإيمان،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أن ينظروا إلى عوراتهم، وأن ينظر المرء إلى فرج أخيه، ويحفظ فرجه أن ينظر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تنظر إحداهن إلى فرج أختها، وتحفظ فرجها من أن ينظر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من حفظ الفرج فهو من الزنا، إلا هذه الآية فإنها من النظر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 عليه بأنه تفريع لا تفسير،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الجزئي على الكلي، لا أنه تفسير لتمام المدلول المطابقي للآية،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يغتب بعضكم بعضاً، فلا تغتب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تفسيراً، فإن الآية لها معنى أعم، بل المراد ذكر المصداق، وإنما الاستدلال بما هو أعم يشمل المصداق وغيره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إلا عن أن الظاهر هو التفسير المطابقي، فنعود إلى الإشكال السندي، فالرواية مروية في الكافي بهذا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بن إبراهيم، عن </w:t>
      </w:r>
    </w:p>
    <w:p>
      <w:pPr>
        <w:pStyle w:val="BookText"/>
        <w:rPr/>
      </w:pPr>
      <w:r>
        <w:rPr>
          <w:rFonts w:ascii="Amiri" w:hAnsi="Amiri" w:eastAsia="Amiri" w:cs="Amiri"/>
          <w:color w:val="111111"/>
          <w:sz w:val="28"/>
          <w:sz w:val="28"/>
          <w:szCs w:val="28"/>
          <w:rtl w:val="true"/>
          <w:lang w:bidi="ar-SA"/>
        </w:rPr>
        <w:t>أبيه، عن بكر بن صالح، عن القاسم بن بريد</w:t>
      </w:r>
      <w:r>
        <w:rPr>
          <w:rStyle w:val="FootnoteAnchor"/>
          <w:rtl w:val="true"/>
        </w:rPr>
        <w:footnoteReference w:id="7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الزبيري</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بكر بن صالح مجهول أو ضعيف، وأمّا أبو عمرو الزبيري فتوثيقه مبتنٍ على وروده في تفسير القمي، والمبنى غير مرضي في المشايخ غير المباشرين، فالرواية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آية في القرآن في ذكر الفروج فهي من الزنا، إلا هذه الآية، فإنها من النظر</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صحيحة على المختار أو حسنة، ولكن الظاهر أنها لا ترتبط بالمدّعى، حيث إنها ناظرة إلى المقطع الثاني،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بندرة وقوعه غالباً من الأجانب، ولا وجه لحمل الإطلاق على خصوص الفرد النادر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مراده أنه يستلزم تخصيص الأكثر المستهجن،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المعنى الحقيقي للغض</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السيد الخوئي،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فحيث إن المراد بالغض ليس معناه الحقيقي يقيناً؛ إذ لا يجب على الرجل أن يطبق جفنه، كما لا يجب </w:t>
      </w:r>
    </w:p>
    <w:p>
      <w:pPr>
        <w:pStyle w:val="BookText"/>
        <w:rPr/>
      </w:pPr>
      <w:r>
        <w:rPr>
          <w:rFonts w:ascii="Amiri" w:hAnsi="Amiri" w:eastAsia="Amiri" w:cs="Amiri"/>
          <w:color w:val="111111"/>
          <w:sz w:val="28"/>
          <w:sz w:val="28"/>
          <w:szCs w:val="28"/>
          <w:rtl w:val="true"/>
          <w:lang w:bidi="ar-SA"/>
        </w:rPr>
        <w:t>على المرأة أن تطبق جفنها جزما، وإرادة ترك النظر باعتبار أنه ملازم له عناية تحتاج إلى الدليل وهو مفقود، بل هو استعمال غريب لم يعثر عليه مطلقاً، تعين أن يكون المراد صرف النظر عن غير الزوجة والمملوكة، وفرضها كالعدم، وهو استعمال شائع عرفاً</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التوضيح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امتناع حمل الغض على معناه المطابقي، وهو إطباق الجفنين وغمض العينين؛ لعدم وجوب ذلك بالضرورة، يدور ذلك الأمر بين كونه كناية عن أحد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المنع عن إيقاع النظر على المرأة، بأن يصرف نظره عنها، فينظر إلى الفوق أو التحت من السماء أو الأرض أو أحد الجانبين، وإمّا إرادة الإعراض عنها وعدم الدنو منها، بأن لا يعقبها ولا يتصدى لمقدمات الوقوع في الحرام وهو الزنا، فيكف بصره عنها بتاتاً</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لا ينظر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 ينظر إلى الدنيا منذ خلقها</w:t>
      </w:r>
      <w:r>
        <w:rPr>
          <w:rStyle w:val="FootnoteAnchor"/>
          <w:rtl w:val="true"/>
        </w:rPr>
        <w:footnoteReference w:id="736"/>
      </w:r>
      <w:r>
        <w:rPr>
          <w:rFonts w:ascii="Amiri" w:hAnsi="Amiri" w:eastAsia="Amiri" w:cs="Amiri"/>
          <w:color w:val="111111"/>
          <w:sz w:val="28"/>
          <w:sz w:val="28"/>
          <w:szCs w:val="28"/>
          <w:rtl w:val="true"/>
          <w:lang w:bidi="ar-SA"/>
        </w:rPr>
        <w:t>، فليس المعنى عدم النظر، بل عدم الطمع أو عدم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الغض ليس بمعنى الغمض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ذكر مبني على أن الغض بمعنى الغمض، فيأتي الكلام أنه غير واجب، فلا بد من أن يكون الغمض </w:t>
      </w:r>
    </w:p>
    <w:p>
      <w:pPr>
        <w:pStyle w:val="BookText"/>
        <w:rPr/>
      </w:pPr>
      <w:r>
        <w:rPr>
          <w:rFonts w:ascii="Amiri" w:hAnsi="Amiri" w:eastAsia="Amiri" w:cs="Amiri"/>
          <w:color w:val="111111"/>
          <w:sz w:val="28"/>
          <w:sz w:val="28"/>
          <w:szCs w:val="28"/>
          <w:rtl w:val="true"/>
          <w:lang w:bidi="ar-SA"/>
        </w:rPr>
        <w:t xml:space="preserve">كناية عن ترك النظر أو عدم الطمع، فمبنى الكلام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النقصان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وَاغْضُضْ مِن صَوْتِكَ</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والتنقيص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من الطرف والصوت</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صحاح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طرفه، أي خفضه</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الغض النقصان</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مرّت امرأة من بعد خمسة أمتار، فتارة ينظر إليها، فيذهب شعاع نوره إلى خمسة أمتار، وتارة ينظر إلى بعد مترين، فلا يكون نظره إليها، وهذا هو الغض، وليس الأمر بالغمض حتى لا يرى شيئاً، فيسقط أو يصطدم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تأمر بالغض لا بإطباق الجفنين،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بالمبنى، وأنّ الغض بمعنى إطباق الجفنين، لكن إرادة ترك النظر من غمض النظر أقرب من إرادة صرف النظر منه، وكأن هذا المعنى لا يأتي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مرّ شخص فقلنا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أغمض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لا تنظر، لا أنه أطبق جفنيك؛ ولذا لو نظر إلى خلفه كان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وحسبما أتذكر لم أرَ أحداً من المفسرين فسرها بالمعنى المذكور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ترك النظر لا صرف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علي بن الحكم، عن سيف بن عميرة،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شاب من الأنصار امرأة بالمدينة، وكان النساء يتقنعن خلف آذانهن فنظر إليها وهي مقبلة، فلما جازت نظر إليها ودخل في زقاق قد سماه ببني فلان، فجعل ينظر خلفها واعترض وجهه عظم في الحائط أو زجاجة فشق وجهه، فلما مضت المرأة فإذا الدماء تسيل على ثوبه وصدره،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ولأخبرنه،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فأخبره،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السيد الخوئي،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الظاهر أن الأمر ليس كذلك، فإنّ موردها هو صورة التلذذ والاستمتاع بالنظر إليها، وهي مشمولة للآية الكريمة بلا إشكال، إلا أنها أجنبية عما نحن فيه، حيث إن كلامنا في النظر المجرد عن التلذذ لا مطلقا</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المذكور في الرواية النظر، لا النظر الشهوي كي يخصص معنى الغض في الآية الكريمة، فتأمّل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بعض الكلام في ذلك فراجع</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السند فهو تام على ما يراه السيد الخوئي، فالرواية عنده معتبرة</w:t>
      </w:r>
      <w:r>
        <w:rPr>
          <w:rStyle w:val="FootnoteAnchor"/>
          <w:rtl w:val="true"/>
        </w:rPr>
        <w:footnoteReference w:id="744"/>
      </w:r>
      <w:r>
        <w:rPr>
          <w:rFonts w:ascii="Amiri" w:hAnsi="Amiri" w:eastAsia="Amiri" w:cs="Amiri"/>
          <w:color w:val="111111"/>
          <w:sz w:val="28"/>
          <w:sz w:val="28"/>
          <w:szCs w:val="28"/>
          <w:rtl w:val="true"/>
          <w:lang w:bidi="ar-SA"/>
        </w:rPr>
        <w:t>، إلا أنّ هنالك كلاماً في سعد الإسكاف، فقد 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وينكر</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ومراده مجهول، فأصبح محل النقاش، 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في الآية إرشاد إلى ترك النظر إلى ما ثبتت حرمته</w:t>
      </w:r>
    </w:p>
    <w:p>
      <w:pPr>
        <w:pStyle w:val="BookText"/>
        <w:rPr/>
      </w:pPr>
      <w:r>
        <w:rPr>
          <w:rFonts w:ascii="Amiri" w:hAnsi="Amiri" w:eastAsia="Amiri" w:cs="Amiri"/>
          <w:color w:val="111111"/>
          <w:sz w:val="28"/>
          <w:sz w:val="28"/>
          <w:szCs w:val="28"/>
          <w:rtl w:val="true"/>
          <w:lang w:bidi="ar-SA"/>
        </w:rPr>
        <w:t>وهو ما ذكره السيد الخوئي،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الغض عما ذكر وتسليم ظهور الآية المباركة في المنع عن النظر، فلا ريب في عدم إمكان الأخذ بإطلاقه؛ لجواز النظر إلى كثير من الموجودات من السماء والأرض والشجر والحجر، والمدر وسائر الأجسام، وتخصيصها بها بحيث لا يبقى تحت الإطلاق إلا الأجنبية يوجب تخصيص الأكثر القبيح، الذي هو من مستهجن الكلام جداً، سيما في المقام الذي لا يبقى تحت العام إلا فرد واحد، فإنّ مثل هذا الكلام لا يكاد يصدر عن الفرد العادي، فما ظنك بالقرآن المعجز، فلا بد وأن يكون المراد بالآية المباركة غض البصر عما حرّمه اللّه، فيتوقف ذلك على إثبات الحرمة من الخارج، والقدر الثابت ما عدا الوجه والكفين من الأجنبية، فلا يمكن الاستدلال بالآية لتحريم النظر إليها منها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الأمر بالغض في الآية إرشاد إلى ترك النظر إلى ما ثبتت حرمته بدليله، فهي مجملة بالإضافة إلى الوجه والكفين، فلا يمكن الاستدلال بها </w:t>
      </w:r>
    </w:p>
    <w:p>
      <w:pPr>
        <w:pStyle w:val="BookText"/>
        <w:rPr/>
      </w:pPr>
      <w:r>
        <w:rPr>
          <w:rFonts w:ascii="Amiri" w:hAnsi="Amiri" w:eastAsia="Amiri" w:cs="Amiri"/>
          <w:color w:val="111111"/>
          <w:sz w:val="28"/>
          <w:sz w:val="28"/>
          <w:szCs w:val="28"/>
          <w:rtl w:val="true"/>
          <w:lang w:bidi="ar-SA"/>
        </w:rPr>
        <w:t>للمقام، كما هو ظاهر</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السياق كون المراد النظر إلى الجنس الآخر، لا مطلق النظر كي يلزم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يقرأ الآية المباركة لا يخطر بباله النظر إلى الحجر والمدر، فلا تكون مشمولة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غض النظر أعم من ترك النظر</w:t>
      </w:r>
    </w:p>
    <w:p>
      <w:pPr>
        <w:pStyle w:val="BookText"/>
        <w:rPr/>
      </w:pPr>
      <w:r>
        <w:rPr>
          <w:rFonts w:ascii="Amiri" w:hAnsi="Amiri" w:eastAsia="Amiri" w:cs="Amiri"/>
          <w:color w:val="111111"/>
          <w:sz w:val="28"/>
          <w:sz w:val="28"/>
          <w:szCs w:val="28"/>
          <w:rtl w:val="true"/>
          <w:lang w:bidi="ar-SA"/>
        </w:rPr>
        <w:t>ما ذكره السيد الحكيم في المستمسك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غض البصر أعم من ترك النظر</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الغض لا موضوعية له، بل هو طريق للترك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حاجة إلى ما ذكره في فقه الصادق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 البصر وإن كان غير ترك النظر، إلا أنه يكفي مستنداً لتعيين المراد الإجماع</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الغض عدم التحديق</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النظر الاستقلالي، فإنّ مَن ينظر إلى غيره تارة ينظر إليه ليرى شكله ولونه، فيكون النظر استقلالياً، وتارة ينظر إليه باعتبار أنّ المخاطبة معه تستلزم النظر إليه، فالنظر إليه يكون آلياً، فالآية الكريمة لا تدل على حرمة النظر الآلي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النظر ينافي الغض؛ إذ هو بمعنى النقصان، ومع النظر ولو </w:t>
      </w:r>
    </w:p>
    <w:p>
      <w:pPr>
        <w:pStyle w:val="BookText"/>
        <w:rPr/>
      </w:pPr>
      <w:r>
        <w:rPr>
          <w:rFonts w:ascii="Amiri" w:hAnsi="Amiri" w:eastAsia="Amiri" w:cs="Amiri"/>
          <w:color w:val="111111"/>
          <w:sz w:val="28"/>
          <w:sz w:val="28"/>
          <w:szCs w:val="28"/>
          <w:rtl w:val="true"/>
          <w:lang w:bidi="ar-SA"/>
        </w:rPr>
        <w:t>آلياً لا يتحقق نقصان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ملاحظة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عيون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غضوا أبصاركم حتّى تجوز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يومئذ نبي ولا رسول ولا صديق ولا شهيد إلا غضوا أبصارهم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الحمام فغض طرفه عن النظر إلى عورة أخيه آمنه اللّه من الحميم يوم القيامة</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حرمة بعض أفراد النظر</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للتبعيض، فيدل على حرمة بعض أفراد النظر، ولم يعلم دخول النظر إلى الوجه والكفين في الأفراد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القريب أن يكون التبعيض باعتبار نفس النظر لا باعتبار المنظور إليه، وحيث حذف المتعلق أفاد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للتأكيد،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وَاغْضُضْ مِن صَوْتِكَ</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بعض أقسام النظر جائز حتى يقال باعتبار نفس النظر؟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يقلل من مستوى نظره فلا يراها، لا باعتبار أن بعض أفراد النظر محلل وبعضها محرم حتى تكون تبعيضية، فتكون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باعتبار المنظور إليه نوعان، بعض أفراده محلل وبعضها محرم، وقد ثبت في الشكل الأول ضرورة كلية الكبرى، وإلا لم تفدنا شيئاً، وفي المقام لعل النظر إلى الوجه من أفراد النظر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التبعيض أنما هو باعتبار نفس النظر لا المنظور إليه، فبدل أن يكون النظر ممتداً يقلل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فرق بين مجيئها وحذفها، فتكون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تأكيدية، كما مرّ في الآيتين الشريفتين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كون الآية في مقام البيان</w:t>
      </w:r>
    </w:p>
    <w:p>
      <w:pPr>
        <w:pStyle w:val="BookText"/>
        <w:rPr/>
      </w:pPr>
      <w:r>
        <w:rPr>
          <w:rFonts w:ascii="Amiri" w:hAnsi="Amiri" w:eastAsia="Amiri" w:cs="Amiri"/>
          <w:color w:val="111111"/>
          <w:sz w:val="28"/>
          <w:sz w:val="28"/>
          <w:szCs w:val="28"/>
          <w:rtl w:val="true"/>
          <w:lang w:bidi="ar-SA"/>
        </w:rPr>
        <w:t>إنّ التمسك بالإطلاق فرع إحراز كون المولى في مقام البيان من تلك الجهة، ولم يحرز كون الآية الكريمة في مقام البيان من جهة حدود المنظور إليه، فلا ينعقد لها إطلاق</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العقلائي كون المولى في مقام البيان من تمام الجهات، إلا أن يثبت كونه في مقام الإهمال أو الإجمال، وإلا انسد باب التمسك بأكثر الإطلاقات،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w:t>
      </w:r>
      <w:bookmarkStart w:id="386" w:name="pg15684_175509"/>
    </w:p>
    <w:p>
      <w:pPr>
        <w:pStyle w:val="BookText"/>
        <w:rPr/>
      </w:pPr>
      <w:bookmarkEnd w:id="386"/>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ويؤيده عموم التعليل،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وهذه العلة تشمل النظر للوجه والكفين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العقلائي مستند إلى الظهورات النوعية، ولا ظهور للآية الكريمة عرفاً في العموم، فهي كأمر الواعظ بالغض، الذي لا يعيّن حدود ما يجب الغض عنه، والمسألة بحاجة إلى مزيد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الإطلاق للتخصيص</w:t>
      </w:r>
    </w:p>
    <w:p>
      <w:pPr>
        <w:pStyle w:val="BookText"/>
        <w:rPr/>
      </w:pPr>
      <w:r>
        <w:rPr>
          <w:rFonts w:ascii="Amiri" w:hAnsi="Amiri" w:eastAsia="Amiri" w:cs="Amiri"/>
          <w:color w:val="111111"/>
          <w:sz w:val="28"/>
          <w:sz w:val="28"/>
          <w:szCs w:val="28"/>
          <w:rtl w:val="true"/>
          <w:lang w:bidi="ar-SA"/>
        </w:rPr>
        <w:t>إنه لو ثبت الإطلاق فهو قابل للتخصيص بالأدلة السابقة من الآيات الكريمة والروايات الشريفة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الأول</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1572862_2142443653"/>
      <w:bookmarkStart w:id="388" w:name="_Toc147"/>
      <w:bookmarkEnd w:id="387"/>
      <w:r>
        <w:rPr>
          <w:rtl w:val="true"/>
        </w:rPr>
        <w:t>الدليل الثاني</w:t>
      </w:r>
      <w:r>
        <w:rPr>
          <w:rtl w:val="true"/>
        </w:rPr>
        <w:t xml:space="preserve">: </w:t>
      </w:r>
      <w:r>
        <w:rPr>
          <w:rtl w:val="true"/>
        </w:rPr>
        <w:t xml:space="preserve">قوله تعالى </w:t>
      </w:r>
      <w:r>
        <w:rPr>
          <w:rtl w:val="true"/>
        </w:rPr>
        <w:t>{</w:t>
      </w:r>
      <w:r>
        <w:rPr>
          <w:rtl w:val="true"/>
        </w:rPr>
        <w:t>وَ إِذا سَأَلْتُمُوهُنَّ مَتاعاً فَسْئَلُوهُنَّ مِنْ وَراءِ حِجابٍ</w:t>
      </w:r>
      <w:r>
        <w:rPr>
          <w:rtl w:val="true"/>
        </w:rPr>
        <w:t>}</w:t>
      </w:r>
      <w:bookmarkEnd w:id="388"/>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دلّ على لزوم وجود الفاصل بين الرجل والمرأة المسؤولة، وحيث لم يقيد بما عدا الوجه والكفين أفاد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بها أمران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الفقه من أنّ الآية الكريمة في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دليل على وحدة المناط</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الاشتراك في التكليف، الثابت بالإجماع وارتكاز المتشرعة وفهم عدم الخصوصية عرفاً، وغير ذلك من الأدلة المذكورة في القواعد الفقهية، هو عموم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أَطْهَرُ لِقُلُوبِكُمْ وَقُلُوبِهِنَّ</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العموم؛ إذ العلة تخصص وتعمم،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متوجه للمؤمنين والحكم مشترك، لكن لا وجه للاشتراك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زرارة عن حكم وقوع الفأرة في بئره فأمر بنزح ثلاثة دلاء، فهل يقال باشتراك جميع المؤمنين في وجوب النزح من بئر زرارة لا من كل الآبار؟</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ذكرتم لم تكن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تَنكِحُوا أَزْوَاجَهُ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ذلك بالدليل، وكلّ ما ثبت بالدليل فهو خارج عن عموم الاشتراك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تَنكِحُوا أَزْوَاجَهُ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لتقييد ما تقدمه، فيختص الحكم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تقييد ما تقدمه، فظاهره حكم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على رواية أو حتى مفسر ربط هذا المقطع بما قبله، بل الأمر مرتبط بقضية طلحة المعروفة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قد يشكل في ما ذكر بأنه يخرج عن مقتضى القاعدة وظهور التعليل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xml:space="preserve">الدال على وجود الخصوصية لنساء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ليس في سياق تلك الآيات المباركات، فيكون الحكم الذي تضمنه مشمولاً لقاعدة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 للسياق في المقام، حيث لا فرق في تقدم الآية أو تأخرها، فقد جعلت أحكام نساء النبي غير سائر النساء، وكأنه تخصيص لقاعدة الاشتراك أو حكومة عليها، كما لو قال الإمام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أحكامك تختلف عن أحكام الآخرين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هنالك مجموعة من الأحكام ذكر فيها أنها غير مشمولة لقاعدة الاشتراك، ثم ورد حكم آخر في مكان آخر كان مشمولاً </w:t>
      </w:r>
    </w:p>
    <w:p>
      <w:pPr>
        <w:pStyle w:val="BookText"/>
        <w:rPr/>
      </w:pPr>
      <w:r>
        <w:rPr>
          <w:rFonts w:ascii="Amiri" w:hAnsi="Amiri" w:eastAsia="Amiri" w:cs="Amiri"/>
          <w:color w:val="111111"/>
          <w:sz w:val="28"/>
          <w:sz w:val="28"/>
          <w:szCs w:val="28"/>
          <w:rtl w:val="true"/>
          <w:lang w:bidi="ar-SA"/>
        </w:rPr>
        <w:t>لقاعدة الاشتراك، كما لو بيّن الإمام لزرارة مجموعة من الأحكام،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خاصة لك، ثم في موضع آخر بين حكماً آخر كان الحكم الآخر مشمولاً لقاعدة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أحكامك تختلف عن الآخرين يا زرارة سلمنا التخصيص أو الحكومة، وليس المقام كذلك، حيث لا يعلم أنها ناظرة إلى جميع الأحكام، بل القدر المتيقن منها هذه الأحكام المذكورة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كَأَحَدٍ مِّنَ النِّسَاء إِنِ اتَّقَيْتُنَّ فَلا تَخْضَعْنَ بِالْقَوْلِ</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من المحتمل قريباً أن يكون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مقامهن الشامخ الثابت لهن في صورة التقوى يقتضي تأكيد التزامهن بالأحكام المشتركة، وسلوكهن طريق التقوى، لا اختصاصهن بأحكام يتميزن فيها عمن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الكريمات تبين لهنَّ كيفية التقوى، التي إن سلكن طريقها كنّ في مرتبة أعلى من سائر النساء،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ذكر إقامة الصلاة وإيتاء الزكاة وغيرها من الأحكام المشتركة في الآيات اللاحقة، كما يؤيده فهم جملة من الفقهاء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عليها إسماع الصوت الذي فيه تهييج للسامع بتحسينه وترقيقه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89" w:name="pg15684_175513"/>
    </w:p>
    <w:p>
      <w:pPr>
        <w:pStyle w:val="BookText"/>
        <w:rPr/>
      </w:pPr>
      <w:bookmarkEnd w:id="389"/>
      <w:r>
        <w:rPr>
          <w:rFonts w:ascii="IRNazanin" w:hAnsi="IRNazanin" w:eastAsia="IRNazanin"/>
          <w:color w:val="111111"/>
          <w:sz w:val="28"/>
          <w:sz w:val="28"/>
          <w:szCs w:val="28"/>
          <w:rtl w:val="true"/>
          <w:lang w:bidi="fa-IR"/>
        </w:rPr>
        <w:t>ولم يعلق عليه إلا السيد القمي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الأحوط وظاهر الآية الشريفة مختص بنساء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أرَ في شروح العروة دليلاً آخر غير هذا الدليل على حرمة الخضوع بالقول، فهي مستندهم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الاشتراك</w:t>
      </w:r>
      <w:r>
        <w:rPr>
          <w:rStyle w:val="FootnoteAnchor"/>
          <w:rtl w:val="true"/>
        </w:rPr>
        <w:footnoteReference w:id="767"/>
      </w:r>
      <w:r>
        <w:rPr>
          <w:rFonts w:ascii="Amiri" w:hAnsi="Amiri" w:eastAsia="Amiri" w:cs="Amiri"/>
          <w:color w:val="111111"/>
          <w:sz w:val="28"/>
          <w:sz w:val="28"/>
          <w:szCs w:val="28"/>
          <w:rtl w:val="true"/>
          <w:lang w:bidi="ar-SA"/>
        </w:rPr>
        <w:t>في الفقه</w:t>
      </w:r>
      <w:r>
        <w:rPr>
          <w:rStyle w:val="FootnoteAnchor"/>
          <w:rtl w:val="true"/>
        </w:rPr>
        <w:footnoteReference w:id="768"/>
      </w:r>
      <w:r>
        <w:rPr>
          <w:rFonts w:ascii="Amiri" w:hAnsi="Amiri" w:eastAsia="Amiri" w:cs="Amiri"/>
          <w:color w:val="111111"/>
          <w:sz w:val="28"/>
          <w:sz w:val="28"/>
          <w:szCs w:val="28"/>
          <w:rtl w:val="true"/>
          <w:lang w:bidi="ar-SA"/>
        </w:rPr>
        <w:t>وفي شرح العروة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فرضت الدلالة تخصص بالأدلة الدالة على جواز النظر للوجه والكفين</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11572864_2142443653"/>
      <w:bookmarkStart w:id="391" w:name="_Toc148"/>
      <w:bookmarkEnd w:id="390"/>
      <w:r>
        <w:rPr>
          <w:rtl w:val="true"/>
        </w:rPr>
        <w:t>الدليل الثالث</w:t>
      </w:r>
      <w:r>
        <w:rPr>
          <w:rtl w:val="true"/>
        </w:rPr>
        <w:t xml:space="preserve">: </w:t>
      </w:r>
      <w:r>
        <w:rPr>
          <w:rtl w:val="true"/>
        </w:rPr>
        <w:t>قوله تعالى</w:t>
      </w:r>
      <w:r>
        <w:rPr>
          <w:rtl w:val="true"/>
        </w:rPr>
        <w:t>: {</w:t>
      </w:r>
      <w:r>
        <w:rPr>
          <w:rtl w:val="true"/>
        </w:rPr>
        <w:t>وَ لا يُبْدينَ زينَتَهُنَّ إِلاَّ لِبُعُولَتِهِنَّ</w:t>
      </w:r>
      <w:r>
        <w:rPr>
          <w:rtl w:val="true"/>
        </w:rPr>
        <w:t>}</w:t>
      </w:r>
      <w:bookmarkEnd w:id="391"/>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والآية الكريمة كما تشمل الزينة العرضية تشمل الزينة الذاتية أيضاً، إما من باب استعمال اللفظ في المعنيين، أو باعتبار إرادة الجامع لهما منها، كما سبق بيانه في الدليل الأول من أدلة القول بالجواز، بضميمة الملازمة العرفية بين وجوب الستر وحرمة النظر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الآية الكريمة أو عمومها يخصص بالأدلة السابقة، بل يمكن تخصيصها بقوله تعالى في نفس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مبين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الإجمال فيما ظهر فإن إجماله يسري إلى المستثنى منه، والمحفوف بالمجمل المتصل ليس بحجة إلا في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بالمحفوف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 أَوْ آبَائِهِنَّ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بالمجمل المتصل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بالقدر المتيقن غير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إذا كان مجملاً والشبهة مفهومية جاز التمسك بالعام إذا كان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المتصل، وما ذكر أنما يجري في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كانت تنزل مقطعاً مقطعاً، فلا يعلم كون المخصص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انعقاد الظهور؛ لأنّ انعقاده موقوف على انفصال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تعارض الجملتين بالعموم من وجه في إبداء الزينة الظاهرة للأجانب، كتعارضهما بالعموم من وجه في إبداء الزينة الخفية للمحارم تساقطتا، ولم يبق دليل على التحريم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المذكور ليس عرفياً، ومقتضى الفهم العرفي جواز إبداء الزينة الظاهرة للأجانب والخفية للمحارم،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 أرباحك إلا اليسيرة،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 أرباحك إلا لخاصتك، </w:t>
      </w:r>
      <w:bookmarkStart w:id="392" w:name="pg15684_175515"/>
    </w:p>
    <w:p>
      <w:pPr>
        <w:pStyle w:val="BookText"/>
        <w:rPr/>
      </w:pPr>
      <w:bookmarkEnd w:id="392"/>
      <w:r>
        <w:rPr>
          <w:rFonts w:ascii="Amiri" w:hAnsi="Amiri" w:eastAsia="Amiri" w:cs="Amiri"/>
          <w:color w:val="111111"/>
          <w:sz w:val="28"/>
          <w:sz w:val="28"/>
          <w:szCs w:val="28"/>
          <w:rtl w:val="true"/>
          <w:lang w:bidi="ar-SA"/>
        </w:rPr>
        <w:t>فإنّ مفاد الجملتين جواز إبداء الأرباح اليسيرة للكل، وجواز إبداء مطلق الأرباح للخاصة، فتأمّل</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1572866_2142443653"/>
      <w:bookmarkStart w:id="394" w:name="_Toc149"/>
      <w:bookmarkEnd w:id="393"/>
      <w:r>
        <w:rPr>
          <w:rtl w:val="true"/>
        </w:rPr>
        <w:t>الدليل الرابع</w:t>
      </w:r>
      <w:r>
        <w:rPr>
          <w:rtl w:val="true"/>
        </w:rPr>
        <w:t xml:space="preserve">: </w:t>
      </w:r>
      <w:r>
        <w:rPr>
          <w:rtl w:val="true"/>
        </w:rPr>
        <w:t>آية القواعد من النساء</w:t>
      </w:r>
      <w:bookmarkEnd w:id="39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 وَأَن يَسْتَعْفِفْنَ خَيْرٌ لَّهُنَّ وَاللَّهُ سَمِيعٌ عَلِيمٌ</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دلت على المنع عن وضع الثياب بالنسبة إلى غير القواعد، فيجب التستر عليهن؛ وذلك يدل بالملازمة على حرمة النظر، وإطلاقه يشمل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الثياب جمع مضاف، وهو يفيد العموم، فمفاد الآية الكريمة عدم وجود الجناح في وضع القواعد جميع ثيابهن، باستثناء ما يستر العورة؛ للأدلة الخاصة، ومفهومه وجود الجناح في وضع غيرهن جميع ثيابهن، وليس الكلام في المقام في وضع الجميع، بل في وضع خصوص ما يستر الوجه والكفين، والآية الكريمة ساكتة عن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هنا إشكالاً، وهو عدم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الثياب، فالاستفادة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ذكرها العلامة غير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الآية ناظرة إلى المتعارف، كعدم لبس الخمار، وأن يخرج ذراعها أو قدمها قليلاً، والفهم العرفي لا يقتضي أكثر من ذلك، فيكون المفاد أنّ غير القاعدة لا حق لها إلى هذا الحد، وعليه يتم الإشكال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لو لوحظت الآية الكريمة في حد ذاتها، وأما مع لحاظ الروايات الشريفة، فالمستفاد منها كون المراد بالثياب الجلباب والخمار وما يستر الذارع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w:t>
      </w:r>
    </w:p>
    <w:p>
      <w:pPr>
        <w:pStyle w:val="BookText"/>
        <w:rPr/>
      </w:pPr>
      <w:r>
        <w:rPr>
          <w:rFonts w:ascii="Amiri" w:hAnsi="Amiri" w:eastAsia="Amiri" w:cs="Amiri"/>
          <w:color w:val="111111"/>
          <w:sz w:val="28"/>
          <w:sz w:val="28"/>
          <w:szCs w:val="28"/>
          <w:rtl w:val="true"/>
          <w:lang w:bidi="ar-SA"/>
        </w:rPr>
        <w:t>مِنَ النِّساءِ اللاَّتي لا يَرْجُونَ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يصلح لهن أن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قرأ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والخمار إذا كانت المرأة مسنة</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يحل له أن ينظر إلى شعر أخت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من القواعد،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والغريبة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النظر إليه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 وذراعها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مفهوم الآية الكريمة عدم جواز وضع ما يستر شعور ورقاب وأذرع غير القواعد، وليس الكلام في ذلك، بل في خصوص الوجه والكفين، ولم تتعرض الآية الكريمة لحكمهما لا إثباتاً ولا نفياً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يلزم على الشخص أن يضع جميع ثيابه حتى يطلق عليه وضع ثيابه، أو إذا خلع بعض ثيابه يصدق عليه خلع الثياب؟ </w:t>
      </w:r>
      <w:bookmarkStart w:id="395" w:name="pg15684_175517"/>
    </w:p>
    <w:p>
      <w:pPr>
        <w:pStyle w:val="BookText"/>
        <w:rPr/>
      </w:pPr>
      <w:bookmarkEnd w:id="395"/>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 أنه خلع بعض ثيابه، وأمّا إطلاق خلع الثياب عليه فهو مسامحي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عدم الجناح في وضع ما يجب لبسه من الثياب، وإلاّ فغيرها لا جناح في وضعه مطلقاً، وحينئذٍ يكون المفهوم وجود الجناح في وضع ما يجب لبسه من الثياب بالنسبة إلى غيرهن، ومن الواضح أنّ الحكم لا يتكفل موضوعه، فلا تدل نفس الآية الكريمة على ما يجب لبسه من الثياب وما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جريان بعض الأجوبة التي ستأتي في الدليل السابع، إن شاء اللّه تعالى، في المقام أيضاً</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1572868_2142443653"/>
      <w:bookmarkStart w:id="397" w:name="_Toc150"/>
      <w:bookmarkEnd w:id="396"/>
      <w:r>
        <w:rPr>
          <w:rtl w:val="true"/>
        </w:rPr>
        <w:t>الدليل الخامس</w:t>
      </w:r>
      <w:r>
        <w:rPr>
          <w:rtl w:val="true"/>
        </w:rPr>
        <w:t xml:space="preserve">: </w:t>
      </w:r>
      <w:r>
        <w:rPr>
          <w:rtl w:val="true"/>
        </w:rPr>
        <w:t>قوله تعالى</w:t>
      </w:r>
      <w:r>
        <w:rPr>
          <w:rtl w:val="true"/>
        </w:rPr>
        <w:t>: {</w:t>
      </w:r>
      <w:r>
        <w:rPr>
          <w:rtl w:val="true"/>
        </w:rPr>
        <w:t>وَ لْيَضْرِبْنَ بِخُمُرِهِنَّ عَلى جُيُوبِهِنَّ</w:t>
      </w:r>
      <w:r>
        <w:rPr>
          <w:rtl w:val="true"/>
        </w:rPr>
        <w:t>}</w:t>
      </w:r>
      <w:bookmarkEnd w:id="397"/>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لْيَضْرِبْنَ بِخُمُرِهِنَّ عَلى جُيُوبِهِنَّ</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وقد استدل بها السيد السبزواري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كون الخمار ساتراً للوجه، بل يظهر من بعض الكلمات كونه غير 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ذكره المصباح المنير والتبيان في تفسير الخمار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ما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لْيَضْرِبْنَ بِخُمُرِهِنَّ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مقانعهن، جمع خمار وهي المقنعة، سميت بذلك لأن الرأس يخمر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يغطى، وكل شيء غطيته فقد خمرته، وجمع الخمار خمر ككتاب وكتب، </w:t>
      </w:r>
      <w:bookmarkStart w:id="398" w:name="pg15684_175518"/>
    </w:p>
    <w:p>
      <w:pPr>
        <w:pStyle w:val="BookText"/>
        <w:rPr/>
      </w:pPr>
      <w:bookmarkEnd w:id="398"/>
      <w:r>
        <w:rPr>
          <w:rFonts w:ascii="Amiri" w:hAnsi="Amiri" w:eastAsia="Amiri" w:cs="Amiri"/>
          <w:color w:val="111111"/>
          <w:sz w:val="28"/>
          <w:sz w:val="28"/>
          <w:szCs w:val="28"/>
          <w:rtl w:val="true"/>
          <w:lang w:bidi="ar-SA"/>
        </w:rPr>
        <w:t>واختمرت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لبست خمارها وغطت رأسها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لْيَضْرِبْنَ بِخُمُرِهِنَّ عَلى 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باختصاص الحكم بالجيوب، فلا يعم الوجوه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أدلة القول بالجواز</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مضى التأمل في ذلك في الدليل الثاني من أدلة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جريان بعض الأجوبة المتقدمة في المقام كالتخصيص، مع أنه يمكن الجمع بين الأدلة بالحمل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تفصيل الكلام في ذلك، وفي بعض الأجوبة الأخرى في الدليل السابع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1572870_2142443653"/>
      <w:bookmarkStart w:id="400" w:name="_Toc151"/>
      <w:bookmarkEnd w:id="399"/>
      <w:r>
        <w:rPr>
          <w:rtl w:val="true"/>
        </w:rPr>
        <w:t>الدليل السادس</w:t>
      </w:r>
      <w:r>
        <w:rPr>
          <w:rtl w:val="true"/>
        </w:rPr>
        <w:t xml:space="preserve">: </w:t>
      </w:r>
      <w:r>
        <w:rPr>
          <w:rtl w:val="true"/>
        </w:rPr>
        <w:t>آية الحجاب</w:t>
      </w:r>
      <w:bookmarkEnd w:id="400"/>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بها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معللة، فمع انتفاء العلة لا مانع من الكشف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حكمة لا علة</w:t>
      </w:r>
      <w:r>
        <w:rPr>
          <w:rFonts w:eastAsia="Amiri" w:cs="Amiri" w:ascii="Amiri" w:hAnsi="Amiri"/>
          <w:color w:val="111111"/>
          <w:sz w:val="28"/>
          <w:szCs w:val="28"/>
          <w:rtl w:val="true"/>
          <w:lang w:bidi="ar-SA"/>
        </w:rPr>
        <w:t xml:space="preserve">. </w:t>
      </w:r>
      <w:bookmarkStart w:id="401" w:name="pg15684_175519"/>
    </w:p>
    <w:p>
      <w:pPr>
        <w:pStyle w:val="BookText"/>
        <w:rPr/>
      </w:pPr>
      <w:bookmarkEnd w:id="401"/>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كون الجلباب ساتراً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كلمات اللغوين في تفسيره، مضافاً إلى ما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ثوب واسع أوسع من الخمار ودون الرداء، تلويه المرأة على رأسها وتبقى منه ما ترسله على صدرها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جريان بعض الأجوبة المتقدمة واللاحقة في المقام أيضاً</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1572872_2142443653"/>
      <w:bookmarkStart w:id="403" w:name="_Toc152"/>
      <w:bookmarkEnd w:id="402"/>
      <w:r>
        <w:rPr>
          <w:rtl w:val="true"/>
        </w:rPr>
        <w:t>الدليل السابع</w:t>
      </w:r>
      <w:r>
        <w:rPr>
          <w:rtl w:val="true"/>
        </w:rPr>
        <w:t xml:space="preserve">: </w:t>
      </w:r>
      <w:r>
        <w:rPr>
          <w:rtl w:val="true"/>
        </w:rPr>
        <w:t>الروايات الدالة على جواز النظر إلى وجه المرأة ويديها إذا أراد الزواج بها</w:t>
      </w:r>
      <w:bookmarkEnd w:id="403"/>
    </w:p>
    <w:p>
      <w:pPr>
        <w:pStyle w:val="Heading6"/>
        <w:numPr>
          <w:ilvl w:val="5"/>
          <w:numId w:val="1"/>
        </w:numPr>
        <w:rPr/>
      </w:pPr>
      <w:bookmarkStart w:id="404" w:name="__RefHeading___Toc11572874_2142443653"/>
      <w:bookmarkStart w:id="405" w:name="_Toc153"/>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وممن اعتمد على هذا الاستدلال السيد الخوئي،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النظر إلى وجه المرأة ويديها إذا أراد تزويجها على نحو القضية الشرطية، فإن مفهومها عدم الجواز إذا لم يكن مريداً تزويجها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11572876_2142443653"/>
      <w:bookmarkStart w:id="407" w:name="_Toc154"/>
      <w:bookmarkEnd w:id="406"/>
      <w:r>
        <w:rPr>
          <w:rtl w:val="true"/>
        </w:rPr>
        <w:t>الإشكالات على الدليل السابع</w:t>
      </w:r>
      <w:bookmarkEnd w:id="407"/>
    </w:p>
    <w:p>
      <w:pPr>
        <w:pStyle w:val="BookText"/>
        <w:rPr/>
      </w:pPr>
      <w:r>
        <w:rPr>
          <w:rFonts w:ascii="Amiri" w:hAnsi="Amiri" w:eastAsia="Amiri" w:cs="Amiri"/>
          <w:color w:val="111111"/>
          <w:sz w:val="28"/>
          <w:sz w:val="28"/>
          <w:szCs w:val="28"/>
          <w:rtl w:val="true"/>
          <w:lang w:bidi="ar-SA"/>
        </w:rPr>
        <w:t>ويرد على الاستدلال بها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أجنبية عما نحن فيه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الروايات أجنبية عما نحن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أجنبية عما نحن فيه؛ لأنّ النظر المحكوم فيها بالجواز هو النظر عن شهوة والتذاذ على ما يقتضيه طبع النظر بقصد الزواج، فإنّ الناظر حينئذٍ يفكر في أمور؛ لأنه يشتريها بأغلى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بذلك في بعض </w:t>
      </w:r>
    </w:p>
    <w:p>
      <w:pPr>
        <w:pStyle w:val="BookText"/>
        <w:rPr/>
      </w:pP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فيتأمل في محاسنها وجمالها نظر شهوة وتهييج كي تحصل له الرغبة في التزويج، فمفهومها المنع عن مثل هذا النظر لو لم يكن لهذه الغاية، وأين ذلك من النظر الساذج العاري عن الشهوة والريبة الذي هو محل الكلام؟ ويؤكد ما ذكرناه ويؤيده رواية الحسن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يريد أن يتزوج المرأة يتأملها وينظر إلى خلفها</w:t>
      </w:r>
      <w:r>
        <w:rPr>
          <w:rStyle w:val="FootnoteAnchor"/>
          <w:rtl w:val="true"/>
        </w:rPr>
        <w:footnoteReference w:id="785"/>
      </w:r>
      <w:r>
        <w:rPr>
          <w:rFonts w:ascii="Amiri" w:hAnsi="Amiri" w:eastAsia="Amiri" w:cs="Amiri"/>
          <w:color w:val="111111"/>
          <w:sz w:val="28"/>
          <w:sz w:val="28"/>
          <w:szCs w:val="28"/>
          <w:rtl w:val="true"/>
          <w:lang w:bidi="ar-SA"/>
        </w:rPr>
        <w:t>وإلى 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ينظر الرجل إلى المرأة إذا أراد أن يتزوجها، ينظر إلى خلفها وإلى وجهها، فإنّ التعبير بالتأمل غير المنفك عن التلذذ كالصريح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يخلو سند الرواية عن الضعف؛ ولذا ذكرناها بعنوان التأييد؛ لمكان الحسن بن السري، فإنه لم تثبت وثاقته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تقييد بلا دليل، وغلبة التلذذ خارجاً لا تنهض لصرف المطلق عن إطلاقه؛ ولذا قال بنفسه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النظر في هذه الروايات على المقترن بالتلذذ، فلا تدل بمفهومها على عدم جواز النظر المجرد إذا لم يكن قاصداً تزويجها، بعيد جداً ولا موجب له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الروايات عدم جواز النظر عند عدم إرادة التزويج</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هذه الروايات يدل على جواز النظر إلى جميع جسد المرأة إذا أراد أن يتزوجها، ومفهوم ذلك عدم جواز النظر إلى جميع جسدها عند </w:t>
      </w:r>
    </w:p>
    <w:p>
      <w:pPr>
        <w:pStyle w:val="BookText"/>
        <w:rPr/>
      </w:pPr>
      <w:r>
        <w:rPr>
          <w:rFonts w:ascii="Amiri" w:hAnsi="Amiri" w:eastAsia="Amiri" w:cs="Amiri"/>
          <w:color w:val="111111"/>
          <w:sz w:val="28"/>
          <w:sz w:val="28"/>
          <w:szCs w:val="28"/>
          <w:rtl w:val="true"/>
          <w:lang w:bidi="ar-SA"/>
        </w:rPr>
        <w:t>انتفاء الشرط؛ وذلك أجنبي عن محلّ الكلام؛ لأنّ الكلام في النظر إلى خصوص الوجه والكفين لا 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الرجل يريد أن يتزوج المرأة؟ أينظر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يشتريها بأغلى الثمن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ومفادها جواز النظر إلى جميع جسدها، ومفهومه عدم جواز النظر إلى جميع جسدها عند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يدل على جواز النظر إلى المجموع المركب، ومفهومه عدم جواز النظر إلى المجموع المركب عند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هشام بن سالم</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ينظر إلى وجهها ومعاصمها</w:t>
      </w:r>
      <w:r>
        <w:rPr>
          <w:rStyle w:val="FootnoteAnchor"/>
          <w:rtl w:val="true"/>
        </w:rPr>
        <w:footnoteReference w:id="790"/>
      </w:r>
      <w:r>
        <w:rPr>
          <w:rFonts w:ascii="Amiri" w:hAnsi="Amiri" w:eastAsia="Amiri" w:cs="Amiri"/>
          <w:color w:val="111111"/>
          <w:sz w:val="28"/>
          <w:sz w:val="28"/>
          <w:szCs w:val="28"/>
          <w:rtl w:val="true"/>
          <w:lang w:bidi="ar-SA"/>
        </w:rPr>
        <w:t>إذا أرد أن يتزوجها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ومفادها جواز النظر إلى المجموع من حيث المجموع، ومفهومها عدم جواز المجموع من حيث المجموع، ولا ظهور له في الانحلالية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المانعة على الكراهة</w:t>
      </w:r>
    </w:p>
    <w:p>
      <w:pPr>
        <w:pStyle w:val="BookText"/>
        <w:rPr/>
      </w:pPr>
      <w:r>
        <w:rPr>
          <w:rFonts w:ascii="Amiri" w:hAnsi="Amiri" w:eastAsia="Amiri" w:cs="Amiri"/>
          <w:color w:val="111111"/>
          <w:sz w:val="28"/>
          <w:sz w:val="28"/>
          <w:szCs w:val="28"/>
          <w:rtl w:val="true"/>
          <w:lang w:bidi="ar-SA"/>
        </w:rPr>
        <w:t>سلمنا دلالة النصوص على المنع، لكن مقتضى الجمع الدلالي بين النصوص حمل المانعة على الكراهة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في أدلة القول بالجواز جواز النظر إلى الوجه والكفين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روايات جواز النظر</w:t>
      </w:r>
    </w:p>
    <w:p>
      <w:pPr>
        <w:pStyle w:val="BookText"/>
        <w:rPr/>
      </w:pPr>
      <w:r>
        <w:rPr>
          <w:rFonts w:ascii="Amiri" w:hAnsi="Amiri" w:eastAsia="Amiri" w:cs="Amiri"/>
          <w:color w:val="111111"/>
          <w:sz w:val="28"/>
          <w:sz w:val="28"/>
          <w:szCs w:val="28"/>
          <w:rtl w:val="true"/>
          <w:lang w:bidi="ar-SA"/>
        </w:rPr>
        <w:t>لو فرض التعارض وعدم وجود الجمع الدلالي فروايات الجواز مقدمة؛ لموافقة الكتاب العزيز، حيث استثنى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روايات الجواز لمخالفتها للعامة</w:t>
      </w:r>
    </w:p>
    <w:p>
      <w:pPr>
        <w:pStyle w:val="BookText"/>
        <w:rPr/>
      </w:pPr>
      <w:r>
        <w:rPr>
          <w:rFonts w:ascii="Amiri" w:hAnsi="Amiri" w:eastAsia="Amiri" w:cs="Amiri"/>
          <w:color w:val="111111"/>
          <w:sz w:val="28"/>
          <w:sz w:val="28"/>
          <w:szCs w:val="28"/>
          <w:rtl w:val="true"/>
          <w:lang w:bidi="ar-SA"/>
        </w:rPr>
        <w:t>مع فرض عدم دلالة الكتاب على جواز النظر، فربما ترجح روايات الجواز بمخالفة العامة، فإنه يظهر من الشيخ في الخلاف</w:t>
      </w:r>
      <w:r>
        <w:rPr>
          <w:rStyle w:val="FootnoteAnchor"/>
          <w:rtl w:val="true"/>
        </w:rPr>
        <w:footnoteReference w:id="792"/>
      </w:r>
      <w:r>
        <w:rPr>
          <w:rFonts w:ascii="Amiri" w:hAnsi="Amiri" w:eastAsia="Amiri" w:cs="Amiri"/>
          <w:color w:val="111111"/>
          <w:sz w:val="28"/>
          <w:sz w:val="28"/>
          <w:szCs w:val="28"/>
          <w:rtl w:val="true"/>
          <w:lang w:bidi="ar-SA"/>
        </w:rPr>
        <w:t>على ما حكي عنه أنّ العامة قائلون بعدم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النسبة غير ثابتة، بل المسألة خلافية بينهم، فراجع المغني لابن قدامه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لا بد من ملاحظة الفقه الحاكم في زمان صدور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روايات الجواز للأحدثية</w:t>
      </w:r>
    </w:p>
    <w:p>
      <w:pPr>
        <w:pStyle w:val="BookText"/>
        <w:rPr/>
      </w:pPr>
      <w:r>
        <w:rPr>
          <w:rFonts w:ascii="Amiri" w:hAnsi="Amiri" w:eastAsia="Amiri" w:cs="Amiri"/>
          <w:color w:val="111111"/>
          <w:sz w:val="28"/>
          <w:sz w:val="28"/>
          <w:szCs w:val="28"/>
          <w:rtl w:val="true"/>
          <w:lang w:bidi="ar-SA"/>
        </w:rPr>
        <w:t>مع الغض عما تقدّم، فالترجيح بالأحدثية يقتضي تقديم روايات الجواز؛ لأنّ صحيحة علي بن سويد</w:t>
      </w:r>
      <w:r>
        <w:rPr>
          <w:rStyle w:val="FootnoteAnchor"/>
          <w:rtl w:val="true"/>
        </w:rPr>
        <w:footnoteReference w:id="794"/>
      </w:r>
      <w:r>
        <w:rPr>
          <w:rFonts w:ascii="Amiri" w:hAnsi="Amiri" w:eastAsia="Amiri" w:cs="Amiri"/>
          <w:color w:val="111111"/>
          <w:sz w:val="28"/>
          <w:sz w:val="28"/>
          <w:szCs w:val="28"/>
          <w:rtl w:val="true"/>
          <w:lang w:bidi="ar-SA"/>
        </w:rPr>
        <w:t xml:space="preserve">مروية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في دلالة الصحيحة على الجواز إشكال 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المبنى محل منع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صحيحة الصفّار</w:t>
      </w:r>
      <w:r>
        <w:rPr>
          <w:rStyle w:val="FootnoteAnchor"/>
          <w:rtl w:val="true"/>
        </w:rPr>
        <w:footnoteReference w:id="795"/>
      </w:r>
      <w:r>
        <w:rPr>
          <w:rFonts w:ascii="Amiri" w:hAnsi="Amiri" w:eastAsia="Amiri" w:cs="Amiri"/>
          <w:color w:val="111111"/>
          <w:sz w:val="28"/>
          <w:sz w:val="28"/>
          <w:szCs w:val="28"/>
          <w:rtl w:val="true"/>
          <w:lang w:bidi="ar-SA"/>
        </w:rPr>
        <w:t xml:space="preserve">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المنع </w:t>
      </w:r>
      <w:bookmarkStart w:id="408" w:name="pg15684_175523"/>
    </w:p>
    <w:p>
      <w:pPr>
        <w:pStyle w:val="BookText"/>
        <w:rPr/>
      </w:pPr>
      <w:bookmarkEnd w:id="408"/>
      <w:r>
        <w:rPr>
          <w:rFonts w:ascii="Amiri" w:hAnsi="Amiri" w:eastAsia="Amiri" w:cs="Amiri"/>
          <w:color w:val="111111"/>
          <w:sz w:val="28"/>
          <w:sz w:val="28"/>
          <w:szCs w:val="28"/>
          <w:rtl w:val="true"/>
          <w:lang w:bidi="ar-SA"/>
        </w:rPr>
        <w:t>أحدث، وستأتي ضمن أدلة القول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التعارض نختار روايات الجواز</w:t>
      </w:r>
    </w:p>
    <w:p>
      <w:pPr>
        <w:pStyle w:val="BookText"/>
        <w:rPr/>
      </w:pPr>
      <w:r>
        <w:rPr>
          <w:rFonts w:ascii="Amiri" w:hAnsi="Amiri" w:eastAsia="Amiri" w:cs="Amiri"/>
          <w:color w:val="111111"/>
          <w:sz w:val="28"/>
          <w:sz w:val="28"/>
          <w:szCs w:val="28"/>
          <w:rtl w:val="true"/>
          <w:lang w:bidi="ar-SA"/>
        </w:rPr>
        <w:t>لو فرض التعارض وعدم وجود مرجح، وقلنا بالتخيير في الخبرين المتعارضين فللفقيه أن يختار روايات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الأولي هو البراءة</w:t>
      </w:r>
    </w:p>
    <w:p>
      <w:pPr>
        <w:pStyle w:val="BookText"/>
        <w:rPr/>
      </w:pPr>
      <w:r>
        <w:rPr>
          <w:rFonts w:ascii="Amiri" w:hAnsi="Amiri" w:eastAsia="Amiri" w:cs="Amiri"/>
          <w:color w:val="111111"/>
          <w:sz w:val="28"/>
          <w:sz w:val="28"/>
          <w:szCs w:val="28"/>
          <w:rtl w:val="true"/>
          <w:lang w:bidi="ar-SA"/>
        </w:rPr>
        <w:t>مع فرض المصير إلى أنّ الحكم في المتعارضين التساقط تتساقط الأدلة، ومقتضى الأصل الأولي هو البراءة</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11572878_2142443653"/>
      <w:bookmarkStart w:id="410" w:name="_Toc155"/>
      <w:bookmarkEnd w:id="409"/>
      <w:r>
        <w:rPr>
          <w:rtl w:val="true"/>
        </w:rPr>
        <w:t>الدليل الثامن</w:t>
      </w:r>
      <w:r>
        <w:rPr>
          <w:rtl w:val="true"/>
        </w:rPr>
        <w:t xml:space="preserve">: </w:t>
      </w:r>
      <w:r>
        <w:rPr>
          <w:rtl w:val="true"/>
        </w:rPr>
        <w:t>الأخبار الدالة على جواز النظر إلى وجه الذمية ويديها</w:t>
      </w:r>
      <w:bookmarkEnd w:id="410"/>
    </w:p>
    <w:p>
      <w:pPr>
        <w:pStyle w:val="BookText"/>
        <w:rPr/>
      </w:pP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وأوضح من هذه الأخبار ما ورد في جواز النظر إلى وجه الذمية ويديها، معللاً بأنهن لا حرمة لهنّ، فإنه كالصريح في أن منشأ الجواز أنما هو عدم وجود حرمة لأعراضهن، فيدل على عدم الجواز إذا كانت المرأة مسلمة وذات حرمة</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ذلك يتوقف على ملاحظة الروايات الواردة في المقام،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عباد بن صهيب،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رؤوس أهل تهامة والأعراب وأهل السواد والعلوج؛ لأنهم إذا نهو لا ينتهون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الكافي</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الفقيه،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بالنظر إلى شعور نساء أهل تهامة </w:t>
      </w:r>
    </w:p>
    <w:p>
      <w:pPr>
        <w:pStyle w:val="BookText"/>
        <w:rPr/>
      </w:pPr>
      <w:r>
        <w:rPr>
          <w:rFonts w:ascii="Amiri" w:hAnsi="Amiri" w:eastAsia="Amiri" w:cs="Amiri"/>
          <w:color w:val="111111"/>
          <w:sz w:val="28"/>
          <w:sz w:val="28"/>
          <w:szCs w:val="28"/>
          <w:rtl w:val="true"/>
          <w:lang w:bidi="ar-SA"/>
        </w:rPr>
        <w:t>والأعراب وأهل البوادي من أهل الذمة والعلوج؛ لأنهنّ إذا نهين لا ينتهين</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رؤوس أهل تهامة والأعراب وأهل السواد من أهل الذمة؛ لأنهن إذا نهين لا ينتهين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ومفهومها عدم جواز النظر إلى رؤوس وشعور اللواتي إذا نهين ينتهين، وليس هذا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يكون المراد من الرأس فهو شامل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حرمة النظر إلى الرأس ككل، دون خصوص الوجه، حيث يصح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غسل الرأس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يجب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حرمة لنساء أهل الذمة أن ينظر إلى شعورهن وأيديهن</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اخترنا أنها معتبرة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في الشعر واليد، بل في الوجه وخصوص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رؤوس نساء أهل الذمة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ما ورد على سابقه، مع أنّ سند الرواية ضعيف بأبي البختري</w:t>
      </w:r>
      <w:r>
        <w:rPr>
          <w:rFonts w:eastAsia="Amiri" w:cs="Amiri" w:ascii="Amiri" w:hAnsi="Amiri"/>
          <w:color w:val="111111"/>
          <w:sz w:val="28"/>
          <w:szCs w:val="28"/>
          <w:rtl w:val="true"/>
          <w:lang w:bidi="ar-SA"/>
        </w:rPr>
        <w:t xml:space="preserve">. </w:t>
      </w:r>
      <w:bookmarkStart w:id="411" w:name="pg15684_175525"/>
    </w:p>
    <w:p>
      <w:pPr>
        <w:pStyle w:val="BookText"/>
        <w:rPr/>
      </w:pPr>
      <w:bookmarkEnd w:id="411"/>
      <w:r>
        <w:rPr>
          <w:rFonts w:ascii="IRNazanin" w:hAnsi="IRNazanin" w:eastAsia="IRNazanin"/>
          <w:color w:val="111111"/>
          <w:sz w:val="28"/>
          <w:sz w:val="28"/>
          <w:szCs w:val="28"/>
          <w:rtl w:val="true"/>
          <w:lang w:bidi="fa-IR"/>
        </w:rPr>
        <w:t>مع أنه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الجعفريات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لنساء أهل الذمة حرمة، لا بأس بالنظر إليهن ما لم يتعمد</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لنساء أهل الذمة حرمة، لا بأس بالنظر إلى وجوههن وشعورهن ونحورهن وبدنهن ما لم يتعمد ذلك</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مضافاً إلى الإشكال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جريان بعض الأجوبة المتقدمة في الدليل السابع في المقام</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1572880_2142443653"/>
      <w:bookmarkStart w:id="413" w:name="_Toc156"/>
      <w:bookmarkEnd w:id="412"/>
      <w:r>
        <w:rPr>
          <w:rtl w:val="true"/>
        </w:rPr>
        <w:t>الدليل التاسع</w:t>
      </w:r>
      <w:r>
        <w:rPr>
          <w:rtl w:val="true"/>
        </w:rPr>
        <w:t xml:space="preserve">: </w:t>
      </w:r>
      <w:r>
        <w:rPr>
          <w:rtl w:val="true"/>
        </w:rPr>
        <w:t>صحيحة الصفار</w:t>
      </w:r>
      <w:bookmarkEnd w:id="413"/>
    </w:p>
    <w:p>
      <w:pPr>
        <w:pStyle w:val="BookText"/>
        <w:rPr/>
      </w:pPr>
      <w:r>
        <w:rPr>
          <w:rFonts w:ascii="Amiri" w:hAnsi="Amiri" w:eastAsia="Amiri" w:cs="Amiri"/>
          <w:color w:val="111111"/>
          <w:sz w:val="28"/>
          <w:sz w:val="28"/>
          <w:szCs w:val="28"/>
          <w:rtl w:val="true"/>
          <w:lang w:bidi="ar-SA"/>
        </w:rPr>
        <w:t>صحيحة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الحسن الصفار</w:t>
      </w:r>
      <w:r>
        <w:rPr>
          <w:rStyle w:val="FootnoteAnchor"/>
          <w:rtl w:val="true"/>
        </w:rPr>
        <w:footnoteReference w:id="8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في رجل أراد أن يشهد على امرأة ليس لها بمحرم، هل يجوز له أن يشهد عليها من وراء الستر؟ ويسمع كلامها إذا شهد رجلان عدلان أنها فلانة بنت فلان التي تشهدك وهذا كلامها أولا تجوز له الشهادة عليها حتى تبرز ويثبتها بعينها؟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وتظهر للشهود إن شاء اللّه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ورواه الصدوق بإسناده عن محمد بن الحسن الصفار أنه كتب </w:t>
      </w:r>
    </w:p>
    <w:p>
      <w:pPr>
        <w:pStyle w:val="BookText"/>
        <w:rPr/>
      </w:pP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التوقيع عندي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لبس ما يستر مقداراً من الأنف فما دونه عند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جواز النظر إلى وجه المرأة في حدّ ذاته، وإلا فلم يكن وجه لأمرها بالتنقب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بالتنقب وإن دل على لزوم ستر الأنف فما دون مطلقاً، إلا أنه لا يدل على جواز كشف ما فوق الأنف مطلقاً، بل يختص ذلك بباب الشهادات، حيث تقتضي الضرورة التعرف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الاستدلال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مباني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الرواية تدل على وجوب الستر، ولا تدل على حرمة النظر</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وجود الملازمة العرفية بينهما، كما لو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هذه الورقة، فإنّ العرف يقضي بحرمة النظر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يدعى عدم الملازمة بين جواز الكشف وجواز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مرّ الإشكال فيه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فقه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يعارضه صحيح علي بن يقطين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بالشهادة على إقرار المرأة وليست بمسفرة إذا عرفت بعينها أو حضر من يعرفها، فأما إذا كانت لا </w:t>
      </w:r>
    </w:p>
    <w:p>
      <w:pPr>
        <w:pStyle w:val="BookText"/>
        <w:rPr/>
      </w:pPr>
      <w:r>
        <w:rPr>
          <w:rFonts w:ascii="Amiri" w:hAnsi="Amiri" w:eastAsia="Amiri" w:cs="Amiri"/>
          <w:color w:val="111111"/>
          <w:sz w:val="28"/>
          <w:sz w:val="28"/>
          <w:szCs w:val="28"/>
          <w:rtl w:val="true"/>
          <w:lang w:bidi="ar-SA"/>
        </w:rPr>
        <w:t>تعرف بعينها ولا يحضر من يعرفها فلا يجوز للشهود أن يشهدوا عليها وعلى إقرارها دون أن تسفر وينظرون إليها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وجه المعارضة، أمّا مع الجملة الأولى فلإمكان الحمل على الجواز أو الأفضلية، وأمّا مع الجملة الثانية فلإمكان التخصيص مع 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المستمسك،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الأمر بالتنقب في المكاتبة فلا يظهر أنه للوجوب التعبدي، ومن الجائز أن يكون للمحافظة على خفارة المرأة ومنع ما يوجب الاستحياء</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ومكاتبة الصفار غير ظاهرة في وجوب التستر شرعاً، فلعله لدفع الحزازة العرفية</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السيد الخوئي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 الأمر على استحياء المرأة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بالمرة، فإنّ ظاهر الأمر هو بيان التكليف والوظيفة الشرعية، فحمله على غيره يحتاج إلى القرينة والدليل</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المستمسك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تدل على جواز النظر إلى بعض الوجه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تدل على ستر بعض الوجه لا كله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 عن ذلك بأنّ كشف البعض والنظر إليه لمكان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ضرورة لكشف جميع القسم الأعلى الشامل للجبهة والحاجبين؛ لإمكان المعرفة عن طريق العينين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الضرورة العرف لا الدقة العقلية، مع إمكان توقف المعرفة على كشف كل القسم الأعلى،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شهادة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تنتفي الضرورة، ويدل على ذلك صحيحة علي بن يقطين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فظاهر الرواية جواز كشف البعض دون البعض، فلا تنهض دليلاً للقول بالجواز ولا القول بالحرمة،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تسويغ كشف البعض ربما يكون لأهمية باب الشهادات لا للضرورة، فمع وجود العلم التعبدي سوّغ الشارع تحصيل العلم الوجداني لمكان الأهمية المزبورة، وهذا التسويغ الجزئي كاشف عن حرمة الكشف في نفسه، فيتم الاستدلال،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أجاز المولى بالنسبة إلى البعض فهو دال عرفاً على حرمة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لا لهذا القول ولا لذاك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سوّغ طريقاً جديداً بالإضافة إلى الشاهدين، وهو الرؤية؛ وذلك لأهمية باب الشهادات، فبالإضافة إلى العلم التعبدي هنالك </w:t>
      </w:r>
    </w:p>
    <w:p>
      <w:pPr>
        <w:pStyle w:val="BookText"/>
        <w:rPr/>
      </w:pPr>
      <w:r>
        <w:rPr>
          <w:rFonts w:ascii="Amiri" w:hAnsi="Amiri" w:eastAsia="Amiri" w:cs="Amiri"/>
          <w:color w:val="111111"/>
          <w:sz w:val="28"/>
          <w:sz w:val="28"/>
          <w:szCs w:val="28"/>
          <w:rtl w:val="true"/>
          <w:lang w:bidi="ar-SA"/>
        </w:rPr>
        <w:t>طريق آخر، وهو 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التعبدي كافٍ، فلا ضرورة للطريق الثاني،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تحققت شهادة الشاهدين فلا ضرورة لرؤيتها، فلماذا تكشف عن بعض وجهها إذا كان حراماً؟</w:t>
      </w:r>
    </w:p>
    <w:p>
      <w:pPr>
        <w:pStyle w:val="BookText"/>
        <w:rPr/>
      </w:pPr>
      <w:r>
        <w:rPr>
          <w:rFonts w:ascii="Amiri" w:hAnsi="Amiri" w:eastAsia="Amiri" w:cs="Amiri"/>
          <w:color w:val="111111"/>
          <w:sz w:val="28"/>
          <w:sz w:val="28"/>
          <w:szCs w:val="28"/>
          <w:rtl w:val="true"/>
          <w:lang w:bidi="ar-SA"/>
        </w:rPr>
        <w:t>ثم إن سلوك الطريق الأول جائز، فيدل على عدم الضرورة، فيندفع ما ذهب إليه المستدل بأن كشف البعض والنظر إليه لمكان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أراد الشارع في أمثال المقام رفع الحجية عن العلم التعبدي، و فتح طريق آخر، وهو 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معارض بصحيحة علي بن يقطين وفتاوى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الروايات أنّ البينة حجة، وأنه لا يحتاج إلى النظر فلا 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بعدم الضرورة، لكن الشارع أجاز كشف الوجه لأهمية باب الشهادة، وإن كان هنالك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جواب آخر غير ما ذهب إليه المستدل من الضرورة، فمن باب الأهمية أجاز الشارع كشف بعض الوجه، وهو يدل على حرمة كشفه في غير الباب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الرواية جواز النقاب لا وجوبه؛ إذ إنّ المقام مقام توهم وجوب كشف كل الوجه وحرمة النقاب، 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كشف كل الوجه وجواز التنقب، ومن المقرر في محله</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bookmarkStart w:id="414" w:name="pg15684_175530"/>
    </w:p>
    <w:p>
      <w:pPr>
        <w:pStyle w:val="BookText"/>
        <w:rPr/>
      </w:pPr>
      <w:bookmarkEnd w:id="414"/>
      <w:r>
        <w:rPr>
          <w:rFonts w:ascii="Amiri" w:hAnsi="Amiri" w:eastAsia="Amiri" w:cs="Amiri"/>
          <w:color w:val="111111"/>
          <w:sz w:val="28"/>
          <w:sz w:val="28"/>
          <w:szCs w:val="28"/>
          <w:rtl w:val="true"/>
          <w:lang w:bidi="ar-SA"/>
        </w:rPr>
        <w:t>في مقام توهم الحظر يدل على الجواز لا الوجوب،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دلالتها في حد ذاتها على الوجوب، يمكن حملها على الاستحباب جمعاً بينها وبين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جريان بعض الأجوبة المتقدمة في الدليل السابع في المقام أيضاً</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11572882_2142443653"/>
      <w:bookmarkStart w:id="416" w:name="_Toc157"/>
      <w:bookmarkEnd w:id="415"/>
      <w:r>
        <w:rPr>
          <w:rtl w:val="true"/>
        </w:rPr>
        <w:t>الدليل العاشر</w:t>
      </w:r>
      <w:r>
        <w:rPr>
          <w:rtl w:val="true"/>
        </w:rPr>
        <w:t xml:space="preserve">: </w:t>
      </w:r>
      <w:r>
        <w:rPr>
          <w:rtl w:val="true"/>
        </w:rPr>
        <w:t>صحيحة الفضيل</w:t>
      </w:r>
      <w:bookmarkEnd w:id="416"/>
    </w:p>
    <w:p>
      <w:pPr>
        <w:pStyle w:val="BookText"/>
        <w:rPr/>
      </w:pPr>
      <w:r>
        <w:rPr>
          <w:rFonts w:ascii="Amiri" w:hAnsi="Amiri" w:eastAsia="Amiri" w:cs="Amiri"/>
          <w:color w:val="111111"/>
          <w:sz w:val="28"/>
          <w:sz w:val="28"/>
          <w:szCs w:val="28"/>
          <w:rtl w:val="true"/>
          <w:lang w:bidi="ar-SA"/>
        </w:rPr>
        <w:t>التي تقدمت في الدليل السابع من أدلة القول بالجواز بالتقريب المتقدم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الذراعين من المرأة، هما من الزينة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الخمار من الزينة وما دون السوارين</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في أنها لا تدل على وجوب ستر الوجه، وتدل على وجوب ستر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 أنّ المطلق قابل للتقييد، ومع فرض إبائه التقييد يجمع بينه وبين الأدلة المجوزة بالحمل على الكراهة، فراجع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جريان بعض الأجوبة المتقدمة في المقام أيضاً</w:t>
      </w:r>
      <w:r>
        <w:rPr>
          <w:rFonts w:eastAsia="Amiri" w:cs="Amiri" w:ascii="Amiri" w:hAnsi="Amiri"/>
          <w:color w:val="111111"/>
          <w:sz w:val="28"/>
          <w:szCs w:val="28"/>
          <w:rtl w:val="true"/>
          <w:lang w:bidi="ar-SA"/>
        </w:rPr>
        <w:t xml:space="preserve">. </w:t>
      </w:r>
      <w:bookmarkStart w:id="417" w:name="pg15684_175531"/>
    </w:p>
    <w:p>
      <w:pPr>
        <w:pStyle w:val="Heading6"/>
        <w:numPr>
          <w:ilvl w:val="5"/>
          <w:numId w:val="1"/>
        </w:numPr>
        <w:rPr/>
      </w:pPr>
      <w:bookmarkStart w:id="418" w:name="__RefHeading___Toc11572884_2142443653"/>
      <w:bookmarkStart w:id="419" w:name="_Toc158"/>
      <w:bookmarkEnd w:id="417"/>
      <w:bookmarkEnd w:id="418"/>
      <w:r>
        <w:rPr>
          <w:rtl w:val="true"/>
        </w:rPr>
        <w:t>الدليل الحادي عشر</w:t>
      </w:r>
      <w:r>
        <w:rPr>
          <w:rtl w:val="true"/>
        </w:rPr>
        <w:t xml:space="preserve">: </w:t>
      </w:r>
      <w:r>
        <w:rPr>
          <w:rtl w:val="true"/>
        </w:rPr>
        <w:t>الأخبار الدالة على أن النظر إلى الأجنبية سهم من سهام إبليس</w:t>
      </w:r>
      <w:bookmarkEnd w:id="419"/>
    </w:p>
    <w:p>
      <w:pPr>
        <w:pStyle w:val="BookText"/>
        <w:rPr/>
      </w:pPr>
      <w:r>
        <w:rPr>
          <w:rFonts w:ascii="Amiri" w:hAnsi="Amiri" w:eastAsia="Amiri" w:cs="Amiri"/>
          <w:color w:val="111111"/>
          <w:sz w:val="28"/>
          <w:sz w:val="28"/>
          <w:szCs w:val="28"/>
          <w:rtl w:val="true"/>
          <w:lang w:bidi="ar-SA"/>
        </w:rPr>
        <w:t>الأخبار الدالة على أنّ النظر إلى الأجنبية سهم من سهام إبليس، وأنه زنا العين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عقبة،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من سهام إبليس مسموم، وكم من نظرة أورثت حسرة طويلة</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نجران،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ويزيد بن حماد، وغيره، عن أبي جميلة،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وهو يصيب حظاً من الزنا، فزنا العينين النظر، وزنا الفم القبلة، وزنا اليدين اللمس، صدق الفرج ذلك أم كذب</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النظرة سهم من سهام إبليس مسموم، من تركها لله عزّ وجلّ لا لغيره أعقبه اللّه أمناً وإيماناً يجد طعمه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بعد النظرة تزرع في القلب الشهوة وكفى لصاحبها فتنة</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نظر إلى امرأة فرفع بصره إلى السماء، أو </w:t>
      </w:r>
    </w:p>
    <w:p>
      <w:pPr>
        <w:pStyle w:val="BookText"/>
        <w:rPr/>
      </w:pPr>
      <w:r>
        <w:rPr>
          <w:rFonts w:ascii="Amiri" w:hAnsi="Amiri" w:eastAsia="Amiri" w:cs="Amiri"/>
          <w:color w:val="111111"/>
          <w:sz w:val="28"/>
          <w:sz w:val="28"/>
          <w:szCs w:val="28"/>
          <w:rtl w:val="true"/>
          <w:lang w:bidi="ar-SA"/>
        </w:rPr>
        <w:t>غمض بصره لم يرتد إليه بصره حتى يزوجه اللّه من الحور العين</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ملأ عينيه من امرأة حراماً، حشاهما اللّه يوم القيامة بمسامير من نار، وحشاهما ناراً حتى يقضي بين الناس ثم يؤمر به إلى النار</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الأخبار التي بعضها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بهذه الأخبار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من عدم الدلالة على التحريم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تاماً بالنسبة إلى بعضها، إلا أنّ الظاهر دلالة بعضها الآخر على التحريم،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في الدين ما يترتب على السم المسموم في البدن، وكما يجب اجتناب ذلك يجب اجتناب هذا،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لا تدل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تشبيه، وليس التشبيه من كل الجهات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واقعه تشبيه، لكن قد تحذف أداة التشبيه من الناحية البلاغية، فتكون استعارة، ويكون التشبيه من جهة أظهر الآثار، وهو القتل، فإن السهم قاتل، فكيف إذا كان مسموماً؟ ومعنى الرواية أنّ وزان النظرة في الدين وزان السهم المسموم في الدنيا، فكما يجب اجتناب السهم المسموم </w:t>
      </w:r>
    </w:p>
    <w:p>
      <w:pPr>
        <w:pStyle w:val="BookText"/>
        <w:rPr/>
      </w:pPr>
      <w:r>
        <w:rPr>
          <w:rFonts w:ascii="Amiri" w:hAnsi="Amiri" w:eastAsia="Amiri" w:cs="Amiri"/>
          <w:color w:val="111111"/>
          <w:sz w:val="28"/>
          <w:sz w:val="28"/>
          <w:szCs w:val="28"/>
          <w:rtl w:val="true"/>
          <w:lang w:bidi="ar-SA"/>
        </w:rPr>
        <w:t>يجب اجتناب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الفقهاء من نظائر العبارة الحكم الشرعي، وإنما الحكم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الفقهاء لم يفهموا الحرمة من أمثال هذا التعبير في مواضع أخرى، فقد خرج ذلك بفهمهم، لكن يبقى الظهور الأولي لهذه العبارة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شرح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الروايات وإن كان بعضها صحيح السند، لكنّها قاصرة الدلالة على ما نحن فيه، فانّ التعبير بالسهم لا يناسب إلا النظر مع خوف الافتتان، الذي هو من الشيطان، كما أنّ تنزيله منزلة الزنا يقتضي وجود جامع بينهما وهو اللذة والشهوة، كي يصدق أنّ النظر زنا العين، فكأن الشارع وسّع في مفهوم الزنا، فالحقيقي منه ما كان بتوسط الآلة المخصوصة، والتنزيلي ما كان بواسطة اللمس أو الفم أو العين، على اختلاف مراتبها، التي يجمعها الالتذاذ والارتياب، وهو خارج عن محلّ الكلام</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المناسبة موجودة ولو مع عدم خوف الافتتان؛ لكون كل منهما قاتلاً بنفسه، وليس المعنى أنّ النظر يؤدي إلى ما هو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تشترط الحرمة بخوف الافتتان، كما أنّ السهم لا يؤدي إلى ما هو القاتل، بل هو قاتل بنفسه، والتنزيل لا يشترط فيه وجود جامع خارجي بين المنزَّل والمنزَّل عليه، بل تكفي إرادة التسوية بين الأمرين في الحكم بادعاء </w:t>
      </w:r>
    </w:p>
    <w:p>
      <w:pPr>
        <w:pStyle w:val="BookText"/>
        <w:rPr/>
      </w:pPr>
      <w:r>
        <w:rPr>
          <w:rFonts w:ascii="Amiri" w:hAnsi="Amiri" w:eastAsia="Amiri" w:cs="Amiri"/>
          <w:color w:val="111111"/>
          <w:sz w:val="28"/>
          <w:sz w:val="28"/>
          <w:szCs w:val="28"/>
          <w:rtl w:val="true"/>
          <w:lang w:bidi="ar-SA"/>
        </w:rPr>
        <w:t>أنه فرد من أفراده،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ما يشترط فيها، مع عدم لزوم وجود جامع خارجي بينهما،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لم يتعرض لذكر متعلق النظر في هذه الأخبار، والأخذ بالإطلاق أينما سرى كما ترى؛ للزومه تخصيص الأكثر المستهجن، كما مرّ، وحمله على خصوص الأجنبية بتمام بدنها لا شاهد عليه، ولعل المراد خصوص العورتين، وبالجملة فالمتعلق مجمل، ولا قرينة على التعيين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منها النظر إلى الأجنبية، خاصة ما دلَّ على تنزيل النظر منزلة الزنا، وفي بعضها تصريح بالنظر إلى المرأة، كما في الحديث التاسع</w:t>
      </w:r>
      <w:r>
        <w:rPr>
          <w:rStyle w:val="FootnoteAnchor"/>
          <w:rtl w:val="true"/>
        </w:rPr>
        <w:footnoteReference w:id="830"/>
      </w:r>
      <w:r>
        <w:rPr>
          <w:rFonts w:ascii="Amiri" w:hAnsi="Amiri" w:eastAsia="Amiri" w:cs="Amiri"/>
          <w:color w:val="111111"/>
          <w:sz w:val="28"/>
          <w:sz w:val="28"/>
          <w:szCs w:val="28"/>
          <w:rtl w:val="true"/>
          <w:lang w:bidi="ar-SA"/>
        </w:rPr>
        <w:t>، لكن 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إطلاق لها في حدّ نفسها؛ إذ ليست في مقام البيان من هذه الجهة، كما لا تشمل النظر إلى ثوب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ناظرة إلى بيان ما يتترب على النظر المحرم، وليست متعرضة لما يحرم من النظر وما لا يحرم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بأصالة الإطلاق، وقد مضى بعض ما ينفع في المقام، فراجع</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420" w:name="pg15684_175535"/>
    </w:p>
    <w:p>
      <w:pPr>
        <w:pStyle w:val="BookText"/>
        <w:rPr/>
      </w:pPr>
      <w:bookmarkEnd w:id="420"/>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فرض إطلاقها مخصصة بالأدلة الدالة على جواز النظر للوجه 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جريان بعض الأجوبة المتقدمة في المقام أيضاً</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1572886_2142443653"/>
      <w:bookmarkStart w:id="422" w:name="_Toc159"/>
      <w:bookmarkEnd w:id="421"/>
      <w:r>
        <w:rPr>
          <w:rtl w:val="true"/>
        </w:rPr>
        <w:t>الدليل الثاني عشر</w:t>
      </w:r>
      <w:r>
        <w:rPr>
          <w:rtl w:val="true"/>
        </w:rPr>
        <w:t xml:space="preserve">: </w:t>
      </w:r>
      <w:r>
        <w:rPr>
          <w:rtl w:val="true"/>
        </w:rPr>
        <w:t>رواية الفضيل</w:t>
      </w:r>
      <w:bookmarkEnd w:id="422"/>
    </w:p>
    <w:p>
      <w:pPr>
        <w:pStyle w:val="BookText"/>
        <w:rPr/>
      </w:pPr>
      <w:r>
        <w:rPr>
          <w:rFonts w:ascii="Amiri" w:hAnsi="Amiri" w:eastAsia="Amiri" w:cs="Amiri"/>
          <w:color w:val="111111"/>
          <w:sz w:val="28"/>
          <w:sz w:val="28"/>
          <w:szCs w:val="28"/>
          <w:rtl w:val="true"/>
          <w:lang w:bidi="ar-SA"/>
        </w:rPr>
        <w:t>وقد رويت بنحوين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 أسامة بن زيد في مصعده إلى عرفات، فلما أفاض أردف الفضل بن العباس، وكان فتى حسن اللمّة</w:t>
      </w:r>
      <w:r>
        <w:rPr>
          <w:rStyle w:val="FootnoteAnchor"/>
          <w:rtl w:val="true"/>
        </w:rPr>
        <w:footnoteReference w:id="832"/>
      </w:r>
      <w:r>
        <w:rPr>
          <w:rFonts w:ascii="IRNazanin" w:hAnsi="IRNazanin" w:eastAsia="IRNazanin"/>
          <w:color w:val="111111"/>
          <w:sz w:val="28"/>
          <w:sz w:val="28"/>
          <w:szCs w:val="28"/>
          <w:rtl w:val="true"/>
          <w:lang w:bidi="fa-IR"/>
        </w:rPr>
        <w:t xml:space="preserve">، فاستقبل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أعرابي وعنده أخت له أجمل ما يكون من النساء، فجعل الأعرابي يسأل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الفضل ينظر إلى أخت الأعرابي،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على وجه الفضل يستره من النظر، فإذا هو ستره من الجانب نظر من الجانب الآخر، حتى إذا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حاجة الأعرابي، التفت إليه وأخذ بمنكبه،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الأيام المعدودات والمعلومات، لا يكف رجل فيهن بصره، ولا يكف لسانه ويده إلا كتب اللّه له مثل حج قابل</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امرأة خثعمية 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في حجة الوداع تستفتيه، وكان الفضل بن العباس رديف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ينظر إليها وتنظر إليه، فصرف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الفضل عنها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شاب </w:t>
      </w:r>
    </w:p>
    <w:p>
      <w:pPr>
        <w:pStyle w:val="BookText"/>
        <w:rPr/>
      </w:pPr>
      <w:r>
        <w:rPr>
          <w:rFonts w:ascii="Amiri" w:hAnsi="Amiri" w:eastAsia="Amiri" w:cs="Amiri"/>
          <w:color w:val="111111"/>
          <w:sz w:val="28"/>
          <w:sz w:val="28"/>
          <w:szCs w:val="28"/>
          <w:rtl w:val="true"/>
          <w:lang w:bidi="ar-SA"/>
        </w:rPr>
        <w:t>وامرأة شابة أخاف أن يدخل الشيطان بينهما</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الاستدلال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فقد نقلها في الجامع عن المستدرك عن بعض نسخ فقه الرضا، ولم يذكر لها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فهي مذكورة في بعض الكتب الفقهية على نحو الإرسال كالتذكرة والمسالك وجامع المقاصد والحدائق</w:t>
      </w:r>
      <w:r>
        <w:rPr>
          <w:rStyle w:val="FootnoteAnchor"/>
          <w:rtl w:val="true"/>
        </w:rPr>
        <w:footnoteReference w:id="835"/>
      </w:r>
      <w:r>
        <w:rPr>
          <w:rFonts w:ascii="Amiri" w:hAnsi="Amiri" w:eastAsia="Amiri" w:cs="Amiri"/>
          <w:color w:val="111111"/>
          <w:sz w:val="28"/>
          <w:sz w:val="28"/>
          <w:szCs w:val="28"/>
          <w:rtl w:val="true"/>
          <w:lang w:bidi="ar-SA"/>
        </w:rPr>
        <w:t>، وقد نقلها في الهامش عن كتب العامة في معظم هذه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من اضطراب الرواية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تعدد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وجود جامع مشترك بين الروايتين، وهو ردع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النظر، وقد تقرر أنّ سقوط بعض فقرات الراوية لا يوجب سقوط سائر فقراتها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تحكي عن قضية خارجية، فلا ينعقد لها إطلاق، ولعل نظر الفضل كان بشهوة أو ريبة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كذلك، لكن ظاهر الذيل كون تمام الموضوع للحكم هو طبيعي النظر لا النظر بريبة أو نحوها،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الزجر العملي لا ظهور له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يقلّ عن الزجر القولي عرفاً في الظهور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ظهوره فيه</w:t>
      </w:r>
      <w:r>
        <w:rPr>
          <w:rStyle w:val="FootnoteAnchor"/>
          <w:rtl w:val="true"/>
        </w:rPr>
        <w:footnoteReference w:id="837"/>
      </w:r>
      <w:r>
        <w:rPr>
          <w:rFonts w:ascii="Amiri" w:hAnsi="Amiri" w:eastAsia="Amiri" w:cs="Amiri"/>
          <w:color w:val="111111"/>
          <w:sz w:val="28"/>
          <w:sz w:val="28"/>
          <w:szCs w:val="28"/>
          <w:rtl w:val="true"/>
          <w:lang w:bidi="ar-SA"/>
        </w:rPr>
        <w:t>فتعقيبه بالتعليل في رواية الخثعمية يدل على كون الزجر من حيث خوف الفتنة، لا من حيث حرمة النظر في حد ذاته، فلا نهي فيما ليست فيه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تعقيبه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يكتب له حج من قابل، يبطل ظهور ما تقدّم في التحريم،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جريان بعض الأجوبة المتقدمة في المقام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الخبرين يدلان على خلاف المطلوب،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يدلان على جواز النظر، قال في المستمسك في خبر الخثعمية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مضافاً إلى ما يظهر من الرواية من أنّ المرأة كانت مكشوفة الوجه،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ينظر إليها، فرآها تنظر إلى الفضل</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دليل على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الراوي هو الذي نقل نظرها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 عن النظر إلى المرأة تقرير للجواز</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تأمل؛ إذ شرط التقرير وقوع الفعل بمرأى من المعصوم ومسمع، ولعله لم يكن نظره بمرأى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423" w:name="pg15684_175538"/>
    </w:p>
    <w:p>
      <w:pPr>
        <w:pStyle w:val="BookText"/>
        <w:rPr/>
      </w:pPr>
      <w:bookmarkEnd w:id="423"/>
      <w:r>
        <w:rPr>
          <w:rFonts w:ascii="IRNazanin" w:hAnsi="IRNazanin" w:eastAsia="IRNazanin"/>
          <w:color w:val="111111"/>
          <w:sz w:val="28"/>
          <w:sz w:val="28"/>
          <w:szCs w:val="28"/>
          <w:rtl w:val="true"/>
          <w:lang w:bidi="fa-IR"/>
        </w:rPr>
        <w:t xml:space="preserve">وعلم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بالواقع لا يكفي في التقرير؛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بالظاهر،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وجهها يدل بالملازمة العرفية على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العرفية تنفع في إثبات الجواز في صورة عدم الردع، والمفروض وقوع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معلل بما يصرفه عن الظهور في التحريم كما سبق،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له، حيث إنه حكاية فعل، فربما كان لها خصوصية، ككونها أخته من الرضاعة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احتملت الخصوصية لم يمكن التعميم، أما إن لم يكن هنالك خصوصية محتملة دلّ على العموم، والظاهر أنه لم تكن هنالك خصوصية في النظر لو ثبت النظر</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1572888_2142443653"/>
      <w:bookmarkStart w:id="425" w:name="_Toc160"/>
      <w:bookmarkEnd w:id="424"/>
      <w:r>
        <w:rPr>
          <w:rtl w:val="true"/>
        </w:rPr>
        <w:t>الدليل الثالث عشر</w:t>
      </w:r>
      <w:r>
        <w:rPr>
          <w:rtl w:val="true"/>
        </w:rPr>
        <w:t xml:space="preserve">: </w:t>
      </w:r>
      <w:r>
        <w:rPr>
          <w:rtl w:val="true"/>
        </w:rPr>
        <w:t>الروايات الدالة على ذم أهل الكوفة ويزيد لإبدائهم المخدرات</w:t>
      </w:r>
      <w:bookmarkEnd w:id="425"/>
    </w:p>
    <w:p>
      <w:pPr>
        <w:pStyle w:val="BookText"/>
        <w:rPr/>
      </w:pPr>
      <w:r>
        <w:rPr>
          <w:rFonts w:ascii="Amiri" w:hAnsi="Amiri" w:eastAsia="Amiri" w:cs="Amiri"/>
          <w:color w:val="111111"/>
          <w:sz w:val="28"/>
          <w:sz w:val="28"/>
          <w:szCs w:val="28"/>
          <w:rtl w:val="true"/>
          <w:lang w:bidi="ar-SA"/>
        </w:rPr>
        <w:t>ما ورد في ذم أهل الكوفة ويزيد من أنهم أبدوا وجوه المخدرات عليهنّ السلام، كما في الاحتجاج</w:t>
      </w:r>
      <w:r>
        <w:rPr>
          <w:rStyle w:val="FootnoteAnchor"/>
          <w:rtl w:val="true"/>
        </w:rPr>
        <w:footnoteReference w:id="839"/>
      </w:r>
      <w:r>
        <w:rPr>
          <w:rFonts w:ascii="IRNazanin" w:hAnsi="IRNazanin" w:eastAsia="IRNazanin"/>
          <w:color w:val="111111"/>
          <w:sz w:val="28"/>
          <w:sz w:val="28"/>
          <w:szCs w:val="28"/>
          <w:rtl w:val="true"/>
          <w:lang w:bidi="fa-IR"/>
        </w:rPr>
        <w:t>والبحار</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مع قطع النظر عن المناقشة السندية بما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وذم يزيد وأتباعه لأنه تصرف في حق الغير بغير حق، فإنّ كونهن عليهنّ السلام يسترن وجوهن لا يدل على وجوب ذلك، كما أنّ جعل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حجاباً </w:t>
      </w:r>
      <w:bookmarkStart w:id="426" w:name="pg15684_175539"/>
    </w:p>
    <w:p>
      <w:pPr>
        <w:pStyle w:val="BookText"/>
        <w:rPr/>
      </w:pPr>
      <w:bookmarkEnd w:id="426"/>
      <w:r>
        <w:rPr>
          <w:rFonts w:ascii="Amiri" w:hAnsi="Amiri" w:eastAsia="Amiri" w:cs="Amiri"/>
          <w:color w:val="111111"/>
          <w:sz w:val="28"/>
          <w:sz w:val="28"/>
          <w:szCs w:val="28"/>
          <w:rtl w:val="true"/>
          <w:lang w:bidi="ar-SA"/>
        </w:rPr>
        <w:t>بينها وبين الرجال في المسجد لا يدل على الوجوب</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الإجمال، وأنّ وجه الذم حرمة التصرف أو حرمة الإظهار، وهو موجب لسقوط الاستدلال</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11572890_2142443653"/>
      <w:bookmarkStart w:id="428" w:name="_Toc161"/>
      <w:bookmarkEnd w:id="427"/>
      <w:r>
        <w:rPr>
          <w:rtl w:val="true"/>
        </w:rPr>
        <w:t>الدليل الرابع عشر</w:t>
      </w:r>
      <w:r>
        <w:rPr>
          <w:rtl w:val="true"/>
        </w:rPr>
        <w:t xml:space="preserve">: </w:t>
      </w:r>
      <w:r>
        <w:rPr>
          <w:rtl w:val="true"/>
        </w:rPr>
        <w:t>دليل العقل</w:t>
      </w:r>
      <w:bookmarkEnd w:id="428"/>
    </w:p>
    <w:p>
      <w:pPr>
        <w:pStyle w:val="BookText"/>
        <w:rPr/>
      </w:pPr>
      <w:r>
        <w:rPr>
          <w:rFonts w:ascii="Amiri" w:hAnsi="Amiri" w:eastAsia="Amiri" w:cs="Amiri"/>
          <w:color w:val="111111"/>
          <w:sz w:val="28"/>
          <w:sz w:val="28"/>
          <w:szCs w:val="28"/>
          <w:rtl w:val="true"/>
          <w:lang w:bidi="ar-SA"/>
        </w:rPr>
        <w:t>وتقريره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محاسن المرأة في وجهها، وبما أنّ النظر إليه يؤدي إلى الوقوع في مبغوض الشارع، وفي المفاسد الواقعية كثيراً، فالعقل يحكم بعدم جواز النظر إلى الوجه على الإطلاق؛ حسماً لمادة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العرفية بين جواز النظر إلى الوجه والكفين، وما يقع من الفتن والفساد، كما نرى ذلك بحيث لا يخفى ذلك على الناس، فضلاً عن ربّ العباد</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الملازمة الغالبة بين النظر والريبة، خصوصاً في هذه الأعصار</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بأنّ لازم ذلك المنع عن النظر إلى بعض المحارم، كالأخت الرضاعية ونحوها ممن يتطرق احتمال الالتذاذ أو الافتتان في النظر إليهنَّ، وكذا بالنسبة للشاب الأمرد، فاللازم المنع عن النظر في جميع ذلك حسماً لمادة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السيد الخوئي في شرح العروة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المرأة من البيت والعمل والتعلم مع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بعدم جواز النظر مقيد بكونه في معرض الوقوع في مبغوض المولى، أو المفاسد الواقعية، وليس الكلام في ذلك؛ إذ لا شك في الحرمة إذا كان هنالك خوف افتتان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محل الكلام في المقام في حرمة النظر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وجود الحكم العقلي على نحو الإطلاق، فإنما يثبت به الحكم الشرعي إذا كان حكم العقل واقعاً في سلسلة العلل لا في سلسلة المعلولات</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تقريره بنحو يكون في سلسلة العلل،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يدرك المفسدة في النظر، فينتقل منه إلى ثبوت الحكم الشرعي انتقالاً لِميّاً،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الانتقال من العلة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ثبوت الملازمة بين حكم العقل وحكم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سلسلة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على ما قرر في محله</w:t>
      </w:r>
      <w:r>
        <w:rPr>
          <w:rStyle w:val="FootnoteAnchor"/>
          <w:rtl w:val="true"/>
        </w:rPr>
        <w:footnoteReference w:id="846"/>
      </w:r>
      <w:r>
        <w:rPr>
          <w:rFonts w:ascii="Amiri" w:hAnsi="Amiri" w:eastAsia="Amiri" w:cs="Amiri"/>
          <w:color w:val="111111"/>
          <w:sz w:val="28"/>
          <w:sz w:val="28"/>
          <w:szCs w:val="28"/>
          <w:rtl w:val="true"/>
          <w:lang w:bidi="ar-SA"/>
        </w:rPr>
        <w:t>، وصرف وجود حكم العقل لا يكفي في ترتب استحقاق العقاب ونحوه من الآثار المترتبة على الحرمة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 المرأة في وجهها، فكيف يمنع الشارع النظر إلى غيره ولا يمنع من النظر إليه هو</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ببالي أنّ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لبعض العوام من </w:t>
      </w:r>
      <w:bookmarkStart w:id="429" w:name="pg15684_175541"/>
    </w:p>
    <w:p>
      <w:pPr>
        <w:pStyle w:val="BookText"/>
        <w:rPr/>
      </w:pPr>
      <w:bookmarkEnd w:id="429"/>
      <w:r>
        <w:rPr>
          <w:rFonts w:ascii="Amiri" w:hAnsi="Amiri" w:eastAsia="Amiri" w:cs="Amiri"/>
          <w:color w:val="111111"/>
          <w:sz w:val="28"/>
          <w:sz w:val="28"/>
          <w:szCs w:val="28"/>
          <w:rtl w:val="true"/>
          <w:lang w:bidi="ar-SA"/>
        </w:rPr>
        <w:t>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مستثنى من حرمة النظر، 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كمال المرأة وجمالها في وجهها إن قُبِل قُبِل ما سواه وإن رُدَّ رُدَّ ما سواه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بمنع الشارع النظر إلى غير الوجه، وعدم المنع من النظر إليه في حالة الإحرام، المستفاد من الملازمة العرفية بين جواز الكشف وجواز النظر،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يثبت وجود المقتضي للتحريم، وهو غير كافٍ في التحريم ما لم ترتفع الموانع عن تأثير هذا المقتضي في مقتضاه، وربما تكون مصلحة التسهيل لها أو للآخرين ونحوها من المصالح مانعة عن الحكم بالتحريم،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المقتضي نثبت عدم المانع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غير تامة، كما ذكر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رمينا سهماً في الصحراء إلى شخص، وعلمنا أنه لولا المانع كهبوب الريح لأصابه وقتله، فأصالة عدم المانع لا تثبت وقوع القتل؛ لأنه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الترخيص الشرعي كاشف عن عدم تمامية العلة للحكم بالتحريم ولو إجمالاً</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1572892_2142443653"/>
      <w:bookmarkStart w:id="431" w:name="_Toc162"/>
      <w:bookmarkEnd w:id="430"/>
      <w:r>
        <w:rPr>
          <w:rtl w:val="true"/>
        </w:rPr>
        <w:t>الدليل الخامس عشر</w:t>
      </w:r>
      <w:r>
        <w:rPr>
          <w:rtl w:val="true"/>
        </w:rPr>
        <w:t xml:space="preserve">: </w:t>
      </w:r>
      <w:r>
        <w:rPr>
          <w:rtl w:val="true"/>
        </w:rPr>
        <w:t>الإجماع</w:t>
      </w:r>
      <w:bookmarkEnd w:id="43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في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الفقهاء على أنّ بدن </w:t>
      </w:r>
    </w:p>
    <w:p>
      <w:pPr>
        <w:pStyle w:val="BookText"/>
        <w:rPr/>
      </w:pPr>
      <w:r>
        <w:rPr>
          <w:rFonts w:ascii="Amiri" w:hAnsi="Amiri" w:eastAsia="Amiri" w:cs="Amiri"/>
          <w:color w:val="111111"/>
          <w:sz w:val="28"/>
          <w:sz w:val="28"/>
          <w:szCs w:val="28"/>
          <w:rtl w:val="true"/>
          <w:lang w:bidi="ar-SA"/>
        </w:rPr>
        <w:t>المرأة عورة إلاّ على الزوج والمحارم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التنقيح الرائع</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المهذب</w:t>
      </w:r>
      <w:r>
        <w:rPr>
          <w:rStyle w:val="FootnoteAnchor"/>
          <w:rtl w:val="true"/>
        </w:rPr>
        <w:footnoteReference w:id="850"/>
      </w:r>
      <w:r>
        <w:rPr>
          <w:rFonts w:ascii="Amiri" w:hAnsi="Amiri" w:eastAsia="Amiri" w:cs="Amiri"/>
          <w:color w:val="111111"/>
          <w:sz w:val="28"/>
          <w:sz w:val="28"/>
          <w:szCs w:val="28"/>
          <w:rtl w:val="true"/>
          <w:lang w:bidi="ar-SA"/>
        </w:rPr>
        <w:t>دعوى الإجماع عن جمع، 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جميع المتقدمين التطابق على الحرمة</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شرح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ذهبوا إلى الحرمة</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مناقشتان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 هذا الإجماع إجماع منقول لم يثبت، بل هو ثابت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في كنز العرفان إطباق الفقهاء على أن بدن المرأة عورة إلا على الزوج والمحارم،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كل بدنها فلا إجماع قطعاً، وإن أراد بعض بدنها لم ينفع الإجماع على ذلك لمحل النزاع</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إطباق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للاعتماد عليه مع وضوح الخلاف وشهرته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فقه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هذا الخلاف العظيم كيف يعتمد على هذه الدعوى؟</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الشيخ الطوسي في التبيان</w:t>
      </w:r>
      <w:r>
        <w:rPr>
          <w:rStyle w:val="FootnoteAnchor"/>
          <w:rtl w:val="true"/>
        </w:rPr>
        <w:footnoteReference w:id="856"/>
      </w:r>
      <w:r>
        <w:rPr>
          <w:rFonts w:ascii="Amiri" w:hAnsi="Amiri" w:eastAsia="Amiri" w:cs="Amiri"/>
          <w:color w:val="111111"/>
          <w:sz w:val="28"/>
          <w:sz w:val="28"/>
          <w:szCs w:val="28"/>
          <w:rtl w:val="true"/>
          <w:lang w:bidi="ar-SA"/>
        </w:rPr>
        <w:t>والنهاية</w:t>
      </w:r>
      <w:r>
        <w:rPr>
          <w:rStyle w:val="FootnoteAnchor"/>
          <w:rtl w:val="true"/>
        </w:rPr>
        <w:footnoteReference w:id="857"/>
      </w:r>
      <w:r>
        <w:rPr>
          <w:rFonts w:ascii="IRNazanin" w:hAnsi="IRNazanin" w:eastAsia="IRNazanin"/>
          <w:color w:val="111111"/>
          <w:sz w:val="28"/>
          <w:sz w:val="28"/>
          <w:szCs w:val="28"/>
          <w:rtl w:val="true"/>
          <w:lang w:bidi="fa-IR"/>
        </w:rPr>
        <w:t>والمبسوط</w:t>
      </w:r>
      <w:r>
        <w:rPr>
          <w:rStyle w:val="FootnoteAnchor"/>
          <w:rtl w:val="true"/>
        </w:rPr>
        <w:footnoteReference w:id="858"/>
      </w:r>
      <w:r>
        <w:rPr>
          <w:rFonts w:ascii="Amiri" w:hAnsi="Amiri" w:eastAsia="Amiri" w:cs="Amiri"/>
          <w:color w:val="111111"/>
          <w:sz w:val="28"/>
          <w:sz w:val="28"/>
          <w:szCs w:val="28"/>
          <w:rtl w:val="true"/>
          <w:lang w:bidi="ar-SA"/>
        </w:rPr>
        <w:t>إلى الجواز، ونسب اختياره له في الاستبصار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هذا القول الشيخ الكليني في الكافي</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نقل الكليني أخبار الجواز أعم من الفتوى به</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ضمن الكافي</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العلامة في القواعد والتذكرة والتحرير، والمحقق السبزواري في الكفاية، والفاضل الهندي في كشف اللثام، والفيض الكاشاني في المفاتيح، وهو ظاهر الشهيد الثاني</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به الشيخ الأنصاري في كتاب النكاح</w:t>
      </w:r>
      <w:r>
        <w:rPr>
          <w:rStyle w:val="FootnoteAnchor"/>
          <w:rtl w:val="true"/>
        </w:rPr>
        <w:footnoteReference w:id="863"/>
      </w:r>
      <w:r>
        <w:rPr>
          <w:rFonts w:ascii="Amiri" w:hAnsi="Amiri" w:eastAsia="Amiri" w:cs="Amiri"/>
          <w:color w:val="111111"/>
          <w:sz w:val="28"/>
          <w:sz w:val="28"/>
          <w:szCs w:val="28"/>
          <w:rtl w:val="true"/>
          <w:lang w:bidi="ar-SA"/>
        </w:rPr>
        <w:t xml:space="preserve">، والمحقق النراقي في </w:t>
      </w:r>
      <w:bookmarkStart w:id="432" w:name="pg15684_175544"/>
    </w:p>
    <w:p>
      <w:pPr>
        <w:pStyle w:val="BookText"/>
        <w:rPr/>
      </w:pPr>
      <w:bookmarkEnd w:id="432"/>
      <w:r>
        <w:rPr>
          <w:rFonts w:ascii="Amiri" w:hAnsi="Amiri" w:eastAsia="Amiri" w:cs="Amiri"/>
          <w:color w:val="111111"/>
          <w:sz w:val="28"/>
          <w:sz w:val="28"/>
          <w:szCs w:val="28"/>
          <w:rtl w:val="true"/>
          <w:lang w:bidi="ar-SA"/>
        </w:rPr>
        <w:t>المستند،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فالمسألة بحمد اللّه واضحة</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الحدائق،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تأمل فيما قدمناه من الأخبار ونحوها غيرها لم يختلجه شك في ضعف القول المذكور</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وادعى في الرياض ندرة القول بالمنع،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ندرة القول بالمنع مطلقاً؛ لعدم نقله إلا عن التذكرة وفخر الدين، وإن مال إليه بعض من تأخر عنهما</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فالإجماع على المنع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 هذا الإجماع محتمل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قدح الاحتمال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الإجماع مقطوع عدم الاستناد فهو فليس بتام، حيث لا معقد له، فيؤخذ بالقدر المتيقن منه وهو غير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الناقلون للإجماع نقلوا المعقد،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النظر إلى المرأة بتمامها، فإن ثبت عدم المعقد كان ما ذكر تاماً</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1572894_2142443653"/>
      <w:bookmarkStart w:id="434" w:name="_Toc163"/>
      <w:bookmarkEnd w:id="433"/>
      <w:r>
        <w:rPr>
          <w:rtl w:val="true"/>
        </w:rPr>
        <w:t>الدليل السادس عشر</w:t>
      </w:r>
      <w:r>
        <w:rPr>
          <w:rtl w:val="true"/>
        </w:rPr>
        <w:t xml:space="preserve">: </w:t>
      </w:r>
      <w:r>
        <w:rPr>
          <w:rtl w:val="true"/>
        </w:rPr>
        <w:t>السيرة المستمرة على الستر وعدم النظر</w:t>
      </w:r>
      <w:bookmarkEnd w:id="43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المهذب</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435" w:name="pg15684_175545"/>
    </w:p>
    <w:p>
      <w:pPr>
        <w:pStyle w:val="BookText"/>
        <w:rPr/>
      </w:pPr>
      <w:bookmarkEnd w:id="435"/>
      <w:r>
        <w:rPr>
          <w:rFonts w:ascii="Amiri" w:hAnsi="Amiri" w:eastAsia="Amiri" w:cs="Amiri"/>
          <w:color w:val="111111"/>
          <w:sz w:val="28"/>
          <w:sz w:val="28"/>
          <w:szCs w:val="28"/>
          <w:rtl w:val="true"/>
          <w:lang w:bidi="ar-SA"/>
        </w:rPr>
        <w:t>وقد مضى تفصيل البحث في ذلك</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المستند في رد الإطباق على المنع من خروجهن سافرات، أو إنما يخرجن مستترات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بمخالفته للوجدان والعيان؛ لأنّ الناس مختلفة في الأمكنة والأزمان</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لمخالفتهما</w:t>
      </w:r>
      <w:r>
        <w:rPr>
          <w:rStyle w:val="FootnoteAnchor"/>
          <w:rtl w:val="true"/>
        </w:rPr>
        <w:footnoteReference w:id="871"/>
      </w:r>
      <w:r>
        <w:rPr>
          <w:rFonts w:ascii="Amiri" w:hAnsi="Amiri" w:eastAsia="Amiri" w:cs="Amiri"/>
          <w:color w:val="111111"/>
          <w:sz w:val="28"/>
          <w:sz w:val="28"/>
          <w:szCs w:val="28"/>
          <w:rtl w:val="true"/>
          <w:lang w:bidi="ar-SA"/>
        </w:rPr>
        <w:t>الوجدان؛ لاختلاف الناس في الزمان، فبين من يجري على الأول ومن يحذو حذو الثاني</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11572896_2142443653"/>
      <w:bookmarkStart w:id="437" w:name="_Toc164"/>
      <w:bookmarkEnd w:id="436"/>
      <w:r>
        <w:rPr>
          <w:rtl w:val="true"/>
        </w:rPr>
        <w:t>الدليل السابع عشر</w:t>
      </w:r>
      <w:r>
        <w:rPr>
          <w:rtl w:val="true"/>
        </w:rPr>
        <w:t xml:space="preserve">: </w:t>
      </w:r>
      <w:r>
        <w:rPr>
          <w:rtl w:val="true"/>
        </w:rPr>
        <w:t>الستر مقتضى مرتكزات المتشرعة</w:t>
      </w:r>
      <w:bookmarkEnd w:id="437"/>
    </w:p>
    <w:p>
      <w:pPr>
        <w:pStyle w:val="BookText"/>
        <w:rPr/>
      </w:pPr>
      <w:r>
        <w:rPr>
          <w:rFonts w:ascii="Amiri" w:hAnsi="Amiri" w:eastAsia="Amiri" w:cs="Amiri"/>
          <w:color w:val="111111"/>
          <w:sz w:val="28"/>
          <w:sz w:val="28"/>
          <w:szCs w:val="28"/>
          <w:rtl w:val="true"/>
          <w:lang w:bidi="ar-SA"/>
        </w:rPr>
        <w:t>ما ذكر ه في المهذب</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فقه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فتحصل أنه لا دليل على شي‌ء من الأقوال، فيرجع إلى الأصل المقتضي للجواز المؤيد بما دل على جواز إبداء الوجه والكفين للمرأة، لولا ما عليه مرتكزات المتشرعة من المنع على وجه يعد ارتكاب النظر عندهم من المنكرات</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المستمسك بعد أن قرب القول بالجواز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الخروج به عن مرتكزات المتدينين، بل مرتكزات المتشرعة في غير النساء المبتذلات لا </w:t>
      </w:r>
      <w:bookmarkStart w:id="438" w:name="pg15684_175546"/>
    </w:p>
    <w:p>
      <w:pPr>
        <w:pStyle w:val="BookText"/>
        <w:rPr/>
      </w:pPr>
      <w:bookmarkEnd w:id="438"/>
      <w:r>
        <w:rPr>
          <w:rFonts w:ascii="Amiri" w:hAnsi="Amiri" w:eastAsia="Amiri" w:cs="Amiri"/>
          <w:color w:val="111111"/>
          <w:sz w:val="28"/>
          <w:sz w:val="28"/>
          <w:szCs w:val="28"/>
          <w:rtl w:val="true"/>
          <w:lang w:bidi="ar-SA"/>
        </w:rPr>
        <w:t>يخلو من إشكال</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الارتكازات مختلفة بحسب العادات والبلاد والأزمنة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الارتكاز معلول للعادات والفتاوى ونحوها، وليس ارتكازاً متشرعياً كاشفاً عن البيان الشرعي؛ ولذا جرت السيرة على الخلاف كما سبق، مع أنه معارض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والإنكار للنظر من جهة الغيرة أو اللوازم المحرمة المصاحبة للنظر، لا مطلقاً على ما سبق، فلاحظ</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11572898_2142443653"/>
      <w:bookmarkStart w:id="440" w:name="_Toc165"/>
      <w:bookmarkEnd w:id="439"/>
      <w:r>
        <w:rPr>
          <w:rtl w:val="true"/>
        </w:rPr>
        <w:t>الدليل الثامن عشر</w:t>
      </w:r>
      <w:r>
        <w:rPr>
          <w:rtl w:val="true"/>
        </w:rPr>
        <w:t xml:space="preserve">: </w:t>
      </w:r>
      <w:r>
        <w:rPr>
          <w:rtl w:val="true"/>
        </w:rPr>
        <w:t xml:space="preserve">اجتناب النبي والأئمة </w:t>
      </w:r>
      <w:r>
        <w:rPr>
          <w:rtl w:val="true"/>
        </w:rPr>
        <w:t>(</w:t>
      </w:r>
      <w:r>
        <w:rPr>
          <w:rtl w:val="true"/>
        </w:rPr>
        <w:t>عليهم السلام</w:t>
      </w:r>
      <w:r>
        <w:rPr>
          <w:rtl w:val="true"/>
        </w:rPr>
        <w:t xml:space="preserve">) </w:t>
      </w:r>
      <w:r>
        <w:rPr>
          <w:rtl w:val="true"/>
        </w:rPr>
        <w:t>واتباعهم عن النظر</w:t>
      </w:r>
      <w:bookmarkEnd w:id="440"/>
    </w:p>
    <w:p>
      <w:pPr>
        <w:pStyle w:val="BookText"/>
        <w:rPr/>
      </w:pPr>
      <w:r>
        <w:rPr>
          <w:rFonts w:ascii="IRNazanin" w:hAnsi="IRNazanin" w:eastAsia="IRNazanin"/>
          <w:color w:val="111111"/>
          <w:sz w:val="28"/>
          <w:sz w:val="28"/>
          <w:szCs w:val="28"/>
          <w:rtl w:val="true"/>
          <w:lang w:bidi="fa-IR"/>
        </w:rPr>
        <w:t>ما ذكره في المهذب كمؤيّد،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والتابعين لهم بالاجتناب عن ذلك، نحو اجتنابهم عن سائر المحرمات</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لا يدل على الوجوب، والترك لا يدل على الحرمة</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11572900_2142443653"/>
      <w:bookmarkStart w:id="442" w:name="_Toc166"/>
      <w:bookmarkEnd w:id="441"/>
      <w:r>
        <w:rPr>
          <w:rtl w:val="true"/>
        </w:rPr>
        <w:t>الدليل التاسع عشر</w:t>
      </w:r>
      <w:r>
        <w:rPr>
          <w:rtl w:val="true"/>
        </w:rPr>
        <w:t xml:space="preserve">: </w:t>
      </w:r>
      <w:r>
        <w:rPr>
          <w:rtl w:val="true"/>
        </w:rPr>
        <w:t>معرفة المسلمين والمسلمات بالتستر</w:t>
      </w:r>
      <w:bookmarkEnd w:id="44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المهذب بعنوان المؤيد،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أرباب سائر الأديان السماوية، بل وغيرهم يعرفون المسلمين والمسلمات بهذه الخصيصة في الأعصار السابقة، ويجعلون ذلك من شعار الإسلام</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443" w:name="pg15684_175547"/>
    </w:p>
    <w:p>
      <w:pPr>
        <w:pStyle w:val="BookText"/>
        <w:rPr/>
      </w:pPr>
      <w:bookmarkEnd w:id="443"/>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بمعرفة المسلمين بذلك كون كل متستر مسلماً أو متشرعاً،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لا يفيد المدعى،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بذلك كون كل مسلم أو متشرع متستراً،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Style w:val="FootnoteAnchor"/>
          <w:rtl w:val="true"/>
        </w:rPr>
        <w:footnoteReference w:id="878"/>
      </w:r>
      <w:r>
        <w:rPr>
          <w:rFonts w:ascii="Amiri" w:hAnsi="Amiri" w:eastAsia="Amiri" w:cs="Amiri"/>
          <w:color w:val="111111"/>
          <w:sz w:val="28"/>
          <w:sz w:val="28"/>
          <w:szCs w:val="28"/>
          <w:rtl w:val="true"/>
          <w:lang w:bidi="ar-SA"/>
        </w:rPr>
        <w:t>من جريان سيرة كثير من المتشرعة على كشف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المسلم أو المتشرع بالتستر لا يستلزم التساوي بين مفهوم المتشرع والمتستر؛ لإمكان كونه لازماً أخص، ومن الواضح أن وجود اللازم الأخص، وإن استلزم وجود الأعم، لكن انتفاءه لا يستلزم انتفاءه، فيمكن أن يكون وزان التستر وزان حف الشارب أو غسل الجمعة مثلاً، فإنه وإن عرف به المتشرع، لكن ذلك لا يستلزم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الكلام في مسألة جعل ذلك من شعار الإسلام</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1572902_2142443653"/>
      <w:bookmarkStart w:id="445" w:name="_Toc167"/>
      <w:bookmarkEnd w:id="444"/>
      <w:r>
        <w:rPr>
          <w:rtl w:val="true"/>
        </w:rPr>
        <w:t>الدليل العشرون</w:t>
      </w:r>
      <w:r>
        <w:rPr>
          <w:rtl w:val="true"/>
        </w:rPr>
        <w:t xml:space="preserve">: </w:t>
      </w:r>
      <w:r>
        <w:rPr>
          <w:rtl w:val="true"/>
        </w:rPr>
        <w:t>ارتكاز كون النظر معصية توجب التوبة</w:t>
      </w:r>
      <w:bookmarkEnd w:id="445"/>
    </w:p>
    <w:p>
      <w:pPr>
        <w:pStyle w:val="BookText"/>
        <w:rPr/>
      </w:pPr>
      <w:r>
        <w:rPr>
          <w:rFonts w:ascii="Amiri" w:hAnsi="Amiri" w:eastAsia="Amiri" w:cs="Amiri"/>
          <w:color w:val="111111"/>
          <w:sz w:val="28"/>
          <w:sz w:val="28"/>
          <w:szCs w:val="28"/>
          <w:rtl w:val="true"/>
          <w:lang w:bidi="ar-SA"/>
        </w:rPr>
        <w:t>ما ذكر في المهذب بعنوان المؤيد،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التوبة بالنسبة إلى الناظرين والنظارات إلى الوجه والكفين، فيعلم من ذلك أنّ عده من المعصية كان مرتكزاً في الأذهان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رجعنا إلى فطرة النساء عند إرادة التوبة عما ارتكبن من المحرمات يعدن</w:t>
      </w:r>
      <w:r>
        <w:rPr>
          <w:rStyle w:val="FootnoteAnchor"/>
          <w:rtl w:val="true"/>
        </w:rPr>
        <w:footnoteReference w:id="880"/>
      </w:r>
      <w:r>
        <w:rPr>
          <w:rFonts w:ascii="Amiri" w:hAnsi="Amiri" w:eastAsia="Amiri" w:cs="Amiri"/>
          <w:color w:val="111111"/>
          <w:sz w:val="28"/>
          <w:sz w:val="28"/>
          <w:szCs w:val="28"/>
          <w:rtl w:val="true"/>
          <w:lang w:bidi="ar-SA"/>
        </w:rPr>
        <w:t>ذلك منها، ويتبن من كشف وجوههن وأيديهن أيضاً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أنما هي من الملازمات المحرمة المصاحبة عادة للنظر أو الكشف، لا من نفسهما، أو لكون فتوى المقلد الحرمة لا مطلقاً؛ مع أن التوبة قد تكون من ارتكاب المكروه، بل قد تكون من فعل المباح، بل ربما تكون من ممارسة الضرورات التكوينية الملازمة للوجود الإمكاني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الوالد في فقه العقائد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وذلك مثل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قد يظهر منه الاعتراف بالمعصية، بينما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معصومون قطعاً، ولا يعملون حتى ترك الأولى أيضاً، فالاعتراف إشارة إلى الأمر التكويني من نقص الممكن ذاتاً، فإن الإنسان يريد بهذا الاعتراف أن يؤدي حق العبودية، وأن يكمل ذلك النقص الإمكاني بالمقدار الممكن، مثله مثل من يأتي بالخبز اليابس والماء المالح لضيف عظيم في حال كونه لا يملك غيرهما، فإنه يعتذر أشد الاعتذار من الضيف، مع أن عمله ليس حتى ترك الأولى الفاعلي، وإنما يشير إلى ترك الأولى الفعلي، ويعتذر لسد النقص الذي لا يملك المعتذر فيه الكمال، وهكذا عمل الأنبياء واعتذارت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قباله تعالى</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تفصيله في غير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التوبة لا تدل على التحريم، بل هي أعم منه، وقد ورد 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وإني لاستغفر اللّه في كل يوم سبعين مرة</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الأدعية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لي كل ذنب أذنبته، وكل خطيئة </w:t>
      </w:r>
      <w:bookmarkStart w:id="446" w:name="pg15684_175549"/>
    </w:p>
    <w:p>
      <w:pPr>
        <w:pStyle w:val="BookText"/>
        <w:rPr/>
      </w:pPr>
      <w:bookmarkEnd w:id="446"/>
      <w:r>
        <w:rPr>
          <w:rFonts w:ascii="IRNazanin" w:hAnsi="IRNazanin" w:eastAsia="IRNazanin"/>
          <w:color w:val="111111"/>
          <w:sz w:val="28"/>
          <w:sz w:val="28"/>
          <w:szCs w:val="28"/>
          <w:rtl w:val="true"/>
          <w:lang w:bidi="fa-IR"/>
        </w:rPr>
        <w:t>أخطأتها</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الارتكاز فقد مضى البحث عنه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11572904_2142443653"/>
      <w:bookmarkStart w:id="448" w:name="_Toc168"/>
      <w:bookmarkEnd w:id="447"/>
      <w:r>
        <w:rPr>
          <w:rtl w:val="true"/>
        </w:rPr>
        <w:t>الدليل الواحد والعشرون</w:t>
      </w:r>
      <w:r>
        <w:rPr>
          <w:rtl w:val="true"/>
        </w:rPr>
        <w:t xml:space="preserve">: </w:t>
      </w:r>
      <w:r>
        <w:rPr>
          <w:rtl w:val="true"/>
        </w:rPr>
        <w:t>قصور أدلة جواز النظر عن الدلالة</w:t>
      </w:r>
      <w:bookmarkEnd w:id="448"/>
    </w:p>
    <w:p>
      <w:pPr>
        <w:pStyle w:val="BookText"/>
        <w:rPr/>
      </w:pPr>
      <w:r>
        <w:rPr>
          <w:rFonts w:ascii="Amiri" w:hAnsi="Amiri" w:eastAsia="Amiri" w:cs="Amiri"/>
          <w:color w:val="111111"/>
          <w:sz w:val="28"/>
          <w:sz w:val="28"/>
          <w:szCs w:val="28"/>
          <w:rtl w:val="true"/>
          <w:lang w:bidi="ar-SA"/>
        </w:rPr>
        <w:t xml:space="preserve">ما ذكره في المهذب بعنوان المؤيّد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ما استدل به على الجواز عن الدلالة عليه، كما يأتي، وإن ناقش العلماء في ذلك فإنّ شأنهم المناقشة في المسلمات فضلاً عن الأمور الاجتهادية من الأحكام</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فهو غير فادح؛ لجريان أصالة البراءة أو استصحاب البراءة أو كليهما معاً لو وصلت النوبة إلى الشك؛ إذ الجواز لا يحتاج إلى دليل اجتهادي بخلاف المنع، وقد سبق الكلام في ذلك</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11572906_2142443653"/>
      <w:bookmarkStart w:id="450" w:name="_Toc169"/>
      <w:bookmarkEnd w:id="449"/>
      <w:r>
        <w:rPr>
          <w:rtl w:val="true"/>
        </w:rPr>
        <w:t>الدليل الثاني والعشرون</w:t>
      </w:r>
      <w:r>
        <w:rPr>
          <w:rtl w:val="true"/>
        </w:rPr>
        <w:t xml:space="preserve">: </w:t>
      </w:r>
      <w:r>
        <w:rPr>
          <w:rtl w:val="true"/>
        </w:rPr>
        <w:t>تتبع الأخبار يؤذن بالمنع من النظر</w:t>
      </w:r>
      <w:bookmarkEnd w:id="450"/>
    </w:p>
    <w:p>
      <w:pPr>
        <w:pStyle w:val="BookText"/>
        <w:rPr/>
      </w:pPr>
      <w:r>
        <w:rPr>
          <w:rFonts w:ascii="Amiri" w:hAnsi="Amiri" w:eastAsia="Amiri" w:cs="Amiri"/>
          <w:color w:val="111111"/>
          <w:sz w:val="28"/>
          <w:sz w:val="28"/>
          <w:szCs w:val="28"/>
          <w:rtl w:val="true"/>
          <w:lang w:bidi="ar-SA"/>
        </w:rPr>
        <w:t>ما ذكره السيد الخوئي،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تحصل من جميع ما تلوناه عليك لحد الآن أنّ مقتضى الصناعة بالنظر إلى أدلة الباب نفسها بعد ضم بعضها إلى بعض، والتدبر فيما يقتضيه الجمع بين الأدلة هو اختيار القول بالجواز، كما ذهب إليه شيخنا الأنصاري مصرّاً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كله في النفس منه شيء، والجزم به مشكل جداً، ولا مناص من الاحتياط الوجوبي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الماتن ونعم ما صنع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لما ثبت من تتبع الآثار واستقصاء الموارد المتفرقة من الأخبار اهتمام الشارع الأقدس بشأن الأعراض اهتماماً بليغاً، بحيث يعلم من مذاقه التضييق فيما دون النظر، فضلاً عنه، والتشديد في ناموس المسلمين بالنهي عما يخالفه تحريماً أو تنزيهاً، كما يفصح عنه نهيه عن خروجهن للجمعة والجماعات على ما هي عليه من الفضل والمثوبات، وكذا النهي عن حضورهن لتشييع الجنائز، والمنع عن اختلاطهن مع الرجال في الأسواق الوارد في نهي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عن ذلك، والنهي عن المحادثة معهن وسماع صوتهن، فيطمع الذي في قلبه مرض، وعن تقبيل البنات بعد بلوغهن ست سنين، وعن التسليم على المرأة الشابة، حيث ورد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يسلم عليهن، وعن الجلوس في مكان قامت عنه المرأة والحرارة بعد باقية؛ لكونه مهيجاً للشهوة، إلى غير ذلك من الموارد المتفرقة التي لا تخفى على المتتبع، ومعه كيف يمكن الحكم بالجواز سيما أنّ الوجه مجمع الحسن، ومركز الجمال، ومثار الفتنة والنظر إليه من مزال الأقدام ومواقع الهلكة غالباً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المهذب ذكر مجموعة من الموارد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عي وعورة، فاستروا عيهن بالسكوت، واستروا عوراتهن بالبيوت،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تنزلوا النساء الغرف</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للنساء من سروات الطريق شيء، ولكن تمشي في جانب الحائط والطريق، وقول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صافح امرأة تحرم عليه فقد باء بسخط من اللّه،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على النساء أن لا يحتبين</w:t>
      </w:r>
      <w:r>
        <w:rPr>
          <w:rStyle w:val="FootnoteAnchor"/>
          <w:rtl w:val="true"/>
        </w:rPr>
        <w:footnoteReference w:id="890"/>
      </w:r>
      <w:r>
        <w:rPr>
          <w:rFonts w:ascii="Amiri" w:hAnsi="Amiri" w:eastAsia="Amiri" w:cs="Amiri"/>
          <w:color w:val="111111"/>
          <w:sz w:val="28"/>
          <w:sz w:val="28"/>
          <w:szCs w:val="28"/>
          <w:rtl w:val="true"/>
          <w:lang w:bidi="ar-SA"/>
        </w:rPr>
        <w:t>، ولا يقعدن مع الرجال في الخلاء</w:t>
      </w:r>
      <w:r>
        <w:rPr>
          <w:rStyle w:val="FootnoteAnchor"/>
          <w:rtl w:val="true"/>
        </w:rPr>
        <w:footnoteReference w:id="891"/>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يؤمن باللّه واليوم الآخر فلا يبيت</w:t>
      </w:r>
      <w:r>
        <w:rPr>
          <w:rStyle w:val="FootnoteAnchor"/>
          <w:rtl w:val="true"/>
        </w:rPr>
        <w:footnoteReference w:id="892"/>
      </w:r>
      <w:r>
        <w:rPr>
          <w:rFonts w:ascii="IRNazanin" w:hAnsi="IRNazanin" w:eastAsia="IRNazanin"/>
          <w:color w:val="111111"/>
          <w:sz w:val="28"/>
          <w:sz w:val="28"/>
          <w:szCs w:val="28"/>
          <w:rtl w:val="true"/>
          <w:lang w:bidi="fa-IR"/>
        </w:rPr>
        <w:t>في موضع يسمع نفس امرأة ليست له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يشهد له كيفية بيعة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فإنه لما بايع النساء وأخذ عليهن دعا بإناء، فملأه ثم غمس يده في الإناء، ثم أخرجها ثم أمرهن أن يدخلن أيدهن فيغمسن فيه، إلى غير ذلك مما لا يحصى</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التضييق في ما دون النظر لا يستلزم التضييق في نفس النظر؛ لإمكان وجود مفسدة في تحريم النظر، أو وجود مصلحة راجحة أو مساوية لمفسدة التحريم تقتضي الحكم بالجواز، كمصلحة التسهيل مثلاً، وقد مضى بعض الكلام في ذلك</w:t>
      </w:r>
      <w:r>
        <w:rPr>
          <w:rStyle w:val="FootnoteAnchor"/>
          <w:rtl w:val="true"/>
        </w:rPr>
        <w:footnoteReference w:id="894"/>
      </w:r>
      <w:r>
        <w:rPr>
          <w:rFonts w:ascii="Amiri" w:hAnsi="Amiri" w:eastAsia="Amiri" w:cs="Amiri"/>
          <w:color w:val="111111"/>
          <w:sz w:val="28"/>
          <w:sz w:val="28"/>
          <w:szCs w:val="28"/>
          <w:rtl w:val="true"/>
          <w:lang w:bidi="ar-SA"/>
        </w:rPr>
        <w:t>، ولو فرض عدم كفاية الاحتمال في المقام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الشارع للنظر يكشف كشفاً إنّياً عن وجود المفسدة المزبورة، أو وجود المصلحة المذكورة، وقد اعترف السيد الخوئي</w:t>
      </w:r>
      <w:r>
        <w:rPr>
          <w:rStyle w:val="FootnoteAnchor"/>
          <w:rtl w:val="true"/>
        </w:rPr>
        <w:footnoteReference w:id="895"/>
      </w:r>
      <w:r>
        <w:rPr>
          <w:rFonts w:ascii="Amiri" w:hAnsi="Amiri" w:eastAsia="Amiri" w:cs="Amiri"/>
          <w:color w:val="111111"/>
          <w:sz w:val="28"/>
          <w:sz w:val="28"/>
          <w:szCs w:val="28"/>
          <w:rtl w:val="true"/>
          <w:lang w:bidi="ar-SA"/>
        </w:rPr>
        <w:t>بدلالة صحيحة علي بن سويد على جواز النظر، كما مضى تفصيل الكلام في سائر الأدلة في أدلة القول بالجواز،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 دال على عكس المطلوب، حيث إنها تثبت الكراهة في منتهى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الأخبار وإن حملها الأصحاب على الآداب في الجملة، ولكن لا شك في إمكان استفادة الأصل المزبور منها</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كانت هذه الموارد مقطوعة الحرمة لدلّت على جواز ما نحن فيه، فالشارع الذي يهتم بأمر المرأة حتى يحرم جعل يدها في إناء جعل الرجل يده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يقل حتى مرة واحدة يحرم النظر إلى وجه المرأة وكفيها؟</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الدليل في حد ذاته لا المطلقات، والأدلة السابقة الدالة على الجواز، فكيف لم ينص الشارع حتى في مورد واحد على وجوب ستر الوجه مع اهتمامه؟ فهذا يدل على جواز كشف الوجه وإلا لبين، ولو كان لبان، خاصة مع ملاحظة الموارد المذكورة التي فرضنا دلالتها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قابل للتأمل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الشارع احتاط كثيراً في قضية المرأة، ونحن نؤمن بالاحتياط، بل نقول للمؤمنين أن لا يفكروا في الحرام، بل لا يتصوروه</w:t>
      </w:r>
      <w:r>
        <w:rPr>
          <w:rFonts w:eastAsia="Amiri" w:cs="Amiri" w:ascii="Amiri" w:hAnsi="Amiri"/>
          <w:color w:val="111111"/>
          <w:sz w:val="28"/>
          <w:szCs w:val="28"/>
          <w:rtl w:val="true"/>
          <w:lang w:bidi="ar-SA"/>
        </w:rPr>
        <w:t xml:space="preserve">. </w:t>
      </w:r>
      <w:bookmarkStart w:id="451" w:name="pg15684_175553"/>
    </w:p>
    <w:p>
      <w:pPr>
        <w:pStyle w:val="BookText"/>
        <w:rPr/>
      </w:pPr>
      <w:bookmarkEnd w:id="451"/>
      <w:r>
        <w:rPr>
          <w:rFonts w:ascii="Amiri" w:hAnsi="Amiri" w:eastAsia="Amiri" w:cs="Amiri"/>
          <w:color w:val="111111"/>
          <w:sz w:val="28"/>
          <w:sz w:val="28"/>
          <w:szCs w:val="28"/>
          <w:rtl w:val="true"/>
          <w:lang w:bidi="ar-SA"/>
        </w:rPr>
        <w:t xml:space="preserve">وقد كان من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لهذه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النظر، لكنه لم يحرمه لمفسدة في التحريم، كما لو أراد ابن الشخص أن يأكل شيئاً يضره، وأراد الأب أن ينهاه، لكنه يلاحظ أنه لو شدد عليه انفلت منه، ولأجل ذلك أباحه له، وكذا الشارع، إما لمصلحة التسهيل أو لمصالح أخرى أباح النظر</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11572908_2142443653"/>
      <w:bookmarkStart w:id="453" w:name="_Toc170"/>
      <w:bookmarkEnd w:id="452"/>
      <w:r>
        <w:rPr>
          <w:rtl w:val="true"/>
        </w:rPr>
        <w:t>الدليل الثالث والعشرون</w:t>
      </w:r>
      <w:r>
        <w:rPr>
          <w:rtl w:val="true"/>
        </w:rPr>
        <w:t xml:space="preserve">: </w:t>
      </w:r>
      <w:r>
        <w:rPr>
          <w:rtl w:val="true"/>
        </w:rPr>
        <w:t>لو كان جواز النظر ثابتاً لكان من الواضحات المشهورات</w:t>
      </w:r>
      <w:bookmarkEnd w:id="453"/>
    </w:p>
    <w:p>
      <w:pPr>
        <w:pStyle w:val="BookText"/>
        <w:rPr/>
      </w:pPr>
      <w:r>
        <w:rPr>
          <w:rFonts w:ascii="Amiri" w:hAnsi="Amiri" w:eastAsia="Amiri" w:cs="Amiri"/>
          <w:color w:val="111111"/>
          <w:sz w:val="28"/>
          <w:sz w:val="28"/>
          <w:szCs w:val="28"/>
          <w:rtl w:val="true"/>
          <w:lang w:bidi="ar-SA"/>
        </w:rPr>
        <w:t>ما ذكره السيد الخوئي،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لو كان الجواز ثابتاً في مثل هذه المسألة الكثيرة الدوران لكان من الواضحات المشهورات، مع أنه لم ينقل القول به صريحاً من المتقدمين، إلا الشيخ الطوسي وبعض من تبعه من المتأخرين</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عكس الدليل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التحريم ثابتاً في مثل هذه المسألة الكثيرة الدوران لكان من الواضحات المشهورات، مع أنه لم ينقل القول به صريحاً من المتقدمين إلا عن ابن البراج وابن إدريس، بل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ندرة القول بالمنع مطلقاً؛ لعدم نقله إلا عن التذكرة وفخر الدين</w:t>
      </w:r>
      <w:r>
        <w:rPr>
          <w:rStyle w:val="FootnoteAnchor"/>
          <w:rtl w:val="true"/>
        </w:rPr>
        <w:footnoteReference w:id="899"/>
      </w:r>
      <w:r>
        <w:rPr>
          <w:rFonts w:ascii="Amiri" w:hAnsi="Amiri" w:eastAsia="Amiri" w:cs="Amiri"/>
          <w:color w:val="111111"/>
          <w:sz w:val="28"/>
          <w:sz w:val="28"/>
          <w:szCs w:val="28"/>
          <w:rtl w:val="true"/>
          <w:lang w:bidi="ar-SA"/>
        </w:rPr>
        <w:t>، وإن مال إليه بعض من تأخر عنهما</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عبارة ابن البراج وابن إدريس هو التحريم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مضى القول بالجواز من الكليني في الكافي، ويبعد تفرده على </w:t>
      </w:r>
    </w:p>
    <w:p>
      <w:pPr>
        <w:pStyle w:val="BookText"/>
        <w:rPr/>
      </w:pPr>
      <w:r>
        <w:rPr>
          <w:rFonts w:ascii="Amiri" w:hAnsi="Amiri" w:eastAsia="Amiri" w:cs="Amiri"/>
          <w:color w:val="111111"/>
          <w:sz w:val="28"/>
          <w:sz w:val="28"/>
          <w:szCs w:val="28"/>
          <w:rtl w:val="true"/>
          <w:lang w:bidi="ar-SA"/>
        </w:rPr>
        <w:t>خلاف مَن تقدمه أو عاصره بهذه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عقد في الكافي باباً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يحل النظر إليه من المرأة</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 وقد ذكر فيه مجموعة من الروايات تدل على جواز النظر إلى الوجه والكفين والكحل والخاتم وما أشبه، بضميمة ما في مقدمة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تحب أن يكون عندك كتاب كافٍ يجمع من جميع فنون علم الدين ما يكتفي به المتعلم ويرجع إليه المسترشد، ويأخذ منه من يريد علم الدين والعمل به بالآثار الصحيحة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والسنن القائمة التي عليها العمل وبها يؤدى فرض اللّه عزّ وجلّ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رجوت أن يكون ذلك سبباً يتدارك اللّه تعالى بمعونته وتوفيقه إخواننا وأهل ملتنا، ويقبل بهم إلى مراشدهم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ما سألت، وأرجو أن يكون بحيث توخيت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بما فيه في دهرنا هذا وفي غابره إلى انقضاء الدنيا</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في الخلاف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في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المرأة الحرة فجسدها عورة خلا الوجه، بإجماع علماء الإسلام،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المرأة عورة، وكذا الكفان عند علمائنا، وبه قال مالك والشافعي، وقال الخُرفي من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عورة، لنا أنّ العادة ظهورهما للأخذ والعطاء، فلم يكونا من العورة، ولما روي عن ابن </w:t>
      </w:r>
      <w:bookmarkStart w:id="454" w:name="pg15684_175555"/>
    </w:p>
    <w:p>
      <w:pPr>
        <w:pStyle w:val="BookText"/>
        <w:rPr/>
      </w:pPr>
      <w:bookmarkEnd w:id="454"/>
      <w:r>
        <w:rPr>
          <w:rFonts w:ascii="Amiri" w:hAnsi="Amiri" w:eastAsia="Amiri" w:cs="Amiri"/>
          <w:color w:val="111111"/>
          <w:sz w:val="28"/>
          <w:sz w:val="28"/>
          <w:szCs w:val="28"/>
          <w:rtl w:val="true"/>
          <w:lang w:bidi="ar-SA"/>
        </w:rPr>
        <w:t xml:space="preserve">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الوجه والكفان</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ولا يخفى أنّ هذه العبارة قوية جداً تدل على إجماع علماء الشيعة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الوجه والكفين ليسا بعورة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هنالك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العبارة المذكورة في الصلاة لا النكاح، فهل يظهر منها أنّ العورة الصلاتية هي العورة في غيرها؟ ففي العبارة نوع من الغموض، لا أقل من كشفها عن رأي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صاحب الرياض</w:t>
      </w:r>
      <w:r>
        <w:rPr>
          <w:rStyle w:val="FootnoteAnchor"/>
          <w:rtl w:val="true"/>
        </w:rPr>
        <w:footnoteReference w:id="905"/>
      </w:r>
      <w:r>
        <w:rPr>
          <w:rFonts w:ascii="Amiri" w:hAnsi="Amiri" w:eastAsia="Amiri" w:cs="Amiri"/>
          <w:color w:val="111111"/>
          <w:sz w:val="28"/>
          <w:sz w:val="28"/>
          <w:szCs w:val="28"/>
          <w:rtl w:val="true"/>
          <w:lang w:bidi="ar-SA"/>
        </w:rPr>
        <w:t>ندرة القول بالمنع مطلقاً، وادعى أيضاً</w:t>
      </w:r>
      <w:r>
        <w:rPr>
          <w:rStyle w:val="FootnoteAnchor"/>
          <w:rtl w:val="true"/>
        </w:rPr>
        <w:footnoteReference w:id="906"/>
      </w:r>
      <w:r>
        <w:rPr>
          <w:rFonts w:ascii="Amiri" w:hAnsi="Amiri" w:eastAsia="Amiri" w:cs="Amiri"/>
          <w:color w:val="111111"/>
          <w:sz w:val="28"/>
          <w:sz w:val="28"/>
          <w:szCs w:val="28"/>
          <w:rtl w:val="true"/>
          <w:lang w:bidi="ar-SA"/>
        </w:rPr>
        <w:t>اعتضاد أدلة القول بالجواز بالشهرة في الجملة الظاهرة والمحكية،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ذهب الأكثر إلى حلّه في الجملة أو مطلقاً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ذكر أسماء مجموعة من الفقهاء أفتوا بالجواز فراجع</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شهرة القول بالتحريم بين المتقدمين دليل من الأدلة، ويمكن أن يعارض الدليل دليل أقوى منه، كما في مسألة منزوحات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السيرة الخارجية تدل على وضوح الجواز كما سبق</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11572910_2142443653"/>
      <w:bookmarkStart w:id="456" w:name="_Toc171"/>
      <w:bookmarkEnd w:id="455"/>
      <w:r>
        <w:rPr>
          <w:rtl w:val="true"/>
        </w:rPr>
        <w:t>الدليل الرابع والعشرون</w:t>
      </w:r>
      <w:r>
        <w:rPr>
          <w:rtl w:val="true"/>
        </w:rPr>
        <w:t xml:space="preserve">: </w:t>
      </w:r>
      <w:r>
        <w:rPr>
          <w:rtl w:val="true"/>
        </w:rPr>
        <w:t>الشهرة بين القدماء</w:t>
      </w:r>
      <w:bookmarkEnd w:id="45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المسائل الفقهية،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يبعد دعوى أنّ المشهور بين </w:t>
      </w:r>
    </w:p>
    <w:p>
      <w:pPr>
        <w:pStyle w:val="BookText"/>
        <w:rPr/>
      </w:pPr>
      <w:r>
        <w:rPr>
          <w:rFonts w:ascii="Amiri" w:hAnsi="Amiri" w:eastAsia="Amiri" w:cs="Amiri"/>
          <w:color w:val="111111"/>
          <w:sz w:val="28"/>
          <w:sz w:val="28"/>
          <w:szCs w:val="28"/>
          <w:rtl w:val="true"/>
          <w:lang w:bidi="ar-SA"/>
        </w:rPr>
        <w:t xml:space="preserve">القدماء عدم الجواز، وهذا يكشف إما عن كون الأمر كان كذلك إلى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فهمهم من الأخبار ذلك، ولا يجوز لنا أن نتعدى عما فهموه؛ لأنهم أهل الاطلاع واللغة، ومن البعيد أن تخفى عليهم هذه المسألة التي هي محل الابتلاء عندهم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بعض عباراتهم،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أراد الرجل أن يعقد على امرأة فلا حرج عليه أن ينظر إلى وجهها قبل العقد، ويرى يديها بارزة من الثوب، وينظر إليها ماشية في ثيابها، وإذا أراد ابتياع أمة نظر إلى وجهها وشعر رأسها، ولا يحل له أن ينظر إلى وجه امرأة ليست له بمحرم ليتلذذ بذلك دون أن يراها للعقد عليها، ولا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أمة لا يملكها؛ للتلذذ برؤيتها من غير عزم على ذلك لابتياعها، ولا بأس بالنظر إلى وجوه نساء أهل الكتاب وشعورهن؛ لأنهن بمنزلة الإماء، ولا يجوز النظر إلى ذلك منهنّ لريبة</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غير صريحة في الفتوى بالتحريم؛ وذلك لاحتمال إرادة انتفاء جواز النظر إلى المجموع المركب عند الانتفاء، وقد سبق نظيره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ليتلذذ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بخلاف المطلوب، فإنه لو لم يكن فرق بين التلذذ وعدمه لم يكن وجه لتقييده بذلك، مع أنه كتاب فتوى، لا أقل من إجمال العبارة وغموضها، فلا يمكن نسبة الفتوى بحرمة النظر إلى </w:t>
      </w:r>
    </w:p>
    <w:p>
      <w:pPr>
        <w:pStyle w:val="BookText"/>
        <w:rPr/>
      </w:pPr>
      <w:r>
        <w:rPr>
          <w:rFonts w:ascii="Amiri" w:hAnsi="Amiri" w:eastAsia="Amiri" w:cs="Amiri"/>
          <w:color w:val="111111"/>
          <w:sz w:val="28"/>
          <w:sz w:val="28"/>
          <w:szCs w:val="28"/>
          <w:rtl w:val="true"/>
          <w:lang w:bidi="ar-SA"/>
        </w:rPr>
        <w:t>الوجه والكفين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العبارة صريحة في فتواه في التحريم، وعلى فرض كونه صريحاً لم تحصل به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نكاح امرأة جاز له أن ينظر إلى وجهها وبدنها وماشية في ثيابها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زهرة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لمن أراد نكاح امرأة أن ينظر إلى وجهها وكفيها بدليل إجماع الطائفة</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أن يملك بامرأة جاز له النظر إلى محاسنها ومشيها وجسدها فوق الثياب</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العبارات لا تدل على المدعى، حيث لا مفهوم لها، وعلى فرضه لا تدل على انعقاد الإجماع عليه، بل على الجانب الإيجابي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هنالك عبارتان تدلان على المدعى ظاهراً،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للرجل النظر إلى وجه المرأة التي يريد العقد عليها وإلى محاسنها وجسمها من فوق ثيابها، فإن لم يكن مريداً للعقد عليها لم يجز له شيء من ذلك</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للرجل الأجنبي من المرأة أن </w:t>
      </w:r>
    </w:p>
    <w:p>
      <w:pPr>
        <w:pStyle w:val="BookText"/>
        <w:rPr/>
      </w:pPr>
      <w:r>
        <w:rPr>
          <w:rFonts w:ascii="Amiri" w:hAnsi="Amiri" w:eastAsia="Amiri" w:cs="Amiri"/>
          <w:color w:val="111111"/>
          <w:sz w:val="28"/>
          <w:sz w:val="28"/>
          <w:szCs w:val="28"/>
          <w:rtl w:val="true"/>
          <w:lang w:bidi="ar-SA"/>
        </w:rPr>
        <w:t>ينظر إليها مختاراً، فأما النظر لضرورة أو حاجة فجائز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مثل أن يتحمل شهادة على امرأة فله أن ينظر وجهها من غير ريبة ليعرفها ويحققها، وكذلك لو كانت بينه وبينها معاملة أو مبايعة فيعرف وجهها ليعلم من التي يعطيها الثمن إن كانت بائعة، أو المثمن إن كانت مبتاعة، ومثل الحاكم إذا حكم عليها، فإنه يرى وجهها ليعرفها ويجليها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نظر إلى جملتها يريد أن يتزوجها فعندنا يجوز أن ينظر إلى وجهها وكفيها فحسب</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صريحاً في الإجماع، بل يحتمل إردة أنه كذلك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أنّ ظاهر كلام ابن إدريس وابن البراج دال على المدعى، وإذا ضم إليهما ما ذكره المفيد وأبو الصلاح الحلبي وابن زهرة وابن حمزة صار المجموع ستة، فهل هي ناهضة لإثبات الشهرة بين المتقدمين؟ خاصة مع ملاحظة فتوى الشيخ الطوسي بالجواز في التفسير والمبسوط والخلاف، وكذا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الفقيه الذي يعتنى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ندرة القول بالتحريم، ولم يعرف إلا عن التذكرة، وهو من المتأخرين، وقد ذهب الأكثر إلى حليته في الجملة أو مطلقاً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أنها دلت على الشهرة بين المتقدمين، ولم يكن القول الآخر مشهوراً، فتأتي المناقشات الصغروية التي مرّت في الدليل الثالث والعشرين، حيث يمكن أن يرفع اليد عنها لدليل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مسبوقة بنقل أقوال العامة أو ملحوقة به، وفي هذا المورد يكون لها ظهور في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مسبوقة بنقل أقوال الخاصة أو ملحوقة به، وفي هذا المورد تكون ظاهرة في إبداء النظر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تستعمل مجردة، وفي هذا المورد يحتمل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يثبت عندنا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المجردة حقيقة اصطلاحية خاصة، فتبقى على معناها اللغوي المحتمل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العبارات عن ابن إدريس تكشف عن استخداماته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Style w:val="FootnoteAnchor"/>
          <w:rtl w:val="true"/>
        </w:rPr>
        <w:footnoteReference w:id="917"/>
      </w:r>
      <w:r>
        <w:rPr>
          <w:rFonts w:ascii="Amiri" w:hAnsi="Amiri" w:eastAsia="Amiri" w:cs="Amiri"/>
          <w:color w:val="111111"/>
          <w:sz w:val="28"/>
          <w:sz w:val="28"/>
          <w:szCs w:val="28"/>
          <w:rtl w:val="true"/>
          <w:lang w:bidi="ar-SA"/>
        </w:rPr>
        <w:t>مخاطباً بالشرائع عندنا، وعند الأكثر من العلماء</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مذهب شيخنا المفيد محمد بن محمد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مذهب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قلنا ما عندنا في ذلك وحققناه، وهو أنها إن كانت لها عادة مستقيمة مستمرة فمذهب شيخنا أبي جعفر وقوله صحيح</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السيد المرتضى في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فاتته صلاة الكسوف وجب عليه قضاؤها، إن كان قرص المنكسف احترق كله، فإن كان إنما احترق بعضه فلا يجب عليه القضاء، وقد روي وجوب القضاء على كل </w:t>
      </w:r>
    </w:p>
    <w:p>
      <w:pPr>
        <w:pStyle w:val="BookText"/>
        <w:rPr/>
      </w:pPr>
      <w:r>
        <w:rPr>
          <w:rFonts w:ascii="Amiri" w:hAnsi="Amiri" w:eastAsia="Amiri" w:cs="Amiri"/>
          <w:color w:val="111111"/>
          <w:sz w:val="28"/>
          <w:sz w:val="28"/>
          <w:szCs w:val="28"/>
          <w:rtl w:val="true"/>
          <w:lang w:bidi="ar-SA"/>
        </w:rPr>
        <w:t>حال، والأول أظهر،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تعمد ترك هذه الصلاة وجب عليه مع القضاء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ما عندنا في ذلك من القضاء وغيره، فلا وجه لإعادته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الكلام في باب المغمى عليه، ونذكر ما عندنا في ذلك واختلاف أصحابنا فيه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يقوم به بعضهم، فيسقط عن الباقين، فقد قلنا فيما تقدم ما عندنا فيه،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إناثاً لم يلزمهن القضاء، فنعم ما قال، وذهب إليه، فإنه الصحيح من الأقوال، وذهب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خلاف ذلك</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ما عندنا في ذلك، وتكلمنا عليه قبل هذا، والذي ذهب إليه شيخنا أخيرا هو الصحيح</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العبارة التي نقلناها في المقام لم يذكر الخلاف لا قبلها ولا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فالمدعى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فلا تدل على شهرة ذلك عند القدماء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السيد الرجائي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عندنا يدل على شهرة ذلك عند الإمامية، فلا يبعد دعوى أن المشهور بين القدماء عدم الجواز</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bookmarkStart w:id="457" w:name="pg15684_175561"/>
    </w:p>
    <w:p>
      <w:pPr>
        <w:pStyle w:val="BookText"/>
        <w:rPr/>
      </w:pPr>
      <w:bookmarkEnd w:id="457"/>
      <w:r>
        <w:rPr>
          <w:rFonts w:ascii="Amiri" w:hAnsi="Amiri" w:eastAsia="Amiri" w:cs="Amiri"/>
          <w:color w:val="111111"/>
          <w:sz w:val="28"/>
          <w:sz w:val="28"/>
          <w:szCs w:val="28"/>
          <w:rtl w:val="true"/>
          <w:lang w:bidi="ar-SA"/>
        </w:rPr>
        <w:t>ثم إنه لو فرض ظهور العبارة في دعوى الشهرة عورضت بدعوى الرياض الندرة، كما تقدّم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عدم نهوضها بإثبات شهرة المتقدمين كفت دلالتها على الشهرة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الفقيه الهمداني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 ماء البئر بمجرد الملاقاة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معارضة إجماعاتهم المنقولة والشهرة المحققة بما هو أقوى منها في إفادة الوثوق، وهي الشهرة بين المتأخرين ونقل إجماعهم عليه؛ لأنّ إعراضهم عن طريقة القدماء وهدمهم ما أسسوه مع شدة اهتمامهم في تصحيح مطالب السابقين كاشف عن أنّ بنيانهم ليس على أصل أصيل</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فهنالك بحث في تعارض شهرة المتقدمين والمتأخرين، فقد ذهب البعض إلى تقديم الأول؛ لأنهم كانوا أقرب إلى عهد الروايات، وذهب آخرون إلى تقديم الثاني؛ لأنهم أدق، وقد اجتمعت الأدلة عندهم بعد أن كانت الكتب متفرقة عند المتقدمين، منتهى الأمر التكافؤ بينهما فتتعارض الشهرتان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سبق من إمكان رفع اليد عن شهرة القدماء بدليل أقوى منها</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11572912_2142443653"/>
      <w:bookmarkStart w:id="459" w:name="_Toc172"/>
      <w:bookmarkEnd w:id="458"/>
      <w:r>
        <w:rPr>
          <w:rtl w:val="true"/>
        </w:rPr>
        <w:t>الدليل الخامس والعشرون</w:t>
      </w:r>
      <w:r>
        <w:rPr>
          <w:rtl w:val="true"/>
        </w:rPr>
        <w:t xml:space="preserve">: </w:t>
      </w:r>
      <w:r>
        <w:rPr>
          <w:rtl w:val="true"/>
        </w:rPr>
        <w:t>الروايات الدالة على حبس النساء في البيوت</w:t>
      </w:r>
      <w:bookmarkEnd w:id="45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دل من الروايات على حبسهن في البيوت، ذكره في المسائل الفقهية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ضعيفة السند بأجمعها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حواء من آدم، فهمة النساء الرجال، فحصنوهن في البيوت</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مجهول بعبد اللّه بن محمّد، وهو مشترك، وعبد الرحمان بن سيابة، ولم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من الماء والطين، فهمة ابن آدم في الماء والطين، وخلق حواء من آدم، فهمة النساء في الرجال</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قطع النظر عن مشكلة التعليق فهو مرويٌّ عن الواسطي،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المرأة خلقت من الرجل، وإنما همتها في الرجال، فاحبسوا نساءكم، وإن الرجل خلق من الأرض، وإنما همته في الأرض</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السند إلا غياث بن أبي إبراهيم، وفي نسخة غياث بن </w:t>
      </w:r>
    </w:p>
    <w:p>
      <w:pPr>
        <w:pStyle w:val="BookText"/>
        <w:rPr/>
      </w:pPr>
      <w:r>
        <w:rPr>
          <w:rFonts w:ascii="Amiri" w:hAnsi="Amiri" w:eastAsia="Amiri" w:cs="Amiri"/>
          <w:color w:val="111111"/>
          <w:sz w:val="28"/>
          <w:sz w:val="28"/>
          <w:szCs w:val="28"/>
          <w:rtl w:val="true"/>
          <w:lang w:bidi="ar-SA"/>
        </w:rPr>
        <w:t>إبراهيم، وهو ثقة لكن الأوّل غير مذكور في الرجال، فهل يمكن إثبات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الرجال من الأرض وإنما همهم في الأرض، وخلقت المرأة من الرجال، وإنما همها في الرجال، احبسوا نساءكم يا معاشر الرجال</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بوهب بن وهب، وهو من أكذب البرية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أخرى في الباب تحت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وكلها إما ضعيفة أو مجهولة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دفع إشكال ضعف السند بوجود بعض الروايات المعتبرة مذكورة في أبواب أخرى تفيد هذا المعنى،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عيٌّ وعورة، فاستروا العورات بالبيوت، واستروا العي بالسكوت</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كونه حكماً أخلاقياً، ولم نرَ مَن أفتى بوجوب الحبس كما أنّ سيرة المتشرعة جارية على عدمه، فلا يستفاد منه حكم إلزامي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على لزوم منعهن من </w:t>
      </w:r>
      <w:bookmarkStart w:id="460" w:name="pg15684_175564"/>
    </w:p>
    <w:p>
      <w:pPr>
        <w:pStyle w:val="BookText"/>
        <w:rPr/>
      </w:pPr>
      <w:bookmarkEnd w:id="460"/>
      <w:r>
        <w:rPr>
          <w:rFonts w:ascii="Amiri" w:hAnsi="Amiri" w:eastAsia="Amiri" w:cs="Amiri"/>
          <w:color w:val="111111"/>
          <w:sz w:val="28"/>
          <w:sz w:val="28"/>
          <w:szCs w:val="28"/>
          <w:rtl w:val="true"/>
          <w:lang w:bidi="ar-SA"/>
        </w:rPr>
        <w:t>الخروج عن البيوت من غير ضرورة إمّا وجوباً مع خوف الفتنة، أو نظرهن إلى الرجال على تقدير حرمته، واستحباباً في غير تلك الصورة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الحبس والكشف والنظر عموماً من وجه، فالحبس لا ينافي الكشف والنظر، كما لو زار المرأة في البيت شخص أجنبي ونظر إلى وجهها، وكما لو احتوى البيت الواحد على العوائل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بين ما دل على جواز الكشف والنظر وهذه الروايات حمل هذه الروايات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جريان بعض الأجوبة المتقدمة في المقام أيضاً</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11572914_2142443653"/>
      <w:bookmarkStart w:id="462" w:name="_Toc173"/>
      <w:bookmarkEnd w:id="461"/>
      <w:r>
        <w:rPr>
          <w:rtl w:val="true"/>
        </w:rPr>
        <w:t>الدليل السادس والعشرون</w:t>
      </w:r>
      <w:r>
        <w:rPr>
          <w:rtl w:val="true"/>
        </w:rPr>
        <w:t xml:space="preserve">: </w:t>
      </w:r>
      <w:r>
        <w:rPr>
          <w:rtl w:val="true"/>
        </w:rPr>
        <w:t>الروايات الدالة على أن المرأة عورة</w:t>
      </w:r>
      <w:bookmarkEnd w:id="462"/>
    </w:p>
    <w:p>
      <w:pPr>
        <w:pStyle w:val="BookText"/>
        <w:rPr/>
      </w:pPr>
      <w:r>
        <w:rPr>
          <w:rFonts w:ascii="Amiri" w:hAnsi="Amiri" w:eastAsia="Amiri" w:cs="Amiri"/>
          <w:color w:val="111111"/>
          <w:sz w:val="28"/>
          <w:sz w:val="28"/>
          <w:szCs w:val="28"/>
          <w:rtl w:val="true"/>
          <w:lang w:bidi="ar-SA"/>
        </w:rPr>
        <w:t>ما دل من الروايات على أنّ المرأة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الكافي بسند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عي وعورة، فاستروا العورات بالبيوت، واستروا العي بالسكوت</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بسند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أبي عبد اللّه، عن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اليتيم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هن عورة</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البيان، أي لا يمكنهن التكلم بما ينبغي في أكثر المواطن، فاسعوا إلى سكوتهن لئلا يظهر منهن ما تكرهونه، فالمراد بالسكوت سكوتهن، ويحتمل أن يكون المراد سكوت الرجال المخاطبين، وعدم التكلم معهن؛ لئلا يتكلمن بما يؤذيهم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يقتضي ترتيب جميع أحكام المنزّل عليه على المنزّل، أو أظهر الأحكام، وحيث إنّ أظهر أحكام العورة وجوب الستر وحرمة النظر يجب على المرأة ستر جميع جسدها، ويحرم النظر إلى جميع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العورة في اللغة عبارة عما يستحيى منه وينبغي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عورة، وهي كل ما يستحيا منه إذا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عورة، جعلها نفسها عورة لأنها إذا ظهرت يستحيا منها كما يستحيا من العورة إذا ظهرت</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المصباح المنير</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إِنَّ بُيُوتَنَا عَوْرَةٌ وَمَا هِيَ بِعَوْرَةٍ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والأصل بقاء اللفظ على معناه اللغوي وعدم نقله إلى معنى جديد</w:t>
      </w:r>
      <w:r>
        <w:rPr>
          <w:rFonts w:eastAsia="Amiri" w:cs="Amiri" w:ascii="Amiri" w:hAnsi="Amiri"/>
          <w:color w:val="111111"/>
          <w:sz w:val="28"/>
          <w:szCs w:val="28"/>
          <w:rtl w:val="true"/>
          <w:lang w:bidi="ar-SA"/>
        </w:rPr>
        <w:t xml:space="preserve">. </w:t>
      </w:r>
      <w:bookmarkStart w:id="463" w:name="pg15684_175566"/>
    </w:p>
    <w:p>
      <w:pPr>
        <w:pStyle w:val="BookText"/>
        <w:rPr/>
      </w:pPr>
      <w:bookmarkEnd w:id="463"/>
      <w:r>
        <w:rPr>
          <w:rFonts w:ascii="Amiri" w:hAnsi="Amiri" w:eastAsia="Amiri" w:cs="Amiri"/>
          <w:color w:val="111111"/>
          <w:sz w:val="28"/>
          <w:sz w:val="28"/>
          <w:szCs w:val="28"/>
          <w:rtl w:val="true"/>
          <w:lang w:bidi="ar-SA"/>
        </w:rPr>
        <w:t>وهنالك روايات كثيرة تذكر فيها كلمة العورة بهذا المعنى مروية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 وجوب ستر كل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وقوع الاشتراك بين المعنيين لم يمكن الاستدلال بهذه الأحاديث في المقام لطروء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نقل اللفظ للمعنى الجديد، وهجر المعنى القديم فالظاهر إرادة المعنى اللغوي؛ لأنه المنساق من هذه الأخبار، ولو 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العورة وإن أريد بها معناها اللغوي لا معناها الاصطلاحي، إلا أنه ورد الأمر بسترها في الصحيحة، وإن لم يرد الأمر في الموثقة، والأمر 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النقل فظاهره التنزيل المقتضي لترتيب كل الآثار أو أظهرها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كونه حكماً أخلاقياً، فلا يستفاد منه حكم إلزامي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تخصيص هذه الروايات بأدلة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جريان بعض الأجوبة المتقدمة في المقام أيضاً</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11572916_2142443653"/>
      <w:bookmarkStart w:id="465" w:name="_Toc174"/>
      <w:bookmarkEnd w:id="464"/>
      <w:r>
        <w:rPr>
          <w:rtl w:val="true"/>
        </w:rPr>
        <w:t>الدليل السابع والعشرون</w:t>
      </w:r>
      <w:r>
        <w:rPr>
          <w:rtl w:val="true"/>
        </w:rPr>
        <w:t xml:space="preserve">: </w:t>
      </w:r>
      <w:r>
        <w:rPr>
          <w:rtl w:val="true"/>
        </w:rPr>
        <w:t>الروايات الدالة على وجوب الستر حال الإحرام</w:t>
      </w:r>
      <w:bookmarkEnd w:id="46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دل على وجوب الستر في حالة الإحرام، استدل بذلك في المسائل الفقهية</w:t>
      </w:r>
      <w:r>
        <w:rPr>
          <w:rStyle w:val="FootnoteAnchor"/>
          <w:rtl w:val="true"/>
        </w:rPr>
        <w:footnoteReference w:id="943"/>
      </w:r>
      <w:r>
        <w:rPr>
          <w:rFonts w:ascii="Amiri" w:hAnsi="Amiri" w:eastAsia="Amiri" w:cs="Amiri"/>
          <w:color w:val="111111"/>
          <w:sz w:val="28"/>
          <w:sz w:val="28"/>
          <w:szCs w:val="28"/>
          <w:rtl w:val="true"/>
          <w:lang w:bidi="ar-SA"/>
        </w:rPr>
        <w:t xml:space="preserve">،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المحرمة تسدل الثوب على وجهها إلى </w:t>
      </w:r>
      <w:bookmarkStart w:id="466" w:name="pg15684_175567"/>
    </w:p>
    <w:p>
      <w:pPr>
        <w:pStyle w:val="BookText"/>
        <w:rPr/>
      </w:pPr>
      <w:bookmarkEnd w:id="466"/>
      <w:r>
        <w:rPr>
          <w:rFonts w:ascii="IRNazanin" w:hAnsi="IRNazanin" w:eastAsia="IRNazanin"/>
          <w:color w:val="111111"/>
          <w:sz w:val="28"/>
          <w:sz w:val="28"/>
          <w:szCs w:val="28"/>
          <w:rtl w:val="true"/>
          <w:lang w:bidi="fa-IR"/>
        </w:rPr>
        <w:t>الذقن</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فتفيد الوجوب على المعروف</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وردت في مقام توهم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الإشكال في الجواب بأنه وإن تمَّ في بعض روايات الباب لا يتم في بعضها الآخر، مثل ما رواه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المحرمة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مرّ بها رجل استترت منه بثوبها، ولا تستتر بيدها من الشمس</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تأتّي الجواب السابق يمكن حمله على الأفضلية بقرينة الأدلة المجوزة،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جريان بعض الأجوبة المتقدمة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بعض الكلام في ذلك</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11572918_2142443653"/>
      <w:bookmarkStart w:id="468" w:name="_Toc175"/>
      <w:bookmarkEnd w:id="467"/>
      <w:r>
        <w:rPr>
          <w:rtl w:val="true"/>
        </w:rPr>
        <w:t>الدليل الثامن والعشرون</w:t>
      </w:r>
      <w:r>
        <w:rPr>
          <w:rtl w:val="true"/>
        </w:rPr>
        <w:t xml:space="preserve">: </w:t>
      </w:r>
      <w:r>
        <w:rPr>
          <w:rtl w:val="true"/>
        </w:rPr>
        <w:t>الوجدان</w:t>
      </w:r>
      <w:bookmarkEnd w:id="46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من رجع إلى وجدان كل ذي غيرة من العقلاء الذين يعتنون بعرضهم من جميع أرباب الملل والأديان يجد في فطرة </w:t>
      </w:r>
      <w:bookmarkStart w:id="469" w:name="pg15684_175568"/>
    </w:p>
    <w:p>
      <w:pPr>
        <w:pStyle w:val="BookText"/>
        <w:rPr/>
      </w:pPr>
      <w:bookmarkEnd w:id="469"/>
      <w:r>
        <w:rPr>
          <w:rFonts w:ascii="Amiri" w:hAnsi="Amiri" w:eastAsia="Amiri" w:cs="Amiri"/>
          <w:color w:val="111111"/>
          <w:sz w:val="28"/>
          <w:sz w:val="28"/>
          <w:szCs w:val="28"/>
          <w:rtl w:val="true"/>
          <w:lang w:bidi="ar-SA"/>
        </w:rPr>
        <w:t>عقولهم أصالة العورتية في المرأة مطلقاً، إلا ما نصت الشريعة المقدسة على الخلاف، واللّه جلّ جلاله غيور، ومن غيرته أنه حرم الفواحش كما في الحديث، فأصالة الستر في النساء وجداني لكل ذي فطرة سليمة، يرجع إلى فطرته مع التفاته إلى تحفظ العرض، وهذا الأصل الفطري يكفي في اعتباره عدم ثبوت الردع عنه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إصالة العورتية باعتبار اللوازم، أو باعتبار معرضية النظر للفتنة والفساد، لا باعتبار ذاته، مع أنّ هذا الملاك يمكن أن يكون مزاحماً عند العقلاء بملاك مساوٍ أو أقوى،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ثبوت الردع عن هذا الأصل بالأدلة السابقة</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1572920_2142443653"/>
      <w:bookmarkStart w:id="471" w:name="_Toc176"/>
      <w:bookmarkEnd w:id="470"/>
      <w:r>
        <w:rPr>
          <w:rtl w:val="true"/>
        </w:rPr>
        <w:t>القول الثالث</w:t>
      </w:r>
      <w:r>
        <w:rPr>
          <w:rtl w:val="true"/>
        </w:rPr>
        <w:t xml:space="preserve">: </w:t>
      </w:r>
      <w:r>
        <w:rPr>
          <w:rtl w:val="true"/>
        </w:rPr>
        <w:t>التفصيل بين النظرة الأولى وغيرها</w:t>
      </w:r>
      <w:bookmarkEnd w:id="471"/>
    </w:p>
    <w:p>
      <w:pPr>
        <w:pStyle w:val="Heading6"/>
        <w:numPr>
          <w:ilvl w:val="5"/>
          <w:numId w:val="1"/>
        </w:numPr>
        <w:rPr/>
      </w:pPr>
      <w:bookmarkStart w:id="472" w:name="__RefHeading___Toc11572922_2142443653"/>
      <w:bookmarkStart w:id="473" w:name="_Toc177"/>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التفصيل بين النظرة الأولى فتجوز، وغيرها فلا تجوز، وهو اختيار المحقق الحلي في الشرائع</w:t>
      </w:r>
      <w:r>
        <w:rPr>
          <w:rStyle w:val="FootnoteAnchor"/>
          <w:rtl w:val="true"/>
        </w:rPr>
        <w:footnoteReference w:id="949"/>
      </w:r>
      <w:r>
        <w:rPr>
          <w:rFonts w:ascii="Amiri" w:hAnsi="Amiri" w:eastAsia="Amiri" w:cs="Amiri"/>
          <w:color w:val="111111"/>
          <w:sz w:val="28"/>
          <w:sz w:val="28"/>
          <w:szCs w:val="28"/>
          <w:rtl w:val="true"/>
          <w:lang w:bidi="ar-SA"/>
        </w:rPr>
        <w:t>، والعلامة في أكثر كتبه</w:t>
      </w:r>
      <w:r>
        <w:rPr>
          <w:rStyle w:val="FootnoteAnchor"/>
          <w:rtl w:val="true"/>
        </w:rPr>
        <w:footnoteReference w:id="950"/>
      </w:r>
      <w:r>
        <w:rPr>
          <w:rFonts w:ascii="Amiri" w:hAnsi="Amiri" w:eastAsia="Amiri" w:cs="Amiri"/>
          <w:color w:val="111111"/>
          <w:sz w:val="28"/>
          <w:sz w:val="28"/>
          <w:szCs w:val="28"/>
          <w:rtl w:val="true"/>
          <w:lang w:bidi="ar-SA"/>
        </w:rPr>
        <w:t>، والشهيدين في اللمعة والروضة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4" w:name="__RefHeading___Toc11572924_2142443653"/>
      <w:bookmarkStart w:id="475" w:name="_Toc178"/>
      <w:bookmarkEnd w:id="474"/>
      <w:r>
        <w:rPr>
          <w:rtl w:val="true"/>
        </w:rPr>
        <w:t>أدلة القول الثالث</w:t>
      </w:r>
      <w:bookmarkEnd w:id="475"/>
    </w:p>
    <w:p>
      <w:pPr>
        <w:pStyle w:val="Heading6"/>
        <w:numPr>
          <w:ilvl w:val="5"/>
          <w:numId w:val="1"/>
        </w:numPr>
        <w:rPr/>
      </w:pPr>
      <w:bookmarkStart w:id="476" w:name="__RefHeading___Toc11572926_2142443653"/>
      <w:bookmarkStart w:id="477" w:name="_Toc179"/>
      <w:bookmarkEnd w:id="476"/>
      <w:r>
        <w:rPr>
          <w:rtl w:val="true"/>
        </w:rPr>
        <w:t>اشارة</w:t>
      </w:r>
      <w:bookmarkEnd w:id="47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هذا القول بأدلة</w:t>
      </w:r>
      <w:r>
        <w:rPr>
          <w:rFonts w:eastAsia="Amiri" w:cs="Amiri" w:ascii="Amiri" w:hAnsi="Amiri"/>
          <w:color w:val="111111"/>
          <w:sz w:val="28"/>
          <w:szCs w:val="28"/>
          <w:rtl w:val="true"/>
          <w:lang w:bidi="ar-SA"/>
        </w:rPr>
        <w:t xml:space="preserve">: </w:t>
      </w:r>
      <w:bookmarkStart w:id="478" w:name="pg15684_175569"/>
    </w:p>
    <w:p>
      <w:pPr>
        <w:pStyle w:val="Heading6"/>
        <w:numPr>
          <w:ilvl w:val="5"/>
          <w:numId w:val="1"/>
        </w:numPr>
        <w:rPr/>
      </w:pPr>
      <w:bookmarkStart w:id="479" w:name="__RefHeading___Toc11572928_2142443653"/>
      <w:bookmarkStart w:id="480" w:name="_Toc180"/>
      <w:bookmarkEnd w:id="478"/>
      <w:bookmarkEnd w:id="479"/>
      <w:r>
        <w:rPr>
          <w:rtl w:val="true"/>
        </w:rPr>
        <w:t>الدليل الأول</w:t>
      </w:r>
      <w:r>
        <w:rPr>
          <w:rtl w:val="true"/>
        </w:rPr>
        <w:t xml:space="preserve">: </w:t>
      </w:r>
      <w:r>
        <w:rPr>
          <w:rtl w:val="true"/>
        </w:rPr>
        <w:t>المنساق من أدلة الجواز هو المرة الأولى</w:t>
      </w:r>
      <w:bookmarkEnd w:id="480"/>
    </w:p>
    <w:p>
      <w:pPr>
        <w:pStyle w:val="BookText"/>
        <w:rPr/>
      </w:pPr>
      <w:r>
        <w:rPr>
          <w:rFonts w:ascii="Amiri" w:hAnsi="Amiri" w:eastAsia="Amiri" w:cs="Amiri"/>
          <w:color w:val="111111"/>
          <w:sz w:val="28"/>
          <w:sz w:val="28"/>
          <w:szCs w:val="28"/>
          <w:rtl w:val="true"/>
          <w:lang w:bidi="ar-SA"/>
        </w:rPr>
        <w:t>ما ذكره في المهذب،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المنساق من أدلة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هو المرة الأولى دون غيرها</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لمكان الإطلاق في تلك الأدلة</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1572930_2142443653"/>
      <w:bookmarkStart w:id="482" w:name="_Toc181"/>
      <w:bookmarkEnd w:id="481"/>
      <w:r>
        <w:rPr>
          <w:rtl w:val="true"/>
        </w:rPr>
        <w:t>الدليل الثاني</w:t>
      </w:r>
      <w:r>
        <w:rPr>
          <w:rtl w:val="true"/>
        </w:rPr>
        <w:t xml:space="preserve">: </w:t>
      </w:r>
      <w:r>
        <w:rPr>
          <w:rtl w:val="true"/>
        </w:rPr>
        <w:t>استنكار المتشرعة للمرة الثانية</w:t>
      </w:r>
      <w:bookmarkEnd w:id="482"/>
    </w:p>
    <w:p>
      <w:pPr>
        <w:pStyle w:val="BookText"/>
        <w:rPr/>
      </w:pPr>
      <w:r>
        <w:rPr>
          <w:rFonts w:ascii="Amiri" w:hAnsi="Amiri" w:eastAsia="Amiri" w:cs="Amiri"/>
          <w:color w:val="111111"/>
          <w:sz w:val="28"/>
          <w:sz w:val="28"/>
          <w:szCs w:val="28"/>
          <w:rtl w:val="true"/>
          <w:lang w:bidi="ar-SA"/>
        </w:rPr>
        <w:t>ما ذكره فيه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له استنكار المتشرعة للأولى فضلاً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حتّى الفساق يستنكرون ذلك من أهل الإيمان والدين، فضلاً عن المتشرعات والمتشرعين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الاستنكار للوازم ونحوها على ما تقدم</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1572932_2142443653"/>
      <w:bookmarkStart w:id="484" w:name="_Toc182"/>
      <w:bookmarkEnd w:id="483"/>
      <w:r>
        <w:rPr>
          <w:rtl w:val="true"/>
        </w:rPr>
        <w:t>الدليل الثالث</w:t>
      </w:r>
      <w:r>
        <w:rPr>
          <w:rtl w:val="true"/>
        </w:rPr>
        <w:t xml:space="preserve">: </w:t>
      </w:r>
      <w:r>
        <w:rPr>
          <w:rtl w:val="true"/>
        </w:rPr>
        <w:t>الروايات الواردة في جواز النظرة الأولى</w:t>
      </w:r>
      <w:bookmarkEnd w:id="484"/>
    </w:p>
    <w:p>
      <w:pPr>
        <w:pStyle w:val="BookText"/>
        <w:rPr/>
      </w:pPr>
      <w:r>
        <w:rPr>
          <w:rFonts w:ascii="Amiri" w:hAnsi="Amiri" w:eastAsia="Amiri" w:cs="Amiri"/>
          <w:color w:val="111111"/>
          <w:sz w:val="28"/>
          <w:sz w:val="28"/>
          <w:szCs w:val="28"/>
          <w:rtl w:val="true"/>
          <w:lang w:bidi="ar-SA"/>
        </w:rPr>
        <w:t>الروايات الواردة في المقام، وهذا 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نظرة لك والثانية عليك ولا لك، والثالثة فيها الهلاك</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مرسلة فينطبق عليها البحث في مراسيل الصدوق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نظر إلى امرأة فرفع بصره إلى السماء، أو غمض بصره لم يرتد إليه بصره حتّى يزوجه اللّه من الحور </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يرتد إليه طرفه حتّى يعقبه اللّه إيماناً يجد طعمه</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مرسلتان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لا تتبع النظرة النظرة، فليس لك يا علي إلا أول نظرة</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بعض المجاهيل، كعبد اللّه بن محمّد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أول النظرة لك والثانية عليك لا لك</w:t>
      </w:r>
      <w:r>
        <w:rPr>
          <w:rFonts w:eastAsia="IRNazanin" w:cs="IRNazanin"/>
          <w:color w:val="111111"/>
          <w:sz w:val="28"/>
          <w:szCs w:val="28"/>
          <w:rtl w:val="true"/>
          <w:lang w:bidi="fa-IR"/>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لك كنز في الجنة وأنت ذو قرنيها، فلا تتبع النظرة النظرة، فإنّ لك الأولى وليست لك الأخيرة</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بعض المجاهيل، كالحسين بن أحمد العدل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أول نظرة إلى المرأة، فلا تتبعوها بنظرة أخرى، </w:t>
      </w:r>
    </w:p>
    <w:p>
      <w:pPr>
        <w:pStyle w:val="BookText"/>
        <w:rPr/>
      </w:pPr>
      <w:r>
        <w:rPr>
          <w:rFonts w:ascii="Amiri" w:hAnsi="Amiri" w:eastAsia="Amiri" w:cs="Amiri"/>
          <w:color w:val="111111"/>
          <w:sz w:val="28"/>
          <w:sz w:val="28"/>
          <w:szCs w:val="28"/>
          <w:rtl w:val="true"/>
          <w:lang w:bidi="ar-SA"/>
        </w:rPr>
        <w:t>واحذروا الفتنة</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سندها القاسم بن يحيى والحسن بن راشد، ولم يوثقا صريحاً، ولكنهما يوجدان في أسناد كامل الزيارات، فمَن اعتبر وثاقة كل مَن ورد اسمه في أسناده فيوثقان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هنالك طرق لتصحيح الطريق ذكرها السيد العم حفظه اللّه في بيان الأصول</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مهم جداً وذو بركات كثيرة، لكن في السند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قيده اللّه سبحانه بالنظرة الواحدة؛ لأنّ النظرة الواحدة لا توجب الخطأ إلا بعد النظرة الثانية، بدلالة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أول النظرة لك والثانية عليك لا لك</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رواية صحيحة أو حسنة،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ابن أبي عمير</w:t>
      </w:r>
      <w:r>
        <w:rPr>
          <w:rStyle w:val="FootnoteAnchor"/>
          <w:rtl w:val="true"/>
        </w:rPr>
        <w:footnoteReference w:id="964"/>
      </w:r>
      <w:r>
        <w:rPr>
          <w:rFonts w:ascii="Amiri" w:hAnsi="Amiri" w:eastAsia="Amiri" w:cs="Amiri"/>
          <w:color w:val="111111"/>
          <w:sz w:val="28"/>
          <w:sz w:val="28"/>
          <w:szCs w:val="28"/>
          <w:rtl w:val="true"/>
          <w:lang w:bidi="ar-SA"/>
        </w:rPr>
        <w:t>، عن الكاهلي</w:t>
      </w:r>
      <w:r>
        <w:rPr>
          <w:rStyle w:val="FootnoteAnchor"/>
          <w:rtl w:val="true"/>
        </w:rPr>
        <w:footnoteReference w:id="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النظرة بعد </w:t>
      </w:r>
    </w:p>
    <w:p>
      <w:pPr>
        <w:pStyle w:val="BookText"/>
        <w:rPr/>
      </w:pPr>
      <w:r>
        <w:rPr>
          <w:rFonts w:ascii="Amiri" w:hAnsi="Amiri" w:eastAsia="Amiri" w:cs="Amiri"/>
          <w:color w:val="111111"/>
          <w:sz w:val="28"/>
          <w:sz w:val="28"/>
          <w:szCs w:val="28"/>
          <w:rtl w:val="true"/>
          <w:lang w:bidi="ar-SA"/>
        </w:rPr>
        <w:t>النظرة تزرع في القلب الشهوة، وكفى بها لصاحبها فتنة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الإشكالات على الدليل الثالث</w:t>
      </w:r>
    </w:p>
    <w:p>
      <w:pPr>
        <w:pStyle w:val="BookText"/>
        <w:rPr/>
      </w:pPr>
      <w:r>
        <w:rPr>
          <w:rFonts w:ascii="Amiri" w:hAnsi="Amiri" w:eastAsia="Amiri" w:cs="Amiri"/>
          <w:color w:val="111111"/>
          <w:sz w:val="28"/>
          <w:sz w:val="28"/>
          <w:szCs w:val="28"/>
          <w:rtl w:val="true"/>
          <w:lang w:bidi="ar-SA"/>
        </w:rPr>
        <w:t>ويرد على الاستدلال بهذه الروايات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النظرة الاتفاقية والمقصودة</w:t>
      </w:r>
    </w:p>
    <w:p>
      <w:pPr>
        <w:pStyle w:val="BookText"/>
        <w:rPr/>
      </w:pPr>
      <w:r>
        <w:rPr>
          <w:rFonts w:ascii="Amiri" w:hAnsi="Amiri" w:eastAsia="Amiri" w:cs="Amiri"/>
          <w:color w:val="111111"/>
          <w:sz w:val="28"/>
          <w:sz w:val="28"/>
          <w:szCs w:val="28"/>
          <w:rtl w:val="true"/>
          <w:lang w:bidi="ar-SA"/>
        </w:rPr>
        <w:t>إنّ الظاهر من هذه الروايات هو أنها بصدد الفرق بين النظرة الأولى والثانية، من حيث إنّ الأولى اتفاقية والثانية مقصودة، فتحرم الثانية دون الأولى، لا إنها بصدد الفرق بين الأولى والثانية من حيث العدد، فلا تدل على جواز النظرة الأولى إذا كانت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ذلك المحدث البحراني</w:t>
      </w:r>
      <w:r>
        <w:rPr>
          <w:rStyle w:val="FootnoteAnchor"/>
          <w:rtl w:val="true"/>
        </w:rPr>
        <w:footnoteReference w:id="967"/>
      </w:r>
      <w:r>
        <w:rPr>
          <w:rFonts w:ascii="Amiri" w:hAnsi="Amiri" w:eastAsia="Amiri" w:cs="Amiri"/>
          <w:color w:val="111111"/>
          <w:sz w:val="28"/>
          <w:sz w:val="28"/>
          <w:szCs w:val="28"/>
          <w:rtl w:val="true"/>
          <w:lang w:bidi="ar-SA"/>
        </w:rPr>
        <w:t>والسيد الحكيم</w:t>
      </w:r>
      <w:r>
        <w:rPr>
          <w:rStyle w:val="FootnoteAnchor"/>
          <w:rtl w:val="true"/>
        </w:rPr>
        <w:footnoteReference w:id="968"/>
      </w:r>
      <w:r>
        <w:rPr>
          <w:rFonts w:ascii="Amiri" w:hAnsi="Amiri" w:eastAsia="Amiri" w:cs="Amiri"/>
          <w:color w:val="111111"/>
          <w:sz w:val="28"/>
          <w:sz w:val="28"/>
          <w:szCs w:val="28"/>
          <w:rtl w:val="true"/>
          <w:lang w:bidi="ar-SA"/>
        </w:rPr>
        <w:t>والسيد الخوئي</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ظهورها في إرادة النهي عن إتباع النظر الاتفاقي بالنظر العمدي كما هو الواقع غالباً</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النظرة فيها مجملة، فلعل المراد من النظرة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الاتفاقية</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الروايات المفصلة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معظم الروايات الدالة على التفصيل المذكور ضعيفة السند، والمعتبرة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التفصيل المذكور؛ إذ إنها بينت الآثار المرتبة على النظرة الثانية، ولم تبين حكم النظرة الأولى من حيث الحلية والحرمة، فلعلها محرمة أيضاً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الكبائر يؤدي إلى سوء العاقبة، فإنه لا يدل على جواز ارتكاب الكبيرة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متواترة بالتواتر المعنوي أو الإجمالي، وهي بمجموعها تدل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باعتبار رواية الخصال، أو يقال بتكفل العمومات أو أصالة البراءة لحلّية النظرة الأولى،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العقل للتفصيل بين النظرة الأولى والثانية</w:t>
      </w:r>
    </w:p>
    <w:p>
      <w:pPr>
        <w:pStyle w:val="BookText"/>
        <w:rPr/>
      </w:pPr>
      <w:r>
        <w:rPr>
          <w:rFonts w:ascii="Amiri" w:hAnsi="Amiri" w:eastAsia="Amiri" w:cs="Amiri"/>
          <w:color w:val="111111"/>
          <w:sz w:val="28"/>
          <w:sz w:val="28"/>
          <w:szCs w:val="28"/>
          <w:rtl w:val="true"/>
          <w:lang w:bidi="ar-SA"/>
        </w:rPr>
        <w:t xml:space="preserve">وهو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التفصيل بين الأولى والثانية بلحاظ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الالتزام بالجواز في النظرة الأُولى بما هي نظرة أولى حتى ولو كانت اختيارية، وعدم الجواز في الثانية بما هي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يقبله العقل السليم</w:t>
      </w:r>
      <w:r>
        <w:rPr>
          <w:rStyle w:val="FootnoteAnchor"/>
          <w:rtl w:val="true"/>
        </w:rPr>
        <w:footnoteReference w:id="972"/>
      </w:r>
      <w:r>
        <w:rPr>
          <w:rFonts w:ascii="Amiri" w:hAnsi="Amiri" w:eastAsia="Amiri" w:cs="Amiri"/>
          <w:color w:val="111111"/>
          <w:sz w:val="28"/>
          <w:sz w:val="28"/>
          <w:szCs w:val="28"/>
          <w:rtl w:val="true"/>
          <w:lang w:bidi="ar-SA"/>
        </w:rPr>
        <w:t>، حيث يرد التشكيك في النظرة الأولى من حيث مدتها وفترة صدقها، وذلك بمعنى أنه إلى متى يجوز الاستمرار في النظرة الأولى؟ وهل يجوز النظر لمدة خمس دقائق مستمراً، في حين لا يجوز إعادة النظر ولو لأقل من دقيقة؛ لأنه من النظرة الثانية؟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هي الفترة التي لا بد أن تمضي لتصدق ثانياً النظرة الأولى؟ وهل </w:t>
      </w:r>
    </w:p>
    <w:p>
      <w:pPr>
        <w:pStyle w:val="BookText"/>
        <w:rPr/>
      </w:pPr>
      <w:r>
        <w:rPr>
          <w:rFonts w:ascii="Amiri" w:hAnsi="Amiri" w:eastAsia="Amiri" w:cs="Amiri"/>
          <w:color w:val="111111"/>
          <w:sz w:val="28"/>
          <w:sz w:val="28"/>
          <w:szCs w:val="28"/>
          <w:rtl w:val="true"/>
          <w:lang w:bidi="ar-SA"/>
        </w:rPr>
        <w:t>إذا نظر إلى المرأة فلا يجوز له النظر إليها ثانياً ما دام حياً؛ لأنه من النظرة الثانية، أو يكون المعيار في كونها من النظرة الأولى أو الثانية باليوم الواحد، فتعتبر النظرة الواقعة في الثاني النظرة الأولى أيضاً، أو أنه بالساعة أو الشهر أو السنة؟</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يبعد كون الاستمرار في النظر في حكم معاودة النظر بالملاك العرفي، ونحوه ما ذكروه فيما يعتبر في طهره الغسل مرتين، حيث ذهب جملة من الفقهاء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الذكرى والمحقق اليزدي في العروة والسيد الوالد في الفقه إلى أنّ دوام الصب في حكم الغسلة الثانية</w:t>
      </w:r>
      <w:r>
        <w:rPr>
          <w:rStyle w:val="FootnoteAnchor"/>
          <w:rtl w:val="true"/>
        </w:rPr>
        <w:footnoteReference w:id="974"/>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المراد بالنظرة الثانية هو الاستمرار على النظرة والمداومة بعد النظرة الأولى، التي حصلت اتفاقاً، وكذا الثالثة، وهي طول النظر زيادة على ذلك، واحتمال صرف بصره ثم عوده يمكن أيضاً</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لا يخلو عن نظر؛ لعدم صدق الثانية على الاستمرار في النظرة، إلا أن يستفاد الملاك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الفترة التي لا بد من مضيها لتصدق ثانياً النظرة الأولى فالملاك فيها العرف، كما هو الشأن في سائر الألفاظ الواردة في الروايات الشريفة، ولا يبعد عدم صدق الأولى ثانياً مع وحدة المجلس،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الجواهر شارحاً لكلام صاحب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معاودة النظر في مجلس واحد، بل ولا إطالته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نضايق عن وجود مصاديق مشتبهة، كما هو الشأن في كثير من المفاهيم، بل حتّى مفهوم الماء الذي هو من أوضح المفاهيم العرفية لا يخلو من وجود مصاديق مشتبهة، كالمياه الزاجية والكبريتية مثلاً، وحينئذٍ يكون المرجع الأصول العملية مع فقد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معللة فيدور الحكم مدارها</w:t>
      </w:r>
    </w:p>
    <w:p>
      <w:pPr>
        <w:pStyle w:val="BookText"/>
        <w:rPr/>
      </w:pPr>
      <w:r>
        <w:rPr>
          <w:rFonts w:ascii="Amiri" w:hAnsi="Amiri" w:eastAsia="Amiri" w:cs="Amiri"/>
          <w:color w:val="111111"/>
          <w:sz w:val="28"/>
          <w:sz w:val="28"/>
          <w:szCs w:val="28"/>
          <w:rtl w:val="true"/>
          <w:lang w:bidi="ar-SA"/>
        </w:rPr>
        <w:t>إنّ الروايات معللة بزرع الشهوة في القلب والفتنة والوقوع في الخطأ، فيدور الحكم مدارها، فمع العلم أو الاطمئنان بانتفائها ينتفي الحكم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المطلقة تقيد بالمقيدة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بقرينة الأخيرتين</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المسبب للفتنة محظور</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على الكراهة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الروايات محمولة على الكراهة بقرينة الروايات المجوزة، التي </w:t>
      </w:r>
    </w:p>
    <w:p>
      <w:pPr>
        <w:pStyle w:val="BookText"/>
        <w:rPr/>
      </w:pPr>
      <w:r>
        <w:rPr>
          <w:rFonts w:ascii="Amiri" w:hAnsi="Amiri" w:eastAsia="Amiri" w:cs="Amiri"/>
          <w:color w:val="111111"/>
          <w:sz w:val="28"/>
          <w:sz w:val="28"/>
          <w:szCs w:val="28"/>
          <w:rtl w:val="true"/>
          <w:lang w:bidi="ar-SA"/>
        </w:rPr>
        <w:t>لا يمكن فيها التفصيل بين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لإمكان تقييد الروايات المجوزة بكون النظرة فيها أولى، ومعه لا تصل النوبة إلى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الأدلة الدالة على الجواز آبية عن التقييد بالنظرة الأولى، كالسيرة مثلاً، وكذا بعض الروايات المجوزة، كصحيحة علي بن سويد،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هذه الروايات وبين أدلة جواز النظر إلى الوجه والكفين</w:t>
      </w:r>
    </w:p>
    <w:p>
      <w:pPr>
        <w:pStyle w:val="BookText"/>
        <w:rPr/>
      </w:pPr>
      <w:r>
        <w:rPr>
          <w:rFonts w:ascii="Amiri" w:hAnsi="Amiri" w:eastAsia="Amiri" w:cs="Amiri"/>
          <w:color w:val="111111"/>
          <w:sz w:val="28"/>
          <w:sz w:val="28"/>
          <w:szCs w:val="28"/>
          <w:rtl w:val="true"/>
          <w:lang w:bidi="ar-SA"/>
        </w:rPr>
        <w:t>إنّ الروايات الدالة على حرمة النظرة الثانية معارضة بالعموم من وجه، مع أدلة جواز النظر إلى الوجه والكفين في مورد اجتماع الدليلين،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والكفين في النظرة الثانية، مع افتراق الأولى في سائر البدن في الثانية، وافتراق الأخيرة في الوجه والكفين في الأولى، وحينئذٍ يتساقط الدليلان في مورد الاجتماع، ويكون المرجع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عليه لا يبقى مورد لهذه الروايات المفصلة بين النظرة الأولى والثانية؛ إذ لا شك في حرمة النظر إلى سائر البدن ولو بالنظرة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صراحة الروايات في التحريم</w:t>
      </w:r>
    </w:p>
    <w:p>
      <w:pPr>
        <w:pStyle w:val="BookText"/>
        <w:rPr/>
      </w:pPr>
      <w:r>
        <w:rPr>
          <w:rFonts w:ascii="Amiri" w:hAnsi="Amiri" w:eastAsia="Amiri" w:cs="Amiri"/>
          <w:color w:val="111111"/>
          <w:sz w:val="28"/>
          <w:sz w:val="28"/>
          <w:szCs w:val="28"/>
          <w:rtl w:val="true"/>
          <w:lang w:bidi="ar-SA"/>
        </w:rPr>
        <w:t>وهو ما ذكره في المستند</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قاصرة الدلالة</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485" w:name="pg15684_175577"/>
    </w:p>
    <w:p>
      <w:pPr>
        <w:pStyle w:val="BookText"/>
        <w:rPr/>
      </w:pPr>
      <w:bookmarkEnd w:id="485"/>
      <w:r>
        <w:rPr>
          <w:rFonts w:ascii="Amiri" w:hAnsi="Amiri" w:eastAsia="Amiri" w:cs="Amiri"/>
          <w:color w:val="111111"/>
          <w:sz w:val="28"/>
          <w:sz w:val="28"/>
          <w:szCs w:val="28"/>
          <w:rtl w:val="true"/>
          <w:lang w:bidi="ar-SA"/>
        </w:rPr>
        <w:t>وفيه نظر، إذ بعضها وإن كان قاصر الدلالة، إلا أنّ بعضها الآخر تضمن النهي، أو كون النظرة الثانية عليك، أو ليست لك إلا الأولى، وهذه العبارات ظاهرة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التحريم؛ إذ لم يثبت كون مطلق الشهوة والفتنة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باعتبار رواية الخصال كان ظاهر ما تضمنه من النهي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واحذورا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بالعلية، فيدور الأمر مدار خوف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قيل بتواتر الروايات معنى 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قيل بحرمة إثارة الشهوة مطلقاً بالأجنبية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يكون معلّلاً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المتعلق</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مجملة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لظهورها في النظر إلى المرأة، مع صراحة بعضها في كون المقصود ذلك، كرواية الخصال</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الفقهاء، فتأمّل</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11572934_2142443653"/>
      <w:bookmarkStart w:id="487" w:name="_Toc183"/>
      <w:bookmarkEnd w:id="486"/>
      <w:r>
        <w:rPr>
          <w:rtl w:val="true"/>
        </w:rPr>
        <w:t>الدليل الرابع</w:t>
      </w:r>
      <w:r>
        <w:rPr>
          <w:rtl w:val="true"/>
        </w:rPr>
        <w:t xml:space="preserve">: </w:t>
      </w:r>
      <w:r>
        <w:rPr>
          <w:rtl w:val="true"/>
        </w:rPr>
        <w:t>كون النظرة الثانية مظنة الفتنة</w:t>
      </w:r>
      <w:bookmarkEnd w:id="48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النظرة الثانية مظنة الفتنة، لأنّ شأنها أن يحدث عنها الميل القلبي وتترتب عليه الفتنة</w:t>
      </w:r>
      <w:r>
        <w:rPr>
          <w:rFonts w:eastAsia="Amiri" w:cs="Amiri" w:ascii="Amiri" w:hAnsi="Amiri"/>
          <w:color w:val="111111"/>
          <w:sz w:val="28"/>
          <w:szCs w:val="28"/>
          <w:rtl w:val="true"/>
          <w:lang w:bidi="ar-SA"/>
        </w:rPr>
        <w:t xml:space="preserve">. </w:t>
      </w:r>
      <w:bookmarkStart w:id="488" w:name="pg15684_175578"/>
    </w:p>
    <w:p>
      <w:pPr>
        <w:pStyle w:val="BookText"/>
        <w:rPr/>
      </w:pPr>
      <w:bookmarkEnd w:id="488"/>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النظر مشروط بعدم خوف الفتنة، كما سيأتي قريباً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1572936_2142443653"/>
      <w:bookmarkStart w:id="490" w:name="_Toc184"/>
      <w:bookmarkEnd w:id="489"/>
      <w:r>
        <w:rPr>
          <w:rtl w:val="true"/>
        </w:rPr>
        <w:t>الدليل الخامس</w:t>
      </w:r>
      <w:r>
        <w:rPr>
          <w:rtl w:val="true"/>
        </w:rPr>
        <w:t xml:space="preserve">: </w:t>
      </w:r>
      <w:r>
        <w:rPr>
          <w:rtl w:val="true"/>
        </w:rPr>
        <w:t>مقتضى الجمع بين أدلة القولين هو التفصيل</w:t>
      </w:r>
      <w:bookmarkEnd w:id="490"/>
    </w:p>
    <w:p>
      <w:pPr>
        <w:pStyle w:val="BookText"/>
        <w:rPr/>
      </w:pPr>
      <w:r>
        <w:rPr>
          <w:rFonts w:ascii="Amiri" w:hAnsi="Amiri" w:eastAsia="Amiri" w:cs="Amiri"/>
          <w:color w:val="111111"/>
          <w:sz w:val="28"/>
          <w:sz w:val="28"/>
          <w:szCs w:val="28"/>
          <w:rtl w:val="true"/>
          <w:lang w:bidi="ar-SA"/>
        </w:rPr>
        <w:t>إنّ التفصيل بين النظرة الأولى والثانية هو مقتضى الجمع بين أدلة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تبرعي لا شاهد له، وأولى منه الجمع بالحمل على الكراهة، فإنه جمع عرفي، وهو الشأن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هذه الإيرادات ونحوها اعتبر صاحب الجواهر هذا القول أضعف قول في المسألة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يحتمل كون مراد المفصلين التفصيل بين النظرة الاتفاقية وغيرها،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الاستمرار في النظر</w:t>
      </w:r>
    </w:p>
    <w:p>
      <w:pPr>
        <w:pStyle w:val="BookText"/>
        <w:rPr/>
      </w:pPr>
      <w:r>
        <w:rPr>
          <w:rFonts w:ascii="Amiri" w:hAnsi="Amiri" w:eastAsia="Amiri" w:cs="Amiri"/>
          <w:color w:val="111111"/>
          <w:sz w:val="28"/>
          <w:sz w:val="28"/>
          <w:szCs w:val="28"/>
          <w:rtl w:val="true"/>
          <w:lang w:bidi="ar-SA"/>
        </w:rPr>
        <w:t>هل الاستمرار في النظر في حكم معاودة النظر؟</w:t>
      </w:r>
    </w:p>
    <w:p>
      <w:pPr>
        <w:pStyle w:val="BookText"/>
        <w:rPr/>
      </w:pPr>
      <w:r>
        <w:rPr>
          <w:rFonts w:ascii="Amiri" w:hAnsi="Amiri" w:eastAsia="Amiri" w:cs="Amiri"/>
          <w:color w:val="111111"/>
          <w:sz w:val="28"/>
          <w:sz w:val="28"/>
          <w:szCs w:val="28"/>
          <w:rtl w:val="true"/>
          <w:lang w:bidi="ar-SA"/>
        </w:rPr>
        <w:t>لا يبعد ذلك، وقد تقدّم تفصيل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الأقوال في مسألة جواز النظر إلى الوجه والكفين</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1572938_2142443653"/>
      <w:bookmarkStart w:id="492" w:name="_Toc185"/>
      <w:bookmarkEnd w:id="491"/>
      <w:r>
        <w:rPr>
          <w:rtl w:val="true"/>
        </w:rPr>
        <w:t>فروع</w:t>
      </w:r>
      <w:bookmarkEnd w:id="492"/>
    </w:p>
    <w:p>
      <w:pPr>
        <w:pStyle w:val="Heading6"/>
        <w:numPr>
          <w:ilvl w:val="5"/>
          <w:numId w:val="1"/>
        </w:numPr>
        <w:rPr/>
      </w:pPr>
      <w:bookmarkStart w:id="493" w:name="__RefHeading___Toc11572940_2142443653"/>
      <w:bookmarkStart w:id="494" w:name="_Toc186"/>
      <w:bookmarkEnd w:id="493"/>
      <w:r>
        <w:rPr>
          <w:rtl w:val="true"/>
        </w:rPr>
        <w:t>اشارة</w:t>
      </w:r>
      <w:bookmarkEnd w:id="49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الكلام في بعض الفروع المتعلقة بالمسألة</w:t>
      </w:r>
      <w:r>
        <w:rPr>
          <w:rFonts w:eastAsia="Amiri" w:cs="Amiri" w:ascii="Amiri" w:hAnsi="Amiri"/>
          <w:color w:val="111111"/>
          <w:sz w:val="28"/>
          <w:szCs w:val="28"/>
          <w:rtl w:val="true"/>
          <w:lang w:bidi="ar-SA"/>
        </w:rPr>
        <w:t xml:space="preserve">: </w:t>
      </w:r>
      <w:bookmarkStart w:id="495" w:name="pg15684_175579"/>
    </w:p>
    <w:p>
      <w:pPr>
        <w:pStyle w:val="Heading6"/>
        <w:numPr>
          <w:ilvl w:val="5"/>
          <w:numId w:val="1"/>
        </w:numPr>
        <w:rPr/>
      </w:pPr>
      <w:bookmarkStart w:id="496" w:name="__RefHeading___Toc11572942_2142443653"/>
      <w:bookmarkStart w:id="497" w:name="_Toc187"/>
      <w:bookmarkEnd w:id="495"/>
      <w:bookmarkEnd w:id="496"/>
      <w:r>
        <w:rPr>
          <w:rtl w:val="true"/>
        </w:rPr>
        <w:t>الفرع الأول</w:t>
      </w:r>
      <w:r>
        <w:rPr>
          <w:rtl w:val="true"/>
        </w:rPr>
        <w:t xml:space="preserve">: </w:t>
      </w:r>
      <w:r>
        <w:rPr>
          <w:rtl w:val="true"/>
        </w:rPr>
        <w:t>في شروط جواز النظر إلى الوجه والكفين</w:t>
      </w:r>
      <w:bookmarkEnd w:id="497"/>
    </w:p>
    <w:p>
      <w:pPr>
        <w:pStyle w:val="BookText"/>
        <w:rPr/>
      </w:pPr>
      <w:r>
        <w:rPr>
          <w:rFonts w:ascii="Amiri" w:hAnsi="Amiri" w:eastAsia="Amiri" w:cs="Amiri"/>
          <w:color w:val="111111"/>
          <w:sz w:val="28"/>
          <w:sz w:val="28"/>
          <w:szCs w:val="28"/>
          <w:rtl w:val="true"/>
          <w:lang w:bidi="ar-SA"/>
        </w:rPr>
        <w:t>يشترط في جواز النظر إلى الوجه والكفين 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التلذذ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 الافتتان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سبق الكلام في ذلك</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8" w:name="__RefHeading___Toc11572944_2142443653"/>
      <w:bookmarkStart w:id="499" w:name="_Toc188"/>
      <w:bookmarkEnd w:id="498"/>
      <w:r>
        <w:rPr>
          <w:rtl w:val="true"/>
        </w:rPr>
        <w:t>الفرع الثاني</w:t>
      </w:r>
      <w:r>
        <w:rPr>
          <w:rtl w:val="true"/>
        </w:rPr>
        <w:t xml:space="preserve">: </w:t>
      </w:r>
      <w:r>
        <w:rPr>
          <w:rtl w:val="true"/>
        </w:rPr>
        <w:t>حصول التلذذ في أثناء النظر</w:t>
      </w:r>
      <w:bookmarkEnd w:id="499"/>
    </w:p>
    <w:p>
      <w:pPr>
        <w:pStyle w:val="BookText"/>
        <w:rPr/>
      </w:pPr>
      <w:r>
        <w:rPr>
          <w:rFonts w:ascii="Amiri" w:hAnsi="Amiri" w:eastAsia="Amiri" w:cs="Amiri"/>
          <w:color w:val="111111"/>
          <w:sz w:val="28"/>
          <w:sz w:val="28"/>
          <w:szCs w:val="28"/>
          <w:rtl w:val="true"/>
          <w:lang w:bidi="ar-SA"/>
        </w:rPr>
        <w:t>إذا لم يقصد التلذذ بالنظر، لكن وقع التلذذ في الأثناء، فهل يجب الكف، كما مرّ، كما هو المحكي عن المشهور أو لا يجب، كما عن الشيخ الأعظم؟ وجهان،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استمرار النظر مع حصول التلذذ في الأثناء، ووجوب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عليه الشيخ الأعظم بأدلة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جواز النظر</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الأدلة المجوزة عن صورة حصول التلذذ في الأثناء، فيكون المحكم العمومات الفوقانية،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النظر إلى الأجنبية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الإطلاق بالمرتكزات المتشرعية، فإنها تقتضي حرمة النظر مع </w:t>
      </w:r>
    </w:p>
    <w:p>
      <w:pPr>
        <w:pStyle w:val="BookText"/>
        <w:rPr/>
      </w:pPr>
      <w:r>
        <w:rPr>
          <w:rFonts w:ascii="Amiri" w:hAnsi="Amiri" w:eastAsia="Amiri" w:cs="Amiri"/>
          <w:color w:val="111111"/>
          <w:sz w:val="28"/>
          <w:sz w:val="28"/>
          <w:szCs w:val="28"/>
          <w:rtl w:val="true"/>
          <w:lang w:bidi="ar-SA"/>
        </w:rPr>
        <w:t>التلذذ، فيقيد بها الإطلاق، ذكر هذا الجواب صاحب المستمسك</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على عدم جواز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دليل لبي يقتصر فيه على القدر المتيقن، إلا أن يضم إليه ما سيأتي في الجواب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حرمة التلذذ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الفضل ورواية الجعفريات وموثقة عباد وآية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الحرمة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بقصد اللذة حرام بلا إشكال للأدلة السابقة، ولا فرق في نظر العرف بين النظر بقصد اللذة وحصول اللذة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تقيده بما تقدم من حرمة النظر بتلذذ، فإنّ العرف لا يكاد يعرف الفرق بين النظر بتلذذ بقصد في الابتداء أو في الأثناء، فلو لم يكن دليل آخر لكان المناط كافياً</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بقصد اللذة أيضاً يغاير النظر بقصد آخر، وإن كان مصحوباً باللذة، والمحرم الأول، وقياس الثاني عليه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 بأن مقتضى الأدلة المتقدمة حرمة النظر المصحوب باللذة، وحينئذٍ لا يفرق العرف بين الابتداء والأثناء، فتأمّل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النظر إلى حسان الوجوه من الذكور والإناث لا ينفك عن التلذذ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الطبيعة البشرية المجبولة على ملاءمة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حرم النظر مع حصول التلذذ لوجب استثناء النظر إلى حسان </w:t>
      </w:r>
    </w:p>
    <w:p>
      <w:pPr>
        <w:pStyle w:val="BookText"/>
        <w:rPr/>
      </w:pPr>
      <w:r>
        <w:rPr>
          <w:rFonts w:ascii="Amiri" w:hAnsi="Amiri" w:eastAsia="Amiri" w:cs="Amiri"/>
          <w:color w:val="111111"/>
          <w:sz w:val="28"/>
          <w:sz w:val="28"/>
          <w:szCs w:val="28"/>
          <w:rtl w:val="true"/>
          <w:lang w:bidi="ar-SA"/>
        </w:rPr>
        <w:t>الوجه، مع أنه لا قائل بالفصل بينهم وبين غيرهم</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التلذذ الشهواني فهو ممنوع، وان أراد مثل ما يحصل من النظر إلى الأوراد والأطيار الجميلة ونحوها، فذلك جائز، وليس من التلذذ الممنوع في المقام</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الكلام في ذلك</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عدم القول بالفصل ليس بحجة على ما قرر في محله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 ذكره بعنوان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سويد،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مراد السائل أنه كثيراً ما يتفق له الابتلاء بالنظر إلى المرأة الجميلة، وأنه حين النظر إليها والمكالمة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لمعاملة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يتلذذ لكمال حسنها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فعل خارجي، فلا ينعقد له إطلاق ليشمل الإعجاب الشهوي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انعقاد الإطلاق يقيد بالأدلة الخارجية، كالارتكاز المتشرعي مثلاً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الدليل لا وجه للتفصيل بين الأولى والثانية</w:t>
      </w:r>
      <w:r>
        <w:rPr>
          <w:rFonts w:eastAsia="Amiri" w:cs="Amiri" w:ascii="Amiri" w:hAnsi="Amiri"/>
          <w:color w:val="111111"/>
          <w:sz w:val="28"/>
          <w:szCs w:val="28"/>
          <w:rtl w:val="true"/>
          <w:lang w:bidi="ar-SA"/>
        </w:rPr>
        <w:t xml:space="preserve">. </w:t>
      </w:r>
      <w:bookmarkStart w:id="500" w:name="pg15684_175582"/>
    </w:p>
    <w:p>
      <w:pPr>
        <w:pStyle w:val="BookText"/>
        <w:rPr/>
      </w:pPr>
      <w:bookmarkEnd w:id="500"/>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تفرد بذلك، ولم نعرف له موافقاً، ولعله غريب منه</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11572946_2142443653"/>
      <w:bookmarkStart w:id="502" w:name="_Toc189"/>
      <w:bookmarkEnd w:id="501"/>
      <w:r>
        <w:rPr>
          <w:rtl w:val="true"/>
        </w:rPr>
        <w:t>الفرع الثالث</w:t>
      </w:r>
      <w:r>
        <w:rPr>
          <w:rtl w:val="true"/>
        </w:rPr>
        <w:t xml:space="preserve">: </w:t>
      </w:r>
      <w:r>
        <w:rPr>
          <w:rtl w:val="true"/>
        </w:rPr>
        <w:t>في أنواع النظر</w:t>
      </w:r>
      <w:bookmarkEnd w:id="502"/>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تارة التفاتي</w:t>
      </w:r>
      <w:r>
        <w:rPr>
          <w:rStyle w:val="FootnoteAnchor"/>
          <w:rtl w:val="true"/>
        </w:rPr>
        <w:footnoteReference w:id="992"/>
      </w:r>
      <w:r>
        <w:rPr>
          <w:rFonts w:ascii="Amiri" w:hAnsi="Amiri" w:eastAsia="Amiri" w:cs="Amiri"/>
          <w:color w:val="111111"/>
          <w:sz w:val="28"/>
          <w:sz w:val="28"/>
          <w:szCs w:val="28"/>
          <w:rtl w:val="true"/>
          <w:lang w:bidi="ar-SA"/>
        </w:rPr>
        <w:t>، وأُخرى اختياري عمدي إجمالي</w:t>
      </w:r>
      <w:r>
        <w:rPr>
          <w:rStyle w:val="FootnoteAnchor"/>
          <w:rtl w:val="true"/>
        </w:rPr>
        <w:footnoteReference w:id="993"/>
      </w:r>
      <w:r>
        <w:rPr>
          <w:rFonts w:ascii="Amiri" w:hAnsi="Amiri" w:eastAsia="Amiri" w:cs="Amiri"/>
          <w:color w:val="111111"/>
          <w:sz w:val="28"/>
          <w:sz w:val="28"/>
          <w:szCs w:val="28"/>
          <w:rtl w:val="true"/>
          <w:lang w:bidi="ar-SA"/>
        </w:rPr>
        <w:t>، وثالثة تفصيلي تعمقي ليميز بين الخصوصيات، ومقتضى المرتكزات استقباح الأخير واستنكاره، وفي شمول الأدلة على فرض صحة الدلالة منع، وكذا الثاني أيضاً فيبقى الأول</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النظر إلى الوجه والكفين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الاتفاقي، ولا ريب في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الإجمالي الالتفاتي من غير تكرار، بحيث لا يكون</w:t>
      </w:r>
      <w:r>
        <w:rPr>
          <w:rStyle w:val="FootnoteAnchor"/>
          <w:rtl w:val="true"/>
        </w:rPr>
        <w:footnoteReference w:id="995"/>
      </w:r>
      <w:r>
        <w:rPr>
          <w:rFonts w:ascii="Amiri" w:hAnsi="Amiri" w:eastAsia="Amiri" w:cs="Amiri"/>
          <w:color w:val="111111"/>
          <w:sz w:val="28"/>
          <w:sz w:val="28"/>
          <w:szCs w:val="28"/>
          <w:rtl w:val="true"/>
          <w:lang w:bidi="ar-SA"/>
        </w:rPr>
        <w:t>مقام تمييز الجهات والخصوصيات، كالنظر العبوري بالنسبة إلى سائر الأشياء، ويمكن دعوى انصراف الأدلة المانعة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التفصيلي الالتفاتي، كنظر المشتري إلى ما يريد شراءه، والرجل إلى امرأة يريد أن يتزوجها، ولا يجتري أحد على القول بجوازه، وبذلك يمكن أن يجمع بين الكلمات</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لإطلاق الأدلة السابقة الدالة على الجواز، ولم ينهض دليل </w:t>
      </w:r>
      <w:bookmarkStart w:id="503" w:name="pg15684_175583"/>
    </w:p>
    <w:p>
      <w:pPr>
        <w:pStyle w:val="BookText"/>
        <w:rPr/>
      </w:pPr>
      <w:bookmarkEnd w:id="503"/>
      <w:r>
        <w:rPr>
          <w:rFonts w:ascii="Amiri" w:hAnsi="Amiri" w:eastAsia="Amiri" w:cs="Amiri"/>
          <w:color w:val="111111"/>
          <w:sz w:val="28"/>
          <w:sz w:val="28"/>
          <w:szCs w:val="28"/>
          <w:rtl w:val="true"/>
          <w:lang w:bidi="ar-SA"/>
        </w:rPr>
        <w:t>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النظر مزلق خطير من مزالق الشيطان، فاللازم عقلاً الحذر مع عدم أمن الفتنة، بل ينبغي التجنب مطلقاً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11572948_2142443653"/>
      <w:bookmarkStart w:id="505" w:name="_Toc190"/>
      <w:bookmarkEnd w:id="504"/>
      <w:r>
        <w:rPr>
          <w:rtl w:val="true"/>
        </w:rPr>
        <w:t>الفرع الرابع</w:t>
      </w:r>
      <w:r>
        <w:rPr>
          <w:rtl w:val="true"/>
        </w:rPr>
        <w:t xml:space="preserve">: </w:t>
      </w:r>
      <w:r>
        <w:rPr>
          <w:rtl w:val="true"/>
        </w:rPr>
        <w:t>كفاية الوهم في خوف الوقوع في الحرام</w:t>
      </w:r>
      <w:bookmarkEnd w:id="505"/>
    </w:p>
    <w:p>
      <w:pPr>
        <w:pStyle w:val="BookText"/>
        <w:rPr/>
      </w:pPr>
      <w:r>
        <w:rPr>
          <w:rFonts w:ascii="Amiri" w:hAnsi="Amiri" w:eastAsia="Amiri" w:cs="Amiri"/>
          <w:color w:val="111111"/>
          <w:sz w:val="28"/>
          <w:sz w:val="28"/>
          <w:szCs w:val="28"/>
          <w:rtl w:val="true"/>
          <w:lang w:bidi="ar-SA"/>
        </w:rPr>
        <w:t>في خوف الوقوع في الحرام يكفي الوهم، ولو كان ضعيفاً؛ لإطلاق الأدلة السابقة على شرطية عدم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كون الاحتمال عقلائياً، أما غير العقلائي فهو مُطمأن بعدمه، والاطمئنان مرتبة من مراتب العلم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الخوف فلا يكفي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يجامع الوهم، وقد قال الفقهاء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خاف الضرر، وللضرر مراتب ويشمل مرتبة الوهم إلا إذا كان الاحتمال غير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الخوف هو الخوف الشخصي، لا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مسائل الخوف في كتاب الصوم، والأدلة المذكورة فيها تشمل الوهم، والخوف العقلائي يساوي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أنّ الخوف الشخصي إذا لم يكن نوعياً فهو خوف غير عقلائي، وهو مُطمأن بعدمه عقلائياً، فلا يعتنى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أنّ الخوف نوعي</w:t>
      </w:r>
      <w:r>
        <w:rPr>
          <w:rStyle w:val="FootnoteAnchor"/>
          <w:rtl w:val="true"/>
        </w:rPr>
        <w:footnoteReference w:id="997"/>
      </w:r>
      <w:r>
        <w:rPr>
          <w:rFonts w:ascii="Amiri" w:hAnsi="Amiri" w:eastAsia="Amiri" w:cs="Amiri"/>
          <w:color w:val="111111"/>
          <w:sz w:val="28"/>
          <w:sz w:val="28"/>
          <w:szCs w:val="28"/>
          <w:rtl w:val="true"/>
          <w:lang w:bidi="ar-SA"/>
        </w:rPr>
        <w:t xml:space="preserve">، وحيث إنّ </w:t>
      </w:r>
    </w:p>
    <w:p>
      <w:pPr>
        <w:pStyle w:val="BookText"/>
        <w:rPr/>
      </w:pPr>
      <w:r>
        <w:rPr>
          <w:rFonts w:ascii="Amiri" w:hAnsi="Amiri" w:eastAsia="Amiri" w:cs="Amiri"/>
          <w:color w:val="111111"/>
          <w:sz w:val="28"/>
          <w:sz w:val="28"/>
          <w:szCs w:val="28"/>
          <w:rtl w:val="true"/>
          <w:lang w:bidi="ar-SA"/>
        </w:rPr>
        <w:t xml:space="preserve">البحث له عرض عريض فينبغي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مضت مجموعة من البحوث في فروع المسألة الثانية ترتبط بالمقام فراجع</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5684_175586"/>
      <w:bookmarkStart w:id="507" w:name="pg15684_175586"/>
      <w:bookmarkEnd w:id="507"/>
    </w:p>
    <w:p>
      <w:pPr>
        <w:pStyle w:val="Heading2"/>
        <w:numPr>
          <w:ilvl w:val="1"/>
          <w:numId w:val="1"/>
        </w:numPr>
        <w:rPr/>
      </w:pPr>
      <w:bookmarkStart w:id="508" w:name="pg15684_175586"/>
      <w:bookmarkStart w:id="509" w:name="__RefHeading___Toc11572950_2142443653"/>
      <w:bookmarkStart w:id="510" w:name="_Toc191"/>
      <w:bookmarkEnd w:id="508"/>
      <w:bookmarkEnd w:id="509"/>
      <w:r>
        <w:rPr>
          <w:rtl w:val="true"/>
        </w:rPr>
        <w:t>المسألة الرابعة</w:t>
      </w:r>
      <w:r>
        <w:rPr>
          <w:rtl w:val="true"/>
        </w:rPr>
        <w:t xml:space="preserve">: </w:t>
      </w:r>
      <w:r>
        <w:rPr>
          <w:rtl w:val="true"/>
        </w:rPr>
        <w:t>نظر المرأة إلى الرجل</w:t>
      </w:r>
      <w:bookmarkEnd w:id="51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11572952_2142443653"/>
      <w:bookmarkStart w:id="512" w:name="_Toc192"/>
      <w:bookmarkEnd w:id="511"/>
      <w:r>
        <w:rPr>
          <w:rtl w:val="true"/>
        </w:rPr>
        <w:t>اشارة</w:t>
      </w:r>
      <w:bookmarkEnd w:id="51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5684_175588"/>
      <w:bookmarkStart w:id="514" w:name="pg15684_175588"/>
      <w:bookmarkEnd w:id="514"/>
    </w:p>
    <w:p>
      <w:pPr>
        <w:pStyle w:val="Heading3"/>
        <w:numPr>
          <w:ilvl w:val="2"/>
          <w:numId w:val="1"/>
        </w:numPr>
        <w:rPr/>
      </w:pPr>
      <w:bookmarkStart w:id="515" w:name="pg15684_175588"/>
      <w:bookmarkStart w:id="516" w:name="__RefHeading___Toc11572954_2142443653"/>
      <w:bookmarkStart w:id="517" w:name="_Toc193"/>
      <w:bookmarkEnd w:id="515"/>
      <w:bookmarkEnd w:id="516"/>
      <w:r>
        <w:rPr>
          <w:rtl w:val="true"/>
        </w:rPr>
        <w:t>المسألة الرابعة</w:t>
      </w:r>
      <w:r>
        <w:rPr>
          <w:rtl w:val="true"/>
        </w:rPr>
        <w:t xml:space="preserve">: </w:t>
      </w:r>
      <w:r>
        <w:rPr>
          <w:rtl w:val="true"/>
        </w:rPr>
        <w:t>نظر المرأة إلى الرجل</w:t>
      </w:r>
      <w:bookmarkEnd w:id="517"/>
    </w:p>
    <w:p>
      <w:pPr>
        <w:pStyle w:val="Heading4"/>
        <w:numPr>
          <w:ilvl w:val="3"/>
          <w:numId w:val="1"/>
        </w:numPr>
        <w:rPr/>
      </w:pPr>
      <w:bookmarkStart w:id="518" w:name="__RefHeading___Toc11572956_2142443653"/>
      <w:bookmarkStart w:id="519" w:name="_Toc194"/>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ولا يخفى أنّ أصل حرمة نظر المرأة إلى الرجل مما لا إشكال فيه ولا خلاف، بل عليه الإجماع والتسالم، إنما الكلام في حدود الحرمة</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1572958_2142443653"/>
      <w:bookmarkStart w:id="521" w:name="_Toc195"/>
      <w:bookmarkEnd w:id="520"/>
      <w:r>
        <w:rPr>
          <w:rtl w:val="true"/>
        </w:rPr>
        <w:t>الأقوال في حكم نظر المرأة إلى الرجل</w:t>
      </w:r>
      <w:bookmarkEnd w:id="521"/>
    </w:p>
    <w:p>
      <w:pPr>
        <w:pStyle w:val="BookText"/>
        <w:rPr/>
      </w:pPr>
      <w:r>
        <w:rPr>
          <w:rFonts w:ascii="Amiri" w:hAnsi="Amiri" w:eastAsia="Amiri" w:cs="Amiri"/>
          <w:color w:val="111111"/>
          <w:sz w:val="28"/>
          <w:sz w:val="28"/>
          <w:szCs w:val="28"/>
          <w:rtl w:val="true"/>
          <w:lang w:bidi="ar-SA"/>
        </w:rPr>
        <w:t>وفي المقام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جميع الجسد حتّى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ما عدا الوجه والكفين مطلقاً، أو على تفصيل بين النظرة الأولى والثانية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غير ما جرت السيرة على عدم ستره، أو على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خصوص العورتين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جميع الجسد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النظر إلى جميع الجسد حتّى الوجه والكفين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اختاره في الجواهر</w:t>
      </w:r>
      <w:r>
        <w:rPr>
          <w:rStyle w:val="FootnoteAnchor"/>
          <w:rtl w:val="true"/>
        </w:rPr>
        <w:footnoteReference w:id="999"/>
      </w:r>
      <w:r>
        <w:rPr>
          <w:rFonts w:ascii="IRNazanin" w:hAnsi="IRNazanin" w:eastAsia="IRNazanin"/>
          <w:color w:val="111111"/>
          <w:sz w:val="28"/>
          <w:sz w:val="28"/>
          <w:szCs w:val="28"/>
          <w:rtl w:val="true"/>
          <w:lang w:bidi="fa-IR"/>
        </w:rPr>
        <w:t>والمهذب</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على تحريم النظر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آية الغض،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به المهذب</w:t>
      </w:r>
      <w:r>
        <w:rPr>
          <w:rStyle w:val="FootnoteAnchor"/>
          <w:rtl w:val="true"/>
        </w:rPr>
        <w:footnoteReference w:id="1002"/>
      </w:r>
      <w:r>
        <w:rPr>
          <w:rFonts w:ascii="IRNazanin" w:hAnsi="IRNazanin" w:eastAsia="IRNazanin"/>
          <w:color w:val="111111"/>
          <w:sz w:val="28"/>
          <w:sz w:val="28"/>
          <w:szCs w:val="28"/>
          <w:rtl w:val="true"/>
          <w:lang w:bidi="fa-IR"/>
        </w:rPr>
        <w:t>وفقه الصادق</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ثبوت الإطلاق للآية الكريمة؛ إذ أصالة الإطلاق مستندة للظهورات النوعية، ولا ظهور للآية الكريمة عرفاً في العموم، فتكون كأمر الوعاظ بالغض الذي لا يعين حدود ما يجب الغض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للتخصيص بالأدلة التي ستذكر لاحقاً،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مضت مجموعة من المناقشات في دلالة الآية الكريمة</w:t>
      </w:r>
      <w:r>
        <w:rPr>
          <w:rStyle w:val="FootnoteAnchor"/>
          <w:rtl w:val="true"/>
        </w:rPr>
        <w:footnoteReference w:id="100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للنساء أن لا يرين الرجال ولا يراهن الرجال،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مني</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مرسلة، وقد مضى تفصيل الكلام عن ذلك</w:t>
      </w:r>
      <w:r>
        <w:rPr>
          <w:rStyle w:val="FootnoteAnchor"/>
          <w:rtl w:val="true"/>
        </w:rPr>
        <w:footnoteReference w:id="1006"/>
      </w:r>
      <w:r>
        <w:rPr>
          <w:rFonts w:ascii="Amiri" w:hAnsi="Amiri" w:eastAsia="Amiri" w:cs="Amiri"/>
          <w:color w:val="111111"/>
          <w:sz w:val="28"/>
          <w:sz w:val="28"/>
          <w:szCs w:val="28"/>
          <w:rtl w:val="true"/>
          <w:lang w:bidi="ar-SA"/>
        </w:rPr>
        <w:t>، فلا تصلح لإثبات حكم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اعتبار الرواية صحة السند فقط، وإنما تكفي قوة المضمون، ومثل هذا المضمون لا يصدر إلا عن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الرواية لو أعطيت للمتشرعة لأذعنوا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اطمأنّ إلى ذلك فاطمئنانه حجة عليه، وإذا ثبت الاطمئنان النوعي نسلم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المراد الخير في مقابل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كل شر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قابل للتقييد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 ابن أم مكتوم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عائشة وحفصة،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فادخلا البيت،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أعمى، فقال إن لم يركما فإنكما تريانه</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ما رواه الطبرسي في مكام الأخلاق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ميمونة، فاقبل ابن أم مكتوم، وذلك بعد أن أمر </w:t>
      </w:r>
    </w:p>
    <w:p>
      <w:pPr>
        <w:pStyle w:val="BookText"/>
        <w:rPr/>
      </w:pPr>
      <w:r>
        <w:rPr>
          <w:rFonts w:ascii="Amiri" w:hAnsi="Amiri" w:eastAsia="Amiri" w:cs="Amiri"/>
          <w:color w:val="111111"/>
          <w:sz w:val="28"/>
          <w:sz w:val="28"/>
          <w:szCs w:val="28"/>
          <w:rtl w:val="true"/>
          <w:lang w:bidi="ar-SA"/>
        </w:rPr>
        <w:t>بالحجاب،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أعمى لا يبصرنا؟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أفعمياوان أنتما؟ ألستما تبصرانه؟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مرسلتان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السيد الخوئي، حيث قال في رد رواية الشيخ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تكفلت بيان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لا يدل على اللزوم</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رد رواية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مرسلة، على أنه لا دلالة فيها على اللزوم</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لأنه أمر بالفعل 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والثانية</w:t>
      </w:r>
      <w:r>
        <w:rPr>
          <w:rStyle w:val="FootnoteAnchor"/>
          <w:rtl w:val="true"/>
        </w:rPr>
        <w:footnoteReference w:id="1011"/>
      </w:r>
      <w:r>
        <w:rPr>
          <w:rFonts w:ascii="Amiri" w:hAnsi="Amiri" w:eastAsia="Amiri" w:cs="Amiri"/>
          <w:color w:val="111111"/>
          <w:sz w:val="28"/>
          <w:sz w:val="28"/>
          <w:szCs w:val="28"/>
          <w:rtl w:val="true"/>
          <w:lang w:bidi="ar-SA"/>
        </w:rPr>
        <w:t>أظهر في الكراهة؛ إذ لا يحتاج الأمر إلى دخول الغرفة</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إذ الأمر بالدخول مقدمي لعدم الرؤية، وعدم الرؤية وإن أمكن بالغض، إلا أنه إذا كان الملاك في الطبيعي يمكن اختيار أية حصة من حصصه؛ لإمكان الترجيح بلا مرجح على المعروف</w:t>
      </w:r>
      <w:r>
        <w:rPr>
          <w:rStyle w:val="FootnoteAnchor"/>
          <w:rtl w:val="true"/>
        </w:rPr>
        <w:footnoteReference w:id="1013"/>
      </w:r>
      <w:r>
        <w:rPr>
          <w:rFonts w:ascii="Amiri" w:hAnsi="Amiri" w:eastAsia="Amiri" w:cs="Amiri"/>
          <w:color w:val="111111"/>
          <w:sz w:val="28"/>
          <w:sz w:val="28"/>
          <w:szCs w:val="28"/>
          <w:rtl w:val="true"/>
          <w:lang w:bidi="ar-SA"/>
        </w:rPr>
        <w:t xml:space="preserve">، وعلى الامتناع إذا كان في أحد الطرفين مزية، كما فيما نحن فيه، فإنّ الدخول آكد في </w:t>
      </w:r>
    </w:p>
    <w:p>
      <w:pPr>
        <w:pStyle w:val="BookText"/>
        <w:rPr/>
      </w:pPr>
      <w:r>
        <w:rPr>
          <w:rFonts w:ascii="IRNazanin" w:hAnsi="IRNazanin" w:eastAsia="IRNazanin"/>
          <w:color w:val="111111"/>
          <w:sz w:val="28"/>
          <w:sz w:val="28"/>
          <w:szCs w:val="28"/>
          <w:rtl w:val="true"/>
          <w:lang w:bidi="fa-IR"/>
        </w:rPr>
        <w:t>عدم النظر،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جواب آخر، وهو أنّ الحديث يتضمن أمراً ونهياً،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فإنكما تريانه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لا تنظرا إليه، فإن كان الأول ظاهراً في الكراهة فلا وجه لظهور الثاني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جيد كما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أليست المرأة تخرج إلى خارج البيت فترى الرجال</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ولعل المراد أنه لو كان النظر حراماً لنهيت النساء عن الخروج إلى خارج البيت، الذي يلازم النظر إلى الرجال عادة، فعدم النهي وجريان سيرة النساء على الخروج وعلى النظر دليل جواز النظر، وسيأتي تفصيل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حبس النساء في البيوت</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مضت المناقشة في ذلك</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الروايات على أنّ المرأة عورة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مضت المناقشة في ذلك</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التنزل انما يكون باعتبار أظهر الآثار، وأظهر آثار العورة</w:t>
      </w:r>
      <w:r>
        <w:rPr>
          <w:rStyle w:val="FootnoteAnchor"/>
          <w:rtl w:val="true"/>
        </w:rPr>
        <w:footnoteReference w:id="1019"/>
      </w:r>
      <w:r>
        <w:rPr>
          <w:rFonts w:ascii="Amiri" w:hAnsi="Amiri" w:eastAsia="Amiri" w:cs="Amiri"/>
          <w:color w:val="111111"/>
          <w:sz w:val="28"/>
          <w:sz w:val="28"/>
          <w:szCs w:val="28"/>
          <w:rtl w:val="true"/>
          <w:lang w:bidi="ar-SA"/>
        </w:rPr>
        <w:t xml:space="preserve">حرمة </w:t>
      </w:r>
    </w:p>
    <w:p>
      <w:pPr>
        <w:pStyle w:val="BookText"/>
        <w:rPr/>
      </w:pPr>
      <w:r>
        <w:rPr>
          <w:rFonts w:ascii="Amiri" w:hAnsi="Amiri" w:eastAsia="Amiri" w:cs="Amiri"/>
          <w:color w:val="111111"/>
          <w:sz w:val="28"/>
          <w:sz w:val="28"/>
          <w:szCs w:val="28"/>
          <w:rtl w:val="true"/>
          <w:lang w:bidi="ar-SA"/>
        </w:rPr>
        <w:t>النظر إليها، ووجوب سترها، لا حرمة نظر العورة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تنزيل، والتنزيل مبتنٍ على التشبيه، والعورة يجب سترها فلا ينظرون إليها، لا أنها لا ترى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الروايات على عدم إنزالهن الغرف</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الجواب عنه مما تقدّم</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الدليل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صلوات اللّه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عليها أعمى فحجبته،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حجبته وهو لا يراك؟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لم يكن يراني فأنا أراه، وهو يشم الريح،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الإشكال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لا يدل على الوجوب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علي بن الحسين في عقاب الأعمال، كما في الوسائل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اشتد غضب اللّه على امرأة ذات بعل ملأت عينها من غير زوجها، أو غير ذي محرم منها، فإنها إن فعلت ذلك أحبط اللّه عزّ وجلّ كل عمل عملته</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ضعيفة السند؛ لوجود عدة مجاهيل في سندها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أخص من المدعى؛ لأنّ موردها ذات البعل</w:t>
      </w:r>
      <w:r>
        <w:rPr>
          <w:rStyle w:val="FootnoteAnchor"/>
          <w:rtl w:val="true"/>
        </w:rPr>
        <w:footnoteReference w:id="1025"/>
      </w:r>
      <w:r>
        <w:rPr>
          <w:rFonts w:ascii="Amiri" w:hAnsi="Amiri" w:eastAsia="Amiri" w:cs="Amiri"/>
          <w:color w:val="111111"/>
          <w:sz w:val="28"/>
          <w:sz w:val="28"/>
          <w:szCs w:val="28"/>
          <w:rtl w:val="true"/>
          <w:lang w:bidi="ar-SA"/>
        </w:rPr>
        <w:t>، كما ذكره بعضهم،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النظر سهم من سهام إبليس ونحو ذلك</w:t>
      </w:r>
      <w:r>
        <w:rPr>
          <w:rStyle w:val="FootnoteAnchor"/>
          <w:rtl w:val="true"/>
        </w:rPr>
        <w:footnoteReference w:id="1026"/>
      </w:r>
      <w:r>
        <w:rPr>
          <w:rFonts w:ascii="Amiri" w:hAnsi="Amiri" w:eastAsia="Amiri" w:cs="Amiri"/>
          <w:color w:val="111111"/>
          <w:sz w:val="28"/>
          <w:sz w:val="28"/>
          <w:szCs w:val="28"/>
          <w:rtl w:val="true"/>
          <w:lang w:bidi="ar-SA"/>
        </w:rPr>
        <w:t>، فإنها بإطلاقها تشمل نظر المرأة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تقدّم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أَزْكَى لَهُمْ</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فإنه يدل على أنّ المصلحة الداعية إلى إيجاب الغض على الرجال عدم تحريك الشهوة، وعدم التلوث بالذنوب، وهذا الملاك بعينه موجود في عدم نظر المرأة إلى الرجل، بل هو أشدّ، كما يظهر من الروايات الدالة على همّة النساء في الرجال</w:t>
      </w:r>
      <w:r>
        <w:rPr>
          <w:rStyle w:val="FootnoteAnchor"/>
          <w:rtl w:val="true"/>
        </w:rPr>
        <w:footnoteReference w:id="1029"/>
      </w:r>
      <w:r>
        <w:rPr>
          <w:rFonts w:ascii="Amiri" w:hAnsi="Amiri" w:eastAsia="Amiri" w:cs="Amiri"/>
          <w:color w:val="111111"/>
          <w:sz w:val="28"/>
          <w:sz w:val="28"/>
          <w:szCs w:val="28"/>
          <w:rtl w:val="true"/>
          <w:lang w:bidi="ar-SA"/>
        </w:rPr>
        <w:t>، وأنّ شهوة المرأة أكثر من الرجل، وأنّ للشهوة عشرة أجزاء تسعة منها في النساء</w:t>
      </w:r>
      <w:r>
        <w:rPr>
          <w:rStyle w:val="FootnoteAnchor"/>
          <w:rtl w:val="true"/>
        </w:rPr>
        <w:footnoteReference w:id="1030"/>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وأقرب من ذلك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يدور مدارها الحكم وجوداً وعدماً، فإذا فرض عدم كون نظرها إليه في معرض التحريك والتلوث جاز النظر؛ لانتفاء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كون العلة علة للجعل لا للمجعول، ولذلك لا يدور الحكم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من الدليل الثاني والعشرين</w:t>
      </w:r>
      <w:r>
        <w:rPr>
          <w:rStyle w:val="FootnoteAnchor"/>
          <w:rtl w:val="true"/>
        </w:rPr>
        <w:footnoteReference w:id="1032"/>
      </w:r>
      <w:r>
        <w:rPr>
          <w:rFonts w:ascii="Amiri" w:hAnsi="Amiri" w:eastAsia="Amiri" w:cs="Amiri"/>
          <w:color w:val="111111"/>
          <w:sz w:val="28"/>
          <w:sz w:val="28"/>
          <w:szCs w:val="28"/>
          <w:rtl w:val="true"/>
          <w:lang w:bidi="ar-SA"/>
        </w:rPr>
        <w:t>من أدلة القول بحرمة نظر الرجل إلى وجه المرأة وكفيها، من أنه علم من مذاق الشارع التضييق في شأن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واعتمد عليه وعلى الدليل اللاحق في الاحتياط الوجوبي بعدم نظر المرأة الرجل مطلقاً، مع اعترافه بعدم دلالة نفس أدلة الباب على الحرمة؛ لضعفها سنداً أو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الجواب السابق، وسيأتي إن شاء اللّه تعالى مزيد بيان لذلك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من الدليل الثالث والعشرين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 كان الجواز ثابتاً في هذه المسألة الكثيرة الدوران لكان من الواضحات </w:t>
      </w:r>
    </w:p>
    <w:p>
      <w:pPr>
        <w:pStyle w:val="BookText"/>
        <w:rPr/>
      </w:pPr>
      <w:r>
        <w:rPr>
          <w:rFonts w:ascii="IRNazanin" w:hAnsi="IRNazanin" w:eastAsia="IRNazanin"/>
          <w:color w:val="111111"/>
          <w:sz w:val="28"/>
          <w:sz w:val="28"/>
          <w:szCs w:val="28"/>
          <w:rtl w:val="true"/>
          <w:lang w:bidi="fa-IR"/>
        </w:rPr>
        <w:t>المشهورات</w:t>
      </w:r>
      <w:r>
        <w:rPr>
          <w:rFonts w:eastAsia="IRNazanin" w:cs="IRNazanin"/>
          <w:color w:val="111111"/>
          <w:sz w:val="28"/>
          <w:szCs w:val="28"/>
          <w:rtl w:val="true"/>
          <w:lang w:bidi="fa-IR"/>
        </w:rPr>
        <w:t>»</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الجواب السابق، وسيأتي توضيحه أكثر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ادعاه في المهذب</w:t>
      </w:r>
      <w:r>
        <w:rPr>
          <w:rStyle w:val="FootnoteAnchor"/>
          <w:rtl w:val="true"/>
        </w:rPr>
        <w:footnoteReference w:id="1035"/>
      </w:r>
      <w:r>
        <w:rPr>
          <w:rFonts w:ascii="Amiri" w:hAnsi="Amiri" w:eastAsia="Amiri" w:cs="Amiri"/>
          <w:color w:val="111111"/>
          <w:sz w:val="28"/>
          <w:sz w:val="28"/>
          <w:szCs w:val="28"/>
          <w:rtl w:val="true"/>
          <w:lang w:bidi="ar-SA"/>
        </w:rPr>
        <w:t>، وفي الحدائق</w:t>
      </w:r>
      <w:r>
        <w:rPr>
          <w:rStyle w:val="FootnoteAnchor"/>
          <w:rtl w:val="true"/>
        </w:rPr>
        <w:footnoteReference w:id="1036"/>
      </w:r>
      <w:r>
        <w:rPr>
          <w:rFonts w:ascii="IRNazanin" w:hAnsi="IRNazanin" w:eastAsia="IRNazanin"/>
          <w:color w:val="111111"/>
          <w:sz w:val="28"/>
          <w:sz w:val="28"/>
          <w:szCs w:val="28"/>
          <w:rtl w:val="true"/>
          <w:lang w:bidi="fa-IR"/>
        </w:rPr>
        <w:t>ادعى عدم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الإجماع، كيف ولم يتعرض للمسألة كثير من القدماء والمتأخرين، بل ثبت وجود الخلاف في المسألة، كما سوف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محتمل الاستناد على القول بقادحية الاحتمال في الحجية، وإن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ذكره في المهذب</w:t>
      </w:r>
      <w:r>
        <w:rPr>
          <w:rStyle w:val="FootnoteAnchor"/>
          <w:rtl w:val="true"/>
        </w:rPr>
        <w:footnoteReference w:id="1037"/>
      </w:r>
      <w:r>
        <w:rPr>
          <w:rFonts w:ascii="Amiri" w:hAnsi="Amiri" w:eastAsia="Amiri" w:cs="Amiri"/>
          <w:color w:val="111111"/>
          <w:sz w:val="28"/>
          <w:sz w:val="28"/>
          <w:szCs w:val="28"/>
          <w:rtl w:val="true"/>
          <w:lang w:bidi="ar-SA"/>
        </w:rPr>
        <w:t>، من أنّ الحرمة مقتضى مرتكزات المتشرعين والمتشرعات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ارتكاز الحرمة نظر، بل يمكن عكس الدعوى،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مقتضى المرتكزات قديماً وحديثاً، وسيأتي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في الجملة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ما عدا الوجه والكفين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الحرمة فيما عدا الوجه والكفين فقد انقدح مما تقدّم في أدلة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الجواز فيدل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وتتحد المرأة مع الرجل، فتمنع في محل المنع لا في غيره إجماعاً</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كلام الشيخ الأعظم في الرسالة على ما حكي عنه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 فيه جواز نظر الرجل إلى المرأة يجوز فيه العكس بالإجماع المركب، في غير الزوجة التي يراد تزويجها، أو الأمة التي يراد 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وبالأصل فيهما وفي البواقي أيضاً، لفقد الصارف عنه، سوى الإجماع المركب المنتفي في المقام</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يظهر من كلماتهم مساواة المرأة للرجل في المستثنى والمستثنى منه</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مَن قال بعدم جواز نظر الرجل إلى المرأة قال في المرأة بذلك، وكل مَن قال بالجواز قال في المرأة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المركب ليس بحجة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نهوضه بإثبات التلازم فلنا أن نمنع جواز نظره إلى وجهها وكفيها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مضى اختيار القول بالجواز،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شخصيان ويتقدران بقدرهما، مع أنهما لا يرفعان التحريم على قول مضى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فقه الصادق</w:t>
      </w:r>
      <w:r>
        <w:rPr>
          <w:rStyle w:val="FootnoteAnchor"/>
          <w:rtl w:val="true"/>
        </w:rPr>
        <w:footnoteReference w:id="1042"/>
      </w:r>
      <w:r>
        <w:rPr>
          <w:rFonts w:ascii="Amiri" w:hAnsi="Amiri" w:eastAsia="Amiri" w:cs="Amiri"/>
          <w:color w:val="111111"/>
          <w:sz w:val="28"/>
          <w:sz w:val="28"/>
          <w:szCs w:val="28"/>
          <w:rtl w:val="true"/>
          <w:lang w:bidi="ar-SA"/>
        </w:rPr>
        <w:t>، وسيأتي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فإنه إذا جاز نظر الرجل إلى وجه المرأة وكفيها، مع كونها مصدر الفتنة والإثارة جاز نظرها إليهما منه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الروايات الدالة على زيادة شهوة المرأة على الرجل،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الجواز لو فرض عدم نهوض الأدلة الاجتهادية على الحرمة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انسياق اتحاد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أَبْصَارِهِمْ</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أَبْصَارِهِنَّ</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فإذا كان المراد في المؤمنين ما عدا الوجه والكفين كان كذلك في المؤمنات؛ لوحدة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التبعيض بلحاظ نفس النظر لا بلحاظ المنظور إليه، وحذف المتعلق يفيد العموم، والاستثناء الخارجي في جانب نظر الرجل لا يلازم الاستثناء في جانب نظر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سيأتي عدم اختصاص الجواز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النظرة الأولى والثانية</w:t>
      </w:r>
    </w:p>
    <w:p>
      <w:pPr>
        <w:pStyle w:val="BookText"/>
        <w:rPr/>
      </w:pPr>
      <w:r>
        <w:rPr>
          <w:rFonts w:ascii="Amiri" w:hAnsi="Amiri" w:eastAsia="Amiri" w:cs="Amiri"/>
          <w:color w:val="111111"/>
          <w:sz w:val="28"/>
          <w:sz w:val="28"/>
          <w:szCs w:val="28"/>
          <w:rtl w:val="true"/>
          <w:lang w:bidi="ar-SA"/>
        </w:rPr>
        <w:t>ثم إنّ المحقق في الشرائع ومن وافقه</w:t>
      </w:r>
      <w:r>
        <w:rPr>
          <w:rStyle w:val="FootnoteAnchor"/>
          <w:rtl w:val="true"/>
        </w:rPr>
        <w:footnoteReference w:id="1045"/>
      </w:r>
      <w:r>
        <w:rPr>
          <w:rFonts w:ascii="Amiri" w:hAnsi="Amiri" w:eastAsia="Amiri" w:cs="Amiri"/>
          <w:color w:val="111111"/>
          <w:sz w:val="28"/>
          <w:sz w:val="28"/>
          <w:szCs w:val="28"/>
          <w:rtl w:val="true"/>
          <w:lang w:bidi="ar-SA"/>
        </w:rPr>
        <w:t>، اختار التفصيل بين النظرة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لإطلاق الأدلة، مثل معتبرة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بعد النظرة تزرع في القلب الشهوة</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ولا يقيدها ما ذكر فيه المرأة، مثل رواية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أول نظرة إلى المرأة، فلا تتبعوها نظرة أخرى</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لعدم التنافي بينهما في مثل المقام عرفاً، أو لإلغاء خصوصية نظر الرجل إلى المرأة، وقد مضى البحث في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غير ما جرت السيرة على عدم ستره أو على النظر إليه</w:t>
      </w:r>
    </w:p>
    <w:p>
      <w:pPr>
        <w:pStyle w:val="BookText"/>
        <w:rPr/>
      </w:pPr>
      <w:r>
        <w:rPr>
          <w:rFonts w:ascii="Amiri" w:hAnsi="Amiri" w:eastAsia="Amiri" w:cs="Amiri"/>
          <w:color w:val="111111"/>
          <w:sz w:val="28"/>
          <w:sz w:val="28"/>
          <w:szCs w:val="28"/>
          <w:rtl w:val="true"/>
          <w:lang w:bidi="ar-SA"/>
        </w:rPr>
        <w:t xml:space="preserve">واختار هذا القول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جواز نظر المرأة إلى الرجل فيما تعارف من رأسه ورقبته ووجهه ويده ورجله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الجواز، ذكره في الفقه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حاشية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يبعد الجواز لمثل الوجه والرأس والرقبة واليدين والرجلين مما جرت عليه السيرة في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منع ظاهر</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جريان سيرة المتشرعة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تام مع عدم ثبوت دليل اجتهادي على المنع، كإطلاق آية الغض، وقد مضى الكلام في الأدلة الاجتهادية المستدل بها على المنع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القطعية، استدل به السيد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الفقه،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وللسيرة القطعية،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يخطبون فوق المنبر، وكانت النساء حاضرات وينظرن إليهم، ولم يكن إنكار، بل في قصة الغدير بان بياض إبطيهما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والنساء كن حاضرات، وعند بيعتهن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كنّ يبايعن ويتكلمن، ولا إشكال في نظرهن إليهما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هو المتعارف، وكذلك في أيام الحج تنظر النساء إلى رؤوس الحجاج ووجوههم، ولو كان الأمر كما ذكروا لزم أن يمنع من ذلك أشد المنع في روايات متواترات، فعدم الورود دليل العدم، بل روى الكليني</w:t>
      </w:r>
      <w:r>
        <w:rPr>
          <w:rStyle w:val="FootnoteAnchor"/>
          <w:rtl w:val="true"/>
        </w:rPr>
        <w:footnoteReference w:id="1051"/>
      </w:r>
      <w:r>
        <w:rPr>
          <w:rFonts w:ascii="Amiri" w:hAnsi="Amiri" w:eastAsia="Amiri" w:cs="Amiri"/>
          <w:color w:val="111111"/>
          <w:sz w:val="28"/>
          <w:sz w:val="28"/>
          <w:szCs w:val="28"/>
          <w:rtl w:val="true"/>
          <w:lang w:bidi="ar-SA"/>
        </w:rPr>
        <w:t>بسنده إلى جابر الجعفي</w:t>
      </w:r>
      <w:r>
        <w:rPr>
          <w:rStyle w:val="FootnoteAnchor"/>
          <w:rtl w:val="true"/>
        </w:rPr>
        <w:footnoteReference w:id="1052"/>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 إلى ظهر المدينة على جبل</w:t>
      </w:r>
      <w:r>
        <w:rPr>
          <w:rStyle w:val="FootnoteAnchor"/>
          <w:rtl w:val="true"/>
        </w:rPr>
        <w:footnoteReference w:id="1053"/>
      </w:r>
      <w:r>
        <w:rPr>
          <w:rFonts w:ascii="Amiri" w:hAnsi="Amiri" w:eastAsia="Amiri" w:cs="Amiri"/>
          <w:color w:val="111111"/>
          <w:sz w:val="28"/>
          <w:sz w:val="28"/>
          <w:szCs w:val="28"/>
          <w:rtl w:val="true"/>
          <w:lang w:bidi="ar-SA"/>
        </w:rPr>
        <w:t>عاري الجسم</w:t>
      </w:r>
      <w:r>
        <w:rPr>
          <w:rStyle w:val="FootnoteAnchor"/>
          <w:rtl w:val="true"/>
        </w:rPr>
        <w:footnoteReference w:id="1054"/>
      </w:r>
      <w:r>
        <w:rPr>
          <w:rFonts w:ascii="IRNazanin" w:hAnsi="IRNazanin" w:eastAsia="IRNazanin"/>
          <w:color w:val="111111"/>
          <w:sz w:val="28"/>
          <w:sz w:val="28"/>
          <w:szCs w:val="28"/>
          <w:rtl w:val="true"/>
          <w:lang w:bidi="fa-IR"/>
        </w:rPr>
        <w:t>، فمرّ بالنساء، فوقف عليهن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النساء، تصدقن وأطعن أزواجكن، فإنّ أكثركن في النار، فلما سمعن ذلك بكين، ثم قامت إليه امرأة منهن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في النار مع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نحن بكفار،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إنكن كافرات بحق أزواجكن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عري جسم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وتكلمه مع النساء في تلك الحالة دليل على أنه ليس بمثل ذلك</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ويضاف إلى ذلك شواهد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عيد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قعد الناس له في الطرقات والسطوح الرجال والنساء والصبيان، قد شمر سراويله إلى نصف الساق وعليه ثياب مشمرة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يخرج من القصر، وعليه قطريتان، إزار إلى نصف الساق، ورداؤه مشمر قريب منه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عليه هشام وعليه قميص إلى الركبة، </w:t>
      </w:r>
    </w:p>
    <w:p>
      <w:pPr>
        <w:pStyle w:val="BookText"/>
        <w:rPr/>
      </w:pPr>
      <w:r>
        <w:rPr>
          <w:rFonts w:ascii="Amiri" w:hAnsi="Amiri" w:eastAsia="Amiri" w:cs="Amiri"/>
          <w:color w:val="111111"/>
          <w:sz w:val="28"/>
          <w:sz w:val="28"/>
          <w:szCs w:val="28"/>
          <w:rtl w:val="true"/>
          <w:lang w:bidi="ar-SA"/>
        </w:rPr>
        <w:t>وسراويل إلى نصف الساق</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واتزر إلى نصف الساق</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البرهان</w:t>
      </w:r>
      <w:r>
        <w:rPr>
          <w:rStyle w:val="FootnoteAnchor"/>
          <w:rtl w:val="true"/>
        </w:rPr>
        <w:footnoteReference w:id="1060"/>
      </w:r>
      <w:r>
        <w:rPr>
          <w:rFonts w:ascii="Amiri" w:hAnsi="Amiri" w:eastAsia="Amiri" w:cs="Amiri"/>
          <w:color w:val="111111"/>
          <w:sz w:val="28"/>
          <w:sz w:val="28"/>
          <w:szCs w:val="28"/>
          <w:rtl w:val="true"/>
          <w:lang w:bidi="ar-SA"/>
        </w:rPr>
        <w:t>من روايات متعددة تبيّن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صحيحة السند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وفي بعض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وأمرته أن يقصّر،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 هذا الدليل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حين تحدثهن مع الرجال، أو استماعهن إليهم ونحو ذلك لا يخلو أمرهن من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كن يغضضن البصر عن النظر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كن ينظرن إليهم، والحالة الأولى ظاهرة مناقضة للطبيعة، فإنّ طبع المرأة كالرجل أن تنظر إلى الخطيب، وإلى مَن تسأل منه الأحكام الشرعية، وإلى الرجال في الطريق، والظواهر غير الطبيعية تنعكس عادة في التاريخ وتتناقلها الأجيال المتعاقبة، وحيث لم ترد في الروايات والتواريخ </w:t>
      </w:r>
    </w:p>
    <w:p>
      <w:pPr>
        <w:pStyle w:val="BookText"/>
        <w:rPr/>
      </w:pPr>
      <w:r>
        <w:rPr>
          <w:rFonts w:ascii="Amiri" w:hAnsi="Amiri" w:eastAsia="Amiri" w:cs="Amiri"/>
          <w:color w:val="111111"/>
          <w:sz w:val="28"/>
          <w:sz w:val="28"/>
          <w:szCs w:val="28"/>
          <w:rtl w:val="true"/>
          <w:lang w:bidi="ar-SA"/>
        </w:rPr>
        <w:t xml:space="preserve">والمنقولات المتوارثة أية 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ذلك على أنهنّ كن ينظرن إليهم، وحينئذٍ لا يخلو الأمر من حصول الردع من قبل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النظر، أو عدم حصول الردع، وحصول الردع عن مثل هذه الظاهرة المستحكمة يستلزم وصوله إلينا، وحيث لم يصل دل على عدم الردع، وهو آية التقرير، وهذا يعني أن السيرة المزبورة ممضاة من قبل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السيرة القطعية قائمة على الجواز بالنسبة إليها من عصر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 فإنهنّ كنّ ينظرن إلى الرجال في حين التكلم معهم أو غيره، ولو من وراء الحجاب</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كلام السيد الروحاني في خصوص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النظر في ما أجاب به في المسائل الفقهية،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سيرة المسلمات على نظرهن إلى الرجال لا لحاجة ولا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السيرة سيرة المتدينات غير معلوم، مع شدة احتجاب النساء عن الرجال في بعض البلاد العربية في العصر الحاضر أيضاً</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ما يزيد الأمر وضوحاً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العرفية بين جواز كشف الرجل بدنه وجواز النظر، إما مطلقاً أو مقيداً بفعلية الكشف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التقرير الأول جواز النظر إلى ما عدا العورتين إن لم يقم دليل </w:t>
      </w:r>
    </w:p>
    <w:p>
      <w:pPr>
        <w:pStyle w:val="BookText"/>
        <w:rPr/>
      </w:pPr>
      <w:r>
        <w:rPr>
          <w:rFonts w:ascii="Amiri" w:hAnsi="Amiri" w:eastAsia="Amiri" w:cs="Amiri"/>
          <w:color w:val="111111"/>
          <w:sz w:val="28"/>
          <w:sz w:val="28"/>
          <w:szCs w:val="28"/>
          <w:rtl w:val="true"/>
          <w:lang w:bidi="ar-SA"/>
        </w:rPr>
        <w:t>على الخلاف، ومقتضى 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النظر إلى ما تعارف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بيان الملازمة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ما ذكر هو مراد من استدل على جواز النظر بأنه لو استويا لأمر الرجل بالاحتجاب كالنساء</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في المستمسك</w:t>
      </w:r>
      <w:r>
        <w:rPr>
          <w:rStyle w:val="FootnoteAnchor"/>
          <w:rtl w:val="true"/>
        </w:rPr>
        <w:footnoteReference w:id="1067"/>
      </w:r>
      <w:r>
        <w:rPr>
          <w:rFonts w:ascii="Amiri" w:hAnsi="Amiri" w:eastAsia="Amiri" w:cs="Amiri"/>
          <w:color w:val="111111"/>
          <w:sz w:val="28"/>
          <w:sz w:val="28"/>
          <w:szCs w:val="28"/>
          <w:rtl w:val="true"/>
          <w:lang w:bidi="ar-SA"/>
        </w:rPr>
        <w:t>بأنه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 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وجود الملازمة بين جواز الإظهار، وجواز النظر عرفاً، مطلقاً أو بالقيد المزبور، خاصة أن المسألة محل الابتلاء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بعنوان التأييد،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 ذلك مجيء الأسراء إلى المدينة واعتاقهن واختيار بنات كسرى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بسبب نظرهن إليهم</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نظر المرأة إلى الرجل عند إرادة الزواج</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جواز نظر المرأة إلى رجل تريد الزواج به محل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يدل نظرهن على الجواز لتقرير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ثبوت أصل القضية بحاجة إلى تتبع،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ويؤيده ملاحظة أنّ نظر المرأة إلى الرجل من حيث الحكم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واضح الحرمة، وإمّا أن يكون واضح الجواز، وإمّا أن يكون مشتبهاً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بعيد جداً؛ إذ لا يحتمل أن تكون حرمة نظر المرأة إلى الرجل أوضح من حرمة نظر الرجل إليها، بحيث يرد السؤال عن الثاني ولا يرد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يدفعه عدم السؤال عنه، ولا في رواية واحدة، فإنّه لو كان الحكم مشكوكاً ومشتبهاً فكيف لم يُسأل عنه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لم ينبّه عليه هو، بعدما عرفت أن المتعارف في الخارج ذلك؟</w:t>
      </w:r>
    </w:p>
    <w:p>
      <w:pPr>
        <w:pStyle w:val="BookText"/>
        <w:rPr/>
      </w:pPr>
      <w:r>
        <w:rPr>
          <w:rFonts w:ascii="Amiri" w:hAnsi="Amiri" w:eastAsia="Amiri" w:cs="Amiri"/>
          <w:color w:val="111111"/>
          <w:sz w:val="28"/>
          <w:sz w:val="28"/>
          <w:szCs w:val="28"/>
          <w:rtl w:val="true"/>
          <w:lang w:bidi="ar-SA"/>
        </w:rPr>
        <w:t xml:space="preserve">ومن هنا يتعيّن الاحتمال الثاني، وأنّ الحكم بالجواز كان واضحاً لدى المتشرعة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لم تكن هناك حاجة للسؤال عنه</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اعتماد الدليل المذكور على قاعدة لو كان لبان، ومع ملاحظة تلف الكثير من كتب الشيعة ورواياتهم تكون القاعدة محل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الكتب حفظت ثم أتلفت، فالكافي احتوى على كثير من تلك الكتب، وكثير من الروايات وصلت عبر الحفظ لا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جميع الروايات المتعلقة بنظر المرأة إلى الرجل أتلفت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رواية واحدة، حيث تكفينا لإثبات الحكم الشرعي فتلفت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مشتبهاً لتكرر السؤال عنه كالتظليل في الحج، وحيث لم يتكرر السؤال فهو إمّا واضح الجواز أو واضح الحرمة، والثاني غير معقول؛ لأنّ في نظر الرجل إلى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الأسئلة فوردت روايات متعددة، فلا يبقى إلا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خصوص العورتين</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مقتضي للتحريم فيما عدا العورتين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ليس هناك أي رواية معتبرة تدل على حرمة نظر المرأة إلى الرجل، وعليه فالحكم بالمنع مبني على الاحتياط</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مباني المنهاج</w:t>
      </w:r>
      <w:r>
        <w:rPr>
          <w:rStyle w:val="FootnoteAnchor"/>
          <w:rtl w:val="true"/>
        </w:rPr>
        <w:footnoteReference w:id="1074"/>
      </w:r>
      <w:r>
        <w:rPr>
          <w:rFonts w:ascii="Amiri" w:hAnsi="Amiri" w:eastAsia="Amiri" w:cs="Amiri"/>
          <w:color w:val="111111"/>
          <w:sz w:val="28"/>
          <w:sz w:val="28"/>
          <w:szCs w:val="28"/>
          <w:rtl w:val="true"/>
          <w:lang w:bidi="ar-SA"/>
        </w:rPr>
        <w:t>ناقش أدلة الحرمة وردها بأجمعها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آية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مضى التأمل في ثبوت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مستنكر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 بأنّ الاستنكار للوازم الغالبية لا للعمل في حد 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الضعيفة المنجبرة بالإجماع المدعى</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استناد المجمعين إلى هذه الروايات،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العثور على قائل بالجواز كذلك مما يوهن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ادعاء الإجماع من المهذب وعدم الخلاف من الحدائق على القول بالحرمة مطلقاً، كما مضت دعوى الإجماع على القول الثاني من صاحب الرياض والمحقق النراقي والشيخ الأعظم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يكون بها الجرح في فخذها أو بطنها أو عضدها، هل يصلح للرجل أن ينظر إليه ويعالجه؟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ببطن فخذه أو إليته الجرح هل يصلح للمرأة أن تنظر إليه وتداويه؟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عورة فلا بأس</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 كتاب قرب الإسناد وكتاب مسائل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اللذين وردت فيهما هذه الرواية</w:t>
      </w:r>
      <w:r>
        <w:rPr>
          <w:rStyle w:val="FootnoteAnchor"/>
          <w:rtl w:val="true"/>
        </w:rPr>
        <w:footnoteReference w:id="1077"/>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الإشكال في المسائل الفقهية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مضى الكلام في الإشكال في سند كتاب قرب الإسناد</w:t>
      </w:r>
      <w:r>
        <w:rPr>
          <w:rStyle w:val="FootnoteAnchor"/>
          <w:rtl w:val="true"/>
        </w:rPr>
        <w:footnoteReference w:id="1079"/>
      </w:r>
      <w:r>
        <w:rPr>
          <w:rFonts w:ascii="Amiri" w:hAnsi="Amiri" w:eastAsia="Amiri" w:cs="Amiri"/>
          <w:color w:val="111111"/>
          <w:sz w:val="28"/>
          <w:sz w:val="28"/>
          <w:szCs w:val="28"/>
          <w:rtl w:val="true"/>
          <w:lang w:bidi="ar-SA"/>
        </w:rPr>
        <w:t>، كما مضى الكلام في الإشكال في سند كتاب مسائل علي بن جعفر</w:t>
      </w:r>
      <w:r>
        <w:rPr>
          <w:rStyle w:val="FootnoteAnchor"/>
          <w:rtl w:val="true"/>
        </w:rPr>
        <w:footnoteReference w:id="108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المسائل الفقهية،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مطلق وشامل لصورتي الاضطرار وعدمه، فيمكن تقييده بصورة الاضطرار</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إنه تقييد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الجواب بعدم الجواز في المسألة الأولى وارد في صورة عدم الاضطرار، وإلا فلا إشكال في الجواز في صورة الاضطرار، فيكون كذلك في المسألة الثانية، فيدل على الجواز وإن لم يكن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بعدم وجود دليل على ورود الجوابين في مجلس واحد، فلا يصح الاستدلال بوحدة السياق، فتأمّل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ذيل الرواية دليل على أخفية نظرها إليه من نظره إليها، ورد </w:t>
      </w:r>
    </w:p>
    <w:p>
      <w:pPr>
        <w:pStyle w:val="BookText"/>
        <w:rPr/>
      </w:pPr>
      <w:r>
        <w:rPr>
          <w:rFonts w:ascii="Amiri" w:hAnsi="Amiri" w:eastAsia="Amiri" w:cs="Amiri"/>
          <w:color w:val="111111"/>
          <w:sz w:val="28"/>
          <w:sz w:val="28"/>
          <w:szCs w:val="28"/>
          <w:rtl w:val="true"/>
          <w:lang w:bidi="ar-SA"/>
        </w:rPr>
        <w:t>ذلك في الفقه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إذ ظاهرها نفي البأس المطلق لا نفي البأس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الجواز في مورد الحاجة، التي هي أعم من الاضطرار، فلا يمكن التعدي إلى غير موارد الحاجة، اللّهم إلا أن يفهم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إذ لعل مقام العلاج ونحوه من موارد الحاجة يختلف عن غيره في الحكم، وقد استثنى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النظر مقام المعالجة في عرض استثناء مقام الضرورة في أوائل كتاب النكاح</w:t>
      </w:r>
      <w:r>
        <w:rPr>
          <w:rStyle w:val="FootnoteAnchor"/>
          <w:rtl w:val="true"/>
        </w:rPr>
        <w:footnoteReference w:id="108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عدم اللذة والريبة ثم إنّ هنالك فروعاً في نظر المرأة إلى الرجل،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اللذة وعدم الريبة، ويظهر الحال فيها مما تقدّم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الكلام في الاستدلال بمداواة الجرحى، راجع في ذلك المسائل</w:t>
      </w:r>
      <w:r>
        <w:rPr>
          <w:rStyle w:val="FootnoteAnchor"/>
          <w:rtl w:val="true"/>
        </w:rPr>
        <w:footnoteReference w:id="1084"/>
      </w:r>
      <w:r>
        <w:rPr>
          <w:rFonts w:ascii="Amiri" w:hAnsi="Amiri" w:eastAsia="Amiri" w:cs="Amiri"/>
          <w:color w:val="111111"/>
          <w:sz w:val="28"/>
          <w:sz w:val="28"/>
          <w:szCs w:val="28"/>
          <w:rtl w:val="true"/>
          <w:lang w:bidi="ar-SA"/>
        </w:rPr>
        <w:t>والفقه فيما استثني من النظر</w:t>
      </w:r>
      <w:r>
        <w:rPr>
          <w:rStyle w:val="FootnoteAnchor"/>
          <w:rtl w:val="true"/>
        </w:rPr>
        <w:footnoteReference w:id="1085"/>
      </w:r>
      <w:r>
        <w:rPr>
          <w:rFonts w:ascii="Amiri" w:hAnsi="Amiri" w:eastAsia="Amiri" w:cs="Amiri"/>
          <w:color w:val="111111"/>
          <w:sz w:val="28"/>
          <w:sz w:val="28"/>
          <w:szCs w:val="28"/>
          <w:rtl w:val="true"/>
          <w:lang w:bidi="ar-SA"/>
        </w:rPr>
        <w:t>وروايات الموت</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522" w:name="pg15684_175610"/>
    </w:p>
    <w:p>
      <w:pPr>
        <w:pStyle w:val="Heading2"/>
        <w:numPr>
          <w:ilvl w:val="1"/>
          <w:numId w:val="1"/>
        </w:numPr>
        <w:rPr/>
      </w:pPr>
      <w:bookmarkStart w:id="523" w:name="__RefHeading___Toc11572960_2142443653"/>
      <w:bookmarkStart w:id="524" w:name="_Toc196"/>
      <w:bookmarkEnd w:id="522"/>
      <w:bookmarkEnd w:id="523"/>
      <w:r>
        <w:rPr>
          <w:rtl w:val="true"/>
        </w:rPr>
        <w:t>المسألة الخامسة</w:t>
      </w:r>
      <w:r>
        <w:rPr>
          <w:rtl w:val="true"/>
        </w:rPr>
        <w:t xml:space="preserve">: </w:t>
      </w:r>
      <w:r>
        <w:rPr>
          <w:rtl w:val="true"/>
        </w:rPr>
        <w:t>النظر إلى من يريد الزواج منها</w:t>
      </w:r>
      <w:bookmarkEnd w:id="52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11572962_2142443653"/>
      <w:bookmarkStart w:id="526" w:name="_Toc197"/>
      <w:bookmarkEnd w:id="525"/>
      <w:r>
        <w:rPr>
          <w:rtl w:val="true"/>
        </w:rPr>
        <w:t>اشارة</w:t>
      </w:r>
      <w:bookmarkEnd w:id="52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5684_175612"/>
      <w:bookmarkStart w:id="528" w:name="pg15684_175612"/>
      <w:bookmarkEnd w:id="528"/>
    </w:p>
    <w:p>
      <w:pPr>
        <w:pStyle w:val="Heading3"/>
        <w:numPr>
          <w:ilvl w:val="2"/>
          <w:numId w:val="1"/>
        </w:numPr>
        <w:rPr/>
      </w:pPr>
      <w:bookmarkStart w:id="529" w:name="pg15684_175612"/>
      <w:bookmarkStart w:id="530" w:name="__RefHeading___Toc11572964_2142443653"/>
      <w:bookmarkStart w:id="531" w:name="_Toc198"/>
      <w:bookmarkEnd w:id="529"/>
      <w:bookmarkEnd w:id="530"/>
      <w:r>
        <w:rPr>
          <w:rtl w:val="true"/>
        </w:rPr>
        <w:t>المسألة الخامسة</w:t>
      </w:r>
      <w:r>
        <w:rPr>
          <w:rtl w:val="true"/>
        </w:rPr>
        <w:t xml:space="preserve">: </w:t>
      </w:r>
      <w:r>
        <w:rPr>
          <w:rtl w:val="true"/>
        </w:rPr>
        <w:t>النظر إلى من يريد الزواج منها</w:t>
      </w:r>
      <w:bookmarkEnd w:id="531"/>
    </w:p>
    <w:p>
      <w:pPr>
        <w:pStyle w:val="BookText"/>
        <w:rPr/>
      </w:pPr>
      <w:r>
        <w:rPr>
          <w:rFonts w:ascii="Amiri" w:hAnsi="Amiri" w:eastAsia="Amiri" w:cs="Amiri"/>
          <w:color w:val="111111"/>
          <w:sz w:val="28"/>
          <w:sz w:val="28"/>
          <w:szCs w:val="28"/>
          <w:rtl w:val="true"/>
          <w:lang w:bidi="ar-SA"/>
        </w:rPr>
        <w:t>ولا إشكال في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الرياض</w:t>
      </w:r>
      <w:r>
        <w:rPr>
          <w:rStyle w:val="FootnoteAnchor"/>
          <w:rtl w:val="true"/>
        </w:rPr>
        <w:footnoteReference w:id="1087"/>
      </w:r>
      <w:r>
        <w:rPr>
          <w:rFonts w:ascii="Amiri" w:hAnsi="Amiri" w:eastAsia="Amiri" w:cs="Amiri"/>
          <w:color w:val="111111"/>
          <w:sz w:val="28"/>
          <w:sz w:val="28"/>
          <w:szCs w:val="28"/>
          <w:rtl w:val="true"/>
          <w:lang w:bidi="ar-SA"/>
        </w:rPr>
        <w:t>نقل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في جواز النظر إلى وجهها ويديها إلى الزند، واستفاضت عليه حكاية الإجماع بل تحقق، فهو الحجة فيه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المسلمين في أنه يجوز أن ينظر إلى وجه امرأة يريد نكاحها وإن لم يستأذنها، وكفيها، بل الإجماع بقسميه عليه، بل المحكي منهما مستفيض أو متواتر</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الفقه</w:t>
      </w:r>
      <w:r>
        <w:rPr>
          <w:rStyle w:val="FootnoteAnchor"/>
          <w:rtl w:val="true"/>
        </w:rPr>
        <w:footnoteReference w:id="1090"/>
      </w:r>
      <w:r>
        <w:rPr>
          <w:rFonts w:ascii="Amiri" w:hAnsi="Amiri" w:eastAsia="Amiri" w:cs="Amiri"/>
          <w:color w:val="111111"/>
          <w:sz w:val="28"/>
          <w:sz w:val="28"/>
          <w:szCs w:val="28"/>
          <w:rtl w:val="true"/>
          <w:lang w:bidi="ar-SA"/>
        </w:rPr>
        <w:t>نقل عليه الإجماع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الإجماع في الجملة في المهذب</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فقه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 الجملة</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وتدل عليه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مستفيضة</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أن يتزوج المرأة أينظر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يشتريها بأغلى الثمن</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صحيحة، لكن عبر عنها في الرياض بالحسنة</w:t>
      </w:r>
      <w:r>
        <w:rPr>
          <w:rStyle w:val="FootnoteAnchor"/>
          <w:rtl w:val="true"/>
        </w:rPr>
        <w:footnoteReference w:id="1096"/>
      </w:r>
      <w:r>
        <w:rPr>
          <w:rFonts w:ascii="Amiri" w:hAnsi="Amiri" w:eastAsia="Amiri" w:cs="Amiri"/>
          <w:color w:val="111111"/>
          <w:sz w:val="28"/>
          <w:sz w:val="28"/>
          <w:szCs w:val="28"/>
          <w:rtl w:val="true"/>
          <w:lang w:bidi="ar-SA"/>
        </w:rPr>
        <w:t>، وفي الحدائق عبر عنها بالصحيح أو الحسن</w:t>
      </w:r>
      <w:r>
        <w:rPr>
          <w:rStyle w:val="FootnoteAnchor"/>
          <w:rtl w:val="true"/>
        </w:rPr>
        <w:footnoteReference w:id="1097"/>
      </w:r>
      <w:r>
        <w:rPr>
          <w:rFonts w:ascii="Amiri" w:hAnsi="Amiri" w:eastAsia="Amiri" w:cs="Amiri"/>
          <w:color w:val="111111"/>
          <w:sz w:val="28"/>
          <w:sz w:val="28"/>
          <w:szCs w:val="28"/>
          <w:rtl w:val="true"/>
          <w:lang w:bidi="ar-SA"/>
        </w:rPr>
        <w:t>، وعلى كل حال فهي معتبرة، والمختار أنها صحيحة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تولد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عند البعض، وللسيد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تعليقة على هذه العبارة،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يراد بالثمن نفس الرجل؛ لأنّ العوضين في النكاح الرجل والمرأة، وإنما المهر حلاوة، وإن كان قد يطلق على المهر بأنه بدل البضع</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ما ببالي في بعض الكتب الفقهية</w:t>
      </w:r>
      <w:r>
        <w:rPr>
          <w:rStyle w:val="FootnoteAnchor"/>
          <w:rtl w:val="true"/>
        </w:rPr>
        <w:footnoteReference w:id="1100"/>
      </w:r>
      <w:r>
        <w:rPr>
          <w:rFonts w:ascii="Amiri" w:hAnsi="Amiri" w:eastAsia="Amiri" w:cs="Amiri"/>
          <w:color w:val="111111"/>
          <w:sz w:val="28"/>
          <w:sz w:val="28"/>
          <w:szCs w:val="28"/>
          <w:rtl w:val="true"/>
          <w:lang w:bidi="ar-SA"/>
        </w:rPr>
        <w:t>أنّ البضع إنما هو في قبال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نكاح الشغار الباطل عندنا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محمّد بن أبي عمير، عن هشام بن سالم، وحماد بن عثمان، وحفص بن البختري،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ينظر إلى وجهها ومعاصمها إذا أراد أن يتزوجها</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صحيحة وفي الرياض</w:t>
      </w:r>
      <w:r>
        <w:rPr>
          <w:rStyle w:val="FootnoteAnchor"/>
          <w:rtl w:val="true"/>
        </w:rPr>
        <w:footnoteReference w:id="1102"/>
      </w:r>
      <w:r>
        <w:rPr>
          <w:rFonts w:ascii="Amiri" w:hAnsi="Amiri" w:eastAsia="Amiri" w:cs="Amiri"/>
          <w:color w:val="111111"/>
          <w:sz w:val="28"/>
          <w:sz w:val="28"/>
          <w:szCs w:val="28"/>
          <w:rtl w:val="true"/>
          <w:lang w:bidi="ar-SA"/>
        </w:rPr>
        <w:t>الحسن أو الصحيح، وكذا في الحدائق</w:t>
      </w:r>
      <w:r>
        <w:rPr>
          <w:rStyle w:val="FootnoteAnchor"/>
          <w:rtl w:val="true"/>
        </w:rPr>
        <w:footnoteReference w:id="1103"/>
      </w:r>
      <w:r>
        <w:rPr>
          <w:rFonts w:ascii="Amiri" w:hAnsi="Amiri" w:eastAsia="Amiri" w:cs="Amiri"/>
          <w:color w:val="111111"/>
          <w:sz w:val="28"/>
          <w:sz w:val="28"/>
          <w:szCs w:val="28"/>
          <w:rtl w:val="true"/>
          <w:lang w:bidi="ar-SA"/>
        </w:rPr>
        <w:t>، وفي المستند حسنة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أو صحيح ابن السري،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w:t>
      </w:r>
      <w:r>
        <w:rPr>
          <w:rStyle w:val="FootnoteAnchor"/>
          <w:rtl w:val="true"/>
        </w:rPr>
        <w:footnoteReference w:id="1105"/>
      </w:r>
      <w:r>
        <w:rPr>
          <w:rFonts w:ascii="Amiri" w:hAnsi="Amiri" w:eastAsia="Amiri" w:cs="Amiri"/>
          <w:color w:val="111111"/>
          <w:sz w:val="28"/>
          <w:sz w:val="28"/>
          <w:szCs w:val="28"/>
          <w:rtl w:val="true"/>
          <w:lang w:bidi="ar-SA"/>
        </w:rPr>
        <w:t>، عن ابن مسكان، عن الحسن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الرجل يريد أن يتزوج المرأة يتأملها وينظر إلى خلفها وإلى 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ينظر الرجل إلى المرأة إذا أراد أن يتزوجها، ينظر إلى خلقها وإلى وجهها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هنالك إشكال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عبر عن هذه الرواية بعضهم بالصحيحة، إلا أنّ الأمر ليس كذلك، فإنّ الحسن بن السري قد ورد توثيقه عن النجاشي في كلمات ابن داود والعلامة والميرزا الاسترابادي، غير أنّ السيد التفرشي قد ذكر بأنّ ذلك غير موجود في كلمات النجاشي، مع أنّ لديه أربع نسخ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لم نعثر عليه عند مراجعتنا للنسخة الصحيحة، وعلى هذا فلا تثبت وثاقة الرجل، ولا يمكن العمل بروايته</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أصالة عدم الزيادة مقدمة على أصالة عدم النقيصة، فإنّ لرجال النجاشي نسخاً متعددة، وقد وصلت إلى السيد التفرشي أربع نسخ لم يوجد فيها التوثيق، لكن النسخة التي وصلت إلى العلامة وابن داود والاسترابادي كان فيها التوثيق، ونضيف أيضاً النسخة التي وصلت إلى الحر العاملي، حيث إنه وثقه 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النسخ التي وصلت إلى السيد التفرشي كان فيها نقيصة، أو النسخ التي وصلت إلى هؤلاء كان فيها زيادة، وأصالة عدم الزيادة مقدمة على أصالة عدم النقيصة من الناحية العقلائية؛ لأنّ النقيصة ممكنة، حيث قد يزيغ القلم أو النظر عن كلمة بخلاف الزيادة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القبول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وثاقته توثيق العلامة له صريحاً في الخلاصة</w:t>
      </w:r>
      <w:r>
        <w:rPr>
          <w:rStyle w:val="FootnoteAnchor"/>
          <w:rtl w:val="true"/>
        </w:rPr>
        <w:footnoteReference w:id="1108"/>
      </w:r>
      <w:r>
        <w:rPr>
          <w:rFonts w:ascii="Amiri" w:hAnsi="Amiri" w:eastAsia="Amiri" w:cs="Amiri"/>
          <w:color w:val="111111"/>
          <w:sz w:val="28"/>
          <w:sz w:val="28"/>
          <w:szCs w:val="28"/>
          <w:rtl w:val="true"/>
          <w:lang w:bidi="ar-SA"/>
        </w:rPr>
        <w:t>بناء على قبول توثيقات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وثقه الطريحي في مشتركاته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يقال بوثاقته لرواية جعفر بن بشير عنه، وإن كان المبنى</w:t>
      </w:r>
      <w:r>
        <w:rPr>
          <w:rStyle w:val="FootnoteAnchor"/>
          <w:rtl w:val="true"/>
        </w:rPr>
        <w:footnoteReference w:id="1109"/>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يقال بوثاقته لرواية الأجلاء عنه، كزرارة ويونس بن عبد الرحمن والبرقي وغيرهم، وإن كان في المبنى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هنالك روايتان يظهر منهما ذم الرجل</w:t>
      </w:r>
      <w:r>
        <w:rPr>
          <w:rStyle w:val="FootnoteAnchor"/>
          <w:rtl w:val="true"/>
        </w:rPr>
        <w:footnoteReference w:id="1110"/>
      </w:r>
      <w:r>
        <w:rPr>
          <w:rFonts w:ascii="Amiri" w:hAnsi="Amiri" w:eastAsia="Amiri" w:cs="Amiri"/>
          <w:color w:val="111111"/>
          <w:sz w:val="28"/>
          <w:sz w:val="28"/>
          <w:szCs w:val="28"/>
          <w:rtl w:val="true"/>
          <w:lang w:bidi="ar-SA"/>
        </w:rPr>
        <w:t>، لكن ضعف سندهما أسقطهما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لما ذكرناه عبّر عن هذه الرواية بالصحيحة في الحدائق والرياض والمستند والمستمسك والفقه والمهذب وفقه الصادق</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 أنّ الرواية صحيحة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أو ضعيفته،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عيسى، عن الهيثم بن أبي مسروق النهدي، عن الحكم بن مسكين،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الرجل يريد أن يتزوج المرأة، أينظر إلى شعرها،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يريد أن يشتريها بأغلى الثمن</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 عن هذه الرواية بالصحيحة في الفقه وشرح العروة والمهذب وفقه </w:t>
      </w:r>
    </w:p>
    <w:p>
      <w:pPr>
        <w:pStyle w:val="BookText"/>
        <w:rPr/>
      </w:pPr>
      <w:r>
        <w:rPr>
          <w:rFonts w:ascii="IRNazanin" w:hAnsi="IRNazanin" w:eastAsia="IRNazanin"/>
          <w:color w:val="111111"/>
          <w:sz w:val="28"/>
          <w:sz w:val="28"/>
          <w:szCs w:val="28"/>
          <w:rtl w:val="true"/>
          <w:lang w:bidi="fa-IR"/>
        </w:rPr>
        <w:t>الصادق</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والضعيفة بجهالة الراوي في الشعر خاصة</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المجهول في الهامش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الحكم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النظر في سند هذه الرواية،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وهو الشيخ الطوسي، بإسناده عن أحمد بن محمد بن عيسى الأشعري القمي، وهو ثقة، وطريق الطوسي إليه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الهيثم بن أبي مسروق النهدي، وفيه بحث، أنه الهيثم أو الهاشم؟ والأول ثقة والثاني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الحكم بن مسكين،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السند مشكلتان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الحكم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التهذيب الطبعة القديمة الهاشم بن أبي مسروق النهدي بدل هيثم، وهو مجهول غير مذكور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كيف عبر هؤلاء الأعلام عنها بالصحيحة؟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المذكور</w:t>
      </w:r>
      <w:r>
        <w:rPr>
          <w:rStyle w:val="FootnoteAnchor"/>
          <w:rtl w:val="true"/>
        </w:rPr>
        <w:footnoteReference w:id="1115"/>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للطبعة الحديثة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فإن الهاشم بن أبي مسروق النهدي لا وجود له في كتب الأخبار والرجال</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أفاد ذلك اليقين أو الاطمئنان فبها، وإلا فيمكن التغلب على كلتا المشكلتين بالتعويض عن هذا الطريق بطريق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مراجعة المشيخة يتبين أن طريق الصدوق إلى عبد اللّه بن سنان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عبد اللّه بن سنان، فقد رويته عن أبي رضي اللّه عنه، عن عبد اللّه بن جعفر الحميري، عن أيوب بن نوح، عن محمّد بن أبي عمير، عن عبد اللّه بن سنان</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صحة الرواية، وكأنّ صاحب الرياض لم يلتفت إلى وجود الطريق الآخر، فعبر عنها بالضعيفة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السيد الخوئي ذكر الطريق غير المعتبر، وعبر عنه بالصحيحة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أو موثق أو صحيح غياث،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عيسى عن محمّد بن يحيى</w:t>
      </w:r>
      <w:r>
        <w:rPr>
          <w:rStyle w:val="FootnoteAnchor"/>
          <w:rtl w:val="true"/>
        </w:rPr>
        <w:footnoteReference w:id="1118"/>
      </w:r>
      <w:r>
        <w:rPr>
          <w:rFonts w:ascii="Amiri" w:hAnsi="Amiri" w:eastAsia="Amiri" w:cs="Amiri"/>
          <w:color w:val="111111"/>
          <w:sz w:val="28"/>
          <w:sz w:val="28"/>
          <w:szCs w:val="28"/>
          <w:rtl w:val="true"/>
          <w:lang w:bidi="ar-SA"/>
        </w:rPr>
        <w:t xml:space="preserve">، عن غياث بن إبراهيم،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رجل ينظر إلى محاسن </w:t>
      </w:r>
    </w:p>
    <w:p>
      <w:pPr>
        <w:pStyle w:val="BookText"/>
        <w:rPr/>
      </w:pPr>
      <w:r>
        <w:rPr>
          <w:rFonts w:ascii="Amiri" w:hAnsi="Amiri" w:eastAsia="Amiri" w:cs="Amiri"/>
          <w:color w:val="111111"/>
          <w:sz w:val="28"/>
          <w:sz w:val="28"/>
          <w:szCs w:val="28"/>
          <w:rtl w:val="true"/>
          <w:lang w:bidi="ar-SA"/>
        </w:rPr>
        <w:t>امرأة يريد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هو مستام، فإن يُقض أمر يكون</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 عنها في الفقه بالخبر، وفي الرياض والمستند بالموثق، وفي شرح العروة بالصحيحة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لنا أنّ الرواية صحيحة؛ لتوثيق النجاشي لغياث بن إبراهيم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التعبير بالموثق؛ لاشتراك غياث بن إبراهيم مع رجل آخر بتري، وقد رجح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غيره بلحاظ الطبقات</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في العلل عن أبيه، عن سعد، عن أحمد بن محمّد، عن البزنطي، عن يونس بن يعقوب،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الرجل يريد أن يتزوج المرأة يجوز له أن 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وترقق له الثياب؛ لأنه يريد أن يشتريها بأغلى الثمن</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عنها في الفقه بموثق يونس بن يعقوب، وكذا في الرياض وفقه الصادق</w:t>
      </w:r>
      <w:r>
        <w:rPr>
          <w:rStyle w:val="FootnoteAnchor"/>
          <w:rtl w:val="true"/>
        </w:rPr>
        <w:footnoteReference w:id="1124"/>
      </w:r>
      <w:r>
        <w:rPr>
          <w:rFonts w:ascii="Amiri" w:hAnsi="Amiri" w:eastAsia="Amiri" w:cs="Amiri"/>
          <w:color w:val="111111"/>
          <w:sz w:val="28"/>
          <w:sz w:val="28"/>
          <w:szCs w:val="28"/>
          <w:rtl w:val="true"/>
          <w:lang w:bidi="ar-SA"/>
        </w:rPr>
        <w:t>، ويمكن التعبير عنها بالصحيحة أيضاً؛ وذلك للكلام في يونس بن يعقوب، حيث كان فطحياً ثم رجع</w:t>
      </w:r>
      <w:r>
        <w:rPr>
          <w:rStyle w:val="FootnoteAnchor"/>
          <w:rtl w:val="true"/>
        </w:rPr>
        <w:footnoteReference w:id="1125"/>
      </w:r>
      <w:r>
        <w:rPr>
          <w:rFonts w:ascii="Amiri" w:hAnsi="Amiri" w:eastAsia="Amiri" w:cs="Amiri"/>
          <w:color w:val="111111"/>
          <w:sz w:val="28"/>
          <w:sz w:val="28"/>
          <w:szCs w:val="28"/>
          <w:rtl w:val="true"/>
          <w:lang w:bidi="ar-SA"/>
        </w:rPr>
        <w:t xml:space="preserve">، ولعل التعبير عنها بالموثقة لأجل </w:t>
      </w:r>
    </w:p>
    <w:p>
      <w:pPr>
        <w:pStyle w:val="BookText"/>
        <w:rPr/>
      </w:pPr>
      <w:r>
        <w:rPr>
          <w:rFonts w:ascii="Amiri" w:hAnsi="Amiri" w:eastAsia="Amiri" w:cs="Amiri"/>
          <w:color w:val="111111"/>
          <w:sz w:val="28"/>
          <w:sz w:val="28"/>
          <w:szCs w:val="28"/>
          <w:rtl w:val="true"/>
          <w:lang w:bidi="ar-SA"/>
        </w:rPr>
        <w:t>ذلك ولأجل رجوعه يمكن التعبير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روايات أخرى كثيرة، لعل معظمها أو كلها لا يخلو من تأمل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الحكم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الحكم من الأمور العقلائية حين الزواج إن كان بلا تلذذ وكما يأتي، لا أن يكون تعبداً شرعياً، ويشهد له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يشتريها بأغلى الثمن، فإنه تعليل بالمرتكزات العقلائية</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إذ ورود الدليل الشرعي في مورد البناء العقلائي لا يخرجه عن ظهوره في التعبدية إلى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اليقين لا ينقض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يحمل على الإرشادية؟</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فهل يحمل على الإرشادية؛ لوروده في مورد الأمر العقلائي ووجود التعليل؟</w:t>
      </w:r>
    </w:p>
    <w:p>
      <w:pPr>
        <w:pStyle w:val="BookText"/>
        <w:rPr/>
      </w:pPr>
      <w:r>
        <w:rPr>
          <w:rFonts w:ascii="Amiri" w:hAnsi="Amiri" w:eastAsia="Amiri" w:cs="Amiri"/>
          <w:color w:val="111111"/>
          <w:sz w:val="28"/>
          <w:sz w:val="28"/>
          <w:szCs w:val="28"/>
          <w:rtl w:val="true"/>
          <w:lang w:bidi="ar-SA"/>
        </w:rPr>
        <w:t>وكذا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تختلف حدود التعبد الشرعي عن حدود البناء العقلائي، فإذا صرفنا الدليل الشرعي عن المولوية إلى الإرشادية كان المدار البناء </w:t>
      </w:r>
    </w:p>
    <w:p>
      <w:pPr>
        <w:pStyle w:val="BookText"/>
        <w:rPr/>
      </w:pPr>
      <w:r>
        <w:rPr>
          <w:rFonts w:ascii="Amiri" w:hAnsi="Amiri" w:eastAsia="Amiri" w:cs="Amiri"/>
          <w:color w:val="111111"/>
          <w:sz w:val="28"/>
          <w:sz w:val="28"/>
          <w:szCs w:val="28"/>
          <w:rtl w:val="true"/>
          <w:lang w:bidi="ar-SA"/>
        </w:rPr>
        <w:t>العقلائي، وقد يكون بينه وبين الدليل الشرعي عموم مطلق أو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في المقام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والروايات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أفاده السيد الأستاذ في بحثه، نسأل اللّه أن يتغمده بواسع رحمته، وأن يسكنه مع محمد وآله الأطهار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532" w:name="pg15684_175622"/>
    </w:p>
    <w:p>
      <w:pPr>
        <w:pStyle w:val="Heading2"/>
        <w:numPr>
          <w:ilvl w:val="1"/>
          <w:numId w:val="1"/>
        </w:numPr>
        <w:rPr/>
      </w:pPr>
      <w:bookmarkStart w:id="533" w:name="__RefHeading___Toc11572966_2142443653"/>
      <w:bookmarkStart w:id="534" w:name="_Toc199"/>
      <w:bookmarkEnd w:id="532"/>
      <w:bookmarkEnd w:id="533"/>
      <w:r>
        <w:rPr>
          <w:rtl w:val="true"/>
        </w:rPr>
        <w:t>مصادر التحقيق</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 تقريرات الشيخ محمد حسين النائيني، منشورات المصطفوي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الشيخ أحمد بن علي الطبرسي، مطبعة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الشيخ المفيد محمد بن محمد بن النعمان البغدادي،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بن الحسن الطوسي،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السائل، السيد محمد رضا الموسوي الگلپايگاني، دار الصفوة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الشيخ المفيد محمد بن محمد بن النعمان البغدادي،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 الشيخ محمد بن الحسن الطوسي،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 الشيخ محمد رضا المظفر،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إقبال الأعمال، السيد علي بن موسی بن جعفر بن طاووس الحلّي، </w:t>
      </w:r>
    </w:p>
    <w:p>
      <w:pPr>
        <w:pStyle w:val="BookText"/>
        <w:rPr/>
      </w:pP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الصدوق محمد بن علي القمّي،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الفوائد في شرح إشكالات القواعد، فخر المحققين الشيخ محمد بن الحسن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 الشيخ محمد باقر المجلسي، مؤسسة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 تقريرات السيد محمد باقر الصدر، مؤسسة دائرة معارف الفقه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الأفكار، الشيخ حبيب اللّه الرشتي،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السيد هاشم الحسيني البحراني،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محمد بن الحسن الصفار، منشورات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الأصول، السيد صادق الحسيني الشيرازي، دار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 الشيخ محمد بن الحسن الطوسي،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تبيين الأصول، السيد محمد رضا الحسيني الشيرازي، ياس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القرآن، السيد محمد الحسيني الشيرازي، دار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الأحكام الشرعية على مذهب الإمامية، العلاّمة الحسن بن </w:t>
      </w:r>
    </w:p>
    <w:p>
      <w:pPr>
        <w:pStyle w:val="BookText"/>
        <w:rPr/>
      </w:pPr>
      <w:r>
        <w:rPr>
          <w:rFonts w:ascii="Amiri" w:hAnsi="Amiri" w:eastAsia="Amiri" w:cs="Amiri"/>
          <w:color w:val="111111"/>
          <w:sz w:val="28"/>
          <w:sz w:val="28"/>
          <w:szCs w:val="28"/>
          <w:rtl w:val="true"/>
          <w:lang w:bidi="ar-SA"/>
        </w:rPr>
        <w:t xml:space="preserve">يوسف الحلّي،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الشيخ الحسن بن علي الحرّاني،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العلامة الحسن بن يوسف الحلي،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العلامة الحسن بن يوسف الحلي،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معالم الأصول، السيد علي الموسوي القزويني،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منهج المقال، الشيخ محمد باقر الوحيد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علي بن إبراهيم القمي، مؤسسة دار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القرآن إلى الأذهان، السيد محمد الحسيني الشيرازي، دار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العروة الوثقى، السيد محمد كاظم الطباطبائي اليزدي، 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الرائع لمختصر الشرائع، الشيخ المقداد بن عبد اللّه السيوري، مكتبة السيد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الشيخ محمد بن الحسن الطوسي،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أحاديث الشيعة، السيد حسين الطباطبائي البروجردي، المطبعة 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وإزاحة الاشتباهات عن الطرق والأسناد، الشيخ محمد بن علي الأردبيلي، مكتبة المحمدي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المدارك في شرح المختصر النافع، السيد أحمد الموسوي الخوانساري،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في شرح القواعد، الشيخ علي بن الحسين الكركي،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أهل الموصل في العدد والرؤية، الشيخ المفيد محمد بن محمد بن النعمان البغدادي، دار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الجامع، الشيخ الفضل بن الحسن الطبرسي،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 الشيخ محمد حسن النجفي،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 الشيخ يوسف البحراني،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الشيخ الصدوق محمد بن علي القمّي،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في معرفة الرجال، العلامة الحسن بن يوسف الحلي، مؤسسة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الشيخ محمد بن الحسن الطوسي،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 الشيخ محمد بن جرير الطبري، مؤسسة البعثة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الشهيد الشيخ محمد بن جمال الدين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الشيخ أحمد بن علي النجاشي،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ابن داود الحلي، المطبعة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أحمد بن الحسين الغضائري،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الرجالية، الشيخ محمّد بن محمّد إبراهيم الكلباسي،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في علم الدراية، الشهيد الشيخ زين الدين بن علي العاملي، مكتبة السيد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 الشهيد الشيخ زين الدين بن علي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 السيد علي الطباطبائي،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التفاسير، الشيخ فتح اللّه الكاشاني، مؤسسة المعارف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 الشيخ محمد بن منصور بن أحمد بن إدريس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 المحقق الشيخ جعفر بن الحسن الحلي، منشورات استقلال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العروة الوثقی، تقريرات السيد أبو القاسم الموسوي الخوئي، مؤسسة الخوئي الإسلامية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عبدالحميد بن هبة اللّه بن محمد بن محمد بن محمد بن حسين بن أبي الحديد المعتزلي، 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إسماعيل بن حمّاد الجوهري، 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استفتاءات السيد الخوئي مع تعليقة الشيخ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في أصول الفقه، الشيخ 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السيد محمد كاظم الطباطبائي اليزدي،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السيد محمد كاظم الطباطبائي اليزدي،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الشيخ الصدوق محمد بن علي القمّي، المكتبة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الصدوق محمد بن علي القمي،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غنية النزوع إلى علمي الأصول والفروع، السيد حمزة بن علي بن زهرة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 الشيخ مرتضى الأنصاري،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 في الأصول الفقهية، الشيخ محمد حسين الإصفهاني، دار إحياء العلوم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محمد الحسيني الشيرازي، مركز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استدلالية في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الحسيني الشيرازي، دار العلوم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الصادق، السيد محمد صادق الحسيني الروحاني، مدرسة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الشيخ محمد بن الحسن الطوسي، مؤسسة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السيد محمد مهدي بحر العلوم، مكتبة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الشيخ عبد اللّه بن جعفر الحميري،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العلامة الشيخ الحسن بن يوسف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الفقهية، السيد حسن الموسوي البجنوردي، نشر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الأصول، الشيخ أبو القاسم القمي، 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في الفقه، الشيخ تقي الدين أبي الصلاح الحلبي،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ثقة الإسلام الشيخ محمد بن يعقوب الكليني،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الشيخ جعفر بن محمد بن قولويه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 تقريرات السيد محمد المحقق الداماد،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 الشيخ مرتضي الأنصاري،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 الخليل بن أحمد الفراهيدي،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النكاح، الشيخ مرتضى الأنصاري، مجمع الفكر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 محمود بن عمر الزمخشري، مكتبة البابي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 الشيخ محمد بن الحسن الإصفهاني،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الشيخ محمد كاظم الخراساني،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محمد باقر السبزواري،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التقوى، الشيخ محمد أمين زين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العرفان في فقه القرآن، الشيخ المقداد بن عبد اللّه السيوري، المكتبة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محمد بن مكرم بن منظور الإفريقي،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الدمشقية، الشهيد الشيخ محمد بن جمال الدين العاملي،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العروة الوثقى، تقريرات السيد أبو القاسم الموسوي الخوئي، مدرسة دار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منهاج الصالحين، السيد تقي الطباطبائي القمّي، منشورات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المبسوط في فقه الإمامية، الشيخ محمد بن الحسن الطوسي، المكتبة المرتضوية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الأفكار ومطرح الأنظار، تقريرات الشيخ هاشم الآملي، 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الشيخ فخر الدين بن محمد علي الطريحي، مكتبة المرتضوي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 الشيخ الفضل بن الحسن الطبرسي،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في أصول الفقه، تقريرات السيد أبو القاسم الموسوي الخوئي،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في أصول الفقه، السيد محمد سعيد الطباطبائي الحكيم، مؤسسة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العلامة الشيخ الحسن بن يوسف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الشيخ محمد باقر المجلسي،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إسلام، الشهيد الشيخ زين الدين بن علي العاملي، مؤسسة المعارف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الصاغانية، الشيخ المفيد محمد بن محمد بن النعمان البغدادي،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الفقهية، السيد محمد الرجائي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المتجددة، السيد محمد الحسيني الشيرازي، مؤسسة </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المستحدثة، السيد محمد صادق الحسيني الروحاني، دار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علي بن جعفر،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الشيخ حسين النوري الطبرسي،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 السيد محسن الطباطبائي الحكيم، 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في أحكام الشريعة، الشيخ أحمد بن محمد مهدي النراقي،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الشموس في شرح الدروس، الشيخ الحسين بن جمال الدين الخوانساري،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الأصول، تقريرات السيد أبو القاسم الموسوي الخوئي، 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الفقيه، الشيخ رضا بن محمد هادي الهمداني، المؤسسة الجعفرية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الفقيه، الشيخ رضا بن محمد هادي الهمداني، 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في غريب الشرح الكبير، أحمد بن محمد الفيومي،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الدين وملاذ المجتهدين، الشيخ الحسن بن زين الدين </w:t>
      </w:r>
    </w:p>
    <w:p>
      <w:pPr>
        <w:pStyle w:val="BookText"/>
        <w:rPr/>
      </w:pPr>
      <w:r>
        <w:rPr>
          <w:rFonts w:ascii="Amiri" w:hAnsi="Amiri" w:eastAsia="Amiri" w:cs="Amiri"/>
          <w:color w:val="111111"/>
          <w:sz w:val="28"/>
          <w:sz w:val="28"/>
          <w:szCs w:val="28"/>
          <w:rtl w:val="true"/>
          <w:lang w:bidi="ar-SA"/>
        </w:rPr>
        <w:t>العاملي،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الشيخ الصدوق محمّد بن علي القمّي،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المحقق الشيخ جعفر بن الحسن الحلي، 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السيد أبو القاسم الموسوي الخوئي،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 أحمد بن فارس،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عبد اللّه بن أحمد،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الأصول، السيد محمد الطباطبائي المجاهد،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 الحسين بن محمد الراغب الإصفهاني، مكتب نشر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الشيخ المفيد محمد بن محمد بن النعمان البغدادي،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الشيخ الحسن بن الفضل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 محمّد بن عليّ القمّي،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الجمان في الأحاديث الصحاح والحسان، الشيخ الحسن بن زين الدين العاملي،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منتهى الأصول، السيد حسن الموسوي البجنوردي، مؤسسة العروج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في أحوال الرجال، الشيخ محمد بن إسماعيل المازندراني،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في اللغة والأعلام، لويس معلوف، دار المشرق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المنطق، الشيخ محمد رضا المظفر،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 السيد علي الحسيني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السائل، السيد أبو القاسم الموسوي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مهذب الأحكام في بيان الحلال والحرام، السيد عبد الأعلى الموسوي السبزواري، مؤسسة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في شرح المختصر النافع، الشيخ أحمد بن محمد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السيد مصطفى الحسيني التفرشي،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 تقريرات الشيخ ضياء الدين العراقي،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في شرح الكفاية، الشيخ محمد حسين الإصفهاني، منشورات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المرام في علم الكلام، العلامة الحسن بن يوسف الحلّي،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النهاية في شرح الكفاية، الشيخ علي الإيرواني، مكتب الإعلام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 المبارك بن محمّد الجزري، مؤسّسة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والفتاوى، الشيخ 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المسترشدين، الشيخ محمد تقي الإصفهاني،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الوجيزة في علم الرجال، الشيخ محمد باقر المجلسي،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الشيخ محمد بن الحسن الحر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 إلى نيل الفضيلة، الشيخ محمد بن علي الطوسي، مكتبة السيد المرعشي</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5684_175636"/>
      <w:bookmarkStart w:id="536" w:name="pg15684_175636"/>
      <w:bookmarkEnd w:id="536"/>
    </w:p>
    <w:p>
      <w:pPr>
        <w:pStyle w:val="Heading2"/>
        <w:numPr>
          <w:ilvl w:val="1"/>
          <w:numId w:val="1"/>
        </w:numPr>
        <w:rPr/>
      </w:pPr>
      <w:bookmarkStart w:id="537" w:name="pg15684_175636"/>
      <w:bookmarkStart w:id="538" w:name="__RefHeading___Toc11572968_2142443653"/>
      <w:bookmarkStart w:id="539" w:name="_Toc200"/>
      <w:bookmarkEnd w:id="537"/>
      <w:bookmarkEnd w:id="538"/>
      <w:r>
        <w:rPr>
          <w:rtl w:val="true"/>
        </w:rPr>
        <w:t>فهرس المحتويات</w:t>
      </w:r>
      <w:bookmarkEnd w:id="53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المسألة الأولى</w:t>
      </w:r>
    </w:p>
    <w:p>
      <w:pPr>
        <w:pStyle w:val="BookText"/>
        <w:rPr/>
      </w:pPr>
      <w:r>
        <w:rPr>
          <w:rFonts w:ascii="Amiri" w:hAnsi="Amiri" w:eastAsia="Amiri" w:cs="Amiri"/>
          <w:color w:val="111111"/>
          <w:sz w:val="28"/>
          <w:sz w:val="28"/>
          <w:szCs w:val="28"/>
          <w:rtl w:val="true"/>
          <w:lang w:bidi="ar-SA"/>
        </w:rPr>
        <w:t>المبتذلات اللاتي إذا نهين لا ينتهين</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النظر إليهن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أدلة 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عباد بن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الإشكالات على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عدة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طرق توثيق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احتواء العدة على ثقة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الكليني في الحديث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اجتماع المشايخ على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عباد بن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طرق توثيق عباد بن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الحديث عدم وجوب الغض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الجواز على النظر القهري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الرواية بأهل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بالتعليل أشكل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العمل بالرواية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التردد في الأسواق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أدلة 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القدر المتيقن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المنظور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الانتهاء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بعدم الانتهاء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اللمس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المسألة الثانية</w:t>
      </w:r>
    </w:p>
    <w:p>
      <w:pPr>
        <w:pStyle w:val="BookText"/>
        <w:rPr/>
      </w:pPr>
      <w:r>
        <w:rPr>
          <w:rFonts w:ascii="Amiri" w:hAnsi="Amiri" w:eastAsia="Amiri" w:cs="Amiri"/>
          <w:color w:val="111111"/>
          <w:sz w:val="28"/>
          <w:sz w:val="28"/>
          <w:szCs w:val="28"/>
          <w:rtl w:val="true"/>
          <w:lang w:bidi="ar-SA"/>
        </w:rPr>
        <w:t>النظر إلى نساء أهل الذمة ومطلق الكوافر</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جواز النظر إلى نساء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أدلة جواز النظر إلى نساء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عباد بن صهيب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الذمة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أهل الذمة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النظر إلى أمة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ستر الأمة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مملوكة الوالد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وجوب تغطية الأمة رأسها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جارية على النظر إلى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الإشكالات على 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جواز النظر إلى عورة غير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الكافرات فيء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الكافرات للشيعة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الدليل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جواز النظر إلى سائر الكافرات غير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لفظ العلوج للكافرات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التعليل في موثقة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موثقة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المنظور إليه بلحاظ الجواز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موثقة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الروحاني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كونهن بمنزلة الإماء يقتضي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إلى ما جرت عادتهن من كشفه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النظر إلى ما كانت عادتهن على عدم ستره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الاقتصار على خصوص الشعور والأيدي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عدم الستر مطلقاً أو مقيداً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خوف الوقوع في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حرمة النظر بريبة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الالتذاذ غير الشهوي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الالتذاذ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الوقوع بالحرام بسبب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بالنهي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نهين لا ينتهين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النظر إلى الفرق المحكوم بكفرهم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النظر إلى المرتد والمرتدة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الفرع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نظر المسلمة للكافر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الفرع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النظر إلى الصور التلفزيونية والفوتوغرافية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الصور التلفزيونية والفوتوغرافية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الأدلة الناهية عن النظر للمرأة للنظر إلى صورتها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النظر إلى المرأة وإلى صورتها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المرأة المعروفة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البث المباشر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صور استثناءات الحكم بجواز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للصور الخلاعية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الصورة عند مقارنته للمحرمات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استفتاءات تتعلق بالمقام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الفرع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لمس الكافرة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Amiri" w:hAnsi="Amiri" w:eastAsia="Amiri" w:cs="Amiri"/>
          <w:color w:val="111111"/>
          <w:sz w:val="28"/>
          <w:sz w:val="28"/>
          <w:szCs w:val="28"/>
          <w:rtl w:val="true"/>
          <w:lang w:bidi="ar-SA"/>
        </w:rPr>
        <w:t>النظر إلى الوجه والكفين من المسلمات</w:t>
      </w:r>
    </w:p>
    <w:p>
      <w:pPr>
        <w:pStyle w:val="BookText"/>
        <w:rPr/>
      </w:pPr>
      <w:r>
        <w:rPr>
          <w:rFonts w:ascii="IRNazanin" w:hAnsi="IRNazanin" w:eastAsia="IRNazanin"/>
          <w:color w:val="111111"/>
          <w:sz w:val="28"/>
          <w:sz w:val="28"/>
          <w:szCs w:val="28"/>
          <w:rtl w:val="true"/>
          <w:lang w:bidi="fa-IR"/>
        </w:rPr>
        <w:t>الأقوال</w:t>
      </w:r>
    </w:p>
    <w:p>
      <w:pPr>
        <w:pStyle w:val="BookText"/>
        <w:rPr/>
      </w:pPr>
      <w:r>
        <w:rPr>
          <w:rFonts w:ascii="Amiri" w:hAnsi="Amiri" w:eastAsia="Amiri" w:cs="Amiri"/>
          <w:color w:val="111111"/>
          <w:sz w:val="28"/>
          <w:sz w:val="28"/>
          <w:szCs w:val="28"/>
          <w:rtl w:val="true"/>
          <w:lang w:bidi="ar-SA"/>
        </w:rPr>
        <w:t>في المسألة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النظر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أدلة القول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الإشكالات على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 بين جواز الإبداء وجواز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الظهور الاتفاقي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 المفسرة للزينة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بالزينة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الإشكالات على 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 المفسرة للزينة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جواز الإبداء وجواز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جملة إلا ما ظهر بالبعولة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الإشكال 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المهذب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الكحل والخاتم أعم من النظر إلى الوجه والكفين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الإشكالات على 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سعدان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مختص باليد فلا يشمل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مروك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الإشكالات على 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الرواية على جواز النظر إلى القدمين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محتملة للنظر الاتفاقي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لبيان الحلية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الإشكالات على 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مضطربة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السؤال عما تظهره المرأة للمحارم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معارضة بغيرها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الإشكالات على 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الشيء لا ينفي ما عداه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الإشكال</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السؤال عن الزينة السائغ إبداؤها للمحارم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صحيحة الفضيل في الحرمة لا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الإشكالات على الدليل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الصحيحة في النظر الاتفاقي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الرواية للشعر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ابن سويد تمنعه من النظر العمدي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في صورة الاضطرار للنظر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الجارود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الإشكالات على الدليل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الرجائي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الإشكالات على الدليل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كتاب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واردة في المرأة التي يحرم نكاحها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ما لم يُفت به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الدليل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الإشكالات على الدليل الثالث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طرق وثاقة عمرو بن 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الدلالي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الحادثة قبل نزول آية الحجاب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معارض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الدليل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سلمان ليد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إدارة الرحى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الدليل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الدليل</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كشف المرأة وجهها حال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الدليل</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تغسيل الأجانب وجه المرأة وكفيها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الدليل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الدليل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المتعرضة لستر الشعر عن الغلام إذا احتلم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الدليل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النظر لشعر المرأة جوازاً ومنعاً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سماع صوت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كراهة القنازع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الدليل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قائمة على عدم ستر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الإشكالات على الدليل الثالث والعشرين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معارضة بمثلها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اتصال السيرة بزمن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الكشف لا يستلزم 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الدليل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جواز وضع القواعد جلابيبهن وخمرهن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الدليل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العسر والحرج في اجتناب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الدليل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الإشكالات على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الآية بالنظر إلى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المعنى الحقيقي للغض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الإشكال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في الآية إرشاد إلى ترك النظر إلى ما ثبتت حرمته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غض النظر أعم من ترك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الغض عدم التحديق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حرمة بعض أفراد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كون الآية في مقام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الإطلاق للتخصيص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القواعد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لْيَضْرِبْنَ بِخُمُرِهِنَّ عَلى جُيُوبِهِنَّ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جواز النظر إلى وجه المرأة ويديها إذا أراد الزواج بها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الإشكالات على 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أجنبية عما نحن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الإشكال</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الروايات عدم جواز النظر عند عدم إرادة التزويج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المانعة على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روايات 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روايات الجواز لمخالفتها للعامة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روايات الجواز للأحدثية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التعارض نختار روايات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الأولي هو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جواز النظر إلى وجه الذمية ويديها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النظر إلى الأجنبية سهم من سهام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الدليل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ذم أهل الكوفة ويزيد لإبدائهم المخدرات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الدليل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الدليل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الدليل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على الستر وعدم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الدليل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مقتضى مرتكزات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الدليل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 عن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المسلمين والمسلمات بالتستر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كون النظر معصية توجب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الدليل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جواز النظر عن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الدليل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الأخبار يؤذن بالمنع من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الدليل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جواز النظر ثابتاً لكان من الواضحات المشهورات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الدليل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بين القدماء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الدليل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حبس النساء في البيوت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الدليل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المرأة 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الدليل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وجوب الستر حال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الدليل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النظرة الأولى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أدلة القول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أدلة الجواز هو المرة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المتشرعة للمرة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جواز النظرة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الإشكالات على 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النظرة الاتفاقية والمقصودة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الروايات المفصلة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الإشكال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العقل للتفصيل بين النظرة 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معللة فيدور الحكم مدارها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على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هذه الروايات وبين أدلة جواز النظر إلى الوجه والكفين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صراحة الروايات في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المتعلق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النظرة الثانية مظنة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أدلة القولين هو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الاستمرار في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جواز النظر إلى الوجه والكفين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التلذذ في أثناء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الوهم في خوف الوقوع في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Amiri" w:hAnsi="Amiri" w:eastAsia="Amiri" w:cs="Amiri"/>
          <w:color w:val="111111"/>
          <w:sz w:val="28"/>
          <w:sz w:val="28"/>
          <w:szCs w:val="28"/>
          <w:rtl w:val="true"/>
          <w:lang w:bidi="ar-SA"/>
        </w:rPr>
        <w:t>نظر المرأة إلى الرجل</w:t>
      </w:r>
    </w:p>
    <w:p>
      <w:pPr>
        <w:pStyle w:val="BookText"/>
        <w:rPr/>
      </w:pPr>
      <w:r>
        <w:rPr>
          <w:rFonts w:ascii="Amiri" w:hAnsi="Amiri" w:eastAsia="Amiri" w:cs="Amiri"/>
          <w:color w:val="111111"/>
          <w:sz w:val="28"/>
          <w:sz w:val="28"/>
          <w:szCs w:val="28"/>
          <w:rtl w:val="true"/>
          <w:lang w:bidi="ar-SA"/>
        </w:rPr>
        <w:t>الأقوال في حكم نظر المرأة إلى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جميع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التفصيل بين النظرة 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النظر إلى غير ما جرت السيرة على عدم ستره أو على النظر إليه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خصوص العورتين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شرط عدم اللذة والريبة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Amiri" w:hAnsi="Amiri" w:eastAsia="Amiri" w:cs="Amiri"/>
          <w:color w:val="111111"/>
          <w:sz w:val="28"/>
          <w:sz w:val="28"/>
          <w:szCs w:val="28"/>
          <w:rtl w:val="true"/>
          <w:lang w:bidi="ar-SA"/>
        </w:rPr>
        <w:t>النظر إلى من يريد الزواج منها</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التقرير في مدينة قم المقدّسة بيت سماحة آية اللّه العظمی السيد صادق الحسيني الشيرازي دام ظلّه وتمّت المراجعة في مدينة كربلاء المقدّسة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بن المتوكل، ثقة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الحميري، ثقة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ثقة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ثقة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ثقة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الخارج عن مقام التخاطب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مجمع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المحكم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لأنهنّ إذا نهين لا ينتهين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و ابن زهرة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و العلامة الحلي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يوجد في المجامع الشيعية وغيرها بهذا اللفظ بل هنالك قريب 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أربعمائة حديث من أبواب العلوم ذكرها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 واحد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النظر إلى نساء أهل الذمة، بل مطلق الكفار مع عدم التلذذ والريبة، أي خوف الوقوع في الحرام، والأحوط الاقتصار على المقدار الذي جرت عادتهن على عدم ستره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عباد ولا حرج وسيرة المتشرعة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منتهى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الحكم فيها لا يدور مدار العادة، وسيأتي بحثه إن شاء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قال صاحب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في الحرمة بين عورة المسلم والكافر على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السيد الخوئي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القوة إشكال وإن كان هو الأحوط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وتوثيق النوفلي مهم؛ لأنه روى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غالبها عن السكوني، فلو تمكنا من توثيقه أصبح الكثير من الروايات معتبراً، و قد استظهر البعض أنه كان شيعياً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روائية، وإما عملية، وإما فتوائية، فهل الشهرة الفتوائية تجبر الرواية مع عدم العلم باستنادهم إليها؟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مواليه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الطوسي إلى سعد بن عبد اللّه صحيح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الأشعري القمي، ثقة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عيسى، مجهول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ثقة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رزين، ثقة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النظر إلى أمة الغير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كشف الأمة رأسها وجواز النظر إليها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 الذميات إماء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 بالأدلة المعتبرة، وأما جواز النظر إلى أمة الغير فقد ثبت بالدليل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زرعة بن محمد، وبالدليل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المتضمنة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لأنهن مماليك للإمام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أبي بصير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زياد، عن علي بن الحكم، عن رفاعة، عن رجل،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على أبي العباس بالحيرة،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ما تقول في الصيام اليوم؟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إلى الإمام إن صمت صمنا وإن أفطرت أفطرنا،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عليَّ بالمائدة فأكلت معه وأنا أعلم واللّه إنه يوم من شهر رمضان، فكان إفطاري يوماً وقضاؤه أيسر علي من أن يضرب عنقي ولا يعبد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يحيى وأحمد بن محمد بن أبي نصر جميعاً،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الرجل يستكره على اليمن فيحلف بالطلاق والعتاق وصدقة ما يملك، أيلزمه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قال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عن أمتي ما أكرهوا عليه وما لم يطيقوا وما أخطأوا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الدليلين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الأول يرى تحقق المقتضي لكن مفهوم اللقب يقيده، وأما الثاني فيرى عدم وجود دليل على حرمة النظر إلى عورة كل واحد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وتفصيله في علم الدراية ومجمله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الصحة في اصطلاح المتأخرين ما كان كل واحدٍ من رواتها عدلاً إمامياً ضابطاً، وأمّا في اصطلاح المتقدمين ما دلت القرائن على وجوب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التأمل أنه لو قال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أربعمائة مصدراً لأخباره، وخمسة منهم ضعاف،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ثلاثة من مصادري، فهل يمكن القول إنّ احتمال كون الثلاثة من الخمسة احتمال ضعيف، بحيث لا يعتني به العقلاء، أو الاحتمال قائم على أنهم منهم؟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الإيراد الثاني علی كلام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إنهن ملك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 بذلك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من الرواية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إنهن إماء للإمام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الأحكام،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على أهل كل ذوي دين ما يستحلون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السكوني المتقدمة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المشهور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ونتيجته جواز النظر إن كان مقصوداً تبعياً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رأي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نسب إلى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هداية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الاقتصار على ما كانت عادتهن على عدم ستره في زمان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ما استحدث في زماننا من عدم ستر المحاسن، بل والقبائح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فالأحوط ترك النظر، بل الأقوى في بعضها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بينهما أنّ الأول استدلال بالأولوية والثاني بوحدة المناط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 لنساء أهل الذمة حرمة، لا بأس بالنظر إلى وجوههن وشعورهن ونحورهن وبدنهن، ما لم يتعمد ذلك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الدليل الرابع من الفرع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الدليل الثالث عشر من الفرع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عباد بن صهيب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وظاهر شيخنا في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وضوح حرمة النظر مع خوف الوقوع في الحرام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معنى الريبة خوف الوقوع في الحرام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معناها ما يخطر بالبال من النظر دون التلذذ به أو خوف افتتان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التقوى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خبر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يكن متلذذاً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والجعفريات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يتعمد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وموثقة 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يتعمد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وآية الغض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لِّلْمُؤْمِنِينَ يَغُضُّوا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 المراد عدم الطمع الشهوي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الثالث من الفرع الأول من 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الملاك واحد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تكرم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شك أن مرتكب الصغيرة فاسق أم لا، فمرتكب الكبيرة يخرج قطعاً، ومرتكب الصغيرة يبقى تحت عموم أكرم العلماء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لِّلْمُؤْمِنِينَ يَغُضُّوا مِنْ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الثامن من الشرط الأول من الفرع الخامس من 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 قوم عدول يأخذ كل واحد منهم مرآة، وتقوم الخنثى خلفهم عريانة، فينظرون في المرايا فيرون شبحاً فيحكمون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بنصبه مرآتين إحداهما مقابلة لفرج الشخص، والأخرى مقابلة للمرآة الأخرى، وأمر الشخص بالكشف عن عورته في مقابلة المرآة، حيث لا يراه العدلان، وأمر العدلين بالنظر في المرآة المقابلة لهما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يجمل يعني غير جميل، فتارة يكون الشيء حلالاً لكنه غير جميل، وخلاف المروءة مثلاً، فليس عطفاً تفسيرياً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بحث في معنى أول نظرة، والذي يتبادر إلى الذهن هو النظرة الاتفاقية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المرآة والصور الخلاعية وما طرأ عليه عنوان ثانوي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فهنالك خلاف بين الفلاسفة أنّ الرؤية هل هي بخروج الشعاع أم بالانطباع؟</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المبنى أنها انطباع لا انكسار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قُل لِأَزْوَاجِكَ وَبَنَاتِكَ وَنِسَاء الْمُؤْمِنِينَ يُدْنِينَ عَلَيْهِنَّ مِن جَلابِيبِهِنَّ ذَلِكَ أَدْنَى أَن يُعْرَفْنَ فَلا يُؤْذَيْنَ وَكَانَ اللَّهُ غَفُوراً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كالمرآة المتصدئة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حكم النظر إلى الصورة التلفزيونية والفوتوغرافية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الخلاعية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بكير، عن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الظاهرة الكحل والخاتم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جميل، عن الفضيل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الذراعين من المرأة، هما من الزينة التي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يُبْدينَ زينَتَهُنَّ إِلاَّ لِبُعُولَتِهِنَّ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وما دون الخمار من الزينة، وما دون السوارين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المعضد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يُبْدينَ زينَتَهُنَّ 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 والمسكة وهي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الذبل والأسورة والخلاخيل من القرون والعاجل،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قول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الظاهرة الكحل والخاتم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أبي الجارود،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يُبْدينَ زينَتَهُنَّ 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الثياب والكحل والخاتم وخضاب الكف والسوار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جل ثناؤه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والذراعان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والقصبات والبلدان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التستر عن الأجنبي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على التستر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بدء السفور في بغداد واضح، وقد ذكر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بقايا حضارة الإسلام كما رأيت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على زينة الثياب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المراد الثياب حصراً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 ما إن تمسكتم بهما لن تضلوا بعدي أبداً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في بقية السند، إلا أن عبد اللّه بن بكير فطحي، فتكون الرواية موثقة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 الدواب تصيب الثوب، الحمرة، قضاء الفوائت، قراءة العزائم في المكتوبة، السجود على الأرض، صلاة الجمعة، صلاة المرأة تطوعاً، المتعة من الأربع أم لا، زواج المملوك، خروج المطلقة، تزين المطلقة، تزين المتوفى عنها زوجها، الأكل من بيوت من تضمنته الآية، لبس لباس دود القز، ميراث العم، توارث الزوجين الصبيين، حكم قتل عدة رجال، دية اليد والرجل وغيرها، شهادة المملوك</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سائر الرواة المذكورين فهم ثقات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قرب الإسناد للحميري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المحصورة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المتعلقة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ضابط الشبهة غير المحصورة أن يكون الاحتمال ضعيفاً بحيث لا يعتني به العقلاء، أو ملازمته للعناوين الطارئة، كالحرج على ما بيّن في مباحث الشبهة غير المحصورة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الكلام في اعتبار العدة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الفضيل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محمد، واقفي ثقة ومن قبله كلهم ثقات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يلبس في المعصم كالسوار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شيخ الشيخ الصدوق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جابر بن يزيد الجعفي بقرينة الراوي عنه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المعصوم لا يفعل المكروه الواقعي، لا المكروه الثابت بأدلة التسامح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أرسل إلي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حاجة فدخلت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فإذا كان غداً فتعال، ولا تجئ إلا بعد طلوع الشمس، فإني أنام إذا صليت الفجر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بكتف جزور مشوية، وقد أذن بلال، فأمره فكف هنيهة، حتى أكل وأكلنا معه، ثم دعا بلبن فشرب وشربنا معه، ثم أمر بلالاً فأقام، فصلى وصلينا معه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سليمان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الجبن،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سألتني عن طعام يعجبني ثم أعطى الغلام درهماً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ابتع لنا جبناً، ودعا بالغداء فتغدينا معه وأتى بالجبن فأكل وأكلنا معه، فلما فرغنا من الغداء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الجبن؟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ترني أكلته؟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ولكني أحب أن أسمعه منك،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سأخبرك عن الجبن وغيره، كل ما كان فيه حلال وحرام فهو لك حلال حتى تعرف الحرام بعينه فتدعه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 القرحة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مشترك بين حماد بن عثمان وحماد بن عيسى، وكلاهما ثقة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يطلق على جماعة، أشهرهم محمد وعبيد اللّه، وكلّ الحلبيين ثقات، فالرواية إمّا صحيحة وإمّا حسنة بإبراهيم بن هاشم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الصدوق إلى سماعة صحيح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الطوسي إلى الحسين بن سعيد صحيح، و الرواة ثقات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يغسل منها ما أوجب اللّه عليه التيمم، ولا تمس ولا يكشف لها شيء من محاسنها التي أمر اللّه بسترها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مشعر بأن الوجه والكفين لم يأمر اللّه بسترهما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الرحمن بن سالم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الشيخ الصدوق إلى أحمد بن محمد بن أبي نصر صحيح</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مشترك، بعضهم ثقات وبعضهم مجاهيل، لكن يمكن توثيقه بأنه شيخ ابن أبي عمير على المبنى، فتكون الرواية معتبرة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الوضوء بالفتح آلة الوضوء، وبالضم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والإبريق، كسحور آلة السحور، وطهور آلة التطهر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صحيحة أو حسنة بإبراهيم بن هاشم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والزاي وسكون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واحدة القنازع، وهي أن يحلق الرأس إلا قليلاً ويترك وسط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الناصية يزين بنوعية خاصة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محل كلام شديد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شمون، ضعيف جداً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الرحمن، ضعيف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مسمع، ثقة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الحيض كناية عن البلوغ، فيدل على أنه لا بأس للصبية في ذلك</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والكفين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سهم من سهام إبليس مسموم، وكم من نظرة أورثت حسرة طويلة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النظرة لك، والثانية عليك ولا لك، والثالثة فيها الهلاك</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على كشف الوجه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النظر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عباد بن صهيب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الخلاف المبنوي في جريان أيهما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التفصيل بين النظرة الأولى والثانية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بريد، ثقة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 في الدليل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سبب نزولها أنه لما 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 وَ أَزْواجُهُ 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 اللّه نساء النبي على المسلمين غضب طلحة،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محمد علينا نساءه ويتزوج هو نساءنا، لئن أمات اللّه محمداً لنفعلن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لَكُمْ أَنْ تُؤْذُوا رَسُولَ اللَّهِ وَ لا أَنْ تَنْكِحُوا أَزْواجَهُ مِنْ بَعْدِهِ أَبَداً إِنَّ ذلِكُمْ كانَ عِنْدَ اللَّهِ عَظيما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تَخْضَعْنَ بِالْقَوْلِ فَيَطْمَعَ الَّذي في قَلْبِهِ مَرَضٌ</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وقريب منه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أيضاً روى هذه الرواية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الساعد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الثاني من 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ثقة، وطريق الطوسي إليه صحيح</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واللطيف أن هذه الرواية استدل بها القائلون بالتحريم والقائلون بالجواز معاً، وقد استظهرنا أن ما دون السوارين هو الكف، وما دون الخمار لا يدلّ على الوجه وإنما فتحة الصدر وما أشبه، ولكن مضى أنّ المطلق قابل للتقييد والجمع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إمّا يتحرّك أو إمّا يفعل أو لا يظهر الأثر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نظر إلى امرأة فرفع بصره إلى السماء، أو غمض بصره لم يرتد إليه بصره حتى يزوجه اللّه من الحور العين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الإشكال السابع على الدليل الأول من أدلة القول بالحرمة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وتشديد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المتدلي الذي يجاوز شحمة الأذنين، فإذا بلغ المنكبين فهو جمة، والجمع لم ولام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لم يبحث في الأصول ظاهراً،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الردع العملي هل يدل على التحريم أم لا؟ فينبغي على بعض الفضلاء أن يخصّصوا جزءاً من وقتهم لكتابة بحث في هذا الموضوع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بالتحريم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الثالث والعشرين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على الخروج كاشفات والإجماع على عدم الخروج كذلك</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الثالث والعشرين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يعددن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السابع عشر من أدلة القول بالتحريم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السادس والعشرين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 الغرف الفوقانية حتى لا ينظرون إلى الشارع مثلاً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 ظهره وساقيه بعمامته، وقد يحتبي بيديه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المراد الخلوة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جامع أحاديث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يلبث</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الرابع عشر من أدلة القول بالحرمة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 المتأخرين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الخامس عشر من أدلة القول بالتحريم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الثالث والعشرين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بحث، وهو هل انّ مفهوم هذه الروايات احبسوهنّ في البيوت أو زوجوهنّ؛ فلأنّ همتها في الرجل فزوجوها حتى تكون محصنة؟</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السادس عشر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صحيح</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ممدوح، لكنه عندنا ثقة لأنهم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وجهاً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وهذه العبارة تدلّ ما على فوق التوثيق، لا أقلّ من التوثيق، لا أقلّ من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محلّ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قبله المحقق والعلامة والشهيدان؟</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الكاهلي وحديث الأربعمائة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الفرع الخامس من 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الفرع السادس من 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اتفاقي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الإجمالي بمعنى ملاحظة المجموع من حيث المجموع وعدم التدقيق في الخصوصيات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الأول من أدلة القول بحرمة النظر إلى الوجه والكفين من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الإشكال الرابع على الدليل الثالث عشر من أدلة جواز النظر إلى الوجه والكفين في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وقد استدل به في 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الأولى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الخامس والعشرين من أدلة حرمة النظر إلى الوجه والكفين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السادس والعشرين من أدلة حرمة النظر إلى الوجه والكفين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ما ذكرناه في الدليلين الماضيين فإنه ينفع المقام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الحادي عشر من أدلة حرمة النظر إلى الوجه والكفين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صحيح</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الفقه، وأمّا الوسائل فنسخه مختلفة، ففي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والظاهر أنه بالميم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عاري الجسم،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فنستظهر أنه صفة الجمل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الأول من أدلة القول بجواز النظر إلى الوجه والكفين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أنهن أسلمن حين نظرهن، فلعلّ عدم الردع كان من باب الإلزام، كما إذا لبس كافر ذهباً فلم يردع لحليته في دينه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بالاحتمال الرابع، فأبدلناه إلى القول حفظاً للسياق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لا ترى رجلاً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السادس من أدلة القول بجواز النظر إلى الوجه والكفين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الحادي عشر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بأغلى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يتناسب مع المهر، خاصة مع تأكيد الإسلام على قلة المهر، كخاتم من حديد، والأغلى يناسب نفس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والتوجيه المذكور لهذه الروايات هو مما تفرد به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نعلم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فهو إما صفوان بن مهران أو صفوان بن يحيى، وكلاهما ثقة، والأغلب غلبة عظمى أن يراد صفوان بن يحيى</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خلفها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وثاقة جميع مشايخ جعفر بن بشير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أبي مسروق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الخثعمي أو الخزاز، وكلاهما ثقة، كما ذكره في المشتركات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47805</Words>
  <Characters>220705</Characters>
  <CharactersWithSpaces>266051</CharactersWithSpaces>
  <Paragraphs>2759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2026-08-25T03:13:49Z</dcterms:created>
  <dc:creator>ghaemiyeh.com</dc:creator>
  <dc:description/>
  <dc:language>en-US</dc:language>
  <cp:lastModifiedBy/>
  <dcterms:modified xsi:type="dcterms:W3CDTF">2026-08-25T06:44:02Z</dcterms:modified>
  <cp:revision>1</cp:revision>
  <dc:subject/>
  <dc:title>موسوعة الفقیه الشیرازی جلد 15</dc:title>
</cp:coreProperties>
</file>

<file path=docProps/custom.xml><?xml version="1.0" encoding="utf-8"?>
<Properties xmlns="http://schemas.openxmlformats.org/officeDocument/2006/custom-properties" xmlns:vt="http://schemas.openxmlformats.org/officeDocument/2006/docPropsVTypes"/>
</file>