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86433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0086435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086437_2142443653">
            <w:r>
              <w:rPr>
                <w:webHidden/>
                <w:rStyle w:val="IndexLink"/>
                <w:rtl w:val="true"/>
              </w:rPr>
              <w:t>تذنيبات</w:t>
            </w:r>
            <w:r>
              <w:rPr>
                <w:rStyle w:val="IndexLink"/>
                <w:rtl w:val="true"/>
              </w:rPr>
              <w:tab/>
            </w:r>
            <w:r>
              <w:rPr>
                <w:rStyle w:val="IndexLink"/>
              </w:rPr>
              <w:t>11</w:t>
            </w:r>
          </w:hyperlink>
        </w:p>
        <w:p>
          <w:pPr>
            <w:pStyle w:val="Contents3"/>
            <w:tabs>
              <w:tab w:val="clear" w:pos="8459"/>
              <w:tab w:val="right" w:pos="9026" w:leader="dot"/>
            </w:tabs>
            <w:rPr/>
          </w:pPr>
          <w:hyperlink w:anchor="__RefHeading___Toc10086439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0086441_2142443653">
            <w:r>
              <w:rPr>
                <w:webHidden/>
                <w:rStyle w:val="IndexLink"/>
                <w:rtl w:val="true"/>
              </w:rPr>
              <w:t>التذنيب الأول</w:t>
            </w:r>
            <w:r>
              <w:rPr>
                <w:rStyle w:val="IndexLink"/>
                <w:rtl w:val="true"/>
              </w:rPr>
              <w:t xml:space="preserve">: </w:t>
            </w:r>
            <w:r>
              <w:rPr>
                <w:rStyle w:val="IndexLink"/>
                <w:rtl w:val="true"/>
              </w:rPr>
              <w:t>انحفاظ الملاكات الواقعية في موارد العناوين التسعة</w:t>
            </w:r>
            <w:r>
              <w:rPr>
                <w:rStyle w:val="IndexLink"/>
                <w:rtl w:val="true"/>
              </w:rPr>
              <w:tab/>
            </w:r>
            <w:r>
              <w:rPr>
                <w:rStyle w:val="IndexLink"/>
              </w:rPr>
              <w:t>11</w:t>
            </w:r>
          </w:hyperlink>
        </w:p>
        <w:p>
          <w:pPr>
            <w:pStyle w:val="Contents3"/>
            <w:tabs>
              <w:tab w:val="clear" w:pos="8459"/>
              <w:tab w:val="right" w:pos="9026" w:leader="dot"/>
            </w:tabs>
            <w:rPr/>
          </w:pPr>
          <w:hyperlink w:anchor="__RefHeading___Toc10086443_2142443653">
            <w:r>
              <w:rPr>
                <w:webHidden/>
                <w:rStyle w:val="IndexLink"/>
                <w:rtl w:val="true"/>
              </w:rPr>
              <w:t>التذنيب الثاني</w:t>
            </w:r>
            <w:r>
              <w:rPr>
                <w:rStyle w:val="IndexLink"/>
                <w:rtl w:val="true"/>
              </w:rPr>
              <w:t xml:space="preserve">: </w:t>
            </w:r>
            <w:r>
              <w:rPr>
                <w:rStyle w:val="IndexLink"/>
                <w:rtl w:val="true"/>
              </w:rPr>
              <w:t>في تقدم حديث الرفع على أدلة الأحكام الأولية</w:t>
            </w:r>
            <w:r>
              <w:rPr>
                <w:rStyle w:val="IndexLink"/>
                <w:rtl w:val="true"/>
              </w:rPr>
              <w:tab/>
            </w:r>
            <w:r>
              <w:rPr>
                <w:rStyle w:val="IndexLink"/>
              </w:rPr>
              <w:t>15</w:t>
            </w:r>
          </w:hyperlink>
        </w:p>
        <w:p>
          <w:pPr>
            <w:pStyle w:val="Contents3"/>
            <w:tabs>
              <w:tab w:val="clear" w:pos="8459"/>
              <w:tab w:val="right" w:pos="9026" w:leader="dot"/>
            </w:tabs>
            <w:rPr/>
          </w:pPr>
          <w:hyperlink w:anchor="__RefHeading___Toc10086445_2142443653">
            <w:r>
              <w:rPr>
                <w:webHidden/>
                <w:rStyle w:val="IndexLink"/>
                <w:rtl w:val="true"/>
              </w:rPr>
              <w:t>التذنيب الثالث</w:t>
            </w:r>
            <w:r>
              <w:rPr>
                <w:rStyle w:val="IndexLink"/>
                <w:rtl w:val="true"/>
              </w:rPr>
              <w:t xml:space="preserve">: </w:t>
            </w:r>
            <w:r>
              <w:rPr>
                <w:rStyle w:val="IndexLink"/>
                <w:rtl w:val="true"/>
              </w:rPr>
              <w:t>في شمول الرفع لنسيان الجزء والشرط والسبب</w:t>
            </w:r>
            <w:r>
              <w:rPr>
                <w:rStyle w:val="IndexLink"/>
                <w:rtl w:val="true"/>
              </w:rPr>
              <w:tab/>
            </w:r>
            <w:r>
              <w:rPr>
                <w:rStyle w:val="IndexLink"/>
              </w:rPr>
              <w:t>19</w:t>
            </w:r>
          </w:hyperlink>
        </w:p>
        <w:p>
          <w:pPr>
            <w:pStyle w:val="Contents3"/>
            <w:tabs>
              <w:tab w:val="clear" w:pos="8459"/>
              <w:tab w:val="right" w:pos="9026" w:leader="dot"/>
            </w:tabs>
            <w:rPr/>
          </w:pPr>
          <w:hyperlink w:anchor="__RefHeading___Toc10086447_2142443653">
            <w:r>
              <w:rPr>
                <w:webHidden/>
                <w:rStyle w:val="IndexLink"/>
                <w:rtl w:val="true"/>
              </w:rPr>
              <w:t>التذنيب الرابع</w:t>
            </w:r>
            <w:r>
              <w:rPr>
                <w:rStyle w:val="IndexLink"/>
                <w:rtl w:val="true"/>
              </w:rPr>
              <w:t xml:space="preserve">: </w:t>
            </w:r>
            <w:r>
              <w:rPr>
                <w:rStyle w:val="IndexLink"/>
                <w:rtl w:val="true"/>
              </w:rPr>
              <w:t>شمول رفع الإكراه للتكاليف الاستقلالية والضمنية والأسباب</w:t>
            </w:r>
            <w:r>
              <w:rPr>
                <w:rStyle w:val="IndexLink"/>
                <w:rtl w:val="true"/>
              </w:rPr>
              <w:tab/>
            </w:r>
            <w:r>
              <w:rPr>
                <w:rStyle w:val="IndexLink"/>
              </w:rPr>
              <w:t>35</w:t>
            </w:r>
          </w:hyperlink>
        </w:p>
        <w:p>
          <w:pPr>
            <w:pStyle w:val="Contents3"/>
            <w:tabs>
              <w:tab w:val="clear" w:pos="8459"/>
              <w:tab w:val="right" w:pos="9026" w:leader="dot"/>
            </w:tabs>
            <w:rPr/>
          </w:pPr>
          <w:hyperlink w:anchor="__RefHeading___Toc10086449_2142443653">
            <w:r>
              <w:rPr>
                <w:webHidden/>
                <w:rStyle w:val="IndexLink"/>
                <w:rtl w:val="true"/>
              </w:rPr>
              <w:t>الحديث الثاني</w:t>
            </w:r>
            <w:r>
              <w:rPr>
                <w:rStyle w:val="IndexLink"/>
                <w:rtl w:val="true"/>
              </w:rPr>
              <w:t xml:space="preserve">: </w:t>
            </w:r>
            <w:r>
              <w:rPr>
                <w:rStyle w:val="IndexLink"/>
                <w:rtl w:val="true"/>
              </w:rPr>
              <w:t>حديث الحجب</w:t>
            </w:r>
            <w:r>
              <w:rPr>
                <w:rStyle w:val="IndexLink"/>
                <w:rtl w:val="true"/>
              </w:rPr>
              <w:tab/>
            </w:r>
            <w:r>
              <w:rPr>
                <w:rStyle w:val="IndexLink"/>
              </w:rPr>
              <w:t>42</w:t>
            </w:r>
          </w:hyperlink>
        </w:p>
        <w:p>
          <w:pPr>
            <w:pStyle w:val="Contents4"/>
            <w:tabs>
              <w:tab w:val="clear" w:pos="8176"/>
              <w:tab w:val="right" w:pos="9026" w:leader="dot"/>
            </w:tabs>
            <w:rPr/>
          </w:pPr>
          <w:hyperlink w:anchor="__RefHeading___Toc10086451_2142443653">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0086453_2142443653">
            <w:r>
              <w:rPr>
                <w:webHidden/>
                <w:rStyle w:val="IndexLink"/>
                <w:rtl w:val="true"/>
              </w:rPr>
              <w:t>البحث الأول</w:t>
            </w:r>
            <w:r>
              <w:rPr>
                <w:rStyle w:val="IndexLink"/>
                <w:rtl w:val="true"/>
              </w:rPr>
              <w:t xml:space="preserve">: </w:t>
            </w:r>
            <w:r>
              <w:rPr>
                <w:rStyle w:val="IndexLink"/>
                <w:rtl w:val="true"/>
              </w:rPr>
              <w:t>البحث السندي</w:t>
            </w:r>
            <w:r>
              <w:rPr>
                <w:rStyle w:val="IndexLink"/>
                <w:rtl w:val="true"/>
              </w:rPr>
              <w:tab/>
            </w:r>
            <w:r>
              <w:rPr>
                <w:rStyle w:val="IndexLink"/>
              </w:rPr>
              <w:t>42</w:t>
            </w:r>
          </w:hyperlink>
        </w:p>
        <w:p>
          <w:pPr>
            <w:pStyle w:val="Contents4"/>
            <w:tabs>
              <w:tab w:val="clear" w:pos="8176"/>
              <w:tab w:val="right" w:pos="9026" w:leader="dot"/>
            </w:tabs>
            <w:rPr/>
          </w:pPr>
          <w:hyperlink w:anchor="__RefHeading___Toc10086455_2142443653">
            <w:r>
              <w:rPr>
                <w:webHidden/>
                <w:rStyle w:val="IndexLink"/>
                <w:rtl w:val="true"/>
              </w:rPr>
              <w:t>البحث الثاني</w:t>
            </w:r>
            <w:r>
              <w:rPr>
                <w:rStyle w:val="IndexLink"/>
                <w:rtl w:val="true"/>
              </w:rPr>
              <w:t xml:space="preserve">: </w:t>
            </w:r>
            <w:r>
              <w:rPr>
                <w:rStyle w:val="IndexLink"/>
                <w:rtl w:val="true"/>
              </w:rPr>
              <w:t>البحث الدلالي</w:t>
            </w:r>
            <w:r>
              <w:rPr>
                <w:rStyle w:val="IndexLink"/>
                <w:rtl w:val="true"/>
              </w:rPr>
              <w:tab/>
            </w:r>
            <w:r>
              <w:rPr>
                <w:rStyle w:val="IndexLink"/>
              </w:rPr>
              <w:t>43</w:t>
            </w:r>
          </w:hyperlink>
        </w:p>
        <w:p>
          <w:pPr>
            <w:pStyle w:val="Contents4"/>
            <w:tabs>
              <w:tab w:val="clear" w:pos="8176"/>
              <w:tab w:val="right" w:pos="9026" w:leader="dot"/>
            </w:tabs>
            <w:rPr/>
          </w:pPr>
          <w:hyperlink w:anchor="__RefHeading___Toc10086457_2142443653">
            <w:r>
              <w:rPr>
                <w:webHidden/>
                <w:rStyle w:val="IndexLink"/>
                <w:rtl w:val="true"/>
              </w:rPr>
              <w:t>وجوه الإشكال على الاستدلال بحديث الحجب</w:t>
            </w:r>
            <w:r>
              <w:rPr>
                <w:rStyle w:val="IndexLink"/>
                <w:rtl w:val="true"/>
              </w:rPr>
              <w:tab/>
            </w:r>
            <w:r>
              <w:rPr>
                <w:rStyle w:val="IndexLink"/>
              </w:rPr>
              <w:t>44</w:t>
            </w:r>
          </w:hyperlink>
        </w:p>
        <w:p>
          <w:pPr>
            <w:pStyle w:val="Contents4"/>
            <w:tabs>
              <w:tab w:val="clear" w:pos="8176"/>
              <w:tab w:val="right" w:pos="9026" w:leader="dot"/>
            </w:tabs>
            <w:rPr/>
          </w:pPr>
          <w:hyperlink w:anchor="__RefHeading___Toc10086459_2142443653">
            <w:r>
              <w:rPr>
                <w:webHidden/>
                <w:rStyle w:val="IndexLink"/>
                <w:rtl w:val="true"/>
              </w:rPr>
              <w:t>تقرير لدلالة حديث الحجب على البراءة</w:t>
            </w:r>
            <w:r>
              <w:rPr>
                <w:rStyle w:val="IndexLink"/>
                <w:rtl w:val="true"/>
              </w:rPr>
              <w:tab/>
            </w:r>
            <w:r>
              <w:rPr>
                <w:rStyle w:val="IndexLink"/>
              </w:rPr>
              <w:t>54</w:t>
            </w:r>
          </w:hyperlink>
        </w:p>
        <w:p>
          <w:pPr>
            <w:pStyle w:val="Contents4"/>
            <w:tabs>
              <w:tab w:val="clear" w:pos="8176"/>
              <w:tab w:val="right" w:pos="9026" w:leader="dot"/>
            </w:tabs>
            <w:rPr/>
          </w:pPr>
          <w:hyperlink w:anchor="__RefHeading___Toc10086461_2142443653">
            <w:r>
              <w:rPr>
                <w:webHidden/>
                <w:rStyle w:val="IndexLink"/>
                <w:rtl w:val="true"/>
              </w:rPr>
              <w:t>تذنيب</w:t>
            </w:r>
            <w:r>
              <w:rPr>
                <w:rStyle w:val="IndexLink"/>
                <w:rtl w:val="true"/>
              </w:rPr>
              <w:tab/>
            </w:r>
            <w:r>
              <w:rPr>
                <w:rStyle w:val="IndexLink"/>
              </w:rPr>
              <w:t>55</w:t>
            </w:r>
          </w:hyperlink>
        </w:p>
        <w:p>
          <w:pPr>
            <w:pStyle w:val="Contents3"/>
            <w:tabs>
              <w:tab w:val="clear" w:pos="8459"/>
              <w:tab w:val="right" w:pos="9026" w:leader="dot"/>
            </w:tabs>
            <w:rPr/>
          </w:pPr>
          <w:hyperlink w:anchor="__RefHeading___Toc10086463_2142443653">
            <w:r>
              <w:rPr>
                <w:webHidden/>
                <w:rStyle w:val="IndexLink"/>
                <w:rtl w:val="true"/>
              </w:rPr>
              <w:t>الحديث الثالث</w:t>
            </w:r>
            <w:r>
              <w:rPr>
                <w:rStyle w:val="IndexLink"/>
                <w:rtl w:val="true"/>
              </w:rPr>
              <w:t xml:space="preserve">: </w:t>
            </w:r>
            <w:r>
              <w:rPr>
                <w:rStyle w:val="IndexLink"/>
                <w:rtl w:val="true"/>
              </w:rPr>
              <w:t>حديث السعة</w:t>
            </w:r>
            <w:r>
              <w:rPr>
                <w:rStyle w:val="IndexLink"/>
                <w:rtl w:val="true"/>
              </w:rPr>
              <w:tab/>
            </w:r>
            <w:r>
              <w:rPr>
                <w:rStyle w:val="IndexLink"/>
              </w:rPr>
              <w:t>57</w:t>
            </w:r>
          </w:hyperlink>
        </w:p>
        <w:p>
          <w:pPr>
            <w:pStyle w:val="Contents4"/>
            <w:tabs>
              <w:tab w:val="clear" w:pos="8176"/>
              <w:tab w:val="right" w:pos="9026" w:leader="dot"/>
            </w:tabs>
            <w:rPr/>
          </w:pPr>
          <w:hyperlink w:anchor="__RefHeading___Toc10086465_2142443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0086467_2142443653">
            <w:r>
              <w:rPr>
                <w:webHidden/>
                <w:rStyle w:val="IndexLink"/>
                <w:rtl w:val="true"/>
              </w:rPr>
              <w:t>المبحث الأول</w:t>
            </w:r>
            <w:r>
              <w:rPr>
                <w:rStyle w:val="IndexLink"/>
                <w:rtl w:val="true"/>
              </w:rPr>
              <w:t xml:space="preserve">: </w:t>
            </w:r>
            <w:r>
              <w:rPr>
                <w:rStyle w:val="IndexLink"/>
                <w:rtl w:val="true"/>
              </w:rPr>
              <w:t>البحث السندي</w:t>
            </w:r>
            <w:r>
              <w:rPr>
                <w:rStyle w:val="IndexLink"/>
                <w:rtl w:val="true"/>
              </w:rPr>
              <w:tab/>
            </w:r>
            <w:r>
              <w:rPr>
                <w:rStyle w:val="IndexLink"/>
              </w:rPr>
              <w:t>57</w:t>
            </w:r>
          </w:hyperlink>
        </w:p>
        <w:p>
          <w:pPr>
            <w:pStyle w:val="Contents4"/>
            <w:tabs>
              <w:tab w:val="clear" w:pos="8176"/>
              <w:tab w:val="right" w:pos="9026" w:leader="dot"/>
            </w:tabs>
            <w:rPr/>
          </w:pPr>
          <w:hyperlink w:anchor="__RefHeading___Toc10086469_2142443653">
            <w:r>
              <w:rPr>
                <w:webHidden/>
                <w:rStyle w:val="IndexLink"/>
                <w:rtl w:val="true"/>
              </w:rPr>
              <w:t>المبحث الثاني</w:t>
            </w:r>
            <w:r>
              <w:rPr>
                <w:rStyle w:val="IndexLink"/>
                <w:rtl w:val="true"/>
              </w:rPr>
              <w:t xml:space="preserve">: </w:t>
            </w:r>
            <w:r>
              <w:rPr>
                <w:rStyle w:val="IndexLink"/>
                <w:rtl w:val="true"/>
              </w:rPr>
              <w:t>في متن حديث السعة</w:t>
            </w:r>
            <w:r>
              <w:rPr>
                <w:rStyle w:val="IndexLink"/>
                <w:rtl w:val="true"/>
              </w:rPr>
              <w:tab/>
            </w:r>
            <w:r>
              <w:rPr>
                <w:rStyle w:val="IndexLink"/>
              </w:rPr>
              <w:t>57</w:t>
            </w:r>
          </w:hyperlink>
        </w:p>
        <w:p>
          <w:pPr>
            <w:pStyle w:val="Contents4"/>
            <w:tabs>
              <w:tab w:val="clear" w:pos="8176"/>
              <w:tab w:val="right" w:pos="9026" w:leader="dot"/>
            </w:tabs>
            <w:rPr/>
          </w:pPr>
          <w:hyperlink w:anchor="__RefHeading___Toc10086471_2142443653">
            <w:r>
              <w:rPr>
                <w:webHidden/>
                <w:rStyle w:val="IndexLink"/>
                <w:rtl w:val="true"/>
              </w:rPr>
              <w:t>المبحث الثالث</w:t>
            </w:r>
            <w:r>
              <w:rPr>
                <w:rStyle w:val="IndexLink"/>
                <w:rtl w:val="true"/>
              </w:rPr>
              <w:t xml:space="preserve">: </w:t>
            </w:r>
            <w:r>
              <w:rPr>
                <w:rStyle w:val="IndexLink"/>
                <w:rtl w:val="true"/>
              </w:rPr>
              <w:t xml:space="preserve">في مفاد كلمة </w:t>
            </w:r>
            <w:r>
              <w:rPr>
                <w:rStyle w:val="IndexLink"/>
                <w:rtl w:val="true"/>
              </w:rPr>
              <w:t>(</w:t>
            </w:r>
            <w:r>
              <w:rPr>
                <w:rStyle w:val="IndexLink"/>
                <w:rtl w:val="true"/>
              </w:rPr>
              <w:t>ما لم يعلموا</w:t>
            </w:r>
            <w:r>
              <w:rPr>
                <w:rStyle w:val="IndexLink"/>
                <w:rtl w:val="true"/>
              </w:rPr>
              <w:t>)</w:t>
              <w:tab/>
            </w:r>
            <w:r>
              <w:rPr>
                <w:rStyle w:val="IndexLink"/>
              </w:rPr>
              <w:t>58</w:t>
            </w:r>
          </w:hyperlink>
        </w:p>
        <w:p>
          <w:pPr>
            <w:pStyle w:val="Contents4"/>
            <w:tabs>
              <w:tab w:val="clear" w:pos="8176"/>
              <w:tab w:val="right" w:pos="9026" w:leader="dot"/>
            </w:tabs>
            <w:rPr/>
          </w:pPr>
          <w:hyperlink w:anchor="__RefHeading___Toc10086473_2142443653">
            <w:r>
              <w:rPr>
                <w:webHidden/>
                <w:rStyle w:val="IndexLink"/>
                <w:rtl w:val="true"/>
              </w:rPr>
              <w:t>المبحث الرابع</w:t>
            </w:r>
            <w:r>
              <w:rPr>
                <w:rStyle w:val="IndexLink"/>
                <w:rtl w:val="true"/>
              </w:rPr>
              <w:t xml:space="preserve">: </w:t>
            </w:r>
            <w:r>
              <w:rPr>
                <w:rStyle w:val="IndexLink"/>
                <w:rtl w:val="true"/>
              </w:rPr>
              <w:t>في النسبة بين حديث السعة وأدلة وجوب الاحتياط</w:t>
            </w:r>
            <w:r>
              <w:rPr>
                <w:rStyle w:val="IndexLink"/>
                <w:rtl w:val="true"/>
              </w:rPr>
              <w:tab/>
            </w:r>
            <w:r>
              <w:rPr>
                <w:rStyle w:val="IndexLink"/>
              </w:rPr>
              <w:t>58</w:t>
            </w:r>
          </w:hyperlink>
        </w:p>
        <w:p>
          <w:pPr>
            <w:pStyle w:val="Contents3"/>
            <w:tabs>
              <w:tab w:val="clear" w:pos="8459"/>
              <w:tab w:val="right" w:pos="9026" w:leader="dot"/>
            </w:tabs>
            <w:rPr/>
          </w:pPr>
          <w:hyperlink w:anchor="__RefHeading___Toc10086475_2142443653">
            <w:r>
              <w:rPr>
                <w:webHidden/>
                <w:rStyle w:val="IndexLink"/>
                <w:rtl w:val="true"/>
              </w:rPr>
              <w:t>الحديث الرابع</w:t>
            </w:r>
            <w:r>
              <w:rPr>
                <w:rStyle w:val="IndexLink"/>
                <w:rtl w:val="true"/>
              </w:rPr>
              <w:t xml:space="preserve">: </w:t>
            </w:r>
            <w:r>
              <w:rPr>
                <w:rStyle w:val="IndexLink"/>
                <w:rtl w:val="true"/>
              </w:rPr>
              <w:t>حديث الإطلاق</w:t>
            </w:r>
            <w:r>
              <w:rPr>
                <w:rStyle w:val="IndexLink"/>
                <w:rtl w:val="true"/>
              </w:rPr>
              <w:tab/>
            </w:r>
            <w:r>
              <w:rPr>
                <w:rStyle w:val="IndexLink"/>
              </w:rPr>
              <w:t>64</w:t>
            </w:r>
          </w:hyperlink>
        </w:p>
        <w:p>
          <w:pPr>
            <w:pStyle w:val="Contents4"/>
            <w:tabs>
              <w:tab w:val="clear" w:pos="8176"/>
              <w:tab w:val="right" w:pos="9026" w:leader="dot"/>
            </w:tabs>
            <w:rPr/>
          </w:pPr>
          <w:hyperlink w:anchor="__RefHeading___Toc10086477_2142443653">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0086479_2142443653">
            <w:r>
              <w:rPr>
                <w:webHidden/>
                <w:rStyle w:val="IndexLink"/>
                <w:rtl w:val="true"/>
              </w:rPr>
              <w:t>البحث الأول</w:t>
            </w:r>
            <w:r>
              <w:rPr>
                <w:rStyle w:val="IndexLink"/>
                <w:rtl w:val="true"/>
              </w:rPr>
              <w:t xml:space="preserve">: </w:t>
            </w:r>
            <w:r>
              <w:rPr>
                <w:rStyle w:val="IndexLink"/>
                <w:rtl w:val="true"/>
              </w:rPr>
              <w:t>في سند الحديث</w:t>
            </w:r>
            <w:r>
              <w:rPr>
                <w:rStyle w:val="IndexLink"/>
                <w:rtl w:val="true"/>
              </w:rPr>
              <w:tab/>
            </w:r>
            <w:r>
              <w:rPr>
                <w:rStyle w:val="IndexLink"/>
              </w:rPr>
              <w:t>64</w:t>
            </w:r>
          </w:hyperlink>
        </w:p>
        <w:p>
          <w:pPr>
            <w:pStyle w:val="Contents4"/>
            <w:tabs>
              <w:tab w:val="clear" w:pos="8176"/>
              <w:tab w:val="right" w:pos="9026" w:leader="dot"/>
            </w:tabs>
            <w:rPr/>
          </w:pPr>
          <w:hyperlink w:anchor="__RefHeading___Toc10086481_2142443653">
            <w:r>
              <w:rPr>
                <w:webHidden/>
                <w:rStyle w:val="IndexLink"/>
                <w:rtl w:val="true"/>
              </w:rPr>
              <w:t>البحث الثاني</w:t>
            </w:r>
            <w:r>
              <w:rPr>
                <w:rStyle w:val="IndexLink"/>
                <w:rtl w:val="true"/>
              </w:rPr>
              <w:t xml:space="preserve">: </w:t>
            </w:r>
            <w:r>
              <w:rPr>
                <w:rStyle w:val="IndexLink"/>
                <w:rtl w:val="true"/>
              </w:rPr>
              <w:t>في دلالة حديث الإطلاق</w:t>
            </w:r>
            <w:r>
              <w:rPr>
                <w:rStyle w:val="IndexLink"/>
                <w:rtl w:val="true"/>
              </w:rPr>
              <w:tab/>
            </w:r>
            <w:r>
              <w:rPr>
                <w:rStyle w:val="IndexLink"/>
              </w:rPr>
              <w:t>67</w:t>
            </w:r>
          </w:hyperlink>
        </w:p>
        <w:p>
          <w:pPr>
            <w:pStyle w:val="Contents4"/>
            <w:tabs>
              <w:tab w:val="clear" w:pos="8176"/>
              <w:tab w:val="right" w:pos="9026" w:leader="dot"/>
            </w:tabs>
            <w:rPr/>
          </w:pPr>
          <w:hyperlink w:anchor="__RefHeading___Toc10086483_2142443653">
            <w:r>
              <w:rPr>
                <w:webHidden/>
                <w:rStyle w:val="IndexLink"/>
                <w:rtl w:val="true"/>
              </w:rPr>
              <w:t>إشكالات على الاستدلال بحديث الإطلاق</w:t>
            </w:r>
            <w:r>
              <w:rPr>
                <w:rStyle w:val="IndexLink"/>
                <w:rtl w:val="true"/>
              </w:rPr>
              <w:tab/>
            </w:r>
            <w:r>
              <w:rPr>
                <w:rStyle w:val="IndexLink"/>
              </w:rPr>
              <w:t>68</w:t>
            </w:r>
          </w:hyperlink>
        </w:p>
        <w:p>
          <w:pPr>
            <w:pStyle w:val="Contents4"/>
            <w:tabs>
              <w:tab w:val="clear" w:pos="8176"/>
              <w:tab w:val="right" w:pos="9026" w:leader="dot"/>
            </w:tabs>
            <w:rPr/>
          </w:pPr>
          <w:hyperlink w:anchor="__RefHeading___Toc10086485_2142443653">
            <w:r>
              <w:rPr>
                <w:webHidden/>
                <w:rStyle w:val="IndexLink"/>
                <w:rtl w:val="true"/>
              </w:rPr>
              <w:t xml:space="preserve">ترجيح معنى الوصول على الصدور من كلمة </w:t>
            </w:r>
            <w:r>
              <w:rPr>
                <w:rStyle w:val="IndexLink"/>
                <w:rtl w:val="true"/>
              </w:rPr>
              <w:t>(</w:t>
            </w:r>
            <w:r>
              <w:rPr>
                <w:rStyle w:val="IndexLink"/>
                <w:rtl w:val="true"/>
              </w:rPr>
              <w:t>الورود</w:t>
            </w:r>
            <w:r>
              <w:rPr>
                <w:rStyle w:val="IndexLink"/>
                <w:rtl w:val="true"/>
              </w:rPr>
              <w:t>)</w:t>
              <w:tab/>
            </w:r>
            <w:r>
              <w:rPr>
                <w:rStyle w:val="IndexLink"/>
              </w:rPr>
              <w:t>71</w:t>
            </w:r>
          </w:hyperlink>
        </w:p>
        <w:p>
          <w:pPr>
            <w:pStyle w:val="Contents4"/>
            <w:tabs>
              <w:tab w:val="clear" w:pos="8176"/>
              <w:tab w:val="right" w:pos="9026" w:leader="dot"/>
            </w:tabs>
            <w:rPr/>
          </w:pPr>
          <w:hyperlink w:anchor="__RefHeading___Toc10086487_2142443653">
            <w:r>
              <w:rPr>
                <w:webHidden/>
                <w:rStyle w:val="IndexLink"/>
                <w:rtl w:val="true"/>
              </w:rPr>
              <w:t xml:space="preserve">دلالة الحديث على البراءة حتى بناء على كون معنى الورود </w:t>
            </w:r>
            <w:r>
              <w:rPr>
                <w:rStyle w:val="IndexLink"/>
                <w:rtl w:val="true"/>
              </w:rPr>
              <w:t>(</w:t>
            </w:r>
            <w:r>
              <w:rPr>
                <w:rStyle w:val="IndexLink"/>
                <w:rtl w:val="true"/>
              </w:rPr>
              <w:t>الصدور</w:t>
            </w:r>
            <w:r>
              <w:rPr>
                <w:rStyle w:val="IndexLink"/>
                <w:rtl w:val="true"/>
              </w:rPr>
              <w:t>)</w:t>
              <w:tab/>
            </w:r>
            <w:r>
              <w:rPr>
                <w:rStyle w:val="IndexLink"/>
              </w:rPr>
              <w:t>79</w:t>
            </w:r>
          </w:hyperlink>
        </w:p>
        <w:p>
          <w:pPr>
            <w:pStyle w:val="Contents3"/>
            <w:tabs>
              <w:tab w:val="clear" w:pos="8459"/>
              <w:tab w:val="right" w:pos="9026" w:leader="dot"/>
            </w:tabs>
            <w:rPr/>
          </w:pPr>
          <w:hyperlink w:anchor="__RefHeading___Toc10086489_2142443653">
            <w:r>
              <w:rPr>
                <w:webHidden/>
                <w:rStyle w:val="IndexLink"/>
                <w:rtl w:val="true"/>
              </w:rPr>
              <w:t>الحديث الخامس</w:t>
            </w:r>
            <w:r>
              <w:rPr>
                <w:rStyle w:val="IndexLink"/>
                <w:rtl w:val="true"/>
              </w:rPr>
              <w:t xml:space="preserve">: </w:t>
            </w:r>
            <w:r>
              <w:rPr>
                <w:rStyle w:val="IndexLink"/>
                <w:rtl w:val="true"/>
              </w:rPr>
              <w:t>حديث الحل</w:t>
            </w:r>
            <w:r>
              <w:rPr>
                <w:rStyle w:val="IndexLink"/>
                <w:rtl w:val="true"/>
              </w:rPr>
              <w:tab/>
            </w:r>
            <w:r>
              <w:rPr>
                <w:rStyle w:val="IndexLink"/>
              </w:rPr>
              <w:t>81</w:t>
            </w:r>
          </w:hyperlink>
        </w:p>
        <w:p>
          <w:pPr>
            <w:pStyle w:val="Contents4"/>
            <w:tabs>
              <w:tab w:val="clear" w:pos="8176"/>
              <w:tab w:val="right" w:pos="9026" w:leader="dot"/>
            </w:tabs>
            <w:rPr/>
          </w:pPr>
          <w:hyperlink w:anchor="__RefHeading___Toc10086491_2142443653">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0086493_2142443653">
            <w:r>
              <w:rPr>
                <w:webHidden/>
                <w:rStyle w:val="IndexLink"/>
                <w:rtl w:val="true"/>
              </w:rPr>
              <w:t>التعبير الأول لروايات الحل</w:t>
            </w:r>
            <w:r>
              <w:rPr>
                <w:rStyle w:val="IndexLink"/>
                <w:rtl w:val="true"/>
              </w:rPr>
              <w:tab/>
            </w:r>
            <w:r>
              <w:rPr>
                <w:rStyle w:val="IndexLink"/>
              </w:rPr>
              <w:t>82</w:t>
            </w:r>
          </w:hyperlink>
        </w:p>
        <w:p>
          <w:pPr>
            <w:pStyle w:val="Contents4"/>
            <w:tabs>
              <w:tab w:val="clear" w:pos="8176"/>
              <w:tab w:val="right" w:pos="9026" w:leader="dot"/>
            </w:tabs>
            <w:rPr/>
          </w:pPr>
          <w:hyperlink w:anchor="__RefHeading___Toc10086495_2142443653">
            <w:r>
              <w:rPr>
                <w:webHidden/>
                <w:rStyle w:val="IndexLink"/>
                <w:rtl w:val="true"/>
              </w:rPr>
              <w:t>التعبير الثاني لروايات الحل</w:t>
            </w:r>
            <w:r>
              <w:rPr>
                <w:rStyle w:val="IndexLink"/>
                <w:rtl w:val="true"/>
              </w:rPr>
              <w:tab/>
            </w:r>
            <w:r>
              <w:rPr>
                <w:rStyle w:val="IndexLink"/>
              </w:rPr>
              <w:t>95</w:t>
            </w:r>
          </w:hyperlink>
        </w:p>
        <w:p>
          <w:pPr>
            <w:pStyle w:val="Contents4"/>
            <w:tabs>
              <w:tab w:val="clear" w:pos="8176"/>
              <w:tab w:val="right" w:pos="9026" w:leader="dot"/>
            </w:tabs>
            <w:rPr/>
          </w:pPr>
          <w:hyperlink w:anchor="__RefHeading___Toc10086497_2142443653">
            <w:r>
              <w:rPr>
                <w:webHidden/>
                <w:rStyle w:val="IndexLink"/>
                <w:rtl w:val="true"/>
              </w:rPr>
              <w:t>التعبير الثالث لروايات الحل</w:t>
            </w:r>
            <w:r>
              <w:rPr>
                <w:rStyle w:val="IndexLink"/>
                <w:rtl w:val="true"/>
              </w:rPr>
              <w:tab/>
            </w:r>
            <w:r>
              <w:rPr>
                <w:rStyle w:val="IndexLink"/>
              </w:rPr>
              <w:t>102</w:t>
            </w:r>
          </w:hyperlink>
        </w:p>
        <w:p>
          <w:pPr>
            <w:pStyle w:val="Contents3"/>
            <w:tabs>
              <w:tab w:val="clear" w:pos="8459"/>
              <w:tab w:val="right" w:pos="9026" w:leader="dot"/>
            </w:tabs>
            <w:rPr/>
          </w:pPr>
          <w:hyperlink w:anchor="__RefHeading___Toc10086499_2142443653">
            <w:r>
              <w:rPr>
                <w:webHidden/>
                <w:rStyle w:val="IndexLink"/>
                <w:rtl w:val="true"/>
              </w:rPr>
              <w:t>الحديث السادس</w:t>
            </w:r>
            <w:r>
              <w:rPr>
                <w:rStyle w:val="IndexLink"/>
                <w:rtl w:val="true"/>
              </w:rPr>
              <w:t xml:space="preserve">: </w:t>
            </w:r>
            <w:r>
              <w:rPr>
                <w:rStyle w:val="IndexLink"/>
                <w:rtl w:val="true"/>
              </w:rPr>
              <w:t>من ركب أمراً بجهالة</w:t>
            </w:r>
            <w:r>
              <w:rPr>
                <w:rStyle w:val="IndexLink"/>
                <w:rtl w:val="true"/>
              </w:rPr>
              <w:tab/>
            </w:r>
            <w:r>
              <w:rPr>
                <w:rStyle w:val="IndexLink"/>
              </w:rPr>
              <w:t>102</w:t>
            </w:r>
          </w:hyperlink>
        </w:p>
        <w:p>
          <w:pPr>
            <w:pStyle w:val="Contents4"/>
            <w:tabs>
              <w:tab w:val="clear" w:pos="8176"/>
              <w:tab w:val="right" w:pos="9026" w:leader="dot"/>
            </w:tabs>
            <w:rPr/>
          </w:pPr>
          <w:hyperlink w:anchor="__RefHeading___Toc10086501_2142443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0086503_2142443653">
            <w:r>
              <w:rPr>
                <w:webHidden/>
                <w:rStyle w:val="IndexLink"/>
                <w:rtl w:val="true"/>
              </w:rPr>
              <w:t>الإشكال الاول</w:t>
            </w:r>
            <w:r>
              <w:rPr>
                <w:rStyle w:val="IndexLink"/>
                <w:rtl w:val="true"/>
              </w:rPr>
              <w:t xml:space="preserve">: </w:t>
            </w:r>
            <w:r>
              <w:rPr>
                <w:rStyle w:val="IndexLink"/>
                <w:rtl w:val="true"/>
              </w:rPr>
              <w:t>عدم شمول الحديث للجاهل البسيط</w:t>
            </w:r>
            <w:r>
              <w:rPr>
                <w:rStyle w:val="IndexLink"/>
                <w:rtl w:val="true"/>
              </w:rPr>
              <w:tab/>
            </w:r>
            <w:r>
              <w:rPr>
                <w:rStyle w:val="IndexLink"/>
              </w:rPr>
              <w:t>103</w:t>
            </w:r>
          </w:hyperlink>
        </w:p>
        <w:p>
          <w:pPr>
            <w:pStyle w:val="Contents4"/>
            <w:tabs>
              <w:tab w:val="clear" w:pos="8176"/>
              <w:tab w:val="right" w:pos="9026" w:leader="dot"/>
            </w:tabs>
            <w:rPr/>
          </w:pPr>
          <w:hyperlink w:anchor="__RefHeading___Toc10086505_2142443653">
            <w:r>
              <w:rPr>
                <w:webHidden/>
                <w:rStyle w:val="IndexLink"/>
                <w:rtl w:val="true"/>
              </w:rPr>
              <w:t>الإشكال الثاني</w:t>
            </w:r>
            <w:r>
              <w:rPr>
                <w:rStyle w:val="IndexLink"/>
                <w:rtl w:val="true"/>
              </w:rPr>
              <w:t xml:space="preserve">: </w:t>
            </w:r>
            <w:r>
              <w:rPr>
                <w:rStyle w:val="IndexLink"/>
                <w:rtl w:val="true"/>
              </w:rPr>
              <w:t>لزوم التخصيص الصحيحة</w:t>
            </w:r>
            <w:r>
              <w:rPr>
                <w:rStyle w:val="IndexLink"/>
                <w:rtl w:val="true"/>
              </w:rPr>
              <w:tab/>
            </w:r>
            <w:r>
              <w:rPr>
                <w:rStyle w:val="IndexLink"/>
              </w:rPr>
              <w:t>108</w:t>
            </w:r>
          </w:hyperlink>
        </w:p>
        <w:p>
          <w:pPr>
            <w:pStyle w:val="Contents4"/>
            <w:tabs>
              <w:tab w:val="clear" w:pos="8176"/>
              <w:tab w:val="right" w:pos="9026" w:leader="dot"/>
            </w:tabs>
            <w:rPr/>
          </w:pPr>
          <w:hyperlink w:anchor="__RefHeading___Toc10086507_2142443653">
            <w:r>
              <w:rPr>
                <w:webHidden/>
                <w:rStyle w:val="IndexLink"/>
                <w:rtl w:val="true"/>
              </w:rPr>
              <w:t>الإشكال الثالث</w:t>
            </w:r>
            <w:r>
              <w:rPr>
                <w:rStyle w:val="IndexLink"/>
                <w:rtl w:val="true"/>
              </w:rPr>
              <w:t xml:space="preserve">: </w:t>
            </w:r>
            <w:r>
              <w:rPr>
                <w:rStyle w:val="IndexLink"/>
                <w:rtl w:val="true"/>
              </w:rPr>
              <w:t>ورود أدلة الاحتياط على الصحيحة</w:t>
            </w:r>
            <w:r>
              <w:rPr>
                <w:rStyle w:val="IndexLink"/>
                <w:rtl w:val="true"/>
              </w:rPr>
              <w:tab/>
            </w:r>
            <w:r>
              <w:rPr>
                <w:rStyle w:val="IndexLink"/>
              </w:rPr>
              <w:t>110</w:t>
            </w:r>
          </w:hyperlink>
        </w:p>
        <w:p>
          <w:pPr>
            <w:pStyle w:val="Contents3"/>
            <w:tabs>
              <w:tab w:val="clear" w:pos="8459"/>
              <w:tab w:val="right" w:pos="9026" w:leader="dot"/>
            </w:tabs>
            <w:rPr/>
          </w:pPr>
          <w:hyperlink w:anchor="__RefHeading___Toc10086509_2142443653">
            <w:r>
              <w:rPr>
                <w:webHidden/>
                <w:rStyle w:val="IndexLink"/>
                <w:rtl w:val="true"/>
              </w:rPr>
              <w:t>الحديث السابع</w:t>
            </w:r>
            <w:r>
              <w:rPr>
                <w:rStyle w:val="IndexLink"/>
                <w:rtl w:val="true"/>
              </w:rPr>
              <w:t xml:space="preserve">: </w:t>
            </w:r>
            <w:r>
              <w:rPr>
                <w:rStyle w:val="IndexLink"/>
                <w:rtl w:val="true"/>
              </w:rPr>
              <w:t>احتجاج اللّه على الناس بما آتاهم</w:t>
            </w:r>
            <w:r>
              <w:rPr>
                <w:rStyle w:val="IndexLink"/>
                <w:rtl w:val="true"/>
              </w:rPr>
              <w:tab/>
            </w:r>
            <w:r>
              <w:rPr>
                <w:rStyle w:val="IndexLink"/>
              </w:rPr>
              <w:t>110</w:t>
            </w:r>
          </w:hyperlink>
        </w:p>
        <w:p>
          <w:pPr>
            <w:pStyle w:val="Contents4"/>
            <w:tabs>
              <w:tab w:val="clear" w:pos="8176"/>
              <w:tab w:val="right" w:pos="9026" w:leader="dot"/>
            </w:tabs>
            <w:rPr/>
          </w:pPr>
          <w:hyperlink w:anchor="__RefHeading___Toc10086511_214244365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0086513_2142443653">
            <w:r>
              <w:rPr>
                <w:webHidden/>
                <w:rStyle w:val="IndexLink"/>
                <w:rtl w:val="true"/>
              </w:rPr>
              <w:t>طرق وثاقة محمد بن إسماعيل</w:t>
            </w:r>
            <w:r>
              <w:rPr>
                <w:rStyle w:val="IndexLink"/>
                <w:rtl w:val="true"/>
              </w:rPr>
              <w:tab/>
            </w:r>
            <w:r>
              <w:rPr>
                <w:rStyle w:val="IndexLink"/>
              </w:rPr>
              <w:t>110</w:t>
            </w:r>
          </w:hyperlink>
        </w:p>
        <w:p>
          <w:pPr>
            <w:pStyle w:val="Contents4"/>
            <w:tabs>
              <w:tab w:val="clear" w:pos="8176"/>
              <w:tab w:val="right" w:pos="9026" w:leader="dot"/>
            </w:tabs>
            <w:rPr/>
          </w:pPr>
          <w:hyperlink w:anchor="__RefHeading___Toc10086515_2142443653">
            <w:r>
              <w:rPr>
                <w:webHidden/>
                <w:rStyle w:val="IndexLink"/>
                <w:rtl w:val="true"/>
              </w:rPr>
              <w:t>وثاقة ابن الطيار</w:t>
            </w:r>
            <w:r>
              <w:rPr>
                <w:rStyle w:val="IndexLink"/>
                <w:rtl w:val="true"/>
              </w:rPr>
              <w:tab/>
            </w:r>
            <w:r>
              <w:rPr>
                <w:rStyle w:val="IndexLink"/>
              </w:rPr>
              <w:t>112</w:t>
            </w:r>
          </w:hyperlink>
        </w:p>
        <w:p>
          <w:pPr>
            <w:pStyle w:val="Contents4"/>
            <w:tabs>
              <w:tab w:val="clear" w:pos="8176"/>
              <w:tab w:val="right" w:pos="9026" w:leader="dot"/>
            </w:tabs>
            <w:rPr/>
          </w:pPr>
          <w:hyperlink w:anchor="__RefHeading___Toc10086517_2142443653">
            <w:r>
              <w:rPr>
                <w:webHidden/>
                <w:rStyle w:val="IndexLink"/>
                <w:rtl w:val="true"/>
              </w:rPr>
              <w:t>البحث في مفاد الحديث</w:t>
            </w:r>
            <w:r>
              <w:rPr>
                <w:rStyle w:val="IndexLink"/>
                <w:rtl w:val="true"/>
              </w:rPr>
              <w:tab/>
            </w:r>
            <w:r>
              <w:rPr>
                <w:rStyle w:val="IndexLink"/>
              </w:rPr>
              <w:t>113</w:t>
            </w:r>
          </w:hyperlink>
        </w:p>
        <w:p>
          <w:pPr>
            <w:pStyle w:val="Contents3"/>
            <w:tabs>
              <w:tab w:val="clear" w:pos="8459"/>
              <w:tab w:val="right" w:pos="9026" w:leader="dot"/>
            </w:tabs>
            <w:rPr/>
          </w:pPr>
          <w:hyperlink w:anchor="__RefHeading___Toc10086519_2142443653">
            <w:r>
              <w:rPr>
                <w:webHidden/>
                <w:rStyle w:val="IndexLink"/>
                <w:rtl w:val="true"/>
              </w:rPr>
              <w:t>الحديث الثامن</w:t>
            </w:r>
            <w:r>
              <w:rPr>
                <w:rStyle w:val="IndexLink"/>
                <w:rtl w:val="true"/>
              </w:rPr>
              <w:t xml:space="preserve">: </w:t>
            </w:r>
            <w:r>
              <w:rPr>
                <w:rStyle w:val="IndexLink"/>
                <w:rtl w:val="true"/>
              </w:rPr>
              <w:t>من لم يعرف شيئاً</w:t>
            </w:r>
            <w:r>
              <w:rPr>
                <w:rStyle w:val="IndexLink"/>
                <w:rtl w:val="true"/>
              </w:rPr>
              <w:tab/>
            </w:r>
            <w:r>
              <w:rPr>
                <w:rStyle w:val="IndexLink"/>
              </w:rPr>
              <w:t>119</w:t>
            </w:r>
          </w:hyperlink>
        </w:p>
        <w:p>
          <w:pPr>
            <w:pStyle w:val="Contents4"/>
            <w:tabs>
              <w:tab w:val="clear" w:pos="8176"/>
              <w:tab w:val="right" w:pos="9026" w:leader="dot"/>
            </w:tabs>
            <w:rPr/>
          </w:pPr>
          <w:hyperlink w:anchor="__RefHeading___Toc10086521_2142443653">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0086523_2142443653">
            <w:r>
              <w:rPr>
                <w:webHidden/>
                <w:rStyle w:val="IndexLink"/>
                <w:rtl w:val="true"/>
              </w:rPr>
              <w:t>توثيق عبد الأعلى بن أعين</w:t>
            </w:r>
            <w:r>
              <w:rPr>
                <w:rStyle w:val="IndexLink"/>
                <w:rtl w:val="true"/>
              </w:rPr>
              <w:tab/>
            </w:r>
            <w:r>
              <w:rPr>
                <w:rStyle w:val="IndexLink"/>
              </w:rPr>
              <w:t>119</w:t>
            </w:r>
          </w:hyperlink>
        </w:p>
        <w:p>
          <w:pPr>
            <w:pStyle w:val="Contents3"/>
            <w:tabs>
              <w:tab w:val="clear" w:pos="8459"/>
              <w:tab w:val="right" w:pos="9026" w:leader="dot"/>
            </w:tabs>
            <w:rPr/>
          </w:pPr>
          <w:hyperlink w:anchor="__RefHeading___Toc10086525_2142443653">
            <w:r>
              <w:rPr>
                <w:webHidden/>
                <w:rStyle w:val="IndexLink"/>
                <w:rtl w:val="true"/>
              </w:rPr>
              <w:t>الحديث التاسع</w:t>
            </w:r>
            <w:r>
              <w:rPr>
                <w:rStyle w:val="IndexLink"/>
                <w:rtl w:val="true"/>
              </w:rPr>
              <w:t xml:space="preserve">: </w:t>
            </w:r>
            <w:r>
              <w:rPr>
                <w:rStyle w:val="IndexLink"/>
                <w:rtl w:val="true"/>
              </w:rPr>
              <w:t>عذر الناس بالجهالة</w:t>
            </w:r>
            <w:r>
              <w:rPr>
                <w:rStyle w:val="IndexLink"/>
                <w:rtl w:val="true"/>
              </w:rPr>
              <w:tab/>
            </w:r>
            <w:r>
              <w:rPr>
                <w:rStyle w:val="IndexLink"/>
              </w:rPr>
              <w:t>121</w:t>
            </w:r>
          </w:hyperlink>
        </w:p>
        <w:p>
          <w:pPr>
            <w:pStyle w:val="Contents4"/>
            <w:tabs>
              <w:tab w:val="clear" w:pos="8176"/>
              <w:tab w:val="right" w:pos="9026" w:leader="dot"/>
            </w:tabs>
            <w:rPr/>
          </w:pPr>
          <w:hyperlink w:anchor="__RefHeading___Toc10086527_2142443653">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0086529_2142443653">
            <w:r>
              <w:rPr>
                <w:webHidden/>
                <w:rStyle w:val="IndexLink"/>
                <w:rtl w:val="true"/>
              </w:rPr>
              <w:t>تمامية السند</w:t>
            </w:r>
            <w:r>
              <w:rPr>
                <w:rStyle w:val="IndexLink"/>
                <w:rtl w:val="true"/>
              </w:rPr>
              <w:tab/>
            </w:r>
            <w:r>
              <w:rPr>
                <w:rStyle w:val="IndexLink"/>
              </w:rPr>
              <w:t>123</w:t>
            </w:r>
          </w:hyperlink>
        </w:p>
        <w:p>
          <w:pPr>
            <w:pStyle w:val="Contents4"/>
            <w:tabs>
              <w:tab w:val="clear" w:pos="8176"/>
              <w:tab w:val="right" w:pos="9026" w:leader="dot"/>
            </w:tabs>
            <w:rPr/>
          </w:pPr>
          <w:hyperlink w:anchor="__RefHeading___Toc10086531_2142443653">
            <w:r>
              <w:rPr>
                <w:webHidden/>
                <w:rStyle w:val="IndexLink"/>
                <w:rtl w:val="true"/>
              </w:rPr>
              <w:t>عدم قبول الأحكام الوضعية للتشكيك</w:t>
            </w:r>
            <w:r>
              <w:rPr>
                <w:rStyle w:val="IndexLink"/>
                <w:rtl w:val="true"/>
              </w:rPr>
              <w:tab/>
            </w:r>
            <w:r>
              <w:rPr>
                <w:rStyle w:val="IndexLink"/>
              </w:rPr>
              <w:t>127</w:t>
            </w:r>
          </w:hyperlink>
        </w:p>
        <w:p>
          <w:pPr>
            <w:pStyle w:val="Contents3"/>
            <w:tabs>
              <w:tab w:val="clear" w:pos="8459"/>
              <w:tab w:val="right" w:pos="9026" w:leader="dot"/>
            </w:tabs>
            <w:rPr/>
          </w:pPr>
          <w:hyperlink w:anchor="__RefHeading___Toc10086533_2142443653">
            <w:r>
              <w:rPr>
                <w:webHidden/>
                <w:rStyle w:val="IndexLink"/>
                <w:rtl w:val="true"/>
              </w:rPr>
              <w:t>الحديث العاشر</w:t>
            </w:r>
            <w:r>
              <w:rPr>
                <w:rStyle w:val="IndexLink"/>
                <w:rtl w:val="true"/>
              </w:rPr>
              <w:t xml:space="preserve">: </w:t>
            </w:r>
            <w:r>
              <w:rPr>
                <w:rStyle w:val="IndexLink"/>
                <w:rtl w:val="true"/>
              </w:rPr>
              <w:t>من عمل بما علم كفي ما لم يعلم</w:t>
            </w:r>
            <w:r>
              <w:rPr>
                <w:rStyle w:val="IndexLink"/>
                <w:rtl w:val="true"/>
              </w:rPr>
              <w:tab/>
            </w:r>
            <w:r>
              <w:rPr>
                <w:rStyle w:val="IndexLink"/>
              </w:rPr>
              <w:t>131</w:t>
            </w:r>
          </w:hyperlink>
        </w:p>
        <w:p>
          <w:pPr>
            <w:pStyle w:val="Contents3"/>
            <w:tabs>
              <w:tab w:val="clear" w:pos="8459"/>
              <w:tab w:val="right" w:pos="9026" w:leader="dot"/>
            </w:tabs>
            <w:rPr/>
          </w:pPr>
          <w:hyperlink w:anchor="__RefHeading___Toc10086535_2142443653">
            <w:r>
              <w:rPr>
                <w:webHidden/>
                <w:rStyle w:val="IndexLink"/>
                <w:rtl w:val="true"/>
              </w:rPr>
              <w:t>الدليل الثالث</w:t>
            </w:r>
            <w:r>
              <w:rPr>
                <w:rStyle w:val="IndexLink"/>
                <w:rtl w:val="true"/>
              </w:rPr>
              <w:t xml:space="preserve">: </w:t>
            </w:r>
            <w:r>
              <w:rPr>
                <w:rStyle w:val="IndexLink"/>
                <w:rtl w:val="true"/>
              </w:rPr>
              <w:t>الإجماع</w:t>
            </w:r>
            <w:r>
              <w:rPr>
                <w:rStyle w:val="IndexLink"/>
                <w:rtl w:val="true"/>
              </w:rPr>
              <w:tab/>
            </w:r>
            <w:r>
              <w:rPr>
                <w:rStyle w:val="IndexLink"/>
              </w:rPr>
              <w:t>132</w:t>
            </w:r>
          </w:hyperlink>
        </w:p>
        <w:p>
          <w:pPr>
            <w:pStyle w:val="Contents3"/>
            <w:tabs>
              <w:tab w:val="clear" w:pos="8459"/>
              <w:tab w:val="right" w:pos="9026" w:leader="dot"/>
            </w:tabs>
            <w:rPr/>
          </w:pPr>
          <w:hyperlink w:anchor="__RefHeading___Toc10086537_2142443653">
            <w:r>
              <w:rPr>
                <w:webHidden/>
                <w:rStyle w:val="IndexLink"/>
                <w:rtl w:val="true"/>
              </w:rPr>
              <w:t>الدليل الرابع</w:t>
            </w:r>
            <w:r>
              <w:rPr>
                <w:rStyle w:val="IndexLink"/>
                <w:rtl w:val="true"/>
              </w:rPr>
              <w:t xml:space="preserve">: </w:t>
            </w:r>
            <w:r>
              <w:rPr>
                <w:rStyle w:val="IndexLink"/>
                <w:rtl w:val="true"/>
              </w:rPr>
              <w:t>دليل العقل</w:t>
            </w:r>
            <w:r>
              <w:rPr>
                <w:rStyle w:val="IndexLink"/>
                <w:rtl w:val="true"/>
              </w:rPr>
              <w:tab/>
            </w:r>
            <w:r>
              <w:rPr>
                <w:rStyle w:val="IndexLink"/>
              </w:rPr>
              <w:t>133</w:t>
            </w:r>
          </w:hyperlink>
        </w:p>
        <w:p>
          <w:pPr>
            <w:pStyle w:val="Contents4"/>
            <w:tabs>
              <w:tab w:val="clear" w:pos="8176"/>
              <w:tab w:val="right" w:pos="9026" w:leader="dot"/>
            </w:tabs>
            <w:rPr/>
          </w:pPr>
          <w:hyperlink w:anchor="__RefHeading___Toc10086539_2142443653">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0086541_2142443653">
            <w:r>
              <w:rPr>
                <w:webHidden/>
                <w:rStyle w:val="IndexLink"/>
                <w:rtl w:val="true"/>
              </w:rPr>
              <w:t>التقرير الأول</w:t>
            </w:r>
            <w:r>
              <w:rPr>
                <w:rStyle w:val="IndexLink"/>
                <w:rtl w:val="true"/>
              </w:rPr>
              <w:t xml:space="preserve">: </w:t>
            </w:r>
            <w:r>
              <w:rPr>
                <w:rStyle w:val="IndexLink"/>
                <w:rtl w:val="true"/>
              </w:rPr>
              <w:t>التمسك بقاعدة قبح العقاب بلا بيان</w:t>
            </w:r>
            <w:r>
              <w:rPr>
                <w:rStyle w:val="IndexLink"/>
                <w:rtl w:val="true"/>
              </w:rPr>
              <w:tab/>
            </w:r>
            <w:r>
              <w:rPr>
                <w:rStyle w:val="IndexLink"/>
              </w:rPr>
              <w:t>133</w:t>
            </w:r>
          </w:hyperlink>
        </w:p>
        <w:p>
          <w:pPr>
            <w:pStyle w:val="Contents4"/>
            <w:tabs>
              <w:tab w:val="clear" w:pos="8176"/>
              <w:tab w:val="right" w:pos="9026" w:leader="dot"/>
            </w:tabs>
            <w:rPr/>
          </w:pPr>
          <w:hyperlink w:anchor="__RefHeading___Toc10086543_2142443653">
            <w:r>
              <w:rPr>
                <w:webHidden/>
                <w:rStyle w:val="IndexLink"/>
                <w:rtl w:val="true"/>
              </w:rPr>
              <w:t>التقرير الثاني</w:t>
            </w:r>
            <w:r>
              <w:rPr>
                <w:rStyle w:val="IndexLink"/>
                <w:rtl w:val="true"/>
              </w:rPr>
              <w:t xml:space="preserve">: </w:t>
            </w:r>
            <w:r>
              <w:rPr>
                <w:rStyle w:val="IndexLink"/>
                <w:rtl w:val="true"/>
              </w:rPr>
              <w:t>استحالة التكليف بالمجهول</w:t>
            </w:r>
            <w:r>
              <w:rPr>
                <w:rStyle w:val="IndexLink"/>
                <w:rtl w:val="true"/>
              </w:rPr>
              <w:tab/>
            </w:r>
            <w:r>
              <w:rPr>
                <w:rStyle w:val="IndexLink"/>
              </w:rPr>
              <w:t>175</w:t>
            </w:r>
          </w:hyperlink>
        </w:p>
        <w:p>
          <w:pPr>
            <w:pStyle w:val="Contents3"/>
            <w:tabs>
              <w:tab w:val="clear" w:pos="8459"/>
              <w:tab w:val="right" w:pos="9026" w:leader="dot"/>
            </w:tabs>
            <w:rPr/>
          </w:pPr>
          <w:hyperlink w:anchor="__RefHeading___Toc10086545_2142443653">
            <w:r>
              <w:rPr>
                <w:webHidden/>
                <w:rStyle w:val="IndexLink"/>
                <w:rtl w:val="true"/>
              </w:rPr>
              <w:t>الاستدلال على البراءة بالاستصحاب</w:t>
            </w:r>
            <w:r>
              <w:rPr>
                <w:rStyle w:val="IndexLink"/>
                <w:rtl w:val="true"/>
              </w:rPr>
              <w:tab/>
            </w:r>
            <w:r>
              <w:rPr>
                <w:rStyle w:val="IndexLink"/>
              </w:rPr>
              <w:t>178</w:t>
            </w:r>
          </w:hyperlink>
        </w:p>
        <w:p>
          <w:pPr>
            <w:pStyle w:val="Contents4"/>
            <w:tabs>
              <w:tab w:val="clear" w:pos="8176"/>
              <w:tab w:val="right" w:pos="9026" w:leader="dot"/>
            </w:tabs>
            <w:rPr/>
          </w:pPr>
          <w:hyperlink w:anchor="__RefHeading___Toc10086547_214244365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0086549_2142443653">
            <w:r>
              <w:rPr>
                <w:webHidden/>
                <w:rStyle w:val="IndexLink"/>
                <w:rtl w:val="true"/>
              </w:rPr>
              <w:t>تقريرات الاستصحاب</w:t>
            </w:r>
            <w:r>
              <w:rPr>
                <w:rStyle w:val="IndexLink"/>
                <w:rtl w:val="true"/>
              </w:rPr>
              <w:tab/>
            </w:r>
            <w:r>
              <w:rPr>
                <w:rStyle w:val="IndexLink"/>
              </w:rPr>
              <w:t>179</w:t>
            </w:r>
          </w:hyperlink>
        </w:p>
        <w:p>
          <w:pPr>
            <w:pStyle w:val="Contents3"/>
            <w:tabs>
              <w:tab w:val="clear" w:pos="8459"/>
              <w:tab w:val="right" w:pos="9026" w:leader="dot"/>
            </w:tabs>
            <w:rPr/>
          </w:pPr>
          <w:hyperlink w:anchor="__RefHeading___Toc10086551_2142443653">
            <w:r>
              <w:rPr>
                <w:webHidden/>
                <w:rStyle w:val="IndexLink"/>
                <w:rtl w:val="true"/>
              </w:rPr>
              <w:t>تنبيهات</w:t>
            </w:r>
            <w:r>
              <w:rPr>
                <w:rStyle w:val="IndexLink"/>
                <w:rtl w:val="true"/>
              </w:rPr>
              <w:tab/>
            </w:r>
            <w:r>
              <w:rPr>
                <w:rStyle w:val="IndexLink"/>
              </w:rPr>
              <w:t>196</w:t>
            </w:r>
          </w:hyperlink>
        </w:p>
        <w:p>
          <w:pPr>
            <w:pStyle w:val="Contents4"/>
            <w:tabs>
              <w:tab w:val="clear" w:pos="8176"/>
              <w:tab w:val="right" w:pos="9026" w:leader="dot"/>
            </w:tabs>
            <w:rPr/>
          </w:pPr>
          <w:hyperlink w:anchor="__RefHeading___Toc10086553_2142443653">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0086555_2142443653">
            <w:r>
              <w:rPr>
                <w:webHidden/>
                <w:rStyle w:val="IndexLink"/>
                <w:rtl w:val="true"/>
              </w:rPr>
              <w:t>التنبيه الأول</w:t>
            </w:r>
            <w:r>
              <w:rPr>
                <w:rStyle w:val="IndexLink"/>
                <w:rtl w:val="true"/>
              </w:rPr>
              <w:t xml:space="preserve">: </w:t>
            </w:r>
            <w:r>
              <w:rPr>
                <w:rStyle w:val="IndexLink"/>
                <w:rtl w:val="true"/>
              </w:rPr>
              <w:t>لغوية دليل البراءة مع جريان استصحاب عدم التكليف</w:t>
            </w:r>
            <w:r>
              <w:rPr>
                <w:rStyle w:val="IndexLink"/>
                <w:rtl w:val="true"/>
              </w:rPr>
              <w:tab/>
            </w:r>
            <w:r>
              <w:rPr>
                <w:rStyle w:val="IndexLink"/>
              </w:rPr>
              <w:t>196</w:t>
            </w:r>
          </w:hyperlink>
        </w:p>
        <w:p>
          <w:pPr>
            <w:pStyle w:val="Contents4"/>
            <w:tabs>
              <w:tab w:val="clear" w:pos="8176"/>
              <w:tab w:val="right" w:pos="9026" w:leader="dot"/>
            </w:tabs>
            <w:rPr/>
          </w:pPr>
          <w:hyperlink w:anchor="__RefHeading___Toc10086557_2142443653">
            <w:r>
              <w:rPr>
                <w:webHidden/>
                <w:rStyle w:val="IndexLink"/>
                <w:rtl w:val="true"/>
              </w:rPr>
              <w:t>التنبيه الثاني</w:t>
            </w:r>
            <w:r>
              <w:rPr>
                <w:rStyle w:val="IndexLink"/>
                <w:rtl w:val="true"/>
              </w:rPr>
              <w:t xml:space="preserve">: </w:t>
            </w:r>
            <w:r>
              <w:rPr>
                <w:rStyle w:val="IndexLink"/>
                <w:rtl w:val="true"/>
              </w:rPr>
              <w:t>تعارض استصحاب عدم الإلزام مع استصحاب عدم الترخيص</w:t>
            </w:r>
            <w:r>
              <w:rPr>
                <w:rStyle w:val="IndexLink"/>
                <w:rtl w:val="true"/>
              </w:rPr>
              <w:tab/>
            </w:r>
            <w:r>
              <w:rPr>
                <w:rStyle w:val="IndexLink"/>
              </w:rPr>
              <w:t>201</w:t>
            </w:r>
          </w:hyperlink>
        </w:p>
        <w:p>
          <w:pPr>
            <w:pStyle w:val="Contents4"/>
            <w:tabs>
              <w:tab w:val="clear" w:pos="8176"/>
              <w:tab w:val="right" w:pos="9026" w:leader="dot"/>
            </w:tabs>
            <w:rPr/>
          </w:pPr>
          <w:hyperlink w:anchor="__RefHeading___Toc10086559_2142443653">
            <w:r>
              <w:rPr>
                <w:webHidden/>
                <w:rStyle w:val="IndexLink"/>
                <w:rtl w:val="true"/>
              </w:rPr>
              <w:t>التنبيه الثالث</w:t>
            </w:r>
            <w:r>
              <w:rPr>
                <w:rStyle w:val="IndexLink"/>
                <w:rtl w:val="true"/>
              </w:rPr>
              <w:t xml:space="preserve">: </w:t>
            </w:r>
            <w:r>
              <w:rPr>
                <w:rStyle w:val="IndexLink"/>
                <w:rtl w:val="true"/>
              </w:rPr>
              <w:t>استصحاب عدم جعل التكليف في الشبهات الموضوعية</w:t>
            </w:r>
            <w:r>
              <w:rPr>
                <w:rStyle w:val="IndexLink"/>
                <w:rtl w:val="true"/>
              </w:rPr>
              <w:tab/>
            </w:r>
            <w:r>
              <w:rPr>
                <w:rStyle w:val="IndexLink"/>
              </w:rPr>
              <w:t>208</w:t>
            </w:r>
          </w:hyperlink>
        </w:p>
        <w:p>
          <w:pPr>
            <w:pStyle w:val="Contents2"/>
            <w:tabs>
              <w:tab w:val="clear" w:pos="8743"/>
              <w:tab w:val="right" w:pos="9026" w:leader="dot"/>
            </w:tabs>
            <w:rPr/>
          </w:pPr>
          <w:hyperlink w:anchor="__RefHeading___Toc10086561_2142443653">
            <w:r>
              <w:rPr>
                <w:webHidden/>
                <w:rStyle w:val="IndexLink"/>
                <w:rtl w:val="true"/>
              </w:rPr>
              <w:t>أدلة الأخباريين على الاحتياط</w:t>
            </w:r>
            <w:r>
              <w:rPr>
                <w:rStyle w:val="IndexLink"/>
                <w:rtl w:val="true"/>
              </w:rPr>
              <w:tab/>
            </w:r>
            <w:r>
              <w:rPr>
                <w:rStyle w:val="IndexLink"/>
              </w:rPr>
              <w:t>213</w:t>
            </w:r>
          </w:hyperlink>
        </w:p>
        <w:p>
          <w:pPr>
            <w:pStyle w:val="Contents3"/>
            <w:tabs>
              <w:tab w:val="clear" w:pos="8459"/>
              <w:tab w:val="right" w:pos="9026" w:leader="dot"/>
            </w:tabs>
            <w:rPr/>
          </w:pPr>
          <w:hyperlink w:anchor="__RefHeading___Toc10086563_2142443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0086565_2142443653">
            <w:r>
              <w:rPr>
                <w:webHidden/>
                <w:rStyle w:val="IndexLink"/>
                <w:rtl w:val="true"/>
              </w:rPr>
              <w:t>الدليل الأول</w:t>
            </w:r>
            <w:r>
              <w:rPr>
                <w:rStyle w:val="IndexLink"/>
                <w:rtl w:val="true"/>
              </w:rPr>
              <w:t xml:space="preserve">: </w:t>
            </w:r>
            <w:r>
              <w:rPr>
                <w:rStyle w:val="IndexLink"/>
                <w:rtl w:val="true"/>
              </w:rPr>
              <w:t>الاستدلال بالكتاب الكريم</w:t>
            </w:r>
            <w:r>
              <w:rPr>
                <w:rStyle w:val="IndexLink"/>
                <w:rtl w:val="true"/>
              </w:rPr>
              <w:tab/>
            </w:r>
            <w:r>
              <w:rPr>
                <w:rStyle w:val="IndexLink"/>
              </w:rPr>
              <w:t>213</w:t>
            </w:r>
          </w:hyperlink>
        </w:p>
        <w:p>
          <w:pPr>
            <w:pStyle w:val="Contents4"/>
            <w:tabs>
              <w:tab w:val="clear" w:pos="8176"/>
              <w:tab w:val="right" w:pos="9026" w:leader="dot"/>
            </w:tabs>
            <w:rPr/>
          </w:pPr>
          <w:hyperlink w:anchor="__RefHeading___Toc10086567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0086569_2142443653">
            <w:r>
              <w:rPr>
                <w:webHidden/>
                <w:rStyle w:val="IndexLink"/>
                <w:rtl w:val="true"/>
              </w:rPr>
              <w:t>الطائفة الأولى</w:t>
            </w:r>
            <w:r>
              <w:rPr>
                <w:rStyle w:val="IndexLink"/>
                <w:rtl w:val="true"/>
              </w:rPr>
              <w:tab/>
            </w:r>
            <w:r>
              <w:rPr>
                <w:rStyle w:val="IndexLink"/>
              </w:rPr>
              <w:t>213</w:t>
            </w:r>
          </w:hyperlink>
        </w:p>
        <w:p>
          <w:pPr>
            <w:pStyle w:val="Contents4"/>
            <w:tabs>
              <w:tab w:val="clear" w:pos="8176"/>
              <w:tab w:val="right" w:pos="9026" w:leader="dot"/>
            </w:tabs>
            <w:rPr/>
          </w:pPr>
          <w:hyperlink w:anchor="__RefHeading___Toc10086571_2142443653">
            <w:r>
              <w:rPr>
                <w:webHidden/>
                <w:rStyle w:val="IndexLink"/>
                <w:rtl w:val="true"/>
              </w:rPr>
              <w:t>الطائفة الثانية</w:t>
            </w:r>
            <w:r>
              <w:rPr>
                <w:rStyle w:val="IndexLink"/>
                <w:rtl w:val="true"/>
              </w:rPr>
              <w:tab/>
            </w:r>
            <w:r>
              <w:rPr>
                <w:rStyle w:val="IndexLink"/>
              </w:rPr>
              <w:t>216</w:t>
            </w:r>
          </w:hyperlink>
        </w:p>
        <w:p>
          <w:pPr>
            <w:pStyle w:val="Contents4"/>
            <w:tabs>
              <w:tab w:val="clear" w:pos="8176"/>
              <w:tab w:val="right" w:pos="9026" w:leader="dot"/>
            </w:tabs>
            <w:rPr/>
          </w:pPr>
          <w:hyperlink w:anchor="__RefHeading___Toc10086573_2142443653">
            <w:r>
              <w:rPr>
                <w:webHidden/>
                <w:rStyle w:val="IndexLink"/>
                <w:rtl w:val="true"/>
              </w:rPr>
              <w:t>الطائفة الثالثة</w:t>
            </w:r>
            <w:r>
              <w:rPr>
                <w:rStyle w:val="IndexLink"/>
                <w:rtl w:val="true"/>
              </w:rPr>
              <w:tab/>
            </w:r>
            <w:r>
              <w:rPr>
                <w:rStyle w:val="IndexLink"/>
              </w:rPr>
              <w:t>219</w:t>
            </w:r>
          </w:hyperlink>
        </w:p>
        <w:p>
          <w:pPr>
            <w:pStyle w:val="Contents4"/>
            <w:tabs>
              <w:tab w:val="clear" w:pos="8176"/>
              <w:tab w:val="right" w:pos="9026" w:leader="dot"/>
            </w:tabs>
            <w:rPr/>
          </w:pPr>
          <w:hyperlink w:anchor="__RefHeading___Toc10086575_2142443653">
            <w:r>
              <w:rPr>
                <w:webHidden/>
                <w:rStyle w:val="IndexLink"/>
                <w:rtl w:val="true"/>
              </w:rPr>
              <w:t>الطائفة الرابعة</w:t>
            </w:r>
            <w:r>
              <w:rPr>
                <w:rStyle w:val="IndexLink"/>
                <w:rtl w:val="true"/>
              </w:rPr>
              <w:tab/>
            </w:r>
            <w:r>
              <w:rPr>
                <w:rStyle w:val="IndexLink"/>
              </w:rPr>
              <w:t>221</w:t>
            </w:r>
          </w:hyperlink>
        </w:p>
        <w:p>
          <w:pPr>
            <w:pStyle w:val="Contents3"/>
            <w:tabs>
              <w:tab w:val="clear" w:pos="8459"/>
              <w:tab w:val="right" w:pos="9026" w:leader="dot"/>
            </w:tabs>
            <w:rPr/>
          </w:pPr>
          <w:hyperlink w:anchor="__RefHeading___Toc10086577_2142443653">
            <w:r>
              <w:rPr>
                <w:webHidden/>
                <w:rStyle w:val="IndexLink"/>
                <w:rtl w:val="true"/>
              </w:rPr>
              <w:t>الدليل الثاني</w:t>
            </w:r>
            <w:r>
              <w:rPr>
                <w:rStyle w:val="IndexLink"/>
                <w:rtl w:val="true"/>
              </w:rPr>
              <w:t xml:space="preserve">: </w:t>
            </w:r>
            <w:r>
              <w:rPr>
                <w:rStyle w:val="IndexLink"/>
                <w:rtl w:val="true"/>
              </w:rPr>
              <w:t>الاستدلال بالسنة المطهرة</w:t>
            </w:r>
            <w:r>
              <w:rPr>
                <w:rStyle w:val="IndexLink"/>
                <w:rtl w:val="true"/>
              </w:rPr>
              <w:tab/>
            </w:r>
            <w:r>
              <w:rPr>
                <w:rStyle w:val="IndexLink"/>
              </w:rPr>
              <w:t>222</w:t>
            </w:r>
          </w:hyperlink>
        </w:p>
        <w:p>
          <w:pPr>
            <w:pStyle w:val="Contents4"/>
            <w:tabs>
              <w:tab w:val="clear" w:pos="8176"/>
              <w:tab w:val="right" w:pos="9026" w:leader="dot"/>
            </w:tabs>
            <w:rPr/>
          </w:pPr>
          <w:hyperlink w:anchor="__RefHeading___Toc10086579_2142443653">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0086581_2142443653">
            <w:r>
              <w:rPr>
                <w:webHidden/>
                <w:rStyle w:val="IndexLink"/>
                <w:rtl w:val="true"/>
              </w:rPr>
              <w:t>الطائفة الأولى</w:t>
            </w:r>
            <w:r>
              <w:rPr>
                <w:rStyle w:val="IndexLink"/>
                <w:rtl w:val="true"/>
              </w:rPr>
              <w:t xml:space="preserve">: </w:t>
            </w:r>
            <w:r>
              <w:rPr>
                <w:rStyle w:val="IndexLink"/>
                <w:rtl w:val="true"/>
              </w:rPr>
              <w:t>ما أمر فيه بالوقوف عند الشبهة</w:t>
            </w:r>
            <w:r>
              <w:rPr>
                <w:rStyle w:val="IndexLink"/>
                <w:rtl w:val="true"/>
              </w:rPr>
              <w:tab/>
            </w:r>
            <w:r>
              <w:rPr>
                <w:rStyle w:val="IndexLink"/>
              </w:rPr>
              <w:t>222</w:t>
            </w:r>
          </w:hyperlink>
        </w:p>
        <w:p>
          <w:pPr>
            <w:pStyle w:val="Contents5"/>
            <w:tabs>
              <w:tab w:val="clear" w:pos="7892"/>
              <w:tab w:val="right" w:pos="9026" w:leader="dot"/>
            </w:tabs>
            <w:rPr/>
          </w:pPr>
          <w:hyperlink w:anchor="__RefHeading___Toc10086583_2142443653">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0086585_2142443653">
            <w:r>
              <w:rPr>
                <w:webHidden/>
                <w:rStyle w:val="IndexLink"/>
                <w:rtl w:val="true"/>
              </w:rPr>
              <w:t>فقد أشكل عليها بإشكالات</w:t>
            </w:r>
            <w:r>
              <w:rPr>
                <w:rStyle w:val="IndexLink"/>
                <w:rtl w:val="true"/>
              </w:rPr>
              <w:tab/>
            </w:r>
            <w:r>
              <w:rPr>
                <w:rStyle w:val="IndexLink"/>
              </w:rPr>
              <w:t>226</w:t>
            </w:r>
          </w:hyperlink>
        </w:p>
        <w:p>
          <w:pPr>
            <w:pStyle w:val="Contents6"/>
            <w:tabs>
              <w:tab w:val="clear" w:pos="7609"/>
              <w:tab w:val="right" w:pos="9026" w:leader="dot"/>
            </w:tabs>
            <w:rPr/>
          </w:pPr>
          <w:hyperlink w:anchor="__RefHeading___Toc10086587_2142443653">
            <w:r>
              <w:rPr>
                <w:webHidden/>
                <w:rStyle w:val="IndexLink"/>
                <w:rtl w:val="true"/>
              </w:rPr>
              <w:t>الإشكال الأول</w:t>
            </w:r>
            <w:r>
              <w:rPr>
                <w:rStyle w:val="IndexLink"/>
                <w:rtl w:val="true"/>
              </w:rPr>
              <w:tab/>
            </w:r>
            <w:r>
              <w:rPr>
                <w:rStyle w:val="IndexLink"/>
              </w:rPr>
              <w:t>226</w:t>
            </w:r>
          </w:hyperlink>
        </w:p>
        <w:p>
          <w:pPr>
            <w:pStyle w:val="Contents6"/>
            <w:tabs>
              <w:tab w:val="clear" w:pos="7609"/>
              <w:tab w:val="right" w:pos="9026" w:leader="dot"/>
            </w:tabs>
            <w:rPr/>
          </w:pPr>
          <w:hyperlink w:anchor="__RefHeading___Toc10086589_2142443653">
            <w:r>
              <w:rPr>
                <w:webHidden/>
                <w:rStyle w:val="IndexLink"/>
                <w:rtl w:val="true"/>
              </w:rPr>
              <w:t>الإشكال الثاني</w:t>
            </w:r>
            <w:r>
              <w:rPr>
                <w:rStyle w:val="IndexLink"/>
                <w:rtl w:val="true"/>
              </w:rPr>
              <w:tab/>
            </w:r>
            <w:r>
              <w:rPr>
                <w:rStyle w:val="IndexLink"/>
              </w:rPr>
              <w:t>228</w:t>
            </w:r>
          </w:hyperlink>
        </w:p>
        <w:p>
          <w:pPr>
            <w:pStyle w:val="Contents6"/>
            <w:tabs>
              <w:tab w:val="clear" w:pos="7609"/>
              <w:tab w:val="right" w:pos="9026" w:leader="dot"/>
            </w:tabs>
            <w:rPr/>
          </w:pPr>
          <w:hyperlink w:anchor="__RefHeading___Toc10086591_2142443653">
            <w:r>
              <w:rPr>
                <w:webHidden/>
                <w:rStyle w:val="IndexLink"/>
                <w:rtl w:val="true"/>
              </w:rPr>
              <w:t>الإشكال الثالث</w:t>
            </w:r>
            <w:r>
              <w:rPr>
                <w:rStyle w:val="IndexLink"/>
                <w:rtl w:val="true"/>
              </w:rPr>
              <w:tab/>
            </w:r>
            <w:r>
              <w:rPr>
                <w:rStyle w:val="IndexLink"/>
              </w:rPr>
              <w:t>230</w:t>
            </w:r>
          </w:hyperlink>
        </w:p>
        <w:p>
          <w:pPr>
            <w:pStyle w:val="Contents6"/>
            <w:tabs>
              <w:tab w:val="clear" w:pos="7609"/>
              <w:tab w:val="right" w:pos="9026" w:leader="dot"/>
            </w:tabs>
            <w:rPr/>
          </w:pPr>
          <w:hyperlink w:anchor="__RefHeading___Toc10086593_2142443653">
            <w:r>
              <w:rPr>
                <w:webHidden/>
                <w:rStyle w:val="IndexLink"/>
                <w:rtl w:val="true"/>
              </w:rPr>
              <w:t>الإشكال الرابع</w:t>
            </w:r>
            <w:r>
              <w:rPr>
                <w:rStyle w:val="IndexLink"/>
                <w:rtl w:val="true"/>
              </w:rPr>
              <w:tab/>
            </w:r>
            <w:r>
              <w:rPr>
                <w:rStyle w:val="IndexLink"/>
              </w:rPr>
              <w:t>231</w:t>
            </w:r>
          </w:hyperlink>
        </w:p>
        <w:p>
          <w:pPr>
            <w:pStyle w:val="Contents6"/>
            <w:tabs>
              <w:tab w:val="clear" w:pos="7609"/>
              <w:tab w:val="right" w:pos="9026" w:leader="dot"/>
            </w:tabs>
            <w:rPr/>
          </w:pPr>
          <w:hyperlink w:anchor="__RefHeading___Toc10086595_2142443653">
            <w:r>
              <w:rPr>
                <w:webHidden/>
                <w:rStyle w:val="IndexLink"/>
                <w:rtl w:val="true"/>
              </w:rPr>
              <w:t>الإشكال الخامس</w:t>
            </w:r>
            <w:r>
              <w:rPr>
                <w:rStyle w:val="IndexLink"/>
                <w:rtl w:val="true"/>
              </w:rPr>
              <w:tab/>
            </w:r>
            <w:r>
              <w:rPr>
                <w:rStyle w:val="IndexLink"/>
              </w:rPr>
              <w:t>233</w:t>
            </w:r>
          </w:hyperlink>
        </w:p>
        <w:p>
          <w:pPr>
            <w:pStyle w:val="Contents6"/>
            <w:tabs>
              <w:tab w:val="clear" w:pos="7609"/>
              <w:tab w:val="right" w:pos="9026" w:leader="dot"/>
            </w:tabs>
            <w:rPr/>
          </w:pPr>
          <w:hyperlink w:anchor="__RefHeading___Toc10086597_2142443653">
            <w:r>
              <w:rPr>
                <w:webHidden/>
                <w:rStyle w:val="IndexLink"/>
                <w:rtl w:val="true"/>
              </w:rPr>
              <w:t>الإشكال السادس</w:t>
            </w:r>
            <w:r>
              <w:rPr>
                <w:rStyle w:val="IndexLink"/>
                <w:rtl w:val="true"/>
              </w:rPr>
              <w:tab/>
            </w:r>
            <w:r>
              <w:rPr>
                <w:rStyle w:val="IndexLink"/>
              </w:rPr>
              <w:t>233</w:t>
            </w:r>
          </w:hyperlink>
        </w:p>
        <w:p>
          <w:pPr>
            <w:pStyle w:val="Contents6"/>
            <w:tabs>
              <w:tab w:val="clear" w:pos="7609"/>
              <w:tab w:val="right" w:pos="9026" w:leader="dot"/>
            </w:tabs>
            <w:rPr/>
          </w:pPr>
          <w:hyperlink w:anchor="__RefHeading___Toc10086599_2142443653">
            <w:r>
              <w:rPr>
                <w:webHidden/>
                <w:rStyle w:val="IndexLink"/>
                <w:rtl w:val="true"/>
              </w:rPr>
              <w:t>الإشكال السابع</w:t>
            </w:r>
            <w:r>
              <w:rPr>
                <w:rStyle w:val="IndexLink"/>
                <w:rtl w:val="true"/>
              </w:rPr>
              <w:tab/>
            </w:r>
            <w:r>
              <w:rPr>
                <w:rStyle w:val="IndexLink"/>
              </w:rPr>
              <w:t>236</w:t>
            </w:r>
          </w:hyperlink>
        </w:p>
        <w:p>
          <w:pPr>
            <w:pStyle w:val="Contents6"/>
            <w:tabs>
              <w:tab w:val="clear" w:pos="7609"/>
              <w:tab w:val="right" w:pos="9026" w:leader="dot"/>
            </w:tabs>
            <w:rPr/>
          </w:pPr>
          <w:hyperlink w:anchor="__RefHeading___Toc10086601_2142443653">
            <w:r>
              <w:rPr>
                <w:webHidden/>
                <w:rStyle w:val="IndexLink"/>
                <w:rtl w:val="true"/>
              </w:rPr>
              <w:t>الإشكال الثامن</w:t>
            </w:r>
            <w:r>
              <w:rPr>
                <w:rStyle w:val="IndexLink"/>
                <w:rtl w:val="true"/>
              </w:rPr>
              <w:tab/>
            </w:r>
            <w:r>
              <w:rPr>
                <w:rStyle w:val="IndexLink"/>
              </w:rPr>
              <w:t>251</w:t>
            </w:r>
          </w:hyperlink>
        </w:p>
        <w:p>
          <w:pPr>
            <w:pStyle w:val="Contents6"/>
            <w:tabs>
              <w:tab w:val="clear" w:pos="7609"/>
              <w:tab w:val="right" w:pos="9026" w:leader="dot"/>
            </w:tabs>
            <w:rPr/>
          </w:pPr>
          <w:hyperlink w:anchor="__RefHeading___Toc10086603_2142443653">
            <w:r>
              <w:rPr>
                <w:webHidden/>
                <w:rStyle w:val="IndexLink"/>
                <w:rtl w:val="true"/>
              </w:rPr>
              <w:t>الإشكال التاسع</w:t>
            </w:r>
            <w:r>
              <w:rPr>
                <w:rStyle w:val="IndexLink"/>
                <w:rtl w:val="true"/>
              </w:rPr>
              <w:tab/>
            </w:r>
            <w:r>
              <w:rPr>
                <w:rStyle w:val="IndexLink"/>
              </w:rPr>
              <w:t>254</w:t>
            </w:r>
          </w:hyperlink>
        </w:p>
        <w:p>
          <w:pPr>
            <w:pStyle w:val="Contents6"/>
            <w:tabs>
              <w:tab w:val="clear" w:pos="7609"/>
              <w:tab w:val="right" w:pos="9026" w:leader="dot"/>
            </w:tabs>
            <w:rPr/>
          </w:pPr>
          <w:hyperlink w:anchor="__RefHeading___Toc10086605_2142443653">
            <w:r>
              <w:rPr>
                <w:webHidden/>
                <w:rStyle w:val="IndexLink"/>
                <w:rtl w:val="true"/>
              </w:rPr>
              <w:t>الإشكال العاشر</w:t>
            </w:r>
            <w:r>
              <w:rPr>
                <w:rStyle w:val="IndexLink"/>
                <w:rtl w:val="true"/>
              </w:rPr>
              <w:tab/>
            </w:r>
            <w:r>
              <w:rPr>
                <w:rStyle w:val="IndexLink"/>
              </w:rPr>
              <w:t>256</w:t>
            </w:r>
          </w:hyperlink>
        </w:p>
        <w:p>
          <w:pPr>
            <w:pStyle w:val="Contents6"/>
            <w:tabs>
              <w:tab w:val="clear" w:pos="7609"/>
              <w:tab w:val="right" w:pos="9026" w:leader="dot"/>
            </w:tabs>
            <w:rPr/>
          </w:pPr>
          <w:hyperlink w:anchor="__RefHeading___Toc10086607_2142443653">
            <w:r>
              <w:rPr>
                <w:webHidden/>
                <w:rStyle w:val="IndexLink"/>
                <w:rtl w:val="true"/>
              </w:rPr>
              <w:t>الإشكال الحادي عشر</w:t>
            </w:r>
            <w:r>
              <w:rPr>
                <w:rStyle w:val="IndexLink"/>
                <w:rtl w:val="true"/>
              </w:rPr>
              <w:tab/>
            </w:r>
            <w:r>
              <w:rPr>
                <w:rStyle w:val="IndexLink"/>
              </w:rPr>
              <w:t>257</w:t>
            </w:r>
          </w:hyperlink>
        </w:p>
        <w:p>
          <w:pPr>
            <w:pStyle w:val="Contents4"/>
            <w:tabs>
              <w:tab w:val="clear" w:pos="8176"/>
              <w:tab w:val="right" w:pos="9026" w:leader="dot"/>
            </w:tabs>
            <w:rPr/>
          </w:pPr>
          <w:hyperlink w:anchor="__RefHeading___Toc10086609_2142443653">
            <w:r>
              <w:rPr>
                <w:webHidden/>
                <w:rStyle w:val="IndexLink"/>
                <w:rtl w:val="true"/>
              </w:rPr>
              <w:t>الطائفة الثانية</w:t>
            </w:r>
            <w:r>
              <w:rPr>
                <w:rStyle w:val="IndexLink"/>
                <w:rtl w:val="true"/>
              </w:rPr>
              <w:t xml:space="preserve">: </w:t>
            </w:r>
            <w:r>
              <w:rPr>
                <w:rStyle w:val="IndexLink"/>
                <w:rtl w:val="true"/>
              </w:rPr>
              <w:t>الأخبار الآمرة بالاحتياط في موارد الشبهات</w:t>
            </w:r>
            <w:r>
              <w:rPr>
                <w:rStyle w:val="IndexLink"/>
                <w:rtl w:val="true"/>
              </w:rPr>
              <w:tab/>
            </w:r>
            <w:r>
              <w:rPr>
                <w:rStyle w:val="IndexLink"/>
              </w:rPr>
              <w:t>258</w:t>
            </w:r>
          </w:hyperlink>
        </w:p>
        <w:p>
          <w:pPr>
            <w:pStyle w:val="Contents5"/>
            <w:tabs>
              <w:tab w:val="clear" w:pos="7892"/>
              <w:tab w:val="right" w:pos="9026" w:leader="dot"/>
            </w:tabs>
            <w:rPr/>
          </w:pPr>
          <w:hyperlink w:anchor="__RefHeading___Toc10086611_2142443653">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0086613_2142443653">
            <w:r>
              <w:rPr>
                <w:webHidden/>
                <w:rStyle w:val="IndexLink"/>
                <w:rtl w:val="true"/>
              </w:rPr>
              <w:t>الرواية الأولى</w:t>
            </w:r>
            <w:r>
              <w:rPr>
                <w:rStyle w:val="IndexLink"/>
                <w:rtl w:val="true"/>
              </w:rPr>
              <w:tab/>
            </w:r>
            <w:r>
              <w:rPr>
                <w:rStyle w:val="IndexLink"/>
              </w:rPr>
              <w:t>258</w:t>
            </w:r>
          </w:hyperlink>
        </w:p>
        <w:p>
          <w:pPr>
            <w:pStyle w:val="Contents6"/>
            <w:tabs>
              <w:tab w:val="clear" w:pos="7609"/>
              <w:tab w:val="right" w:pos="9026" w:leader="dot"/>
            </w:tabs>
            <w:rPr/>
          </w:pPr>
          <w:hyperlink w:anchor="__RefHeading___Toc10086615_2142443653">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0086617_2142443653">
            <w:r>
              <w:rPr>
                <w:webHidden/>
                <w:rStyle w:val="IndexLink"/>
                <w:rtl w:val="true"/>
              </w:rPr>
              <w:t>تذنيبان</w:t>
            </w:r>
            <w:r>
              <w:rPr>
                <w:rStyle w:val="IndexLink"/>
                <w:rtl w:val="true"/>
              </w:rPr>
              <w:tab/>
            </w:r>
            <w:r>
              <w:rPr>
                <w:rStyle w:val="IndexLink"/>
              </w:rPr>
              <w:t>263</w:t>
            </w:r>
          </w:hyperlink>
        </w:p>
        <w:p>
          <w:pPr>
            <w:pStyle w:val="Contents5"/>
            <w:tabs>
              <w:tab w:val="clear" w:pos="7892"/>
              <w:tab w:val="right" w:pos="9026" w:leader="dot"/>
            </w:tabs>
            <w:rPr/>
          </w:pPr>
          <w:hyperlink w:anchor="__RefHeading___Toc10086619_2142443653">
            <w:r>
              <w:rPr>
                <w:webHidden/>
                <w:rStyle w:val="IndexLink"/>
                <w:rtl w:val="true"/>
              </w:rPr>
              <w:t>الرواية الثانية</w:t>
            </w:r>
            <w:r>
              <w:rPr>
                <w:rStyle w:val="IndexLink"/>
                <w:rtl w:val="true"/>
              </w:rPr>
              <w:tab/>
            </w:r>
            <w:r>
              <w:rPr>
                <w:rStyle w:val="IndexLink"/>
              </w:rPr>
              <w:t>264</w:t>
            </w:r>
          </w:hyperlink>
        </w:p>
        <w:p>
          <w:pPr>
            <w:pStyle w:val="Contents6"/>
            <w:tabs>
              <w:tab w:val="clear" w:pos="7609"/>
              <w:tab w:val="right" w:pos="9026" w:leader="dot"/>
            </w:tabs>
            <w:rPr/>
          </w:pPr>
          <w:hyperlink w:anchor="__RefHeading___Toc10086621_2142443653">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0086623_2142443653">
            <w:r>
              <w:rPr>
                <w:webHidden/>
                <w:rStyle w:val="IndexLink"/>
                <w:rtl w:val="true"/>
              </w:rPr>
              <w:t>البحث الأول</w:t>
            </w:r>
            <w:r>
              <w:rPr>
                <w:rStyle w:val="IndexLink"/>
                <w:rtl w:val="true"/>
              </w:rPr>
              <w:t xml:space="preserve">: </w:t>
            </w:r>
            <w:r>
              <w:rPr>
                <w:rStyle w:val="IndexLink"/>
                <w:rtl w:val="true"/>
              </w:rPr>
              <w:t>في السند</w:t>
            </w:r>
            <w:r>
              <w:rPr>
                <w:rStyle w:val="IndexLink"/>
                <w:rtl w:val="true"/>
              </w:rPr>
              <w:tab/>
            </w:r>
            <w:r>
              <w:rPr>
                <w:rStyle w:val="IndexLink"/>
              </w:rPr>
              <w:t>265</w:t>
            </w:r>
          </w:hyperlink>
        </w:p>
        <w:p>
          <w:pPr>
            <w:pStyle w:val="Contents6"/>
            <w:tabs>
              <w:tab w:val="clear" w:pos="7609"/>
              <w:tab w:val="right" w:pos="9026" w:leader="dot"/>
            </w:tabs>
            <w:rPr/>
          </w:pPr>
          <w:hyperlink w:anchor="__RefHeading___Toc10086625_2142443653">
            <w:r>
              <w:rPr>
                <w:webHidden/>
                <w:rStyle w:val="IndexLink"/>
                <w:rtl w:val="true"/>
              </w:rPr>
              <w:t>البحث الثاني</w:t>
            </w:r>
            <w:r>
              <w:rPr>
                <w:rStyle w:val="IndexLink"/>
                <w:rtl w:val="true"/>
              </w:rPr>
              <w:t xml:space="preserve">: </w:t>
            </w:r>
            <w:r>
              <w:rPr>
                <w:rStyle w:val="IndexLink"/>
                <w:rtl w:val="true"/>
              </w:rPr>
              <w:t>في الدلالة</w:t>
            </w:r>
            <w:r>
              <w:rPr>
                <w:rStyle w:val="IndexLink"/>
                <w:rtl w:val="true"/>
              </w:rPr>
              <w:tab/>
            </w:r>
            <w:r>
              <w:rPr>
                <w:rStyle w:val="IndexLink"/>
              </w:rPr>
              <w:t>267</w:t>
            </w:r>
          </w:hyperlink>
        </w:p>
        <w:p>
          <w:pPr>
            <w:pStyle w:val="Contents5"/>
            <w:tabs>
              <w:tab w:val="clear" w:pos="7892"/>
              <w:tab w:val="right" w:pos="9026" w:leader="dot"/>
            </w:tabs>
            <w:rPr/>
          </w:pPr>
          <w:hyperlink w:anchor="__RefHeading___Toc10086627_2142443653">
            <w:r>
              <w:rPr>
                <w:webHidden/>
                <w:rStyle w:val="IndexLink"/>
                <w:rtl w:val="true"/>
              </w:rPr>
              <w:t>الرواية الثالثة</w:t>
            </w:r>
            <w:r>
              <w:rPr>
                <w:rStyle w:val="IndexLink"/>
                <w:rtl w:val="true"/>
              </w:rPr>
              <w:tab/>
            </w:r>
            <w:r>
              <w:rPr>
                <w:rStyle w:val="IndexLink"/>
              </w:rPr>
              <w:t>271</w:t>
            </w:r>
          </w:hyperlink>
        </w:p>
        <w:p>
          <w:pPr>
            <w:pStyle w:val="Contents6"/>
            <w:tabs>
              <w:tab w:val="clear" w:pos="7609"/>
              <w:tab w:val="right" w:pos="9026" w:leader="dot"/>
            </w:tabs>
            <w:rPr/>
          </w:pPr>
          <w:hyperlink w:anchor="__RefHeading___Toc10086629_2142443653">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10086631_2142443653">
            <w:r>
              <w:rPr>
                <w:webHidden/>
                <w:rStyle w:val="IndexLink"/>
                <w:rtl w:val="true"/>
              </w:rPr>
              <w:t>وثاقة الحسن بن محمد بن الحسن الطوسي</w:t>
            </w:r>
            <w:r>
              <w:rPr>
                <w:rStyle w:val="IndexLink"/>
                <w:rtl w:val="true"/>
              </w:rPr>
              <w:tab/>
            </w:r>
            <w:r>
              <w:rPr>
                <w:rStyle w:val="IndexLink"/>
              </w:rPr>
              <w:t>271</w:t>
            </w:r>
          </w:hyperlink>
        </w:p>
        <w:p>
          <w:pPr>
            <w:pStyle w:val="Contents6"/>
            <w:tabs>
              <w:tab w:val="clear" w:pos="7609"/>
              <w:tab w:val="right" w:pos="9026" w:leader="dot"/>
            </w:tabs>
            <w:rPr/>
          </w:pPr>
          <w:hyperlink w:anchor="__RefHeading___Toc10086633_2142443653">
            <w:r>
              <w:rPr>
                <w:webHidden/>
                <w:rStyle w:val="IndexLink"/>
                <w:rtl w:val="true"/>
              </w:rPr>
              <w:t>جهالة علي بن محمد الكاتب</w:t>
            </w:r>
            <w:r>
              <w:rPr>
                <w:rStyle w:val="IndexLink"/>
                <w:rtl w:val="true"/>
              </w:rPr>
              <w:tab/>
            </w:r>
            <w:r>
              <w:rPr>
                <w:rStyle w:val="IndexLink"/>
              </w:rPr>
              <w:t>272</w:t>
            </w:r>
          </w:hyperlink>
        </w:p>
        <w:p>
          <w:pPr>
            <w:pStyle w:val="Contents5"/>
            <w:tabs>
              <w:tab w:val="clear" w:pos="7892"/>
              <w:tab w:val="right" w:pos="9026" w:leader="dot"/>
            </w:tabs>
            <w:rPr/>
          </w:pPr>
          <w:hyperlink w:anchor="__RefHeading___Toc10086635_2142443653">
            <w:r>
              <w:rPr>
                <w:webHidden/>
                <w:rStyle w:val="IndexLink"/>
                <w:rtl w:val="true"/>
              </w:rPr>
              <w:t>الرواية الرابعة</w:t>
            </w:r>
            <w:r>
              <w:rPr>
                <w:rStyle w:val="IndexLink"/>
                <w:rtl w:val="true"/>
              </w:rPr>
              <w:tab/>
            </w:r>
            <w:r>
              <w:rPr>
                <w:rStyle w:val="IndexLink"/>
              </w:rPr>
              <w:t>277</w:t>
            </w:r>
          </w:hyperlink>
        </w:p>
        <w:p>
          <w:pPr>
            <w:pStyle w:val="Contents5"/>
            <w:tabs>
              <w:tab w:val="clear" w:pos="7892"/>
              <w:tab w:val="right" w:pos="9026" w:leader="dot"/>
            </w:tabs>
            <w:rPr/>
          </w:pPr>
          <w:hyperlink w:anchor="__RefHeading___Toc10086637_2142443653">
            <w:r>
              <w:rPr>
                <w:webHidden/>
                <w:rStyle w:val="IndexLink"/>
                <w:rtl w:val="true"/>
              </w:rPr>
              <w:t>الرواية الخامسة</w:t>
            </w:r>
            <w:r>
              <w:rPr>
                <w:rStyle w:val="IndexLink"/>
                <w:rtl w:val="true"/>
              </w:rPr>
              <w:tab/>
            </w:r>
            <w:r>
              <w:rPr>
                <w:rStyle w:val="IndexLink"/>
              </w:rPr>
              <w:t>278</w:t>
            </w:r>
          </w:hyperlink>
        </w:p>
        <w:p>
          <w:pPr>
            <w:pStyle w:val="Contents5"/>
            <w:tabs>
              <w:tab w:val="clear" w:pos="7892"/>
              <w:tab w:val="right" w:pos="9026" w:leader="dot"/>
            </w:tabs>
            <w:rPr/>
          </w:pPr>
          <w:hyperlink w:anchor="__RefHeading___Toc10086639_2142443653">
            <w:r>
              <w:rPr>
                <w:webHidden/>
                <w:rStyle w:val="IndexLink"/>
                <w:rtl w:val="true"/>
              </w:rPr>
              <w:t>الرواية السادسة</w:t>
            </w:r>
            <w:r>
              <w:rPr>
                <w:rStyle w:val="IndexLink"/>
                <w:rtl w:val="true"/>
              </w:rPr>
              <w:tab/>
            </w:r>
            <w:r>
              <w:rPr>
                <w:rStyle w:val="IndexLink"/>
              </w:rPr>
              <w:t>278</w:t>
            </w:r>
          </w:hyperlink>
        </w:p>
        <w:p>
          <w:pPr>
            <w:pStyle w:val="Contents5"/>
            <w:tabs>
              <w:tab w:val="clear" w:pos="7892"/>
              <w:tab w:val="right" w:pos="9026" w:leader="dot"/>
            </w:tabs>
            <w:rPr/>
          </w:pPr>
          <w:hyperlink w:anchor="__RefHeading___Toc10086641_2142443653">
            <w:r>
              <w:rPr>
                <w:webHidden/>
                <w:rStyle w:val="IndexLink"/>
                <w:rtl w:val="true"/>
              </w:rPr>
              <w:t>الأجوبة الإجمالية على روايات وجوب الاحتياط</w:t>
            </w:r>
            <w:r>
              <w:rPr>
                <w:rStyle w:val="IndexLink"/>
                <w:rtl w:val="true"/>
              </w:rPr>
              <w:tab/>
            </w:r>
            <w:r>
              <w:rPr>
                <w:rStyle w:val="IndexLink"/>
              </w:rPr>
              <w:t>280</w:t>
            </w:r>
          </w:hyperlink>
        </w:p>
        <w:p>
          <w:pPr>
            <w:pStyle w:val="Contents5"/>
            <w:tabs>
              <w:tab w:val="clear" w:pos="7892"/>
              <w:tab w:val="right" w:pos="9026" w:leader="dot"/>
            </w:tabs>
            <w:rPr/>
          </w:pPr>
          <w:hyperlink w:anchor="__RefHeading___Toc10086643_2142443653">
            <w:r>
              <w:rPr>
                <w:webHidden/>
                <w:rStyle w:val="IndexLink"/>
                <w:rtl w:val="true"/>
              </w:rPr>
              <w:t>ضابطة تشخيص الحكم الإرشادي عن المولوي</w:t>
            </w:r>
            <w:r>
              <w:rPr>
                <w:rStyle w:val="IndexLink"/>
                <w:rtl w:val="true"/>
              </w:rPr>
              <w:tab/>
            </w:r>
            <w:r>
              <w:rPr>
                <w:rStyle w:val="IndexLink"/>
              </w:rPr>
              <w:t>284</w:t>
            </w:r>
          </w:hyperlink>
        </w:p>
        <w:p>
          <w:pPr>
            <w:pStyle w:val="Contents4"/>
            <w:tabs>
              <w:tab w:val="clear" w:pos="8176"/>
              <w:tab w:val="right" w:pos="9026" w:leader="dot"/>
            </w:tabs>
            <w:rPr/>
          </w:pPr>
          <w:hyperlink w:anchor="__RefHeading___Toc10086645_2142443653">
            <w:r>
              <w:rPr>
                <w:webHidden/>
                <w:rStyle w:val="IndexLink"/>
                <w:rtl w:val="true"/>
              </w:rPr>
              <w:t>الطائفة الثالثة</w:t>
            </w:r>
            <w:r>
              <w:rPr>
                <w:rStyle w:val="IndexLink"/>
                <w:rtl w:val="true"/>
              </w:rPr>
              <w:t xml:space="preserve">: </w:t>
            </w:r>
            <w:r>
              <w:rPr>
                <w:rStyle w:val="IndexLink"/>
                <w:rtl w:val="true"/>
              </w:rPr>
              <w:t>أخبار التثليث</w:t>
            </w:r>
            <w:r>
              <w:rPr>
                <w:rStyle w:val="IndexLink"/>
                <w:rtl w:val="true"/>
              </w:rPr>
              <w:tab/>
            </w:r>
            <w:r>
              <w:rPr>
                <w:rStyle w:val="IndexLink"/>
              </w:rPr>
              <w:t>293</w:t>
            </w:r>
          </w:hyperlink>
        </w:p>
        <w:p>
          <w:pPr>
            <w:pStyle w:val="Contents5"/>
            <w:tabs>
              <w:tab w:val="clear" w:pos="7892"/>
              <w:tab w:val="right" w:pos="9026" w:leader="dot"/>
            </w:tabs>
            <w:rPr/>
          </w:pPr>
          <w:hyperlink w:anchor="__RefHeading___Toc10086647_2142443653">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0086649_2142443653">
            <w:r>
              <w:rPr>
                <w:webHidden/>
                <w:rStyle w:val="IndexLink"/>
                <w:rtl w:val="true"/>
              </w:rPr>
              <w:t>الرواية الأولى</w:t>
            </w:r>
            <w:r>
              <w:rPr>
                <w:rStyle w:val="IndexLink"/>
                <w:rtl w:val="true"/>
              </w:rPr>
              <w:tab/>
            </w:r>
            <w:r>
              <w:rPr>
                <w:rStyle w:val="IndexLink"/>
              </w:rPr>
              <w:t>293</w:t>
            </w:r>
          </w:hyperlink>
        </w:p>
        <w:p>
          <w:pPr>
            <w:pStyle w:val="Contents5"/>
            <w:tabs>
              <w:tab w:val="clear" w:pos="7892"/>
              <w:tab w:val="right" w:pos="9026" w:leader="dot"/>
            </w:tabs>
            <w:rPr/>
          </w:pPr>
          <w:hyperlink w:anchor="__RefHeading___Toc10086651_2142443653">
            <w:r>
              <w:rPr>
                <w:webHidden/>
                <w:rStyle w:val="IndexLink"/>
                <w:rtl w:val="true"/>
              </w:rPr>
              <w:t>الرواية الثانية</w:t>
            </w:r>
            <w:r>
              <w:rPr>
                <w:rStyle w:val="IndexLink"/>
                <w:rtl w:val="true"/>
              </w:rPr>
              <w:tab/>
            </w:r>
            <w:r>
              <w:rPr>
                <w:rStyle w:val="IndexLink"/>
              </w:rPr>
              <w:t>295</w:t>
            </w:r>
          </w:hyperlink>
        </w:p>
        <w:p>
          <w:pPr>
            <w:pStyle w:val="Contents5"/>
            <w:tabs>
              <w:tab w:val="clear" w:pos="7892"/>
              <w:tab w:val="right" w:pos="9026" w:leader="dot"/>
            </w:tabs>
            <w:rPr/>
          </w:pPr>
          <w:hyperlink w:anchor="__RefHeading___Toc10086653_2142443653">
            <w:r>
              <w:rPr>
                <w:webHidden/>
                <w:rStyle w:val="IndexLink"/>
                <w:rtl w:val="true"/>
              </w:rPr>
              <w:t>الرواية الثالثة</w:t>
            </w:r>
            <w:r>
              <w:rPr>
                <w:rStyle w:val="IndexLink"/>
                <w:rtl w:val="true"/>
              </w:rPr>
              <w:tab/>
            </w:r>
            <w:r>
              <w:rPr>
                <w:rStyle w:val="IndexLink"/>
              </w:rPr>
              <w:t>295</w:t>
            </w:r>
          </w:hyperlink>
        </w:p>
        <w:p>
          <w:pPr>
            <w:pStyle w:val="Contents3"/>
            <w:tabs>
              <w:tab w:val="clear" w:pos="8459"/>
              <w:tab w:val="right" w:pos="9026" w:leader="dot"/>
            </w:tabs>
            <w:rPr/>
          </w:pPr>
          <w:hyperlink w:anchor="__RefHeading___Toc10086655_2142443653">
            <w:r>
              <w:rPr>
                <w:webHidden/>
                <w:rStyle w:val="IndexLink"/>
                <w:rtl w:val="true"/>
              </w:rPr>
              <w:t>الدليل الثالث</w:t>
            </w:r>
            <w:r>
              <w:rPr>
                <w:rStyle w:val="IndexLink"/>
                <w:rtl w:val="true"/>
              </w:rPr>
              <w:t xml:space="preserve">: </w:t>
            </w:r>
            <w:r>
              <w:rPr>
                <w:rStyle w:val="IndexLink"/>
                <w:rtl w:val="true"/>
              </w:rPr>
              <w:t>دليل العقل</w:t>
            </w:r>
            <w:r>
              <w:rPr>
                <w:rStyle w:val="IndexLink"/>
                <w:rtl w:val="true"/>
              </w:rPr>
              <w:tab/>
            </w:r>
            <w:r>
              <w:rPr>
                <w:rStyle w:val="IndexLink"/>
              </w:rPr>
              <w:t>301</w:t>
            </w:r>
          </w:hyperlink>
        </w:p>
        <w:p>
          <w:pPr>
            <w:pStyle w:val="Contents4"/>
            <w:tabs>
              <w:tab w:val="clear" w:pos="8176"/>
              <w:tab w:val="right" w:pos="9026" w:leader="dot"/>
            </w:tabs>
            <w:rPr/>
          </w:pPr>
          <w:hyperlink w:anchor="__RefHeading___Toc10086657_2142443653">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0086659_2142443653">
            <w:r>
              <w:rPr>
                <w:webHidden/>
                <w:rStyle w:val="IndexLink"/>
                <w:rtl w:val="true"/>
              </w:rPr>
              <w:t>الوجه الأول</w:t>
            </w:r>
            <w:r>
              <w:rPr>
                <w:rStyle w:val="IndexLink"/>
                <w:rtl w:val="true"/>
              </w:rPr>
              <w:t xml:space="preserve">: </w:t>
            </w:r>
            <w:r>
              <w:rPr>
                <w:rStyle w:val="IndexLink"/>
                <w:rtl w:val="true"/>
              </w:rPr>
              <w:t>العلم الإجمالي بوجود محرمات كثيرة</w:t>
            </w:r>
            <w:r>
              <w:rPr>
                <w:rStyle w:val="IndexLink"/>
                <w:rtl w:val="true"/>
              </w:rPr>
              <w:tab/>
            </w:r>
            <w:r>
              <w:rPr>
                <w:rStyle w:val="IndexLink"/>
              </w:rPr>
              <w:t>301</w:t>
            </w:r>
          </w:hyperlink>
        </w:p>
        <w:p>
          <w:pPr>
            <w:pStyle w:val="Contents5"/>
            <w:tabs>
              <w:tab w:val="clear" w:pos="7892"/>
              <w:tab w:val="right" w:pos="9026" w:leader="dot"/>
            </w:tabs>
            <w:rPr/>
          </w:pPr>
          <w:hyperlink w:anchor="__RefHeading___Toc10086661_2142443653">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0086663_2142443653">
            <w:r>
              <w:rPr>
                <w:webHidden/>
                <w:rStyle w:val="IndexLink"/>
                <w:rtl w:val="true"/>
              </w:rPr>
              <w:t>وأجيب عنه بعدة أجوبة</w:t>
            </w:r>
            <w:r>
              <w:rPr>
                <w:rStyle w:val="IndexLink"/>
                <w:rtl w:val="true"/>
              </w:rPr>
              <w:tab/>
            </w:r>
            <w:r>
              <w:rPr>
                <w:rStyle w:val="IndexLink"/>
              </w:rPr>
              <w:t>302</w:t>
            </w:r>
          </w:hyperlink>
        </w:p>
        <w:p>
          <w:pPr>
            <w:pStyle w:val="Contents6"/>
            <w:tabs>
              <w:tab w:val="clear" w:pos="7609"/>
              <w:tab w:val="right" w:pos="9026" w:leader="dot"/>
            </w:tabs>
            <w:rPr/>
          </w:pPr>
          <w:hyperlink w:anchor="__RefHeading___Toc10086665_2142443653">
            <w:r>
              <w:rPr>
                <w:webHidden/>
                <w:rStyle w:val="IndexLink"/>
                <w:rtl w:val="true"/>
              </w:rPr>
              <w:t>الجواب الأول</w:t>
            </w:r>
            <w:r>
              <w:rPr>
                <w:rStyle w:val="IndexLink"/>
                <w:rtl w:val="true"/>
              </w:rPr>
              <w:tab/>
            </w:r>
            <w:r>
              <w:rPr>
                <w:rStyle w:val="IndexLink"/>
              </w:rPr>
              <w:t>302</w:t>
            </w:r>
          </w:hyperlink>
        </w:p>
        <w:p>
          <w:pPr>
            <w:pStyle w:val="Contents6"/>
            <w:tabs>
              <w:tab w:val="clear" w:pos="7609"/>
              <w:tab w:val="right" w:pos="9026" w:leader="dot"/>
            </w:tabs>
            <w:rPr/>
          </w:pPr>
          <w:hyperlink w:anchor="__RefHeading___Toc10086667_2142443653">
            <w:r>
              <w:rPr>
                <w:webHidden/>
                <w:rStyle w:val="IndexLink"/>
                <w:rtl w:val="true"/>
              </w:rPr>
              <w:t>الجواب الثاني</w:t>
            </w:r>
            <w:r>
              <w:rPr>
                <w:rStyle w:val="IndexLink"/>
                <w:rtl w:val="true"/>
              </w:rPr>
              <w:tab/>
            </w:r>
            <w:r>
              <w:rPr>
                <w:rStyle w:val="IndexLink"/>
              </w:rPr>
              <w:t>303</w:t>
            </w:r>
          </w:hyperlink>
        </w:p>
        <w:p>
          <w:pPr>
            <w:pStyle w:val="Contents6"/>
            <w:tabs>
              <w:tab w:val="clear" w:pos="7609"/>
              <w:tab w:val="right" w:pos="9026" w:leader="dot"/>
            </w:tabs>
            <w:rPr/>
          </w:pPr>
          <w:hyperlink w:anchor="__RefHeading___Toc10086669_2142443653">
            <w:r>
              <w:rPr>
                <w:webHidden/>
                <w:rStyle w:val="IndexLink"/>
                <w:rtl w:val="true"/>
              </w:rPr>
              <w:t>الجواب الثالث</w:t>
            </w:r>
            <w:r>
              <w:rPr>
                <w:rStyle w:val="IndexLink"/>
                <w:rtl w:val="true"/>
              </w:rPr>
              <w:tab/>
            </w:r>
            <w:r>
              <w:rPr>
                <w:rStyle w:val="IndexLink"/>
              </w:rPr>
              <w:t>308</w:t>
            </w:r>
          </w:hyperlink>
        </w:p>
        <w:p>
          <w:pPr>
            <w:pStyle w:val="Contents6"/>
            <w:tabs>
              <w:tab w:val="clear" w:pos="7609"/>
              <w:tab w:val="right" w:pos="9026" w:leader="dot"/>
            </w:tabs>
            <w:rPr/>
          </w:pPr>
          <w:hyperlink w:anchor="__RefHeading___Toc10086671_2142443653">
            <w:r>
              <w:rPr>
                <w:webHidden/>
                <w:rStyle w:val="IndexLink"/>
                <w:rtl w:val="true"/>
              </w:rPr>
              <w:t>الجواب الرابع</w:t>
            </w:r>
            <w:r>
              <w:rPr>
                <w:rStyle w:val="IndexLink"/>
                <w:rtl w:val="true"/>
              </w:rPr>
              <w:tab/>
            </w:r>
            <w:r>
              <w:rPr>
                <w:rStyle w:val="IndexLink"/>
              </w:rPr>
              <w:t>308</w:t>
            </w:r>
          </w:hyperlink>
        </w:p>
        <w:p>
          <w:pPr>
            <w:pStyle w:val="Contents6"/>
            <w:tabs>
              <w:tab w:val="clear" w:pos="7609"/>
              <w:tab w:val="right" w:pos="9026" w:leader="dot"/>
            </w:tabs>
            <w:rPr/>
          </w:pPr>
          <w:hyperlink w:anchor="__RefHeading___Toc10086673_2142443653">
            <w:r>
              <w:rPr>
                <w:webHidden/>
                <w:rStyle w:val="IndexLink"/>
                <w:rtl w:val="true"/>
              </w:rPr>
              <w:t>الجواب الخامس</w:t>
            </w:r>
            <w:r>
              <w:rPr>
                <w:rStyle w:val="IndexLink"/>
                <w:rtl w:val="true"/>
              </w:rPr>
              <w:tab/>
            </w:r>
            <w:r>
              <w:rPr>
                <w:rStyle w:val="IndexLink"/>
              </w:rPr>
              <w:t>309</w:t>
            </w:r>
          </w:hyperlink>
        </w:p>
        <w:p>
          <w:pPr>
            <w:pStyle w:val="Contents6"/>
            <w:tabs>
              <w:tab w:val="clear" w:pos="7609"/>
              <w:tab w:val="right" w:pos="9026" w:leader="dot"/>
            </w:tabs>
            <w:rPr/>
          </w:pPr>
          <w:hyperlink w:anchor="__RefHeading___Toc10086675_2142443653">
            <w:r>
              <w:rPr>
                <w:webHidden/>
                <w:rStyle w:val="IndexLink"/>
                <w:rtl w:val="true"/>
              </w:rPr>
              <w:t>الجواب السادس</w:t>
            </w:r>
            <w:r>
              <w:rPr>
                <w:rStyle w:val="IndexLink"/>
                <w:rtl w:val="true"/>
              </w:rPr>
              <w:tab/>
            </w:r>
            <w:r>
              <w:rPr>
                <w:rStyle w:val="IndexLink"/>
              </w:rPr>
              <w:t>312</w:t>
            </w:r>
          </w:hyperlink>
        </w:p>
        <w:p>
          <w:pPr>
            <w:pStyle w:val="Contents6"/>
            <w:tabs>
              <w:tab w:val="clear" w:pos="7609"/>
              <w:tab w:val="right" w:pos="9026" w:leader="dot"/>
            </w:tabs>
            <w:rPr/>
          </w:pPr>
          <w:hyperlink w:anchor="__RefHeading___Toc10086677_2142443653">
            <w:r>
              <w:rPr>
                <w:webHidden/>
                <w:rStyle w:val="IndexLink"/>
                <w:rtl w:val="true"/>
              </w:rPr>
              <w:t>الجواب السابع</w:t>
            </w:r>
            <w:r>
              <w:rPr>
                <w:rStyle w:val="IndexLink"/>
                <w:rtl w:val="true"/>
              </w:rPr>
              <w:tab/>
            </w:r>
            <w:r>
              <w:rPr>
                <w:rStyle w:val="IndexLink"/>
              </w:rPr>
              <w:t>313</w:t>
            </w:r>
          </w:hyperlink>
        </w:p>
        <w:p>
          <w:pPr>
            <w:pStyle w:val="Contents5"/>
            <w:tabs>
              <w:tab w:val="clear" w:pos="7892"/>
              <w:tab w:val="right" w:pos="9026" w:leader="dot"/>
            </w:tabs>
            <w:rPr/>
          </w:pPr>
          <w:hyperlink w:anchor="__RefHeading___Toc10086679_2142443653">
            <w:r>
              <w:rPr>
                <w:webHidden/>
                <w:rStyle w:val="IndexLink"/>
                <w:rtl w:val="true"/>
              </w:rPr>
              <w:t>تقريرات لتقريب انحلال العلم الإجمالي الكبير</w:t>
            </w:r>
            <w:r>
              <w:rPr>
                <w:rStyle w:val="IndexLink"/>
                <w:rtl w:val="true"/>
              </w:rPr>
              <w:tab/>
            </w:r>
            <w:r>
              <w:rPr>
                <w:rStyle w:val="IndexLink"/>
              </w:rPr>
              <w:t>315</w:t>
            </w:r>
          </w:hyperlink>
        </w:p>
        <w:p>
          <w:pPr>
            <w:pStyle w:val="Contents6"/>
            <w:tabs>
              <w:tab w:val="clear" w:pos="7609"/>
              <w:tab w:val="right" w:pos="9026" w:leader="dot"/>
            </w:tabs>
            <w:rPr/>
          </w:pPr>
          <w:hyperlink w:anchor="__RefHeading___Toc10086681_2142443653">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10086683_2142443653">
            <w:r>
              <w:rPr>
                <w:webHidden/>
                <w:rStyle w:val="IndexLink"/>
                <w:rtl w:val="true"/>
              </w:rPr>
              <w:t>التقرير الأول</w:t>
            </w:r>
            <w:r>
              <w:rPr>
                <w:rStyle w:val="IndexLink"/>
                <w:rtl w:val="true"/>
              </w:rPr>
              <w:t xml:space="preserve">: </w:t>
            </w:r>
            <w:r>
              <w:rPr>
                <w:rStyle w:val="IndexLink"/>
                <w:rtl w:val="true"/>
              </w:rPr>
              <w:t>الانحلال التكويني الطارئ</w:t>
            </w:r>
            <w:r>
              <w:rPr>
                <w:rStyle w:val="IndexLink"/>
                <w:rtl w:val="true"/>
              </w:rPr>
              <w:tab/>
            </w:r>
            <w:r>
              <w:rPr>
                <w:rStyle w:val="IndexLink"/>
              </w:rPr>
              <w:t>315</w:t>
            </w:r>
          </w:hyperlink>
        </w:p>
        <w:p>
          <w:pPr>
            <w:pStyle w:val="Contents6"/>
            <w:tabs>
              <w:tab w:val="clear" w:pos="7609"/>
              <w:tab w:val="right" w:pos="9026" w:leader="dot"/>
            </w:tabs>
            <w:rPr/>
          </w:pPr>
          <w:hyperlink w:anchor="__RefHeading___Toc10086685_2142443653">
            <w:r>
              <w:rPr>
                <w:webHidden/>
                <w:rStyle w:val="IndexLink"/>
                <w:rtl w:val="true"/>
              </w:rPr>
              <w:t>التقرير الثاني</w:t>
            </w:r>
            <w:r>
              <w:rPr>
                <w:rStyle w:val="IndexLink"/>
                <w:rtl w:val="true"/>
              </w:rPr>
              <w:t xml:space="preserve">: </w:t>
            </w:r>
            <w:r>
              <w:rPr>
                <w:rStyle w:val="IndexLink"/>
                <w:rtl w:val="true"/>
              </w:rPr>
              <w:t>الانحلال الحقيقي الساري</w:t>
            </w:r>
            <w:r>
              <w:rPr>
                <w:rStyle w:val="IndexLink"/>
                <w:rtl w:val="true"/>
              </w:rPr>
              <w:tab/>
            </w:r>
            <w:r>
              <w:rPr>
                <w:rStyle w:val="IndexLink"/>
              </w:rPr>
              <w:t>319</w:t>
            </w:r>
          </w:hyperlink>
        </w:p>
        <w:p>
          <w:pPr>
            <w:pStyle w:val="Contents6"/>
            <w:tabs>
              <w:tab w:val="clear" w:pos="7609"/>
              <w:tab w:val="right" w:pos="9026" w:leader="dot"/>
            </w:tabs>
            <w:rPr/>
          </w:pPr>
          <w:hyperlink w:anchor="__RefHeading___Toc10086687_2142443653">
            <w:r>
              <w:rPr>
                <w:webHidden/>
                <w:rStyle w:val="IndexLink"/>
                <w:rtl w:val="true"/>
              </w:rPr>
              <w:t>التقرير الثالث</w:t>
            </w:r>
            <w:r>
              <w:rPr>
                <w:rStyle w:val="IndexLink"/>
                <w:rtl w:val="true"/>
              </w:rPr>
              <w:t xml:space="preserve">: </w:t>
            </w:r>
            <w:r>
              <w:rPr>
                <w:rStyle w:val="IndexLink"/>
                <w:rtl w:val="true"/>
              </w:rPr>
              <w:t>الانحلال الحكمي</w:t>
            </w:r>
            <w:r>
              <w:rPr>
                <w:rStyle w:val="IndexLink"/>
                <w:rtl w:val="true"/>
              </w:rPr>
              <w:tab/>
            </w:r>
            <w:r>
              <w:rPr>
                <w:rStyle w:val="IndexLink"/>
              </w:rPr>
              <w:t>325</w:t>
            </w:r>
          </w:hyperlink>
        </w:p>
        <w:p>
          <w:pPr>
            <w:pStyle w:val="Contents6"/>
            <w:tabs>
              <w:tab w:val="clear" w:pos="7609"/>
              <w:tab w:val="right" w:pos="9026" w:leader="dot"/>
            </w:tabs>
            <w:rPr/>
          </w:pPr>
          <w:hyperlink w:anchor="__RefHeading___Toc10086689_2142443653">
            <w:r>
              <w:rPr>
                <w:webHidden/>
                <w:rStyle w:val="IndexLink"/>
                <w:rtl w:val="true"/>
              </w:rPr>
              <w:t>التقرير الرابع</w:t>
            </w:r>
            <w:r>
              <w:rPr>
                <w:rStyle w:val="IndexLink"/>
                <w:rtl w:val="true"/>
              </w:rPr>
              <w:tab/>
            </w:r>
            <w:r>
              <w:rPr>
                <w:rStyle w:val="IndexLink"/>
              </w:rPr>
              <w:t>327</w:t>
            </w:r>
          </w:hyperlink>
        </w:p>
        <w:p>
          <w:pPr>
            <w:pStyle w:val="Contents4"/>
            <w:tabs>
              <w:tab w:val="clear" w:pos="8176"/>
              <w:tab w:val="right" w:pos="9026" w:leader="dot"/>
            </w:tabs>
            <w:rPr/>
          </w:pPr>
          <w:hyperlink w:anchor="__RefHeading___Toc10086691_2142443653">
            <w:r>
              <w:rPr>
                <w:webHidden/>
                <w:rStyle w:val="IndexLink"/>
                <w:rtl w:val="true"/>
              </w:rPr>
              <w:t>الوجه الثاني</w:t>
            </w:r>
            <w:r>
              <w:rPr>
                <w:rStyle w:val="IndexLink"/>
                <w:rtl w:val="true"/>
              </w:rPr>
              <w:t xml:space="preserve">: </w:t>
            </w:r>
            <w:r>
              <w:rPr>
                <w:rStyle w:val="IndexLink"/>
                <w:rtl w:val="true"/>
              </w:rPr>
              <w:t>استقلال العقل بالحظر</w:t>
            </w:r>
            <w:r>
              <w:rPr>
                <w:rStyle w:val="IndexLink"/>
                <w:rtl w:val="true"/>
              </w:rPr>
              <w:tab/>
            </w:r>
            <w:r>
              <w:rPr>
                <w:rStyle w:val="IndexLink"/>
              </w:rPr>
              <w:t>329</w:t>
            </w:r>
          </w:hyperlink>
        </w:p>
        <w:p>
          <w:pPr>
            <w:pStyle w:val="Contents4"/>
            <w:tabs>
              <w:tab w:val="clear" w:pos="8176"/>
              <w:tab w:val="right" w:pos="9026" w:leader="dot"/>
            </w:tabs>
            <w:rPr/>
          </w:pPr>
          <w:hyperlink w:anchor="__RefHeading___Toc10086693_2142443653">
            <w:r>
              <w:rPr>
                <w:webHidden/>
                <w:rStyle w:val="IndexLink"/>
                <w:rtl w:val="true"/>
              </w:rPr>
              <w:t>الوجه الثالث</w:t>
            </w:r>
            <w:r>
              <w:rPr>
                <w:rStyle w:val="IndexLink"/>
                <w:rtl w:val="true"/>
              </w:rPr>
              <w:t xml:space="preserve">: </w:t>
            </w:r>
            <w:r>
              <w:rPr>
                <w:rStyle w:val="IndexLink"/>
                <w:rtl w:val="true"/>
              </w:rPr>
              <w:t>محتمل الحرمة محتمل الضرر</w:t>
            </w:r>
            <w:r>
              <w:rPr>
                <w:rStyle w:val="IndexLink"/>
                <w:rtl w:val="true"/>
              </w:rPr>
              <w:tab/>
            </w:r>
            <w:r>
              <w:rPr>
                <w:rStyle w:val="IndexLink"/>
              </w:rPr>
              <w:t>333</w:t>
            </w:r>
          </w:hyperlink>
        </w:p>
        <w:p>
          <w:pPr>
            <w:pStyle w:val="Contents2"/>
            <w:tabs>
              <w:tab w:val="clear" w:pos="8743"/>
              <w:tab w:val="right" w:pos="9026" w:leader="dot"/>
            </w:tabs>
            <w:rPr/>
          </w:pPr>
          <w:hyperlink w:anchor="__RefHeading___Toc10086695_2142443653">
            <w:r>
              <w:rPr>
                <w:webHidden/>
                <w:rStyle w:val="IndexLink"/>
                <w:rtl w:val="true"/>
              </w:rPr>
              <w:t>تنبيهات البراءة</w:t>
            </w:r>
            <w:r>
              <w:rPr>
                <w:rStyle w:val="IndexLink"/>
                <w:rtl w:val="true"/>
              </w:rPr>
              <w:tab/>
            </w:r>
            <w:r>
              <w:rPr>
                <w:rStyle w:val="IndexLink"/>
              </w:rPr>
              <w:t>335</w:t>
            </w:r>
          </w:hyperlink>
        </w:p>
        <w:p>
          <w:pPr>
            <w:pStyle w:val="Contents3"/>
            <w:tabs>
              <w:tab w:val="clear" w:pos="8459"/>
              <w:tab w:val="right" w:pos="9026" w:leader="dot"/>
            </w:tabs>
            <w:rPr/>
          </w:pPr>
          <w:hyperlink w:anchor="__RefHeading___Toc10086697_2142443653">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10086699_2142443653">
            <w:r>
              <w:rPr>
                <w:webHidden/>
                <w:rStyle w:val="IndexLink"/>
                <w:rtl w:val="true"/>
              </w:rPr>
              <w:t>تنبيهات البراءة</w:t>
            </w:r>
            <w:r>
              <w:rPr>
                <w:rStyle w:val="IndexLink"/>
                <w:rtl w:val="true"/>
              </w:rPr>
              <w:tab/>
            </w:r>
            <w:r>
              <w:rPr>
                <w:rStyle w:val="IndexLink"/>
              </w:rPr>
              <w:t>337</w:t>
            </w:r>
          </w:hyperlink>
        </w:p>
        <w:p>
          <w:pPr>
            <w:pStyle w:val="Contents4"/>
            <w:tabs>
              <w:tab w:val="clear" w:pos="8176"/>
              <w:tab w:val="right" w:pos="9026" w:leader="dot"/>
            </w:tabs>
            <w:rPr/>
          </w:pPr>
          <w:hyperlink w:anchor="__RefHeading___Toc10086701_2142443653">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0086703_2142443653">
            <w:r>
              <w:rPr>
                <w:webHidden/>
                <w:rStyle w:val="IndexLink"/>
                <w:rtl w:val="true"/>
              </w:rPr>
              <w:t>التنبيه الأول</w:t>
            </w:r>
            <w:r>
              <w:rPr>
                <w:rStyle w:val="IndexLink"/>
                <w:rtl w:val="true"/>
              </w:rPr>
              <w:t xml:space="preserve">: </w:t>
            </w:r>
            <w:r>
              <w:rPr>
                <w:rStyle w:val="IndexLink"/>
                <w:rtl w:val="true"/>
              </w:rPr>
              <w:t>في شرط جريان البراءة</w:t>
            </w:r>
            <w:r>
              <w:rPr>
                <w:rStyle w:val="IndexLink"/>
                <w:rtl w:val="true"/>
              </w:rPr>
              <w:tab/>
            </w:r>
            <w:r>
              <w:rPr>
                <w:rStyle w:val="IndexLink"/>
              </w:rPr>
              <w:t>337</w:t>
            </w:r>
          </w:hyperlink>
        </w:p>
        <w:p>
          <w:pPr>
            <w:pStyle w:val="Contents4"/>
            <w:tabs>
              <w:tab w:val="clear" w:pos="8176"/>
              <w:tab w:val="right" w:pos="9026" w:leader="dot"/>
            </w:tabs>
            <w:rPr/>
          </w:pPr>
          <w:hyperlink w:anchor="__RefHeading___Toc10086705_2142443653">
            <w:r>
              <w:rPr>
                <w:webHidden/>
                <w:rStyle w:val="IndexLink"/>
                <w:rtl w:val="true"/>
              </w:rPr>
              <w:t>التنبيه الثاني</w:t>
            </w:r>
            <w:r>
              <w:rPr>
                <w:rStyle w:val="IndexLink"/>
                <w:rtl w:val="true"/>
              </w:rPr>
              <w:t xml:space="preserve">: </w:t>
            </w:r>
            <w:r>
              <w:rPr>
                <w:rStyle w:val="IndexLink"/>
                <w:rtl w:val="true"/>
              </w:rPr>
              <w:t>في قاعدة التسامح في أدلة السنن</w:t>
            </w:r>
            <w:r>
              <w:rPr>
                <w:rStyle w:val="IndexLink"/>
                <w:rtl w:val="true"/>
              </w:rPr>
              <w:tab/>
            </w:r>
            <w:r>
              <w:rPr>
                <w:rStyle w:val="IndexLink"/>
              </w:rPr>
              <w:t>344</w:t>
            </w:r>
          </w:hyperlink>
        </w:p>
        <w:p>
          <w:pPr>
            <w:pStyle w:val="Contents5"/>
            <w:tabs>
              <w:tab w:val="clear" w:pos="7892"/>
              <w:tab w:val="right" w:pos="9026" w:leader="dot"/>
            </w:tabs>
            <w:rPr/>
          </w:pPr>
          <w:hyperlink w:anchor="__RefHeading___Toc10086707_2142443653">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0086709_2142443653">
            <w:r>
              <w:rPr>
                <w:webHidden/>
                <w:rStyle w:val="IndexLink"/>
                <w:rtl w:val="true"/>
              </w:rPr>
              <w:t>المبحث الأول</w:t>
            </w:r>
            <w:r>
              <w:rPr>
                <w:rStyle w:val="IndexLink"/>
                <w:rtl w:val="true"/>
              </w:rPr>
              <w:t xml:space="preserve">: </w:t>
            </w:r>
            <w:r>
              <w:rPr>
                <w:rStyle w:val="IndexLink"/>
                <w:rtl w:val="true"/>
              </w:rPr>
              <w:t>في الدليل على قاعدة التسامح</w:t>
            </w:r>
            <w:r>
              <w:rPr>
                <w:rStyle w:val="IndexLink"/>
                <w:rtl w:val="true"/>
              </w:rPr>
              <w:tab/>
            </w:r>
            <w:r>
              <w:rPr>
                <w:rStyle w:val="IndexLink"/>
              </w:rPr>
              <w:t>344</w:t>
            </w:r>
          </w:hyperlink>
        </w:p>
        <w:p>
          <w:pPr>
            <w:pStyle w:val="Contents6"/>
            <w:tabs>
              <w:tab w:val="clear" w:pos="7609"/>
              <w:tab w:val="right" w:pos="9026" w:leader="dot"/>
            </w:tabs>
            <w:rPr/>
          </w:pPr>
          <w:hyperlink w:anchor="__RefHeading___Toc10086711_2142443653">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10086713_2142443653">
            <w:r>
              <w:rPr>
                <w:webHidden/>
                <w:rStyle w:val="IndexLink"/>
                <w:rtl w:val="true"/>
              </w:rPr>
              <w:t>شبهة</w:t>
            </w:r>
            <w:r>
              <w:rPr>
                <w:rStyle w:val="IndexLink"/>
                <w:rtl w:val="true"/>
              </w:rPr>
              <w:t xml:space="preserve">: </w:t>
            </w:r>
            <w:r>
              <w:rPr>
                <w:rStyle w:val="IndexLink"/>
                <w:rtl w:val="true"/>
              </w:rPr>
              <w:t>قاعدة التسامح مسألة أصولية</w:t>
            </w:r>
            <w:r>
              <w:rPr>
                <w:rStyle w:val="IndexLink"/>
                <w:rtl w:val="true"/>
              </w:rPr>
              <w:tab/>
            </w:r>
            <w:r>
              <w:rPr>
                <w:rStyle w:val="IndexLink"/>
              </w:rPr>
              <w:t>347</w:t>
            </w:r>
          </w:hyperlink>
        </w:p>
        <w:p>
          <w:pPr>
            <w:pStyle w:val="Contents5"/>
            <w:tabs>
              <w:tab w:val="clear" w:pos="7892"/>
              <w:tab w:val="right" w:pos="9026" w:leader="dot"/>
            </w:tabs>
            <w:rPr/>
          </w:pPr>
          <w:hyperlink w:anchor="__RefHeading___Toc10086715_2142443653">
            <w:r>
              <w:rPr>
                <w:webHidden/>
                <w:rStyle w:val="IndexLink"/>
                <w:rtl w:val="true"/>
              </w:rPr>
              <w:t>المبحث الثاني</w:t>
            </w:r>
            <w:r>
              <w:rPr>
                <w:rStyle w:val="IndexLink"/>
                <w:rtl w:val="true"/>
              </w:rPr>
              <w:t xml:space="preserve">: </w:t>
            </w:r>
            <w:r>
              <w:rPr>
                <w:rStyle w:val="IndexLink"/>
                <w:rtl w:val="true"/>
              </w:rPr>
              <w:t xml:space="preserve">الأقوال في مفاد أخبار </w:t>
            </w:r>
            <w:r>
              <w:rPr>
                <w:rStyle w:val="IndexLink"/>
                <w:rtl w:val="true"/>
              </w:rPr>
              <w:t>(</w:t>
            </w:r>
            <w:r>
              <w:rPr>
                <w:rStyle w:val="IndexLink"/>
                <w:rtl w:val="true"/>
              </w:rPr>
              <w:t>من بلغ</w:t>
            </w:r>
            <w:r>
              <w:rPr>
                <w:rStyle w:val="IndexLink"/>
                <w:rtl w:val="true"/>
              </w:rPr>
              <w:t>)</w:t>
              <w:tab/>
            </w:r>
            <w:r>
              <w:rPr>
                <w:rStyle w:val="IndexLink"/>
              </w:rPr>
              <w:t>347</w:t>
            </w:r>
          </w:hyperlink>
        </w:p>
        <w:p>
          <w:pPr>
            <w:pStyle w:val="Contents6"/>
            <w:tabs>
              <w:tab w:val="clear" w:pos="7609"/>
              <w:tab w:val="right" w:pos="9026" w:leader="dot"/>
            </w:tabs>
            <w:rPr/>
          </w:pPr>
          <w:hyperlink w:anchor="__RefHeading___Toc10086717_2142443653">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0086719_2142443653">
            <w:r>
              <w:rPr>
                <w:webHidden/>
                <w:rStyle w:val="IndexLink"/>
                <w:rtl w:val="true"/>
              </w:rPr>
              <w:t>القول الأول</w:t>
            </w:r>
            <w:r>
              <w:rPr>
                <w:rStyle w:val="IndexLink"/>
                <w:rtl w:val="true"/>
              </w:rPr>
              <w:t xml:space="preserve">: </w:t>
            </w:r>
            <w:r>
              <w:rPr>
                <w:rStyle w:val="IndexLink"/>
                <w:rtl w:val="true"/>
              </w:rPr>
              <w:t xml:space="preserve">أخبار </w:t>
            </w:r>
            <w:r>
              <w:rPr>
                <w:rStyle w:val="IndexLink"/>
                <w:rtl w:val="true"/>
              </w:rPr>
              <w:t>(</w:t>
            </w:r>
            <w:r>
              <w:rPr>
                <w:rStyle w:val="IndexLink"/>
                <w:rtl w:val="true"/>
              </w:rPr>
              <w:t>من بلغ</w:t>
            </w:r>
            <w:r>
              <w:rPr>
                <w:rStyle w:val="IndexLink"/>
                <w:rtl w:val="true"/>
              </w:rPr>
              <w:t xml:space="preserve">) </w:t>
            </w:r>
            <w:r>
              <w:rPr>
                <w:rStyle w:val="IndexLink"/>
                <w:rtl w:val="true"/>
              </w:rPr>
              <w:t>تثبت الاستحباب الشرعي</w:t>
            </w:r>
            <w:r>
              <w:rPr>
                <w:rStyle w:val="IndexLink"/>
                <w:rtl w:val="true"/>
              </w:rPr>
              <w:tab/>
            </w:r>
            <w:r>
              <w:rPr>
                <w:rStyle w:val="IndexLink"/>
              </w:rPr>
              <w:t>348</w:t>
            </w:r>
          </w:hyperlink>
        </w:p>
        <w:p>
          <w:pPr>
            <w:pStyle w:val="Contents6"/>
            <w:tabs>
              <w:tab w:val="clear" w:pos="7609"/>
              <w:tab w:val="right" w:pos="9026" w:leader="dot"/>
            </w:tabs>
            <w:rPr/>
          </w:pPr>
          <w:hyperlink w:anchor="__RefHeading___Toc10086721_2142443653">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10086723_2142443653">
            <w:r>
              <w:rPr>
                <w:webHidden/>
                <w:rStyle w:val="IndexLink"/>
                <w:rtl w:val="true"/>
              </w:rPr>
              <w:t>الدليل الأول</w:t>
            </w:r>
            <w:r>
              <w:rPr>
                <w:rStyle w:val="IndexLink"/>
                <w:rtl w:val="true"/>
              </w:rPr>
              <w:tab/>
            </w:r>
            <w:r>
              <w:rPr>
                <w:rStyle w:val="IndexLink"/>
              </w:rPr>
              <w:t>348</w:t>
            </w:r>
          </w:hyperlink>
        </w:p>
        <w:p>
          <w:pPr>
            <w:pStyle w:val="Contents6"/>
            <w:tabs>
              <w:tab w:val="clear" w:pos="7609"/>
              <w:tab w:val="right" w:pos="9026" w:leader="dot"/>
            </w:tabs>
            <w:rPr/>
          </w:pPr>
          <w:hyperlink w:anchor="__RefHeading___Toc10086725_2142443653">
            <w:r>
              <w:rPr>
                <w:webHidden/>
                <w:rStyle w:val="IndexLink"/>
                <w:rtl w:val="true"/>
              </w:rPr>
              <w:t>الدليل الثاني</w:t>
            </w:r>
            <w:r>
              <w:rPr>
                <w:rStyle w:val="IndexLink"/>
                <w:rtl w:val="true"/>
              </w:rPr>
              <w:tab/>
            </w:r>
            <w:r>
              <w:rPr>
                <w:rStyle w:val="IndexLink"/>
              </w:rPr>
              <w:t>350</w:t>
            </w:r>
          </w:hyperlink>
        </w:p>
        <w:p>
          <w:pPr>
            <w:pStyle w:val="Contents6"/>
            <w:tabs>
              <w:tab w:val="clear" w:pos="7609"/>
              <w:tab w:val="right" w:pos="9026" w:leader="dot"/>
            </w:tabs>
            <w:rPr/>
          </w:pPr>
          <w:hyperlink w:anchor="__RefHeading___Toc10086727_2142443653">
            <w:r>
              <w:rPr>
                <w:webHidden/>
                <w:rStyle w:val="IndexLink"/>
                <w:rtl w:val="true"/>
              </w:rPr>
              <w:t>الدليل الثالث</w:t>
            </w:r>
            <w:r>
              <w:rPr>
                <w:rStyle w:val="IndexLink"/>
                <w:rtl w:val="true"/>
              </w:rPr>
              <w:tab/>
            </w:r>
            <w:r>
              <w:rPr>
                <w:rStyle w:val="IndexLink"/>
              </w:rPr>
              <w:t>365</w:t>
            </w:r>
          </w:hyperlink>
        </w:p>
        <w:p>
          <w:pPr>
            <w:pStyle w:val="Contents6"/>
            <w:tabs>
              <w:tab w:val="clear" w:pos="7609"/>
              <w:tab w:val="right" w:pos="9026" w:leader="dot"/>
            </w:tabs>
            <w:rPr/>
          </w:pPr>
          <w:hyperlink w:anchor="__RefHeading___Toc10086729_2142443653">
            <w:r>
              <w:rPr>
                <w:webHidden/>
                <w:rStyle w:val="IndexLink"/>
                <w:rtl w:val="true"/>
              </w:rPr>
              <w:t>الدليل الرابع</w:t>
            </w:r>
            <w:r>
              <w:rPr>
                <w:rStyle w:val="IndexLink"/>
                <w:rtl w:val="true"/>
              </w:rPr>
              <w:tab/>
            </w:r>
            <w:r>
              <w:rPr>
                <w:rStyle w:val="IndexLink"/>
              </w:rPr>
              <w:t>367</w:t>
            </w:r>
          </w:hyperlink>
        </w:p>
        <w:p>
          <w:pPr>
            <w:pStyle w:val="Contents6"/>
            <w:tabs>
              <w:tab w:val="clear" w:pos="7609"/>
              <w:tab w:val="right" w:pos="9026" w:leader="dot"/>
            </w:tabs>
            <w:rPr/>
          </w:pPr>
          <w:hyperlink w:anchor="__RefHeading___Toc10086731_2142443653">
            <w:r>
              <w:rPr>
                <w:webHidden/>
                <w:rStyle w:val="IndexLink"/>
                <w:rtl w:val="true"/>
              </w:rPr>
              <w:t>الدليل الخامس</w:t>
            </w:r>
            <w:r>
              <w:rPr>
                <w:rStyle w:val="IndexLink"/>
                <w:rtl w:val="true"/>
              </w:rPr>
              <w:tab/>
            </w:r>
            <w:r>
              <w:rPr>
                <w:rStyle w:val="IndexLink"/>
              </w:rPr>
              <w:t>369</w:t>
            </w:r>
          </w:hyperlink>
        </w:p>
        <w:p>
          <w:pPr>
            <w:pStyle w:val="Contents6"/>
            <w:tabs>
              <w:tab w:val="clear" w:pos="7609"/>
              <w:tab w:val="right" w:pos="9026" w:leader="dot"/>
            </w:tabs>
            <w:rPr/>
          </w:pPr>
          <w:hyperlink w:anchor="__RefHeading___Toc10086733_2142443653">
            <w:r>
              <w:rPr>
                <w:webHidden/>
                <w:rStyle w:val="IndexLink"/>
                <w:rtl w:val="true"/>
              </w:rPr>
              <w:t>القول الثاني</w:t>
            </w:r>
            <w:r>
              <w:rPr>
                <w:rStyle w:val="IndexLink"/>
                <w:rtl w:val="true"/>
              </w:rPr>
              <w:t xml:space="preserve">: </w:t>
            </w:r>
            <w:r>
              <w:rPr>
                <w:rStyle w:val="IndexLink"/>
                <w:rtl w:val="true"/>
              </w:rPr>
              <w:t xml:space="preserve">مفاد أخبار </w:t>
            </w:r>
            <w:r>
              <w:rPr>
                <w:rStyle w:val="IndexLink"/>
                <w:rtl w:val="true"/>
              </w:rPr>
              <w:t>(</w:t>
            </w:r>
            <w:r>
              <w:rPr>
                <w:rStyle w:val="IndexLink"/>
                <w:rtl w:val="true"/>
              </w:rPr>
              <w:t>من بلغ</w:t>
            </w:r>
            <w:r>
              <w:rPr>
                <w:rStyle w:val="IndexLink"/>
                <w:rtl w:val="true"/>
              </w:rPr>
              <w:t xml:space="preserve">) </w:t>
            </w:r>
            <w:r>
              <w:rPr>
                <w:rStyle w:val="IndexLink"/>
                <w:rtl w:val="true"/>
              </w:rPr>
              <w:t>الإرشاد إلى حكم العقل بالانقياد</w:t>
            </w:r>
            <w:r>
              <w:rPr>
                <w:rStyle w:val="IndexLink"/>
                <w:rtl w:val="true"/>
              </w:rPr>
              <w:tab/>
            </w:r>
            <w:r>
              <w:rPr>
                <w:rStyle w:val="IndexLink"/>
              </w:rPr>
              <w:t>369</w:t>
            </w:r>
          </w:hyperlink>
        </w:p>
        <w:p>
          <w:pPr>
            <w:pStyle w:val="Contents6"/>
            <w:tabs>
              <w:tab w:val="clear" w:pos="7609"/>
              <w:tab w:val="right" w:pos="9026" w:leader="dot"/>
            </w:tabs>
            <w:rPr/>
          </w:pPr>
          <w:hyperlink w:anchor="__RefHeading___Toc10086735_2142443653">
            <w:r>
              <w:rPr>
                <w:webHidden/>
                <w:rStyle w:val="IndexLink"/>
                <w:rtl w:val="true"/>
              </w:rPr>
              <w:t>الثمرات المترتبة على القولين</w:t>
            </w:r>
            <w:r>
              <w:rPr>
                <w:rStyle w:val="IndexLink"/>
                <w:rtl w:val="true"/>
              </w:rPr>
              <w:tab/>
            </w:r>
            <w:r>
              <w:rPr>
                <w:rStyle w:val="IndexLink"/>
              </w:rPr>
              <w:t>371</w:t>
            </w:r>
          </w:hyperlink>
        </w:p>
        <w:p>
          <w:pPr>
            <w:pStyle w:val="Contents6"/>
            <w:tabs>
              <w:tab w:val="clear" w:pos="7609"/>
              <w:tab w:val="right" w:pos="9026" w:leader="dot"/>
            </w:tabs>
            <w:rPr/>
          </w:pPr>
          <w:hyperlink w:anchor="__RefHeading___Toc10086737_2142443653">
            <w:r>
              <w:rPr>
                <w:webHidden/>
                <w:rStyle w:val="IndexLink"/>
                <w:rtl w:val="true"/>
              </w:rPr>
              <w:t>الثمرة الأولى</w:t>
            </w:r>
            <w:r>
              <w:rPr>
                <w:rStyle w:val="IndexLink"/>
                <w:rtl w:val="true"/>
              </w:rPr>
              <w:tab/>
            </w:r>
            <w:r>
              <w:rPr>
                <w:rStyle w:val="IndexLink"/>
              </w:rPr>
              <w:t>371</w:t>
            </w:r>
          </w:hyperlink>
        </w:p>
        <w:p>
          <w:pPr>
            <w:pStyle w:val="Contents6"/>
            <w:tabs>
              <w:tab w:val="clear" w:pos="7609"/>
              <w:tab w:val="right" w:pos="9026" w:leader="dot"/>
            </w:tabs>
            <w:rPr/>
          </w:pPr>
          <w:hyperlink w:anchor="__RefHeading___Toc10086739_2142443653">
            <w:r>
              <w:rPr>
                <w:webHidden/>
                <w:rStyle w:val="IndexLink"/>
                <w:rtl w:val="true"/>
              </w:rPr>
              <w:t>الثمرة الثانية</w:t>
            </w:r>
            <w:r>
              <w:rPr>
                <w:rStyle w:val="IndexLink"/>
                <w:rtl w:val="true"/>
              </w:rPr>
              <w:tab/>
            </w:r>
            <w:r>
              <w:rPr>
                <w:rStyle w:val="IndexLink"/>
              </w:rPr>
              <w:t>371</w:t>
            </w:r>
          </w:hyperlink>
        </w:p>
        <w:p>
          <w:pPr>
            <w:pStyle w:val="Contents6"/>
            <w:tabs>
              <w:tab w:val="clear" w:pos="7609"/>
              <w:tab w:val="right" w:pos="9026" w:leader="dot"/>
            </w:tabs>
            <w:rPr/>
          </w:pPr>
          <w:hyperlink w:anchor="__RefHeading___Toc10086741_2142443653">
            <w:r>
              <w:rPr>
                <w:webHidden/>
                <w:rStyle w:val="IndexLink"/>
                <w:rtl w:val="true"/>
              </w:rPr>
              <w:t>الثمرة الثالثة</w:t>
            </w:r>
            <w:r>
              <w:rPr>
                <w:rStyle w:val="IndexLink"/>
                <w:rtl w:val="true"/>
              </w:rPr>
              <w:tab/>
            </w:r>
            <w:r>
              <w:rPr>
                <w:rStyle w:val="IndexLink"/>
              </w:rPr>
              <w:t>377</w:t>
            </w:r>
          </w:hyperlink>
        </w:p>
        <w:p>
          <w:pPr>
            <w:pStyle w:val="Contents6"/>
            <w:tabs>
              <w:tab w:val="clear" w:pos="7609"/>
              <w:tab w:val="right" w:pos="9026" w:leader="dot"/>
            </w:tabs>
            <w:rPr/>
          </w:pPr>
          <w:hyperlink w:anchor="__RefHeading___Toc10086743_2142443653">
            <w:r>
              <w:rPr>
                <w:webHidden/>
                <w:rStyle w:val="IndexLink"/>
                <w:rtl w:val="true"/>
              </w:rPr>
              <w:t>الثمرة الرابعة</w:t>
            </w:r>
            <w:r>
              <w:rPr>
                <w:rStyle w:val="IndexLink"/>
                <w:rtl w:val="true"/>
              </w:rPr>
              <w:tab/>
            </w:r>
            <w:r>
              <w:rPr>
                <w:rStyle w:val="IndexLink"/>
              </w:rPr>
              <w:t>380</w:t>
            </w:r>
          </w:hyperlink>
        </w:p>
        <w:p>
          <w:pPr>
            <w:pStyle w:val="Contents6"/>
            <w:tabs>
              <w:tab w:val="clear" w:pos="7609"/>
              <w:tab w:val="right" w:pos="9026" w:leader="dot"/>
            </w:tabs>
            <w:rPr/>
          </w:pPr>
          <w:hyperlink w:anchor="__RefHeading___Toc10086745_2142443653">
            <w:r>
              <w:rPr>
                <w:webHidden/>
                <w:rStyle w:val="IndexLink"/>
                <w:rtl w:val="true"/>
              </w:rPr>
              <w:t>القول الثالث</w:t>
            </w:r>
            <w:r>
              <w:rPr>
                <w:rStyle w:val="IndexLink"/>
                <w:rtl w:val="true"/>
              </w:rPr>
              <w:t xml:space="preserve">: </w:t>
            </w:r>
            <w:r>
              <w:rPr>
                <w:rStyle w:val="IndexLink"/>
                <w:rtl w:val="true"/>
              </w:rPr>
              <w:t xml:space="preserve">مفاد أخبار </w:t>
            </w:r>
            <w:r>
              <w:rPr>
                <w:rStyle w:val="IndexLink"/>
                <w:rtl w:val="true"/>
              </w:rPr>
              <w:t>(</w:t>
            </w:r>
            <w:r>
              <w:rPr>
                <w:rStyle w:val="IndexLink"/>
                <w:rtl w:val="true"/>
              </w:rPr>
              <w:t>من بلغ</w:t>
            </w:r>
            <w:r>
              <w:rPr>
                <w:rStyle w:val="IndexLink"/>
                <w:rtl w:val="true"/>
              </w:rPr>
              <w:t xml:space="preserve">) </w:t>
            </w:r>
            <w:r>
              <w:rPr>
                <w:rStyle w:val="IndexLink"/>
                <w:rtl w:val="true"/>
              </w:rPr>
              <w:t>إسقاط شرائط حجية الخبر</w:t>
            </w:r>
            <w:r>
              <w:rPr>
                <w:rStyle w:val="IndexLink"/>
                <w:rtl w:val="true"/>
              </w:rPr>
              <w:tab/>
            </w:r>
            <w:r>
              <w:rPr>
                <w:rStyle w:val="IndexLink"/>
              </w:rPr>
              <w:t>381</w:t>
            </w:r>
          </w:hyperlink>
        </w:p>
        <w:p>
          <w:pPr>
            <w:pStyle w:val="Contents6"/>
            <w:tabs>
              <w:tab w:val="clear" w:pos="7609"/>
              <w:tab w:val="right" w:pos="9026" w:leader="dot"/>
            </w:tabs>
            <w:rPr/>
          </w:pPr>
          <w:hyperlink w:anchor="__RefHeading___Toc10086747_2142443653">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10086749_2142443653">
            <w:r>
              <w:rPr>
                <w:webHidden/>
                <w:rStyle w:val="IndexLink"/>
                <w:rtl w:val="true"/>
              </w:rPr>
              <w:t>لكن يمكن تصوير جملة من الثمرات في المقام</w:t>
            </w:r>
            <w:r>
              <w:rPr>
                <w:rStyle w:val="IndexLink"/>
                <w:rtl w:val="true"/>
              </w:rPr>
              <w:tab/>
            </w:r>
            <w:r>
              <w:rPr>
                <w:rStyle w:val="IndexLink"/>
              </w:rPr>
              <w:t>386</w:t>
            </w:r>
          </w:hyperlink>
        </w:p>
        <w:p>
          <w:pPr>
            <w:pStyle w:val="Contents6"/>
            <w:tabs>
              <w:tab w:val="clear" w:pos="7609"/>
              <w:tab w:val="right" w:pos="9026" w:leader="dot"/>
            </w:tabs>
            <w:rPr/>
          </w:pPr>
          <w:hyperlink w:anchor="__RefHeading___Toc10086751_2142443653">
            <w:r>
              <w:rPr>
                <w:webHidden/>
                <w:rStyle w:val="IndexLink"/>
                <w:rtl w:val="true"/>
              </w:rPr>
              <w:t>القول الرابع</w:t>
            </w:r>
            <w:r>
              <w:rPr>
                <w:rStyle w:val="IndexLink"/>
                <w:rtl w:val="true"/>
              </w:rPr>
              <w:t xml:space="preserve">: </w:t>
            </w:r>
            <w:r>
              <w:rPr>
                <w:rStyle w:val="IndexLink"/>
                <w:rtl w:val="true"/>
              </w:rPr>
              <w:t xml:space="preserve">مفاد أخبار </w:t>
            </w:r>
            <w:r>
              <w:rPr>
                <w:rStyle w:val="IndexLink"/>
                <w:rtl w:val="true"/>
              </w:rPr>
              <w:t>(</w:t>
            </w:r>
            <w:r>
              <w:rPr>
                <w:rStyle w:val="IndexLink"/>
                <w:rtl w:val="true"/>
              </w:rPr>
              <w:t>من بلغ</w:t>
            </w:r>
            <w:r>
              <w:rPr>
                <w:rStyle w:val="IndexLink"/>
                <w:rtl w:val="true"/>
              </w:rPr>
              <w:t xml:space="preserve">) </w:t>
            </w:r>
            <w:r>
              <w:rPr>
                <w:rStyle w:val="IndexLink"/>
                <w:rtl w:val="true"/>
              </w:rPr>
              <w:t>إخبار بفضل اللّه تعالى</w:t>
            </w:r>
            <w:r>
              <w:rPr>
                <w:rStyle w:val="IndexLink"/>
                <w:rtl w:val="true"/>
              </w:rPr>
              <w:tab/>
            </w:r>
            <w:r>
              <w:rPr>
                <w:rStyle w:val="IndexLink"/>
              </w:rPr>
              <w:t>388</w:t>
            </w:r>
          </w:hyperlink>
        </w:p>
        <w:p>
          <w:pPr>
            <w:pStyle w:val="Contents6"/>
            <w:tabs>
              <w:tab w:val="clear" w:pos="7609"/>
              <w:tab w:val="right" w:pos="9026" w:leader="dot"/>
            </w:tabs>
            <w:rPr/>
          </w:pPr>
          <w:hyperlink w:anchor="__RefHeading___Toc10086753_2142443653">
            <w:r>
              <w:rPr>
                <w:webHidden/>
                <w:rStyle w:val="IndexLink"/>
                <w:rtl w:val="true"/>
              </w:rPr>
              <w:t>القول الخامس</w:t>
            </w:r>
            <w:r>
              <w:rPr>
                <w:rStyle w:val="IndexLink"/>
                <w:rtl w:val="true"/>
              </w:rPr>
              <w:t xml:space="preserve">: </w:t>
            </w:r>
            <w:r>
              <w:rPr>
                <w:rStyle w:val="IndexLink"/>
                <w:rtl w:val="true"/>
              </w:rPr>
              <w:t xml:space="preserve">أخبار </w:t>
            </w:r>
            <w:r>
              <w:rPr>
                <w:rStyle w:val="IndexLink"/>
                <w:rtl w:val="true"/>
              </w:rPr>
              <w:t>(</w:t>
            </w:r>
            <w:r>
              <w:rPr>
                <w:rStyle w:val="IndexLink"/>
                <w:rtl w:val="true"/>
              </w:rPr>
              <w:t>من بلغ</w:t>
            </w:r>
            <w:r>
              <w:rPr>
                <w:rStyle w:val="IndexLink"/>
                <w:rtl w:val="true"/>
              </w:rPr>
              <w:t xml:space="preserve">) </w:t>
            </w:r>
            <w:r>
              <w:rPr>
                <w:rStyle w:val="IndexLink"/>
                <w:rtl w:val="true"/>
              </w:rPr>
              <w:t>تجبر ضعف المحركية</w:t>
            </w:r>
            <w:r>
              <w:rPr>
                <w:rStyle w:val="IndexLink"/>
                <w:rtl w:val="true"/>
              </w:rPr>
              <w:tab/>
            </w:r>
            <w:r>
              <w:rPr>
                <w:rStyle w:val="IndexLink"/>
              </w:rPr>
              <w:t>389</w:t>
            </w:r>
          </w:hyperlink>
        </w:p>
        <w:p>
          <w:pPr>
            <w:pStyle w:val="Contents6"/>
            <w:tabs>
              <w:tab w:val="clear" w:pos="7609"/>
              <w:tab w:val="right" w:pos="9026" w:leader="dot"/>
            </w:tabs>
            <w:rPr/>
          </w:pPr>
          <w:hyperlink w:anchor="__RefHeading___Toc10086755_2142443653">
            <w:r>
              <w:rPr>
                <w:webHidden/>
                <w:rStyle w:val="IndexLink"/>
                <w:rtl w:val="true"/>
              </w:rPr>
              <w:t>القول المختار</w:t>
            </w:r>
            <w:r>
              <w:rPr>
                <w:rStyle w:val="IndexLink"/>
                <w:rtl w:val="true"/>
              </w:rPr>
              <w:tab/>
            </w:r>
            <w:r>
              <w:rPr>
                <w:rStyle w:val="IndexLink"/>
              </w:rPr>
              <w:t>390</w:t>
            </w:r>
          </w:hyperlink>
        </w:p>
        <w:p>
          <w:pPr>
            <w:pStyle w:val="Contents2"/>
            <w:tabs>
              <w:tab w:val="clear" w:pos="8743"/>
              <w:tab w:val="right" w:pos="9026" w:leader="dot"/>
            </w:tabs>
            <w:rPr/>
          </w:pPr>
          <w:hyperlink w:anchor="__RefHeading___Toc10086757_2142443653">
            <w:r>
              <w:rPr>
                <w:webHidden/>
                <w:rStyle w:val="IndexLink"/>
                <w:rtl w:val="true"/>
              </w:rPr>
              <w:t>فهرس المحتويات</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08_166621"/>
      <w:bookmarkStart w:id="1" w:name="pg15608_166621"/>
      <w:bookmarkEnd w:id="1"/>
    </w:p>
    <w:p>
      <w:pPr>
        <w:pStyle w:val="Heading2"/>
        <w:numPr>
          <w:ilvl w:val="1"/>
          <w:numId w:val="1"/>
        </w:numPr>
        <w:rPr/>
      </w:pPr>
      <w:bookmarkStart w:id="2" w:name="pg15608_166621"/>
      <w:bookmarkStart w:id="3" w:name="__RefHeading___Toc1008643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الأصول</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تقرير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8643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w:t>
      </w:r>
    </w:p>
    <w:p>
      <w:pPr>
        <w:pStyle w:val="BookText"/>
        <w:rPr/>
      </w:pPr>
      <w:r>
        <w:rPr>
          <w:rFonts w:ascii="Amiri" w:hAnsi="Amiri" w:eastAsia="Amiri" w:cs="Amiri"/>
          <w:color w:val="111111"/>
          <w:sz w:val="28"/>
          <w:sz w:val="28"/>
          <w:szCs w:val="28"/>
          <w:rtl w:val="true"/>
          <w:lang w:bidi="ar-SA"/>
        </w:rPr>
        <w:t>الطاهرين، ولعنة اللّه على أعدائهم أجمعين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08_166628"/>
      <w:bookmarkStart w:id="8" w:name="pg15608_166628"/>
      <w:bookmarkEnd w:id="8"/>
    </w:p>
    <w:p>
      <w:pPr>
        <w:pStyle w:val="Heading2"/>
        <w:numPr>
          <w:ilvl w:val="1"/>
          <w:numId w:val="1"/>
        </w:numPr>
        <w:rPr/>
      </w:pPr>
      <w:bookmarkStart w:id="9" w:name="pg15608_166628"/>
      <w:bookmarkStart w:id="10" w:name="__RefHeading___Toc10086437_2142443653"/>
      <w:bookmarkStart w:id="11" w:name="_Toc3"/>
      <w:bookmarkEnd w:id="9"/>
      <w:bookmarkEnd w:id="10"/>
      <w:r>
        <w:rPr>
          <w:rtl w:val="true"/>
        </w:rPr>
        <w:t>تذنيبات</w:t>
      </w:r>
      <w:bookmarkEnd w:id="11"/>
    </w:p>
    <w:p>
      <w:pPr>
        <w:pStyle w:val="Heading3"/>
        <w:numPr>
          <w:ilvl w:val="2"/>
          <w:numId w:val="1"/>
        </w:numPr>
        <w:rPr/>
      </w:pPr>
      <w:bookmarkStart w:id="12" w:name="__RefHeading___Toc10086439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وبعد الفراغ عن بحوث المقامين الأولين يبقى البحث في تذنيبات، وهي</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0086441_2142443653"/>
      <w:bookmarkStart w:id="15" w:name="_Toc5"/>
      <w:bookmarkEnd w:id="14"/>
      <w:r>
        <w:rPr>
          <w:rtl w:val="true"/>
        </w:rPr>
        <w:t>التذنيب الأول</w:t>
      </w:r>
      <w:r>
        <w:rPr>
          <w:rtl w:val="true"/>
        </w:rPr>
        <w:t xml:space="preserve">: </w:t>
      </w:r>
      <w:r>
        <w:rPr>
          <w:rtl w:val="true"/>
        </w:rPr>
        <w:t>انحفاظ الملاكات الواقعية في موارد العناوين التسعة</w:t>
      </w:r>
      <w:bookmarkEnd w:id="15"/>
    </w:p>
    <w:p>
      <w:pPr>
        <w:pStyle w:val="BookText"/>
        <w:rPr/>
      </w:pPr>
      <w:r>
        <w:rPr>
          <w:rFonts w:ascii="Amiri" w:hAnsi="Amiri" w:eastAsia="Amiri" w:cs="Amiri"/>
          <w:color w:val="111111"/>
          <w:sz w:val="28"/>
          <w:sz w:val="28"/>
          <w:szCs w:val="28"/>
          <w:rtl w:val="true"/>
          <w:lang w:bidi="ar-SA"/>
        </w:rPr>
        <w:t>فإن الحكم كاشف إنّي عن وجود الملاك على نحو كشف المعلول عن وجود العلة، وأما بعد ارتفاع الحكم فلا بد من وجود دليل يثبت بقاء الملاك، فهل هنالك دليل لبقاء الملاك الواقعي النفس الأمري في العناوين التسعة المرفوعة بعد ارتفاع الحكم بحديث الرفع؟</w:t>
      </w:r>
    </w:p>
    <w:p>
      <w:pPr>
        <w:pStyle w:val="BookText"/>
        <w:rPr/>
      </w:pPr>
      <w:r>
        <w:rPr>
          <w:rFonts w:ascii="Amiri" w:hAnsi="Amiri" w:eastAsia="Amiri" w:cs="Amiri"/>
          <w:color w:val="111111"/>
          <w:sz w:val="28"/>
          <w:sz w:val="28"/>
          <w:szCs w:val="28"/>
          <w:rtl w:val="true"/>
          <w:lang w:bidi="ar-SA"/>
        </w:rPr>
        <w:t>ثمرة البحث</w:t>
      </w:r>
    </w:p>
    <w:p>
      <w:pPr>
        <w:pStyle w:val="BookText"/>
        <w:rPr/>
      </w:pPr>
      <w:r>
        <w:rPr>
          <w:rFonts w:ascii="Amiri" w:hAnsi="Amiri" w:eastAsia="Amiri" w:cs="Amiri"/>
          <w:color w:val="111111"/>
          <w:sz w:val="28"/>
          <w:sz w:val="28"/>
          <w:szCs w:val="28"/>
          <w:rtl w:val="true"/>
          <w:lang w:bidi="ar-SA"/>
        </w:rPr>
        <w:t>وتظهر الثمرة في ما لو فعل المكلف الفعل مع انطباق العناوين التسعة،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هنالك عبادة لا تطاق عرفاً، وأتى المكلف بها، فمع وجود مثبت لبقاء الملاك الواقعي تكون العبادة صحيحة، لما ذكر في مباحث الضد</w:t>
      </w:r>
      <w:r>
        <w:rPr>
          <w:rStyle w:val="FootnoteAnchor"/>
          <w:rtl w:val="true"/>
        </w:rPr>
        <w:footnoteReference w:id="2"/>
      </w:r>
      <w:r>
        <w:rPr>
          <w:rFonts w:ascii="Amiri" w:hAnsi="Amiri" w:eastAsia="Amiri" w:cs="Amiri"/>
          <w:color w:val="111111"/>
          <w:sz w:val="28"/>
          <w:sz w:val="28"/>
          <w:szCs w:val="28"/>
          <w:rtl w:val="true"/>
          <w:lang w:bidi="ar-SA"/>
        </w:rPr>
        <w:t>من كفاية وجود الملاك لتصحيح العبادة، ولا ضرورة لوجود الأمر، لكن لو لم يدل دليل على بقاء الملاك الواقعي فالعبادة فاقدة للأمر؛ لحديث الرفع، ولم يحرز وجود الملاك الواقعي فلا طريق لتصحيحها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ما ذكره الفقهاء في باب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تحمل الضرر وأتى بالعبادة الضررية أو الحرجية، فلو كان الملاك الواقعي منحفظاً كانت العبادة </w:t>
      </w:r>
    </w:p>
    <w:p>
      <w:pPr>
        <w:pStyle w:val="BookText"/>
        <w:rPr/>
      </w:pPr>
      <w:r>
        <w:rPr>
          <w:rFonts w:ascii="Amiri" w:hAnsi="Amiri" w:eastAsia="Amiri" w:cs="Amiri"/>
          <w:color w:val="111111"/>
          <w:sz w:val="28"/>
          <w:sz w:val="28"/>
          <w:szCs w:val="28"/>
          <w:rtl w:val="true"/>
          <w:lang w:bidi="ar-SA"/>
        </w:rPr>
        <w:t>صحيحة، وأما لو لم يحرز وجود الملاك فهي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إحراز بقاء الملاك</w:t>
      </w:r>
    </w:p>
    <w:p>
      <w:pPr>
        <w:pStyle w:val="BookText"/>
        <w:rPr/>
      </w:pPr>
      <w:r>
        <w:rPr>
          <w:rFonts w:ascii="Amiri" w:hAnsi="Amiri" w:eastAsia="Amiri" w:cs="Amiri"/>
          <w:color w:val="111111"/>
          <w:sz w:val="28"/>
          <w:sz w:val="28"/>
          <w:szCs w:val="28"/>
          <w:rtl w:val="true"/>
          <w:lang w:bidi="ar-SA"/>
        </w:rPr>
        <w:t>ويمكن أن يذكر طريقان لبقاء الملاك بعد ارتفاع الحكم</w:t>
      </w:r>
      <w:r>
        <w:rPr>
          <w:rStyle w:val="FootnoteAnchor"/>
          <w:rtl w:val="true"/>
        </w:rPr>
        <w:footnoteReference w:id="3"/>
      </w:r>
      <w:r>
        <w:rPr>
          <w:rFonts w:ascii="IRNazanin" w:hAnsi="IRNazanin" w:eastAsia="IRNazanin"/>
          <w:color w:val="111111"/>
          <w:sz w:val="28"/>
          <w:sz w:val="28"/>
          <w:szCs w:val="28"/>
          <w:rtl w:val="true"/>
          <w:lang w:bidi="fa-IR"/>
        </w:rPr>
        <w:t>،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ذلك من كلمة الرفع، فإنَّ مقتضى الرفع بقاء شيء ثابت، وبلحاظ ثبوته استخدمت كلمة الرفع، فلا بد أن نفرض ثبوت الحكم المرفوع بنحو من أنحاء الثبوت حتى يصح استخدام كلمة الرفع بلحاظ ذلك النحو، ولا يكون ذلك النحو إلا الوجود الشأني أو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لعدم وجود معين لهذا الفرض، حيث يمكن أن تستخدم كلمة الرفع بلحاظ الثبوت الاقتضائي والإنشائي للحكم، ويمكن أن يكون بلحاظ آخر، كثبوت الحكم في الأمم السابقة فرفع عن هذه الأمة، أو ثبوت الأحكام في أول الشريعة، أو بلحاظ مقام الإثبات لا مقام الثبوت، أو لحاظات أخرى ذكرت في المقام الأول في البحث الأول، فلا دليل على الوجود الاقتضائي والشأني للحكم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 الحديث الشريف مساق الامتنان، وهو لا يتحقق إلاّ في فرض وجود المقتضي للحكم، وإلا فلا معنى للامتنان، كأن يمتن المولى على العبد بعدم طلب الماء؛ لأنه ليس عطشان، فحيث لا مقتضي للتكليف لم </w:t>
      </w:r>
    </w:p>
    <w:p>
      <w:pPr>
        <w:pStyle w:val="BookText"/>
        <w:rPr/>
      </w:pPr>
      <w:r>
        <w:rPr>
          <w:rFonts w:ascii="Amiri" w:hAnsi="Amiri" w:eastAsia="Amiri" w:cs="Amiri"/>
          <w:color w:val="111111"/>
          <w:sz w:val="28"/>
          <w:sz w:val="28"/>
          <w:szCs w:val="28"/>
          <w:rtl w:val="true"/>
          <w:lang w:bidi="ar-SA"/>
        </w:rPr>
        <w:t>يكن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هنالك مقتض للتكليف فلم يكلف فهو 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عليه بعض المحققين من المتأخرين</w:t>
      </w:r>
      <w:r>
        <w:rPr>
          <w:rStyle w:val="FootnoteAnchor"/>
          <w:rtl w:val="true"/>
        </w:rPr>
        <w:footnoteReference w:id="4"/>
      </w:r>
      <w:r>
        <w:rPr>
          <w:rFonts w:ascii="Amiri" w:hAnsi="Amiri" w:eastAsia="Amiri" w:cs="Amiri"/>
          <w:color w:val="111111"/>
          <w:sz w:val="28"/>
          <w:sz w:val="28"/>
          <w:szCs w:val="28"/>
          <w:rtl w:val="true"/>
          <w:lang w:bidi="ar-SA"/>
        </w:rPr>
        <w:t>بأنه تام في حق المولى العرفي، أما المولى الحقيقي فأحكامه راجعة إلى مصالح للعبيد، فلا معنى لافتراض أنَّ رفع الحكم مع وجود ملاكه امتنان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تام في مثال عطش المولى، حيث يرفع اليد عن الحكم مع وجود ملاكه، أما في المولى الحقيقي فالملاكات هي مصالح العبيد، ولا معنى للامتنان عليهم بعدم التكليف المفوت للمصالح الواقعية، بل هو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واضح؛ لأنَّ الملاكات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الملاكات الأولية، وهي المصالح والمفاسد الواقعية في المتعلقات أو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الملاكات الثانوية، كملاك التسهيل والتيسير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يرفع المولى اليد عن الملاك الأولي الذي هو في مصلحة العبد ترجيحاً للملاك الثانوي، كما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أشق على أمتي لأمرتهم بالسواك</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فالملاك الأولي الواقعي يقتضي إيجاب السواك لكن يرفع دفعاً للمشقة، وليس ذلك خلاف الامتنان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نحن فيه كذلك، فإنَّ الملاك الواقعي للتشريع موجود، لكن يرفع الحكم تيسيراً للعباد وامتناناً عليهم، وهو مما لا ينافي الامتنان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نظائر للمقام</w:t>
      </w:r>
    </w:p>
    <w:p>
      <w:pPr>
        <w:pStyle w:val="BookText"/>
        <w:rPr/>
      </w:pPr>
      <w:r>
        <w:rPr>
          <w:rFonts w:ascii="Amiri" w:hAnsi="Amiri" w:eastAsia="Amiri" w:cs="Amiri"/>
          <w:color w:val="111111"/>
          <w:sz w:val="28"/>
          <w:sz w:val="28"/>
          <w:szCs w:val="28"/>
          <w:rtl w:val="true"/>
          <w:lang w:bidi="ar-SA"/>
        </w:rPr>
        <w:t>وللمقام نظائر نذكر بعضها على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شرائط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مانع من 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جاهلاً بالضرر صح وإن كان متحققاً في الواقع</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فلو كان جاهلاً بالضرر فتوضأ صح وضوؤه، وأدلة لا ضرر لا ترفع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بطلانه خلاف الامتنان، وبهذه القرينة تقيد أدلة رفع الضرر، بالعلم أو خوف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خلاف الامتنان، فلا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يعلم بالضرر ولم يخفه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 موجود، ولذا يصح الوضوء</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ذكر نقيضه في الصوم من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صام بزعم عدم الضرر فبان الخلاف بعد الفراغ من الصوم ففي الصحة إشكال، فلا يترك الاحتياط بالقضاء</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أنَّ وزانهما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 الحج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اعتقد عدم الضرر أو عدم الحرج فحج فبان الخلاف، فالظاهر كفايته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توضّأ أو اغتسل باعتقاد عدم الضرر ثم تبين وجوده </w:t>
      </w:r>
      <w:bookmarkStart w:id="16" w:name="pg15608_166636"/>
    </w:p>
    <w:p>
      <w:pPr>
        <w:pStyle w:val="BookText"/>
        <w:rPr/>
      </w:pPr>
      <w:bookmarkEnd w:id="16"/>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10086443_2142443653"/>
      <w:bookmarkStart w:id="18" w:name="_Toc6"/>
      <w:bookmarkEnd w:id="17"/>
      <w:r>
        <w:rPr>
          <w:rtl w:val="true"/>
        </w:rPr>
        <w:t>التذنيب الثاني</w:t>
      </w:r>
      <w:r>
        <w:rPr>
          <w:rtl w:val="true"/>
        </w:rPr>
        <w:t xml:space="preserve">: </w:t>
      </w:r>
      <w:r>
        <w:rPr>
          <w:rtl w:val="true"/>
        </w:rPr>
        <w:t>في تقدم حديث الرفع على أدلة الأحكام الأولية</w:t>
      </w:r>
      <w:bookmarkEnd w:id="18"/>
    </w:p>
    <w:p>
      <w:pPr>
        <w:pStyle w:val="BookText"/>
        <w:rPr/>
      </w:pPr>
      <w:r>
        <w:rPr>
          <w:rFonts w:ascii="Amiri" w:hAnsi="Amiri" w:eastAsia="Amiri" w:cs="Amiri"/>
          <w:color w:val="111111"/>
          <w:sz w:val="28"/>
          <w:sz w:val="28"/>
          <w:szCs w:val="28"/>
          <w:rtl w:val="true"/>
          <w:lang w:bidi="ar-SA"/>
        </w:rPr>
        <w:t>إنَّ النسبة بين دليل الرفع وأدلة الأحكام الأولية نسبة العموم والخصوص من وجه، فدليل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يشمل حالة الإكراه وعدمها، 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السرقة والإفطار الإكراهيين، فيتعارضان بنحو العموم من وجه في السرقة الإكراهية، فمقتضى إطلاق دليل القطع وجوب الحد، ومقتضى إطلاق الرفع ارتفاع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تقديم دليل الرفع</w:t>
      </w:r>
    </w:p>
    <w:p>
      <w:pPr>
        <w:pStyle w:val="BookText"/>
        <w:rPr/>
      </w:pPr>
      <w:r>
        <w:rPr>
          <w:rFonts w:ascii="Amiri" w:hAnsi="Amiri" w:eastAsia="Amiri" w:cs="Amiri"/>
          <w:color w:val="111111"/>
          <w:sz w:val="28"/>
          <w:sz w:val="28"/>
          <w:szCs w:val="28"/>
          <w:rtl w:val="true"/>
          <w:lang w:bidi="ar-SA"/>
        </w:rPr>
        <w:t>ولتقديم دليل الرفع وجوه نذكرها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دليل الرفع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مجموع أدلة الأحكام الأولية بمنزلة دليل واحد، ومع هذا اللحاظ للمجموع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وعدمه، فتخرج صورة الإكراه عن إطلاق الأدلة الأولية أو عمومها بحديث الرفع، فتكون النسبة بينهما نسبة العام والخاص لا العموم من وجه، وهكذا الأمر في الاضطرار وسائر العناوين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من باب التوفيق العرفي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نظر السيد السبزواري إلى ذلك، حيث قال</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تقدم الأدلة </w:t>
      </w:r>
    </w:p>
    <w:p>
      <w:pPr>
        <w:pStyle w:val="BookText"/>
        <w:rPr/>
      </w:pPr>
      <w:r>
        <w:rPr>
          <w:rFonts w:ascii="Amiri" w:hAnsi="Amiri" w:eastAsia="Amiri" w:cs="Amiri"/>
          <w:color w:val="111111"/>
          <w:sz w:val="28"/>
          <w:sz w:val="28"/>
          <w:szCs w:val="28"/>
          <w:rtl w:val="true"/>
          <w:lang w:bidi="ar-SA"/>
        </w:rPr>
        <w:t>التسهيلية الامتنانية على القوانين الأولية من المرتكزات العقلائية في قوانينهم المجعولة في كل مذهب وملة، وليس ذلك مختصاً بهذه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التوفيق العرفي بأنَّ العرف يجمع ويوفق بين الأدلة الأولية والأحكام الامتنانية بذلك، فإنَّ أدلة الأحكام الأولية تبين الاقتضاء، والأدلة الامتنانية التسهيلية تبين وجود المانع، فمقتضى الملاك الواقعي في السارق أن تقطع يده، لكن عروض الاضطرار مانع عن تأثيره في مقتضاه، أو يرى العرف أنَّ الأدلة الامتنانية التسهيلية مبينة لفقد الشرط، فلا تتحقق العلة التامة؛ لأنها مركبة عن وجود المقتضي والشرط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بملاك الحكومة وملاكها النظر، فإطلاق الأحكام الشرعية يشمل صورة العلم والجهل والاضطرار والاختيار والإكراه وعدمه، ودليل الرفع ناظر إلى أدلة الأحكام الأولية، أي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جعلته من الأحكام لا تشمل حالة الاضطرار والإكراه وما أشبه، والنظر ملاك تقدم الدليل الحاكم على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وفاء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الفقهاء مرجح للرفع لا للوضع، فمع تحقق التعارض بين الدليلين قدم الفقهاء حديث الرفع على أدلة الأحكام الأولية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وجود المرجح، لتساقط الدليلان بعد تعارضهما، فتصل 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فقدان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الأصول العملية، ومقتضاها البراءة، ومؤداها موافق لمؤدى حديث الرفع غالباً، فيقدم حديث الرفع بمؤداه 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قدمت الأدلة الأولية لم يبق لحديث الرفع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هذه الوجوه وتفصيل الكلام والنقض والإبرام فيها موكول إلى آخر مباحث البراءة، وسيأتي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حكومة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الأحكام الأولية</w:t>
      </w:r>
    </w:p>
    <w:p>
      <w:pPr>
        <w:pStyle w:val="BookText"/>
        <w:rPr/>
      </w:pPr>
      <w:r>
        <w:rPr>
          <w:rFonts w:ascii="Amiri" w:hAnsi="Amiri" w:eastAsia="Amiri" w:cs="Amiri"/>
          <w:color w:val="111111"/>
          <w:sz w:val="28"/>
          <w:sz w:val="28"/>
          <w:szCs w:val="28"/>
          <w:rtl w:val="true"/>
          <w:lang w:bidi="ar-SA"/>
        </w:rPr>
        <w:t>يبقى الكلام في ما ذكره المحقق النائيني حيث اختار الحكومة، وفرق بين الحكومة في المقام وبينها في لا ضرر، بأن حكومة الرفع على أدلة الأحكام الأولية باعتبار عقد وضعها، وأما حكومة لا ضرر ولا عسر ولا حرج عليها بلحاظ عقد حملها، وعلل الدعويين بما لا يخلو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في أدلة نفي الضرر والعسر والحرج إنما هي باعتبار عقد الحمل، حيث إن الضرر والعسر والحرج من العناوين الطارئة على نفس الأحكام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التأمل فيه أنه كما يطرأ الضرر والعسر والحرج على الحكم كذلك تطرأ على الموضوع، بل يمكن دعوى أنَّ العناوين الثلاثة تطرأ على الموضوعات الخارجية أولاً وبالذات، ثم تطرأ على الأحكام ثانياً وبالعرض لا بالتبع، فالفعل يوصف بأنه حرجي ثم يتصف الوجوب بكونه حرجياً، وإلا فلا حرج في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أنَّ الحكم يوقع المكلف في الحرج فيمكن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حرجي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دليل رفع الاضطرار والإكراه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تكون</w:t>
      </w:r>
      <w:r>
        <w:rPr>
          <w:rStyle w:val="FootnoteAnchor"/>
          <w:rtl w:val="true"/>
        </w:rPr>
        <w:footnoteReference w:id="14"/>
      </w:r>
      <w:r>
        <w:rPr>
          <w:rFonts w:ascii="Amiri" w:hAnsi="Amiri" w:eastAsia="Amiri" w:cs="Amiri"/>
          <w:color w:val="111111"/>
          <w:sz w:val="28"/>
          <w:sz w:val="28"/>
          <w:szCs w:val="28"/>
          <w:rtl w:val="true"/>
          <w:lang w:bidi="ar-SA"/>
        </w:rPr>
        <w:t>باعتبار عقد الوضع، فإنه لا يمكن طروء الإكراه والاضطرار والخطأ والنسيان على نفس الأحكام، بل إنما تعرض موضوعاتها ومتعلقاتها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التأمل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النسيان قد يطرأ على الموضوع، وقد يطرأ على الحكم، فقد ينسى أنَّ المائع خمر، وقد ينسى حكم وجوب المد في الصلاة، أو حرمة الوصل بالسكون على القول به، وهكذا الخطأ قد يكون في الحكم وقد يكون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العناوين الثانوية ناظرة إلى عقد الوضع والذي يظهر في المقام أن جميع العناوين الثانوية ناظرة إلى عقد الوضع إلا في موردين، حيث يمكن دعوى أنها ناظرة إلى عقد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دعوى أنه ظاهر في رفع حكم لا يعلم، لا موضوع لا يعلم عنوانه، فيضيق عقد حمل أدلة الأحكام الأولية، فتكون المحرمات والواجبات المجعولة في أدلة الأحكام الأولية خاصة بصورة العلم، ولا تشمل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الحرج فيما لو كان لسانه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يدعى أنه ناظر إلى عقد الحمل، فالأحكام الحرجية مرفوعة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بقية الموارد، فالفعل الاضطراري والمنسي مرفوع ووجوده كالعدم،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نفي الضرر في الخارج، فإنه وإن كان مآل </w:t>
      </w:r>
      <w:bookmarkStart w:id="19" w:name="pg15608_166644"/>
    </w:p>
    <w:p>
      <w:pPr>
        <w:pStyle w:val="BookText"/>
        <w:rPr/>
      </w:pPr>
      <w:bookmarkEnd w:id="19"/>
      <w:r>
        <w:rPr>
          <w:rFonts w:ascii="Amiri" w:hAnsi="Amiri" w:eastAsia="Amiri" w:cs="Amiri"/>
          <w:color w:val="111111"/>
          <w:sz w:val="28"/>
          <w:sz w:val="28"/>
          <w:szCs w:val="28"/>
          <w:rtl w:val="true"/>
          <w:lang w:bidi="ar-SA"/>
        </w:rPr>
        <w:t xml:space="preserve">نفي عقد الوضع إلى نفي عقد الحمل، لكن اللسان لسان نفي عقد الوضع،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نفي عقد وضع أدلة الأحكام الأولية للشك، ولكن مآلها إلى نفي عقد الحمل، بمعنى عدم ترتب أحكام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يبدو في بادئ النظر، واللّه العالم</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0086445_2142443653"/>
      <w:bookmarkStart w:id="21" w:name="_Toc7"/>
      <w:bookmarkEnd w:id="20"/>
      <w:r>
        <w:rPr>
          <w:rtl w:val="true"/>
        </w:rPr>
        <w:t>التذنيب الثالث</w:t>
      </w:r>
      <w:r>
        <w:rPr>
          <w:rtl w:val="true"/>
        </w:rPr>
        <w:t xml:space="preserve">: </w:t>
      </w:r>
      <w:r>
        <w:rPr>
          <w:rtl w:val="true"/>
        </w:rPr>
        <w:t>في شمول الرفع لنسيان الجزء والشرط والسبب</w:t>
      </w:r>
      <w:bookmarkEnd w:id="21"/>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بحديث الرفع لنسيان الجزء أو الشرط</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النسيان بالجزء أو الشرط من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نسي المكلف جزءاً من أجزاء المركب، أو شرطاً من شرائطه، فهل يمكن التمسك بحديث الرفع لإثبات صحة العبادة، أو المعاملة التي أتى بها وهي فاقدة لأحدهما؟</w:t>
      </w:r>
    </w:p>
    <w:p>
      <w:pPr>
        <w:pStyle w:val="BookText"/>
        <w:rPr/>
      </w:pPr>
      <w:r>
        <w:rPr>
          <w:rFonts w:ascii="Amiri" w:hAnsi="Amiri" w:eastAsia="Amiri" w:cs="Amiri"/>
          <w:color w:val="111111"/>
          <w:sz w:val="28"/>
          <w:sz w:val="28"/>
          <w:szCs w:val="28"/>
          <w:rtl w:val="true"/>
          <w:lang w:bidi="ar-SA"/>
        </w:rPr>
        <w:t>وينبغي التنبيه على أنَّ الكلام في نسيان الجزء أو الشرط لا الجزئية أو الشرطية، أي نسيان الموضوع لا نسيان الحكم الكلي، فقد ينسى المكلف الجزء مع الالتفات إلى الجزئية، بأن يعلم أنَّ الركوع جزء ماهية الصلاة، لكنه ينساه قبل الإتيان به، فالنسيان متعلق بالموضوع، وقد يتعلق النسيان بأصل الجزئية والشرطية، فينسى أنَّ الطهارة شرط في الطواف الواجب، فيأتي به من دونها، والبحث هنا في الأول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البحث قد يأتي في بعض العناوين الأخر كالإكراه، كما لو أكره على ترك السورة، أو اضطر إلى ترك الطمأنينة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أدلة نفي التمسك بحديث الرفع</w:t>
      </w:r>
    </w:p>
    <w:p>
      <w:pPr>
        <w:pStyle w:val="BookText"/>
        <w:rPr/>
      </w:pPr>
      <w:r>
        <w:rPr>
          <w:rFonts w:ascii="Amiri" w:hAnsi="Amiri" w:eastAsia="Amiri" w:cs="Amiri"/>
          <w:color w:val="111111"/>
          <w:sz w:val="28"/>
          <w:sz w:val="28"/>
          <w:szCs w:val="28"/>
          <w:rtl w:val="true"/>
          <w:lang w:bidi="ar-SA"/>
        </w:rPr>
        <w:t>وقد نفى المحقق النائيني إمكان التمسك بحديث الرفع لإثبات صحة المركب الفاقد، وذلك لعدة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محل لورود الرفع على السورة المنسية في الصلاة مثلاً، لخلو صفحة الوجود عنها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فإن الرفع يتوجه إلى الموجود، وقد جعله الشارع في حكم المعدوم، أما السورة المنسية فلا وجود لها حتى يتعلق الرفع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عليه أجوبة خمسة، مرت أربعة منها في المقام الأول في البحث السادس، نذكرها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المضاف له حظ من الوجود، والمنسي عدم مضاف لا عدم مطلق، فيمكن أن يتعلق به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لا حظ له من الوجود في عالم التكوين، لكنه ليس كذلك في عالم التشريع، وذلك باعتبار موضوعيته للأحكام الشرعية، وبهذا الاعتبار يكون المعدوم قابلاً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 حديث الرفع التنزيل، بل مفاده الرفع الادعائي، فالمولى يفرض الترك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قد يتعلق بالموجود وقد يتعلق بالمعدوم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العناوين التسعة بما أنها مرآة إلى الخارج، وهي أمور وجودية، وقد ينطبق العنوان الوجودي على الفعل، وقد ينطبق على </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ما في هذه الأجوبة من الكلام والنقض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ما ورد من التفكيك بين نسيان الجزء والجزئية، بأن ينسى المكلف الجزء ولا ينسى الجزئية، فهل يعقل أنّ يعلم المكلف أن السورة جزء ماهية الصلاة، لكنه ينسى الجزء مع كونه ذاكراً للجزئية بعد تمام سورة الحمد؟</w:t>
      </w:r>
    </w:p>
    <w:p>
      <w:pPr>
        <w:pStyle w:val="BookText"/>
        <w:rPr/>
      </w:pPr>
      <w:r>
        <w:rPr>
          <w:rFonts w:ascii="Amiri" w:hAnsi="Amiri" w:eastAsia="Amiri" w:cs="Amiri"/>
          <w:color w:val="111111"/>
          <w:sz w:val="28"/>
          <w:sz w:val="28"/>
          <w:szCs w:val="28"/>
          <w:rtl w:val="true"/>
          <w:lang w:bidi="ar-SA"/>
        </w:rPr>
        <w:t>الظاهر عدم المعقولية، بل في نفس اللحظة التي ينسى السورة ينسى جزئيتها لماهية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رفع جزئية السورة لماهية الصلاة في حالة نسيان الجزء الملازم لنسيان الجزئية، ومعه يكون المكلف قد أتى بالماهية الكاملة في حقه، فما ذكره المحقق النائيني وإن سلم في حق الجزء، حيث صفحة الوجود خالية عن السورة المنسية، إلا أنه غير تام في الجزئية، فإنَّ صفحة الوجود غير خالية عنها، والرفع يتوجه إلى الجزئية الاعتبارية فيرفعها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بجواب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رفع الوجوب، فنسيان السورة ملازم لنسيان الوجوب، ونسيان الوجوب ونسيان الجزئية متلازمان، وإلا فلو لم نقبل بالملازمة بين نسيان الموضوع ونسيان الحكم، فلا معنى لرفع الوجوب؛ لعدم طرو النسيان عليه، لكن مآله إلى الجواب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الكلي في ذكر المكلف، وقد طرأ النسيان على الوجوب الجزئي فيرفعه المولى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الأثر المترتب على السورة ليس إلاّ الإجزاء وصحة العبادة، ومع الغض عن أن الإجزاء والصحة ليست من الآثار الشرعية التي </w:t>
      </w:r>
    </w:p>
    <w:p>
      <w:pPr>
        <w:pStyle w:val="BookText"/>
        <w:rPr/>
      </w:pPr>
      <w:r>
        <w:rPr>
          <w:rFonts w:ascii="Amiri" w:hAnsi="Amiri" w:eastAsia="Amiri" w:cs="Amiri"/>
          <w:color w:val="111111"/>
          <w:sz w:val="28"/>
          <w:sz w:val="28"/>
          <w:szCs w:val="28"/>
          <w:rtl w:val="true"/>
          <w:lang w:bidi="ar-SA"/>
        </w:rPr>
        <w:t>تقبل الوضع والرفع، لا يمكن رفع السورة بلحاظ رفع أثر الإجزاء والصحة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مبتن على مقدمة مطوية، وهي لابد أن يكون الرفع والوضع بلحاظ الآثار الشرعية؛ لأنَّ الآثار الشرعية قابلة للوضع والرفع، والصحة والإجزاء أمران عقليان، فالصحة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التمامية، وهي أمر انتزاعي من واجدية الشيء لكل ما اعتبر فيه، والإجزاء هو الأثر العقلي لمطابقة المأتي به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رفع ووضع الآثار العقلية التي لها منشأ شرعي برفع ووضع منشئها،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عليه من لزوم كون الرفع بلحاظ الآثار الشرعية غير تام على نحو الكبرى الكلية، بل قد يكون الرفع بلحاظ الآثار الشرعية، وقد يكون متعلقاً بنفس المجعول الشرعي، ولا يلزم أن يكون له أثر شرعي، ولذلك قالوا في تعريف الاستصحاب</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حكم أو موضوع ذي حكم، فنفس إبقاء الحكم أثر، ولا يحتاج إلى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فرفع الوجوب والجزئية ووضعهما لا يحتاج إلى الأثر، فهو عين الأثر الشرعي لو صح التعبير، فالمولى يمكن أن يرفع أو يضع بلحاظ الأثر الشرعي، ويمكن أن يرفع المجعول الشرعي بنفسه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يمكن أن يكون رفع السورة بلحاظ رفع الأثر، فإنّ ذلك يقتضي عدم الإجزاء وفساد العبادة، وهذا ينافي الامتنان وينتج </w:t>
      </w:r>
    </w:p>
    <w:p>
      <w:pPr>
        <w:pStyle w:val="BookText"/>
        <w:rPr/>
      </w:pPr>
      <w:r>
        <w:rPr>
          <w:rFonts w:ascii="Amiri" w:hAnsi="Amiri" w:eastAsia="Amiri" w:cs="Amiri"/>
          <w:color w:val="111111"/>
          <w:sz w:val="28"/>
          <w:sz w:val="28"/>
          <w:szCs w:val="28"/>
          <w:rtl w:val="true"/>
          <w:lang w:bidi="ar-SA"/>
        </w:rPr>
        <w:t>عكس المقصود</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فلو رفع الشارع السورة المنسية بلحاظ رفع أثرها نتج عكس المقصود، فإنّ أثر السورة الإجزاء وصحة العبادة، ومع رفع الأثر يثبت فساد العبادة وعدم الإجزاء، فيكون ذلك ضد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الكلام فيه مما تقدم، لأنَّ المرفوع الجزئية أو وجوب السورة، وأثر الرفع صحة العبادة الفاقدة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ترك الركن يوجب بطلان الصلاة، فلو رفع المنسي فلا بد من الحكم بصحة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عام قابل للتخصيص،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من فقهائنا التمسك بحديث الرفع لصحة الصلاة ولا غيرها من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المعهودية لا يلازم الإعراض الدلالي، فلو نفى الفقهاء دلالة حديث الرفع لكان إعراضاً دلالياً، أما عدم معهودية الاستدلال فإنه لا يلازم الإعراض الدلالي، فلعله لوجود ما يغني عنه،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قطع النظر عن هذا الجواب فقد عهد من مجموعة من الفقهاء التمسك بذلك، كالمحقق والعلامة والشيخ الأنصاري رحمهم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السادس ما ذكره المحقق العراقي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رفع النسيان في هذه الأمور إنما هو رفع التكليف الفعلي عن الجزء والشرط المنسيين، ويلزمه بمقتضى الارتباطية سقوط التكليف عن البقية أيضاً ما دام النسيان، </w:t>
      </w:r>
    </w:p>
    <w:p>
      <w:pPr>
        <w:pStyle w:val="BookText"/>
        <w:rPr/>
      </w:pPr>
      <w:r>
        <w:rPr>
          <w:rFonts w:ascii="Amiri" w:hAnsi="Amiri" w:eastAsia="Amiri" w:cs="Amiri"/>
          <w:color w:val="111111"/>
          <w:sz w:val="28"/>
          <w:sz w:val="28"/>
          <w:szCs w:val="28"/>
          <w:rtl w:val="true"/>
          <w:lang w:bidi="ar-SA"/>
        </w:rPr>
        <w:t>إلا أنه بعد النسيان تقتضي المصلحة القائمة بالمركب إحداث التكليف بالإتيان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تحليله إلى أربع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حديث الرفع رفع التكليف بالجزء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سقوط التكليف بما تبقى من 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الرفع خاص بحال النسيان، فهو رفع قيد لا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النسيان تقتضي المصلحة إحداث التكليف بالإتيان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وجوب السورة عن المكلف الناسي لإتيانها بمقتضى حديث الرفع، وحيث إنَّ المركب ارتباطي فينتفي الكل بانتفاء الجزء، كارتفاع ماهية العشرة بارتفاع واحد منه، وانتفاء الجزء مساوق لانتفاء الكل بما هوكل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ماهية مركبة من عشرة أجزاء، والأمر بكل جزء متقوم ومترابط بالأمر بسائر الأجزاء، وحيث ثبت انتفاء الأمر بالسورة فلا أمر بالعشرة لنسيان الجزء العاشر، ولا دليل على وجود الأمر بتسعة أجزاء، فيسقط كل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بالكل والأمر بالجزء يسقطان معاً، فالناسي لا أمر له في عالم الثبوت، بل يتخيل الأمر، و لذلك يصلي الصلاة الناقصة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السقوط محدود بفترة النسيان، أما بعد زواله فيحدث المولى أمراً جديداً، والدليل عليه هو نفس الملاك والمصلحة التي كانت سبب إيجاد </w:t>
      </w:r>
    </w:p>
    <w:p>
      <w:pPr>
        <w:pStyle w:val="BookText"/>
        <w:rPr/>
      </w:pPr>
      <w:r>
        <w:rPr>
          <w:rFonts w:ascii="Amiri" w:hAnsi="Amiri" w:eastAsia="Amiri" w:cs="Amiri"/>
          <w:color w:val="111111"/>
          <w:sz w:val="28"/>
          <w:sz w:val="28"/>
          <w:szCs w:val="28"/>
          <w:rtl w:val="true"/>
          <w:lang w:bidi="ar-SA"/>
        </w:rPr>
        <w:t>الأمر بالمركب، حيث تكون سبباً لاستئناف الأمر بالمركب، والمفروض أنه لم يستوفها، فيجب عليه استيفاؤها، فيحدث الأمر بالمركب الكامل بعد انقضاء فترة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للتأمل، أما وجه التأمل في المقدمة الثانية حيث قال</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سقوط التكليف بالمتبقي، فإنّ في المقام 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المتكفل بالأمر بالماهية المخترعة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الماهية المخترعة المأمور بها عرض عريض، فهي مقولة على نحو التشكيك، ولذا تشمل الصلاة الرباعية والثنائية في السفر وحالة الإيماء، وصلاة الغريق والموتحل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مراتب الماهية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الإرشادي يرشد المكلف إلى جزئية السورة في الماهية المخترعة،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شمول جميع المكلفين في تمام حالاتهم، سواء أكانوا ذاكرين أم ناسين، مضطرين أم مختارين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ناظر إلى الدليل الثاني لا الأول؛ لأنَّ المفروض أنَّ السورة هي المنسية، فحديث الرفع يرفع المنسي أو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النظر الحكومة، ونتيجتها التخصيص، فدليل الرفع يخصص الأمر الإرشادي بخصوص حال التذكر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الجمع بين الأدلة الثلاثة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واجبة مطلقاً، والسورة جزء فيها مطلقاً إلا في حالة النسيان فليست جزءاً، وكأنّ المولى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p>
    <w:p>
      <w:pPr>
        <w:pStyle w:val="BookText"/>
        <w:rPr/>
      </w:pPr>
      <w:r>
        <w:rPr>
          <w:rFonts w:ascii="Amiri" w:hAnsi="Amiri" w:eastAsia="Amiri" w:cs="Amiri"/>
          <w:color w:val="111111"/>
          <w:sz w:val="28"/>
          <w:sz w:val="28"/>
          <w:szCs w:val="28"/>
          <w:rtl w:val="true"/>
          <w:lang w:bidi="ar-SA"/>
        </w:rPr>
        <w:t>جزء في تلك الماهية في خصوص حالة التذكر، فيكون الأمر بالصلاة موجوداً في حالة النسيان، فلا وجه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الأمر بالصلاة،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المكلفين، ومنهم المكلف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التأمل في المقدمة الثالثة،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الرفع خاص بحالة النسيان، فإنَّه في الرفع المقيد لا يوجد امتنان على المكلف، فلو لم يرفع المولى أصلاً، أو رفع رفعاً مقيداً كانت النتيجة واحدة، وهي وجوب الإعادة، والحاصل أنَّ الرفع المقيد مساوق في النتيجة لعدم الرفع، فيتعين أن يكون الرفع رفعاً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التأمل في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بعده فالمصلحة القائمة بالمركب تقتضي إحداث التكليف بالإتيان، فلو فرض انتهاء الوقت فلا دليل على بقاء الملاك، الذي أحدث التكليف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ببقاء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المقام مبتلى بأحد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محذور عدم وجود الأثر الشرعي، أو محذور مثبتية الاستصحاب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الملاك باقياً بلا تنقض، وتولد الأمر الجديد، فوجب على المكلف الإعادة فهو مثبت؛ لأنَّ اللازم العقلي لبقاء الملاك إحداث الأمر، وإن كان بقاء الملاك كافياً في لزوم تحصيله من دون احتياج إلى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جمع إلى أنَّ المكلف لو علم بوجود الملاك وجب عليه تحصيله عقلاً</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المجرى لا أثر شرعي له، ويجب أن يكون مجرى </w:t>
      </w:r>
    </w:p>
    <w:p>
      <w:pPr>
        <w:pStyle w:val="BookText"/>
        <w:rPr/>
      </w:pPr>
      <w:r>
        <w:rPr>
          <w:rFonts w:ascii="Amiri" w:hAnsi="Amiri" w:eastAsia="Amiri" w:cs="Amiri"/>
          <w:color w:val="111111"/>
          <w:sz w:val="28"/>
          <w:sz w:val="28"/>
          <w:szCs w:val="28"/>
          <w:rtl w:val="true"/>
          <w:lang w:bidi="ar-SA"/>
        </w:rPr>
        <w:t>الاستصحاب إما حكماً شرعياً، أو موضوعاً لأثر شرعي، وبقاء الملاك بمجرده لا أثر شرعي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المحقق العراقي يحتاج إلى تأمل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إجراء الأصل في المقام؛ لأنّه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شرعي لنسيان الجزء أو الشرط، بل الأثر مترتب على اللازم أو الملازم العقلي للنسيان، فإنه ملازم عقلاً لعنوان المخالفة، فقد خالف المأتي به المأمور به، والأثر الشرعي للمخالفة هو وجوب الإعادة أو القضاء، فإجراء الأصل في المقام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حديث الرفع يرفع وجوب الجزء أو الجزئية، بناء على ما ذكرناه من أنَّ نسيان الجزء ملازم لنسيان الجزئية، فالمرفوع وجوب الجزء المنسي، وهو حكم تكليفي، أو جزئية المنسي، وهي حكم وضعي، ومع رفع الحكم لا نحتاج إلى أثر شرعي حتى يكون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بادئ النظر أنّه لا مانع من القول بتكفل رفع النسيان لوجوب الجزء، وتصحيح العبادة الفاقدة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يظهر الكلام في نسيان الجزئية، فلو كان المكلف ناسياً للحكم الكلي، كما لو نسي أنّ الطمأنينة شرط في الصلاة وصلى من دونها، فمقتضى حديث الرفع صحة الصلاة الفاقدة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فرق بين النسيان في تمام الوقت أو بعضه</w:t>
      </w:r>
    </w:p>
    <w:p>
      <w:pPr>
        <w:pStyle w:val="BookText"/>
        <w:rPr/>
      </w:pPr>
      <w:r>
        <w:rPr>
          <w:rFonts w:ascii="Amiri" w:hAnsi="Amiri" w:eastAsia="Amiri" w:cs="Amiri"/>
          <w:color w:val="111111"/>
          <w:sz w:val="28"/>
          <w:sz w:val="28"/>
          <w:szCs w:val="28"/>
          <w:rtl w:val="true"/>
          <w:lang w:bidi="ar-SA"/>
        </w:rPr>
        <w:t>ثم إنه هل هنالك فرق بين كون النسيان مستوعباً لجميع الوقت، أو في جزء من أجزائه؟</w:t>
      </w:r>
    </w:p>
    <w:p>
      <w:pPr>
        <w:pStyle w:val="BookText"/>
        <w:rPr/>
      </w:pPr>
      <w:r>
        <w:rPr>
          <w:rFonts w:ascii="Amiri" w:hAnsi="Amiri" w:eastAsia="Amiri" w:cs="Amiri"/>
          <w:color w:val="111111"/>
          <w:sz w:val="28"/>
          <w:sz w:val="28"/>
          <w:szCs w:val="28"/>
          <w:rtl w:val="true"/>
          <w:lang w:bidi="ar-SA"/>
        </w:rPr>
        <w:t>يرى المحقق النائيني</w:t>
      </w:r>
      <w:r>
        <w:rPr>
          <w:rStyle w:val="FootnoteAnchor"/>
          <w:rtl w:val="true"/>
        </w:rPr>
        <w:footnoteReference w:id="24"/>
      </w:r>
      <w:r>
        <w:rPr>
          <w:rFonts w:ascii="Amiri" w:hAnsi="Amiri" w:eastAsia="Amiri" w:cs="Amiri"/>
          <w:color w:val="111111"/>
          <w:sz w:val="28"/>
          <w:sz w:val="28"/>
          <w:szCs w:val="28"/>
          <w:rtl w:val="true"/>
          <w:lang w:bidi="ar-SA"/>
        </w:rPr>
        <w:t>أنه لو كان النسيان غير مستوعب لتمام الوقت، فالعمل باطل؛ لأنه مكلف بالإتيان بالماهية الكاملة بين الحدين، والناسي لم يأت بالماهية الكاملة، فيجب عليه الإعادة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قبلنا مبنى حكومة دليل الرفع على أدلة الأجزاء والشرائط، فلا فرق بين أن يكون النسيان مستوعباً أو غير مستوعب لانقلاب التكليف، فإنّ تكليف الناسي ماهية الناقص وقد أتى بها، والإتيان بالمأمور به 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نقولك لو أمر بإتيان الماء المضاف فلم يقدر المكلف، فأمر بالماء المطلق فأتى به فقد امتثل، وهو يقتضي الإجزاء، فلو قدر على الماء المضاف لم يجب عليه الإتيان به،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حالة النسيان فليست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فتكليف الناسي في أول الوقت هو الصلاة الناقصة، والتي هي كاملة في حقه، وقد أتى بها، فلو زال النسيان في وسط الوقت لم يجب عليه شيء؛ لزوال التكليف بالتام وامتثال التكليف بالناقص، ولا دليل على عودة الأمر بالتام من جديد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التامة، بل على كل </w:t>
      </w:r>
    </w:p>
    <w:p>
      <w:pPr>
        <w:pStyle w:val="BookText"/>
        <w:rPr/>
      </w:pPr>
      <w:r>
        <w:rPr>
          <w:rFonts w:ascii="Amiri" w:hAnsi="Amiri" w:eastAsia="Amiri" w:cs="Amiri"/>
          <w:color w:val="111111"/>
          <w:sz w:val="28"/>
          <w:sz w:val="28"/>
          <w:szCs w:val="28"/>
          <w:rtl w:val="true"/>
          <w:lang w:bidi="ar-SA"/>
        </w:rPr>
        <w:t xml:space="preserve">مكلف امتثال الماهية المقولة بالتشكيك، فلو كان في أول الوقت مسافراً وجب عليه الإتيان بالصلاة، وصلاة المسافر ركعتان وهي تامة في حقه، وإن كانت ناقصة بالإضافة، فلا يعود إليه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امتثال الماهية التامة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 في آخر الوقت؛ لأنه امتثل التكليف المؤول بالتشكيك، فسقط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وتأييداً لما ذكرناه من حكومة دليل الرفع على دليل الأجزاء والشرائط، نذكر خمسة موارد صحح الفقهاء فيها العبادة الفاقدة في حالة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الترتيب بين الفائتة والحاضرة، فلو نسي واشتغل بالحاضرة ولم يمكن العدول، كما لو كان في ركوع الركعة الثالثة من صلاة الظهر، حيث لا يمكن العدول إلى الصبح، صحت صلاته مع اشتراط الترتيب، إلا أنه ساقط لنسيانه، 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ما هو فيه واستأنف السابقة ولم يجب الإعادة لرفع النسيان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اللثام</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الغصبية في ماء الوضوء فتطهر به، فالأقوى صحة طهارته، مع أنَّ الوضوء فاقد لشرط الإباحة، لكنه صحيح لرفع النسيان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في العروة</w:t>
      </w:r>
      <w:r>
        <w:rPr>
          <w:rStyle w:val="FootnoteAnchor"/>
          <w:rtl w:val="true"/>
        </w:rPr>
        <w:footnoteReference w:id="27"/>
      </w:r>
      <w:r>
        <w:rPr>
          <w:rFonts w:ascii="Amiri" w:hAnsi="Amiri" w:eastAsia="Amiri" w:cs="Amiri"/>
          <w:color w:val="111111"/>
          <w:sz w:val="28"/>
          <w:sz w:val="28"/>
          <w:szCs w:val="28"/>
          <w:rtl w:val="true"/>
          <w:lang w:bidi="ar-SA"/>
        </w:rPr>
        <w:t xml:space="preserve">، ووافقه على صحة الوضوء المحقق النائيني والمحقق الحائري والمحقق العراقي والسيد أبو الحسن الإصفهاني والشيخ </w:t>
      </w:r>
    </w:p>
    <w:p>
      <w:pPr>
        <w:pStyle w:val="BookText"/>
        <w:rPr/>
      </w:pPr>
      <w:r>
        <w:rPr>
          <w:rFonts w:ascii="Amiri" w:hAnsi="Amiri" w:eastAsia="Amiri" w:cs="Amiri"/>
          <w:color w:val="111111"/>
          <w:sz w:val="28"/>
          <w:sz w:val="28"/>
          <w:szCs w:val="28"/>
          <w:rtl w:val="true"/>
          <w:lang w:bidi="ar-SA"/>
        </w:rPr>
        <w:t>كاشف الغطاء والسيد البروجردي والسيد عبد الهادي الشيرازي والسيد الخوئي والسيد الكلبايكاني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حديث الرفع يقتضي العذر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فقد فصل بين النسيان العذري وغير العذري، بأن كان النسيان عن تقصير في المقدمات فيشمل الأول حديث الرفع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الناسي هو الغاصب ففيه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نسي أنَّ اللباس غصبي فصلى فيه، فقد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يبطلها ابن إدريس، لرفع النسيان عن الأمة، ومعناه رفع جميع أحكامه؛ لأنه أقرب المجازات إلى الحقيقة</w:t>
      </w:r>
      <w:r>
        <w:rPr>
          <w:rStyle w:val="FootnoteAnchor"/>
          <w:rtl w:val="true"/>
        </w:rPr>
        <w:footnoteReference w:id="30"/>
      </w:r>
      <w:r>
        <w:rPr>
          <w:rFonts w:ascii="Amiri" w:hAnsi="Amiri" w:eastAsia="Amiri" w:cs="Amiri"/>
          <w:color w:val="111111"/>
          <w:sz w:val="28"/>
          <w:sz w:val="28"/>
          <w:szCs w:val="28"/>
          <w:rtl w:val="true"/>
          <w:lang w:bidi="ar-SA"/>
        </w:rPr>
        <w:t>من رفع بعضها كالعقاب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المنتهى والبيان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في العروة</w:t>
      </w:r>
      <w:r>
        <w:rPr>
          <w:rStyle w:val="FootnoteAnchor"/>
          <w:rtl w:val="true"/>
        </w:rPr>
        <w:footnoteReference w:id="32"/>
      </w:r>
      <w:r>
        <w:rPr>
          <w:rFonts w:ascii="Amiri" w:hAnsi="Amiri" w:eastAsia="Amiri" w:cs="Amiri"/>
          <w:color w:val="111111"/>
          <w:sz w:val="28"/>
          <w:sz w:val="28"/>
          <w:szCs w:val="28"/>
          <w:rtl w:val="true"/>
          <w:lang w:bidi="ar-SA"/>
        </w:rPr>
        <w:t>، حيث أفتى بصحة صلاته فيما لو نسي الغصبية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شرح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حرمة الغصب بغير الناسي</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فمع أنه صلى في المغصوب وكانت صلاته فاقدة لشرط الإباحة، إلا أنها صحيحة، فالصلاة تامة واقعاً لا ظاهراً، ولا حرمة ولا </w:t>
      </w:r>
    </w:p>
    <w:p>
      <w:pPr>
        <w:pStyle w:val="BookText"/>
        <w:rPr/>
      </w:pPr>
      <w:r>
        <w:rPr>
          <w:rFonts w:ascii="Amiri" w:hAnsi="Amiri" w:eastAsia="Amiri" w:cs="Amiri"/>
          <w:color w:val="111111"/>
          <w:sz w:val="28"/>
          <w:sz w:val="28"/>
          <w:szCs w:val="28"/>
          <w:rtl w:val="true"/>
          <w:lang w:bidi="ar-SA"/>
        </w:rPr>
        <w:t>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اللثام</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غصبية المكان فالأقوى الصحة؛ لأن المنهي عنه إنما هو التصرف فيما علم غصبه، فالغصب المعلوم منهي عنه، أما الغصب المنسي فلم ينه عنه؛ لرفع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العروة</w:t>
      </w:r>
      <w:r>
        <w:rPr>
          <w:rStyle w:val="FootnoteAnchor"/>
          <w:rtl w:val="true"/>
        </w:rPr>
        <w:footnoteReference w:id="35"/>
      </w:r>
      <w:r>
        <w:rPr>
          <w:rFonts w:ascii="Amiri" w:hAnsi="Amiri" w:eastAsia="Amiri" w:cs="Amiri"/>
          <w:color w:val="111111"/>
          <w:sz w:val="28"/>
          <w:sz w:val="28"/>
          <w:szCs w:val="28"/>
          <w:rtl w:val="true"/>
          <w:lang w:bidi="ar-SA"/>
        </w:rPr>
        <w:t>وفي الفقه</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الصحة لحديث لا تعاد وحديث الرفع، ثم نقل عن المستند أنه صرح بالصحة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اللثام</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الناسي لمراعاة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دخول بعض صلاته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الكافي والبيان وظاهر النهاية والمهذب الإجزاءَ؛ لرفع النسيان وينزل إدراك الوقت في البعض منزلته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المستند</w:t>
      </w:r>
      <w:r>
        <w:rPr>
          <w:rStyle w:val="FootnoteAnchor"/>
          <w:rtl w:val="true"/>
        </w:rPr>
        <w:footnoteReference w:id="38"/>
      </w:r>
      <w:r>
        <w:rPr>
          <w:rFonts w:ascii="Amiri" w:hAnsi="Amiri" w:eastAsia="Amiri" w:cs="Amiri"/>
          <w:color w:val="111111"/>
          <w:sz w:val="28"/>
          <w:sz w:val="28"/>
          <w:szCs w:val="28"/>
          <w:rtl w:val="true"/>
          <w:lang w:bidi="ar-SA"/>
        </w:rPr>
        <w:t>الصحة عن بعض ولم يرتضه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ننفرد في القول بحكومة دليل رفع النسيان على أدلة الأجزاء والشرائط، بل أفتى جمهرة من أعيان الفقهاء من المتقدمين والمتأخرين بصحة عبادة الفاقد في حالة النسيان، وإن خالفهم في ذلك جمع 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النسيان بالأسباب التي لها آثار وضعية</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المكلف السبب أو شرطاً من الشرائط، كما لو اشترطت العربية في عقد النكاح فعقد بلغة أخرى على نحو نسيان الموضوع، لا نسيان الحكم الكلي، أو اشترطت الماضوية فنسيت،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أزوجك، فهل يمكن التمسك بحديث الرفع لتصحيح العقد الفاقد للشرط؟</w:t>
      </w:r>
    </w:p>
    <w:p>
      <w:pPr>
        <w:pStyle w:val="BookText"/>
        <w:rPr/>
      </w:pPr>
      <w:r>
        <w:rPr>
          <w:rFonts w:ascii="Amiri" w:hAnsi="Amiri" w:eastAsia="Amiri" w:cs="Amiri"/>
          <w:color w:val="111111"/>
          <w:sz w:val="28"/>
          <w:sz w:val="28"/>
          <w:szCs w:val="28"/>
          <w:rtl w:val="true"/>
          <w:lang w:bidi="ar-SA"/>
        </w:rPr>
        <w:t>عدم شمول الرفع لنسيان الأسباب</w:t>
      </w:r>
    </w:p>
    <w:p>
      <w:pPr>
        <w:pStyle w:val="BookText"/>
        <w:rPr/>
      </w:pPr>
      <w:r>
        <w:rPr>
          <w:rFonts w:ascii="Amiri" w:hAnsi="Amiri" w:eastAsia="Amiri" w:cs="Amiri"/>
          <w:color w:val="111111"/>
          <w:sz w:val="28"/>
          <w:sz w:val="28"/>
          <w:szCs w:val="28"/>
          <w:rtl w:val="true"/>
          <w:lang w:bidi="ar-SA"/>
        </w:rPr>
        <w:t>حكم المحقق النائيني ببطلان العقد وعدم ترتب الأثر، وحاصل كلامه أنّ مفاد الحديث الشريف الرفع لا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وقوع النسيان في الأسباب لا يقتضي تأثيرها في المسبب ولا تندرج في حديث الرفع؛ لأنه لا يثبت أمراً لم يكن، فإنّ رفع العقد الفارسي لا يقتضي وقوع العقد العربي، وليس للعقد الفارسي أثر يصح رفعه، وشرطية العربية ليست منسية حتى يكون الرفع بلحاظها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فالأثر مترتب على العقد العربي ولم يقع، ولا أثر للعقد الفارسي حتى يرفعه بلحاظ الأثر، وعلى فرض الرفع فمفاد الحديث رفع العقد الفارسي لا وضع العقد العربي، والشرطية الكلية ليست منسية حتى يقال بارتفاعها، وعليه، فالشرطية الكلية ثابتة؛ لأنها غير منسية، وما وقع خارجاً ليس مصداقاً للعقد الكلي الشرعي، فلا يكون صحيحاً ولا يترتب عليه الأثر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لرفع الشرطية الكلية؛ لعدم تعلق النسيان بها، فإنّ العاقد يعلم اشتراط العربية لكنه ذهل فنسي فسبق لسانه، ولما يسأل لماذا لم </w:t>
      </w:r>
    </w:p>
    <w:p>
      <w:pPr>
        <w:pStyle w:val="BookText"/>
        <w:rPr/>
      </w:pPr>
      <w:r>
        <w:rPr>
          <w:rFonts w:ascii="Amiri" w:hAnsi="Amiri" w:eastAsia="Amiri" w:cs="Amiri"/>
          <w:color w:val="111111"/>
          <w:sz w:val="28"/>
          <w:sz w:val="28"/>
          <w:szCs w:val="28"/>
          <w:rtl w:val="true"/>
          <w:lang w:bidi="ar-SA"/>
        </w:rPr>
        <w:t>تقرأ بالعربية يجيب غفلت، مع أن الحكم الكلي محفوظ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العقد الجزئي الفارسي فلا أثر له حتى يكون الرفع بلحاظه، وعلى فرض رفع العقد الفارسي لا يثبت رفعه وضع العقد العربي، فالمأتي به لم يطابق السبب الواقعي فيبطل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بين نسيان الجزء المقوم للماهية وغير المقوم لكن الظاهر التفصيل في المقام، فالمنسي إما ذات السبب، وإما شرط أو جزء مقوم للماهية، وإما شرط أو جزء غير مقوم للماهية، فلو كان المنسي نفس السبب أو الشرط المقوم للماهية فلا وجه لشمول حديث الرفع، فلو نسي العاقد الإيجاب، أو المشتري القبول فلم يقع في الخارج عقد حتى يكون مشمولاً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فالإيجاب ركن ومقوم للماهية في نظر العرف، وكذلك القبول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أثر لرفع الشارع النسيان، حيث لا يمكن تصحيح ما وقع بالعمومات الفوقانية؛ لعدم شمولها للمورد، فلا مصحح لما وقع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المنسي شرطاً غير مقوم للماهية، كنسيان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شرط شرعي لا شرط مقوّم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واقع، غاية الأمر أنه فاقد للشرط، فيصح رفع الشرط عنه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الشارع النسيان، ومعناه رفع آثاره الشرعية ومآله برفع الشرطية، مضافاً لما مضى من أن نسيان الشرط ملازم لنسيان الشرطية، فيكون العقد صحيحاً ومشمولاً للآية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ثلاثة أدلة،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حالة النسيان، ومقتضى الجمع بين دليل الشرطية وحديث الرفع تقييد دليل الشرطية، فيكون العقد الواقع مشمولاً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الإيراد عليه أنَّ نسيان الشرط ملازم لنسيان الشرطية،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يرفع الوجوب الشرطي ؛ لأنه المنسي، فيكون العقد صحيحاً بشرط عدم نسيان السبب أو الشرط المقوم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الرفع خلاف الامتنان</w:t>
      </w:r>
    </w:p>
    <w:p>
      <w:pPr>
        <w:pStyle w:val="BookText"/>
        <w:rPr/>
      </w:pPr>
      <w:r>
        <w:rPr>
          <w:rFonts w:ascii="Amiri" w:hAnsi="Amiri" w:eastAsia="Amiri" w:cs="Amiri"/>
          <w:color w:val="111111"/>
          <w:sz w:val="28"/>
          <w:sz w:val="28"/>
          <w:szCs w:val="28"/>
          <w:rtl w:val="true"/>
          <w:lang w:bidi="ar-SA"/>
        </w:rPr>
        <w:t>واستدل المحقق العراقي لعدم شمول دليل الرفع للمقام بما حاصله أنّ الرفع خلاف الامتنان،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فعدم جريان الرفع فيها إنما هو من جهة اقتضائه للوضع الذي هو التكليف بالوفاء بالفاقد، ومثله خلاف الامتنان في حق المكلف</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فلازم رفع وجوب العربية الوضع، فإنَّ الشارع يلزم الزوج بالعقد والإنفاق وجميع الآثار، وهو خلاف الامتنان؛ لأنه تحميل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الإلزام الذي يرضى به المكلف ليس تحميلاً ولا خلاف الامتنان، فالشارع يمضي ما أراده المكلف بكامل اختياره وطيب نفسه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لازم الإنفاذ ترتيب الآثار التي تترتب على السبب، وما دام المكلف راضياً بالملزوم فلا يكون ترتيب آثاره خلاف الامتنان</w:t>
      </w:r>
      <w:r>
        <w:rPr>
          <w:rFonts w:eastAsia="Amiri" w:cs="Amiri" w:ascii="Amiri" w:hAnsi="Amiri"/>
          <w:color w:val="111111"/>
          <w:sz w:val="28"/>
          <w:szCs w:val="28"/>
          <w:rtl w:val="true"/>
          <w:lang w:bidi="ar-SA"/>
        </w:rPr>
        <w:t xml:space="preserve">. </w:t>
      </w:r>
      <w:bookmarkStart w:id="22" w:name="pg15608_166676"/>
    </w:p>
    <w:p>
      <w:pPr>
        <w:pStyle w:val="BookText"/>
        <w:rPr/>
      </w:pPr>
      <w:bookmarkEnd w:id="22"/>
      <w:r>
        <w:rPr>
          <w:rFonts w:ascii="Amiri" w:hAnsi="Amiri" w:eastAsia="Amiri" w:cs="Amiri"/>
          <w:color w:val="111111"/>
          <w:sz w:val="28"/>
          <w:sz w:val="28"/>
          <w:szCs w:val="28"/>
          <w:rtl w:val="true"/>
          <w:lang w:bidi="ar-SA"/>
        </w:rPr>
        <w:t>فالمختار في المقام التفصيل فيما لو كان المنسي ذات السبب أو الشرط المقوم، فليس مشمولاً لحديث الرفع، أما لو كان شرطاً لا مدخلية له في قوام العقد فلا مانع من الشمول</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086447_2142443653"/>
      <w:bookmarkStart w:id="24" w:name="_Toc8"/>
      <w:bookmarkEnd w:id="23"/>
      <w:r>
        <w:rPr>
          <w:rtl w:val="true"/>
        </w:rPr>
        <w:t>التذنيب الرابع</w:t>
      </w:r>
      <w:r>
        <w:rPr>
          <w:rtl w:val="true"/>
        </w:rPr>
        <w:t xml:space="preserve">: </w:t>
      </w:r>
      <w:r>
        <w:rPr>
          <w:rtl w:val="true"/>
        </w:rPr>
        <w:t>شمول رفع الإكراه للتكاليف الاستقلالية والضمنية والأسباب</w:t>
      </w:r>
      <w:bookmarkEnd w:id="24"/>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الإكراه بالتكليف النفسي</w:t>
      </w:r>
    </w:p>
    <w:p>
      <w:pPr>
        <w:pStyle w:val="BookText"/>
        <w:rPr/>
      </w:pPr>
      <w:r>
        <w:rPr>
          <w:rFonts w:ascii="Amiri" w:hAnsi="Amiri" w:eastAsia="Amiri" w:cs="Amiri"/>
          <w:color w:val="111111"/>
          <w:sz w:val="28"/>
          <w:sz w:val="28"/>
          <w:szCs w:val="28"/>
          <w:rtl w:val="true"/>
          <w:lang w:bidi="ar-SA"/>
        </w:rPr>
        <w:t>فيما لو كان متعلق الإكراه تكليفاً استقلالياً، فلو أكره المكلف على ترك واجب أو ارتكاب محرم، كما لو أكره على شرب الخمر، فهل يمكن التمسك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التكليف والحكم بجواز الشرب؟</w:t>
      </w:r>
    </w:p>
    <w:p>
      <w:pPr>
        <w:pStyle w:val="BookText"/>
        <w:rPr/>
      </w:pPr>
      <w:r>
        <w:rPr>
          <w:rFonts w:ascii="Amiri" w:hAnsi="Amiri" w:eastAsia="Amiri" w:cs="Amiri"/>
          <w:color w:val="111111"/>
          <w:sz w:val="28"/>
          <w:sz w:val="28"/>
          <w:szCs w:val="28"/>
          <w:rtl w:val="true"/>
          <w:lang w:bidi="ar-SA"/>
        </w:rPr>
        <w:t>يرى المحقق العراقي أنَّ الإكراه لا يسوغ ترك الواجبات وفعل المحرمات، فإنَّ جريان الإكراه ورافعيته خاص بباب المعاملات بالمعنى الأخص، ولا يجري في باب الأمور التكليفية والمعاملات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الإكراه على الشيء يصدق بمجرد عدم الرضا وعدم طيب النفس بإيجاده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بداهة عدم كفاية ذلك في تسويغ ترك الواجبات ما لم ينته إلى المشقة الشديدة الموجبة للعسر والحرج، فضلاً عن الاقتحام في المحرمات التي لا يسوغها إلا الاضطرار</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بحث فيما لو انطبق عنوان الحرج أو العسر أو الضرر</w:t>
      </w:r>
      <w:r>
        <w:rPr>
          <w:rStyle w:val="FootnoteAnchor"/>
          <w:rtl w:val="true"/>
        </w:rPr>
        <w:footnoteReference w:id="43"/>
      </w:r>
      <w:r>
        <w:rPr>
          <w:rFonts w:ascii="Amiri" w:hAnsi="Amiri" w:eastAsia="Amiri" w:cs="Amiri"/>
          <w:color w:val="111111"/>
          <w:sz w:val="28"/>
          <w:sz w:val="28"/>
          <w:szCs w:val="28"/>
          <w:rtl w:val="true"/>
          <w:lang w:bidi="ar-SA"/>
        </w:rPr>
        <w:t xml:space="preserve">على فعل الواجب، كإكراه الزوجة على الإفطار في شهر رمضان وإلا طلقها مما </w:t>
      </w:r>
    </w:p>
    <w:p>
      <w:pPr>
        <w:pStyle w:val="BookText"/>
        <w:rPr/>
      </w:pPr>
      <w:r>
        <w:rPr>
          <w:rFonts w:ascii="Amiri" w:hAnsi="Amiri" w:eastAsia="Amiri" w:cs="Amiri"/>
          <w:color w:val="111111"/>
          <w:sz w:val="28"/>
          <w:sz w:val="28"/>
          <w:szCs w:val="28"/>
          <w:rtl w:val="true"/>
          <w:lang w:bidi="ar-SA"/>
        </w:rPr>
        <w:t xml:space="preserve">كان عسراً أو حرجاً أو ضرراً عليها، فهذه العناوين ترفع وجوب الصوم، كما لا بحث فيما لو أكرهه على الإتيان بالمحرم، كشرب الخمر وصدق عنوان الاضطرار، وإلاّ ضرب عنقه، كما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أفطر يوماً من شهر رمضان أحب إليّ من أن يضرب عنقي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صرف انطباق عنوان الإكراه من دون العسر والحرج والضرر والاضطرار، فليس رافعاً لحرمة المحرمات ووجوب الواجبات ؛ وذلك لأنّ ملاك تحقق الإكراه عدم طيب النفس وعدم الرضا القلبي، ولم يقل أحد بأنّ هذا المقدار كاف لتسويغ اقتحام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بمثالين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المعاملات بالمعنى الأخص، لو قال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الشيء وإلا أخذت منك ألف دينار، ولم تطب نفس المالك بذلك، فيستطيع القول بأنه مكره، والحديث يرفع الإكراه فيكون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قال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الخمر وإلا أخذت منك ألف دينار، والمكلف لا ميل له إلى شرب الخمر، ولم يكن ذلك حرجاً أو عسراً أو ضرراً أو اضطراراً فلا يحق للمكلف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مكره على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أخذ هذا المقدار ضرراً أو حرجاً عليه لكان مرفوعاً للحرج والضرر الرافعين للتكليف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فصرف انطباق عنوان الإكراه من دون انطباق العناوين الأخرى لا يسوغ ارتكاب المحرمات وترك 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قابل للتأمل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في أنَّ ظاهر الكتاب والسنة والفتاوى، موضوعية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الحكم،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بِالإِيمَانِ وَلَكِن مَّن شَرَحَ بِالْكُفْرِ صَدْرًا فَعَلَيْهِمْ غَضَبٌ مِّنَ اللّهِ وَلَهُمْ عَذَابٌ عَظِيمٌ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فظاهرها أنه لو صدق عنوان الإكراه فليس عليهم غضب من اللّه، وليس لهم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روايات كثيرة وردت في الكافي ونور الثقلين والبرهان وتفسير العياشي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ذلك عليه وما له إلا ما مضى عليه عمار بن ياسر، حيث أكرهه أهل مكة وقلبه مطمئن بالإيمان،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عادوا فعد، فقد أنزل اللّه عز وجل عذرك وأمرك أن تعود إن 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فيها إشكال، ففي سائر الروايات الواردة في الإكراه الكفاية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الفتاوى فقد أفتى الفقهاء</w:t>
      </w:r>
      <w:r>
        <w:rPr>
          <w:rStyle w:val="FootnoteAnchor"/>
          <w:rtl w:val="true"/>
        </w:rPr>
        <w:footnoteReference w:id="47"/>
      </w:r>
      <w:r>
        <w:rPr>
          <w:rFonts w:ascii="Amiri" w:hAnsi="Amiri" w:eastAsia="Amiri" w:cs="Amiri"/>
          <w:color w:val="111111"/>
          <w:sz w:val="28"/>
          <w:sz w:val="28"/>
          <w:szCs w:val="28"/>
          <w:rtl w:val="true"/>
          <w:lang w:bidi="ar-SA"/>
        </w:rPr>
        <w:t xml:space="preserve">بالجواز وارتفاع الآثار عن الزوجة فيما لو أكرهها زوجها على الجماع في نهار شهر رمضان، ولم يفصلوا في ذلك بين طروء عنوان آخر وعدمه، مع أنه يرتبط بالواجب النفسي؛ لأنّ </w:t>
      </w:r>
    </w:p>
    <w:p>
      <w:pPr>
        <w:pStyle w:val="BookText"/>
        <w:rPr/>
      </w:pPr>
      <w:r>
        <w:rPr>
          <w:rFonts w:ascii="Amiri" w:hAnsi="Amiri" w:eastAsia="Amiri" w:cs="Amiri"/>
          <w:color w:val="111111"/>
          <w:sz w:val="28"/>
          <w:sz w:val="28"/>
          <w:szCs w:val="28"/>
          <w:rtl w:val="true"/>
          <w:lang w:bidi="ar-SA"/>
        </w:rPr>
        <w:t>الجماع الإكراهي يوجب فساد الصوم، وكذا في الإكراه على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خلاف ما تقرر في محله من الاقتصار في التخصيص والتقييد على مقدار الضرورة، فحاصل كلامه عدم إمكان الالتزام بإطلاق رافعية الإكراه للمحرمات، وهو تام، لكن يلزم الاقتصار على مقدار الضرورة في تقييد المطلق وتخصيص العام، وقد ثبت بالإجماع أو الارتكاز أنّ كل إكراه لا يبيح كل محرم، فلو أمره الظالم بالقتل وإلا قتله أو صادر أمواله فهذه المرتبة لا تبيح له القتل، وليس معناه عدم جريان الإكراه في ترك الواجبات وفعل المحرمات مطلقاً، بل الإكراه مرفوع إلا فيما خرج بدليل، كالضرورة والارتكاز والإجماع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الذهاب إلى أن رفع الإكراه يشمل الواجبات والمحرمات النفسية في الجملة، كما لو أكرهه على حلق اللحية بشرط صدق الإكراه، وعدم وجود دليل خارجي يستثني المورد من عموم قاعدة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الإكراه بالتكاليف الضمنية</w:t>
      </w:r>
    </w:p>
    <w:p>
      <w:pPr>
        <w:pStyle w:val="BookText"/>
        <w:rPr/>
      </w:pPr>
      <w:r>
        <w:rPr>
          <w:rFonts w:ascii="Amiri" w:hAnsi="Amiri" w:eastAsia="Amiri" w:cs="Amiri"/>
          <w:color w:val="111111"/>
          <w:sz w:val="28"/>
          <w:sz w:val="28"/>
          <w:szCs w:val="28"/>
          <w:rtl w:val="true"/>
          <w:lang w:bidi="ar-SA"/>
        </w:rPr>
        <w:t>لو كان متعلق الإكراه الواجبات الضمنية أو الشرائط أو الموانع، كما لو أكرهه على ترك السورة أو البسملة</w:t>
      </w:r>
      <w:r>
        <w:rPr>
          <w:rStyle w:val="FootnoteAnchor"/>
          <w:rtl w:val="true"/>
        </w:rPr>
        <w:footnoteReference w:id="48"/>
      </w:r>
      <w:r>
        <w:rPr>
          <w:rFonts w:ascii="Amiri" w:hAnsi="Amiri" w:eastAsia="Amiri" w:cs="Amiri"/>
          <w:color w:val="111111"/>
          <w:sz w:val="28"/>
          <w:sz w:val="28"/>
          <w:szCs w:val="28"/>
          <w:rtl w:val="true"/>
          <w:lang w:bidi="ar-SA"/>
        </w:rPr>
        <w:t>، أو أكرهه على ترك الشرط أو إيجاد المانع،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يرفع ذلك بحديث الرفع؟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المقام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شمول حديث الرفع لصورة إيجاد المانع والقاطع دون ترك الجزء أو الشرط، فلو لم يأت بالبسملة بطلت صلاته لولا </w:t>
      </w:r>
    </w:p>
    <w:p>
      <w:pPr>
        <w:pStyle w:val="BookText"/>
        <w:rPr/>
      </w:pPr>
      <w:r>
        <w:rPr>
          <w:rFonts w:ascii="Amiri" w:hAnsi="Amiri" w:eastAsia="Amiri" w:cs="Amiri"/>
          <w:color w:val="111111"/>
          <w:sz w:val="28"/>
          <w:sz w:val="28"/>
          <w:szCs w:val="28"/>
          <w:rtl w:val="true"/>
          <w:lang w:bidi="ar-SA"/>
        </w:rPr>
        <w:t>الدليل الخارجي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بعد انتهاء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شرعياً وهو المانعية، أي أنه مبطل للصلاة، ويرفع الأثر مع رفع الإكراه، فتكون الصلاة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ترك الجزء أو الشرط فلا أثر شرعي له حتى يرفع بلحاظ ذلك الأثر، فتكون العبادة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الدليل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أكره على الطواف في الثوب النجس كان باطلاً؛ لعدم وجود الأثر في ترك الطهارة الخبثية في الطواف حتى يرفع الإكراه بلحاظ رفع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بالبطلان هو أثر ترك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ليس أثراً شرعياً، بل أثر عقلي، فالعقل يرى أنّ المأتي به لم يطابق المأمور به، فيحكم ببطلان العمل ووجوب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الفرق بين الإكراه والنسيان، فلو نسي الجزء كان مشمولاً لحديث الرفع؛ لتعلق النسيان به، وأثر الجزء الجزئية فيرفعه الشارع؛ لأن ّله أثراً شرعياً، وأما متعلق الإكراه في المقام فهو ترك الجزء، وترك الجزء لا أثر شرعي 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التفصيل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لزوم تحقق الأثر الشرعي في متعلق الرفع، ولا ضرورة لكون المرفوع حكماً شرعياً أو موضوعاً لحكم شرعي، بل الملاك اللغوية، فلو كان الوضع أو الرفع الشرعي لغواً لكانا ممتنعين، وأما مع عدم اللغوية فهما ممكنان، ويكفي لدفع اللغوية أن يكون لمتعلق المتعلق أثر شرعي، فقد تعلق الإكراه بالترك وتعلق الترك بالفعل، </w:t>
      </w:r>
    </w:p>
    <w:p>
      <w:pPr>
        <w:pStyle w:val="BookText"/>
        <w:rPr/>
      </w:pPr>
      <w:r>
        <w:rPr>
          <w:rFonts w:ascii="Amiri" w:hAnsi="Amiri" w:eastAsia="Amiri" w:cs="Amiri"/>
          <w:color w:val="111111"/>
          <w:sz w:val="28"/>
          <w:sz w:val="28"/>
          <w:szCs w:val="28"/>
          <w:rtl w:val="true"/>
          <w:lang w:bidi="ar-SA"/>
        </w:rPr>
        <w:t xml:space="preserve">أي أكره على ترك الإتيان بالسورة، فإنه وإن لم يكن أثر لمتعلق الإكراه لكن الأثر لمتعلق متعلق الإكراه، وهو كاف لدفع اللغوية، فكأن الشارع لم يلحظ هذا الترك، وكأنه لم يتحقق في الخارج، وأثره شمول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فلا تجب الإعادة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يصح إجراء الأصل العملي وإن لم يكن لمتعلقه أثر ما دام لمتعلق المتعلق أثر،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إكرام زيد عند مجيئه، فالمجيء له أثر شرعي، أما عدم المجيء فلا أثر له، فلو شك في مجيئه صح استصحاب عدمه، ولا يرد عليه إشكال عدم الأثر؛ لكفاية وجود أثر لمتعلق المتعلق، وهذا المقدار كاف لجريان الأصل العملي في عدم مجيء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فإنّ ترك السورة وإن لم يكن له أثر شرعي إلاّ أنّ الأثر ثابت لمتعلقه، وهذا المقدار كافٍ في جريان حديث الرفع في ترك الإتيان بالسورة، فتكون الصلاة مشمولة للعمومات الفوقانية بالتفصيل الذي ذكرناه سابقاً، من وجود ثلاثة أدلة في المقام، ومفاد ضم الأدلة الثلاثة صحة الصلاة الفاقدة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الإكراه بالأسباب التي تترتب عليها آثار وضعية</w:t>
      </w:r>
    </w:p>
    <w:p>
      <w:pPr>
        <w:pStyle w:val="BookText"/>
        <w:rPr/>
      </w:pPr>
      <w:r>
        <w:rPr>
          <w:rFonts w:ascii="Amiri" w:hAnsi="Amiri" w:eastAsia="Amiri" w:cs="Amiri"/>
          <w:color w:val="111111"/>
          <w:sz w:val="28"/>
          <w:sz w:val="28"/>
          <w:szCs w:val="28"/>
          <w:rtl w:val="true"/>
          <w:lang w:bidi="ar-SA"/>
        </w:rPr>
        <w:t>وفي المقام صور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 على ترك إيجاد السبب، بأن أكره على ترك العقد الذي يكون سبباً في النقل والانتقال والزوجية، فلا يمكن الحكم بحصول الأثر المترتب عليه؛ إذ لا عقد حتى يكون مشمولاً للعموم الفوقاني، فإنّ تصحيح العبادة إنما يكون بالعموم الفوقاني، وهو مفقود في </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على ترك الجزء المقوم كالقبول، والكلام فيه كالكلام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على ترك الجزء أو الشرط غير المقوم للماهية، فما هو الحكم، كأن يكره على الإتيان بعقد النكاح بغير اللغة العربية؟</w:t>
      </w:r>
    </w:p>
    <w:p>
      <w:pPr>
        <w:pStyle w:val="BookText"/>
        <w:rPr/>
      </w:pPr>
      <w:r>
        <w:rPr>
          <w:rFonts w:ascii="Amiri" w:hAnsi="Amiri" w:eastAsia="Amiri" w:cs="Amiri"/>
          <w:color w:val="111111"/>
          <w:sz w:val="28"/>
          <w:sz w:val="28"/>
          <w:szCs w:val="28"/>
          <w:rtl w:val="true"/>
          <w:lang w:bidi="ar-SA"/>
        </w:rPr>
        <w:t>والظاهر أنّ في المقام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مضطراً لإيجاد أصل السبب، كأن يضطر لذبح الحيوان إما اضطراراً عقلياً أو شرعياً، لكن الظالم يمنعه من التلفظ باسم اللّه فهو مكره على ترك الجزء أو الشرط غير المقوم، والظاهر أنه لا مانع من القول بأن الجزئية أو الشرطية أو المانعية مرفوعة بحديث الرفع على 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مضطراً،كما لو أمكنه الانتظار حتى ذهاب الظالم، فيذبح مع جميع الشرائط، ففي شمول رفع الإكراه للمقام غموض؛ لانصراف دليل الإكراه عنه، لا أقل من الشك في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على إيجاد السبب الباطل في حد ذاته، كما لو أكره على بيع الخنزير، أو الخمر، فالظاهر أنه لا يترتب عليه الأثر؛ لعدم تحقق العموم الفوقاني في المقام، كما مضى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 على إيجاد السبب الصحيح في حد نفسه، كما لو أكره على البيع، فلا تترتب الآثار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مباحث وتذنيبات أخرى لعله يظهر الحال فيها مما تقدم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الحديث الأول وهو حديث الرفع</w:t>
      </w:r>
      <w:r>
        <w:rPr>
          <w:rFonts w:eastAsia="Amiri" w:cs="Amiri" w:ascii="Amiri" w:hAnsi="Amiri"/>
          <w:color w:val="111111"/>
          <w:sz w:val="28"/>
          <w:szCs w:val="28"/>
          <w:rtl w:val="true"/>
          <w:lang w:bidi="ar-SA"/>
        </w:rPr>
        <w:t xml:space="preserve">. </w:t>
      </w:r>
      <w:bookmarkStart w:id="25" w:name="pg15608_166690"/>
    </w:p>
    <w:p>
      <w:pPr>
        <w:pStyle w:val="Heading3"/>
        <w:numPr>
          <w:ilvl w:val="2"/>
          <w:numId w:val="1"/>
        </w:numPr>
        <w:rPr/>
      </w:pPr>
      <w:bookmarkStart w:id="26" w:name="__RefHeading___Toc10086449_2142443653"/>
      <w:bookmarkStart w:id="27" w:name="_Toc9"/>
      <w:bookmarkEnd w:id="25"/>
      <w:bookmarkEnd w:id="26"/>
      <w:r>
        <w:rPr>
          <w:rtl w:val="true"/>
        </w:rPr>
        <w:t>الحديث الثاني</w:t>
      </w:r>
      <w:r>
        <w:rPr>
          <w:rtl w:val="true"/>
        </w:rPr>
        <w:t xml:space="preserve">: </w:t>
      </w:r>
      <w:r>
        <w:rPr>
          <w:rtl w:val="true"/>
        </w:rPr>
        <w:t>حديث الحجب</w:t>
      </w:r>
      <w:bookmarkEnd w:id="27"/>
    </w:p>
    <w:p>
      <w:pPr>
        <w:pStyle w:val="Heading4"/>
        <w:numPr>
          <w:ilvl w:val="3"/>
          <w:numId w:val="1"/>
        </w:numPr>
        <w:rPr/>
      </w:pPr>
      <w:bookmarkStart w:id="28" w:name="__RefHeading___Toc10086451_2142443653"/>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الحديث الثاني من الأحاديث التي استدل بها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 وفيه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ودلالي</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0086453_2142443653"/>
      <w:bookmarkStart w:id="31" w:name="_Toc11"/>
      <w:bookmarkEnd w:id="30"/>
      <w:r>
        <w:rPr>
          <w:rtl w:val="true"/>
        </w:rPr>
        <w:t>البحث الأول</w:t>
      </w:r>
      <w:r>
        <w:rPr>
          <w:rtl w:val="true"/>
        </w:rPr>
        <w:t xml:space="preserve">: </w:t>
      </w:r>
      <w:r>
        <w:rPr>
          <w:rtl w:val="true"/>
        </w:rPr>
        <w:t>البحث السندي</w:t>
      </w:r>
      <w:bookmarkEnd w:id="31"/>
    </w:p>
    <w:p>
      <w:pPr>
        <w:pStyle w:val="BookText"/>
        <w:rPr/>
      </w:pPr>
      <w:r>
        <w:rPr>
          <w:rFonts w:ascii="Amiri" w:hAnsi="Amiri" w:eastAsia="Amiri" w:cs="Amiri"/>
          <w:color w:val="111111"/>
          <w:sz w:val="28"/>
          <w:sz w:val="28"/>
          <w:szCs w:val="28"/>
          <w:rtl w:val="true"/>
          <w:lang w:bidi="ar-SA"/>
        </w:rPr>
        <w:t>صحح بعض الأصوليين</w:t>
      </w:r>
      <w:r>
        <w:rPr>
          <w:rStyle w:val="FootnoteAnchor"/>
          <w:rtl w:val="true"/>
        </w:rPr>
        <w:footnoteReference w:id="49"/>
      </w:r>
      <w:r>
        <w:rPr>
          <w:rFonts w:ascii="Amiri" w:hAnsi="Amiri" w:eastAsia="Amiri" w:cs="Amiri"/>
          <w:color w:val="111111"/>
          <w:sz w:val="28"/>
          <w:sz w:val="28"/>
          <w:szCs w:val="28"/>
          <w:rtl w:val="true"/>
          <w:lang w:bidi="ar-SA"/>
        </w:rPr>
        <w:t>السند ولم يتعرض بعض إلى هذه الجهة، لكن يبدو للنظر أن فيه إشكالاً سندياً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الكليني في الكافي، عن محمد بن يحيى</w:t>
      </w:r>
      <w:r>
        <w:rPr>
          <w:rStyle w:val="FootnoteAnchor"/>
          <w:rtl w:val="true"/>
        </w:rPr>
        <w:footnoteReference w:id="50"/>
      </w:r>
      <w:r>
        <w:rPr>
          <w:rFonts w:ascii="Amiri" w:hAnsi="Amiri" w:eastAsia="Amiri" w:cs="Amiri"/>
          <w:color w:val="111111"/>
          <w:sz w:val="28"/>
          <w:sz w:val="28"/>
          <w:szCs w:val="28"/>
          <w:rtl w:val="true"/>
          <w:lang w:bidi="ar-SA"/>
        </w:rPr>
        <w:t>، عن أحمد محمد بن عيسى</w:t>
      </w:r>
      <w:r>
        <w:rPr>
          <w:rStyle w:val="FootnoteAnchor"/>
          <w:rtl w:val="true"/>
        </w:rPr>
        <w:footnoteReference w:id="51"/>
      </w:r>
      <w:r>
        <w:rPr>
          <w:rFonts w:ascii="IRNazanin" w:hAnsi="IRNazanin" w:eastAsia="IRNazanin"/>
          <w:color w:val="111111"/>
          <w:sz w:val="28"/>
          <w:sz w:val="28"/>
          <w:szCs w:val="28"/>
          <w:rtl w:val="true"/>
          <w:lang w:bidi="fa-IR"/>
        </w:rPr>
        <w:t>، عن ابن فضال</w:t>
      </w:r>
      <w:r>
        <w:rPr>
          <w:rStyle w:val="FootnoteAnchor"/>
          <w:rtl w:val="true"/>
        </w:rPr>
        <w:footnoteReference w:id="52"/>
      </w:r>
      <w:r>
        <w:rPr>
          <w:rFonts w:ascii="IRNazanin" w:hAnsi="IRNazanin" w:eastAsia="IRNazanin"/>
          <w:color w:val="111111"/>
          <w:sz w:val="28"/>
          <w:sz w:val="28"/>
          <w:szCs w:val="28"/>
          <w:rtl w:val="true"/>
          <w:lang w:bidi="fa-IR"/>
        </w:rPr>
        <w:t>، عن داوود بن فرقد</w:t>
      </w:r>
      <w:r>
        <w:rPr>
          <w:rStyle w:val="FootnoteAnchor"/>
          <w:rtl w:val="true"/>
        </w:rPr>
        <w:footnoteReference w:id="53"/>
      </w:r>
      <w:r>
        <w:rPr>
          <w:rFonts w:ascii="Amiri" w:hAnsi="Amiri" w:eastAsia="Amiri" w:cs="Amiri"/>
          <w:color w:val="111111"/>
          <w:sz w:val="28"/>
          <w:sz w:val="28"/>
          <w:szCs w:val="28"/>
          <w:rtl w:val="true"/>
          <w:lang w:bidi="ar-SA"/>
        </w:rPr>
        <w:t>، عن أبي الحسن زكريا بن يحيى، عن أبي عبد اللّه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w:t>
      </w:r>
      <w:r>
        <w:rPr>
          <w:rStyle w:val="FootnoteAnchor"/>
          <w:rtl w:val="true"/>
        </w:rPr>
        <w:footnoteReference w:id="54"/>
      </w:r>
      <w:r>
        <w:rPr>
          <w:rFonts w:ascii="IRNazanin" w:hAnsi="IRNazanin" w:eastAsia="IRNazanin"/>
          <w:color w:val="111111"/>
          <w:sz w:val="28"/>
          <w:sz w:val="28"/>
          <w:szCs w:val="28"/>
          <w:rtl w:val="true"/>
          <w:lang w:bidi="fa-IR"/>
        </w:rPr>
        <w:t>عن العباد فهو موضوع عنهم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في زكريا بن يحيى؛ لأنه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قرائن توثيق زكريا بن يحيى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المنهاج قرينتين لتوثيقه</w:t>
      </w:r>
      <w:r>
        <w:rPr>
          <w:rFonts w:eastAsia="Amiri" w:cs="Amiri" w:ascii="Amiri" w:hAnsi="Amiri"/>
          <w:color w:val="111111"/>
          <w:sz w:val="28"/>
          <w:szCs w:val="28"/>
          <w:rtl w:val="true"/>
          <w:lang w:bidi="ar-SA"/>
        </w:rPr>
        <w:t xml:space="preserve">: </w:t>
      </w:r>
      <w:bookmarkStart w:id="32" w:name="pg15608_166692"/>
    </w:p>
    <w:p>
      <w:pPr>
        <w:pStyle w:val="BookText"/>
        <w:rPr/>
      </w:pPr>
      <w:bookmarkEnd w:id="32"/>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عنه داود بن فرقد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لذلك توضيحاً، فإن كان مراده أنّ داود من الثقات أو الأجلاء، وهم لا يروون إلا عن ثقة، فقد ذكر في محله أنّ رواية الثقة ليس أمارة التوثيق، ولا تدل على وثاقة المروي عنه، وإلا كانت جميع الروايات معتبرة؛ لأنّ ناقل الرواية الشيخ الصدوق مثلاً، وروايته عن المجهول دليل وثاقة المروي عنه، فلو كان المروي عنه ثقة لكان من يروي عنه المروي عنه ثقة؛ لأنّ الثقة لا يروي إلاّ عن ثقة، وهكذا إلى آخر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أحمد بن محمد بن عيسى في سلسلة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بعض</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لا يروي إلاّ عن الثقات، فإنّ إخراج البرقي لروايته عن غير الثقات دليل على التزامه بعدم النقل إلا عن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فإنّه أنما أخرجه لإكثاره الرواية عن الضعفاء واعتماد المراسيل، وهو لا ينافي الرواية بلا اعتماد، أي بدون ترتيب الأثر العملي أو الرواية عن المجاهيل، حيث يمكن النقل عن المجهول مع التزام عدم النقل عن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فالقرينتان المذكورتان من دون توضيح إن كان المقصود منهما ما ذكرناه فهما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رواية الكليني تعطيها نوعاً من القوة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0086455_2142443653"/>
      <w:bookmarkStart w:id="34" w:name="_Toc12"/>
      <w:bookmarkEnd w:id="33"/>
      <w:r>
        <w:rPr>
          <w:rtl w:val="true"/>
        </w:rPr>
        <w:t>البحث الثاني</w:t>
      </w:r>
      <w:r>
        <w:rPr>
          <w:rtl w:val="true"/>
        </w:rPr>
        <w:t xml:space="preserve">: </w:t>
      </w:r>
      <w:r>
        <w:rPr>
          <w:rtl w:val="true"/>
        </w:rPr>
        <w:t>البحث الدلالي</w:t>
      </w:r>
      <w:bookmarkEnd w:id="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بهذه الرواية على البراءة كما استدل بحديث الرفع، وهي أكثر </w:t>
      </w:r>
      <w:bookmarkStart w:id="35" w:name="pg15608_166694"/>
    </w:p>
    <w:p>
      <w:pPr>
        <w:pStyle w:val="BookText"/>
        <w:rPr/>
      </w:pPr>
      <w:bookmarkEnd w:id="35"/>
      <w:r>
        <w:rPr>
          <w:rFonts w:ascii="Amiri" w:hAnsi="Amiri" w:eastAsia="Amiri" w:cs="Amiri"/>
          <w:color w:val="111111"/>
          <w:sz w:val="28"/>
          <w:sz w:val="28"/>
          <w:szCs w:val="28"/>
          <w:rtl w:val="true"/>
          <w:lang w:bidi="ar-SA"/>
        </w:rPr>
        <w:t xml:space="preserve">ظهوراً منه في شمول الشبهات الحكمية؛ لما مر من إشكال وحدة السياق المسبب للتشكيك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للشبهات الحكمية، ولكنه لا يرد على حديث الحجب؛ لعدم تحقق الموضوع، فلا سياق حتى يخل بالظهور</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0086457_2142443653"/>
      <w:bookmarkStart w:id="37" w:name="_Toc13"/>
      <w:bookmarkEnd w:id="36"/>
      <w:r>
        <w:rPr>
          <w:rtl w:val="true"/>
        </w:rPr>
        <w:t>وجوه الإشكال على الاستدلال بحديث الحجب</w:t>
      </w:r>
      <w:bookmarkEnd w:id="37"/>
    </w:p>
    <w:p>
      <w:pPr>
        <w:pStyle w:val="BookText"/>
        <w:rPr/>
      </w:pPr>
      <w:r>
        <w:rPr>
          <w:rFonts w:ascii="Amiri" w:hAnsi="Amiri" w:eastAsia="Amiri" w:cs="Amiri"/>
          <w:color w:val="111111"/>
          <w:sz w:val="28"/>
          <w:sz w:val="28"/>
          <w:szCs w:val="28"/>
          <w:rtl w:val="true"/>
          <w:lang w:bidi="ar-SA"/>
        </w:rPr>
        <w:t>وقد أورد على الاستدلال به للبراءة في الشبهات الحكمية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الحكم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الحجب معلول وجود مصلحة في إخفاء الحكم، أو معلول وجود مفسدة في إظهار الحكم، كحجب حرمة شرب الخمر في أول البعثة؛ لعدم تحمل المجتمع مثلاً، وهكذا كثير من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الحجب معلول العوارض الخارجية، كانطماس الأدلة الدالة على الحكم، فقد أخفي الكثير من الروايات إثر ظلم الظالمين و إخفاء المعاندين وتدليس المدلسين، كما ينقل أنه ألقيت في نهر دجلة حتى اسود ماؤها، أو أحرقها صلاح الدين، وقد كان للإمام الهادي</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تفسير في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لا أثر له اليوم أصلاً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 المقام حول النوع الثاني، وأنه لو صدر واقعاً حكم من الشارع ولم يصل إلينا لطروء العوارض الخارجية، فهل يمكن إجراء البراءة؟ وأما حديث الحجب فظاهر في النوع الأول، بدليل إسناد الحجب إلى اللّه تعالى</w:t>
      </w:r>
      <w:r>
        <w:rPr>
          <w:rStyle w:val="FootnoteAnchor"/>
          <w:rtl w:val="true"/>
        </w:rPr>
        <w:footnoteReference w:id="57"/>
      </w:r>
      <w:r>
        <w:rPr>
          <w:rFonts w:ascii="Amiri" w:hAnsi="Amiri" w:eastAsia="Amiri" w:cs="Amiri"/>
          <w:color w:val="111111"/>
          <w:sz w:val="28"/>
          <w:sz w:val="28"/>
          <w:szCs w:val="28"/>
          <w:rtl w:val="true"/>
          <w:lang w:bidi="ar-SA"/>
        </w:rPr>
        <w:t xml:space="preserve">، فإنّ النوع الثاني لم يحجبه اللّه، بل بينه وأظهره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w:t>
      </w:r>
    </w:p>
    <w:p>
      <w:pPr>
        <w:pStyle w:val="BookText"/>
        <w:rPr/>
      </w:pPr>
      <w:r>
        <w:rPr>
          <w:rFonts w:ascii="Amiri" w:hAnsi="Amiri" w:eastAsia="Amiri" w:cs="Amiri"/>
          <w:color w:val="111111"/>
          <w:sz w:val="28"/>
          <w:sz w:val="28"/>
          <w:szCs w:val="28"/>
          <w:rtl w:val="true"/>
          <w:lang w:bidi="ar-SA"/>
        </w:rPr>
        <w:t>يَكْتُمُونَ مَا أَنزَلْنَا مِنَ الْبَيِّنَاتِ وَالْهُدَى مِن بَعْدِ مَا بَيَّنَّاهُ لِلنَّاسِ فِي الْكِتَابِ</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فلا يصح إسناد الحجب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أنّ حجب حرمة أكل الطعام المحترق هل هو من النوع الأول أو الثاني، فلا يجوز التمسك بالعام في الشبهة المصداقية، وعليه فالحديث ناظر إلى حجب النوع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واعتمادا على هذا الإشكال نفى الشيخ الأعظم</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وصاحب الكفاية</w:t>
      </w:r>
      <w:r>
        <w:rPr>
          <w:rStyle w:val="FootnoteAnchor"/>
          <w:rtl w:val="true"/>
        </w:rPr>
        <w:footnoteReference w:id="60"/>
      </w:r>
      <w:r>
        <w:rPr>
          <w:rFonts w:ascii="Amiri" w:hAnsi="Amiri" w:eastAsia="Amiri" w:cs="Amiri"/>
          <w:color w:val="111111"/>
          <w:sz w:val="28"/>
          <w:sz w:val="28"/>
          <w:szCs w:val="28"/>
          <w:rtl w:val="true"/>
          <w:lang w:bidi="ar-SA"/>
        </w:rPr>
        <w:t>دلالة الحديث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للمولى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أنه مشرع وحيثية أنه مكوّن وخالق، والحجب في النوع الثاني وإن لم يصح إسناده إلى اللّه تعالى من حيث إنه مشرع؛ لأنّ المفروض أنّ اللّه بين الحكم وبلغه أولياءهُ، واختفاؤه معلول إخفاء الظالمين، لكن يصح إسناده إلى اللّه تعالى من حيث إنه مكون وخالق للأشياء، لصحة إسناد كل شيء في عالم الإمكان إليه عز وجل، لانتهاء سلسلة الأسباب إلى مسببها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ورد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فمع إسناد التوفي إلى ملك الموت أو أعوانه صح إسناده </w:t>
      </w:r>
    </w:p>
    <w:p>
      <w:pPr>
        <w:pStyle w:val="BookText"/>
        <w:rPr/>
      </w:pPr>
      <w:r>
        <w:rPr>
          <w:rFonts w:ascii="Amiri" w:hAnsi="Amiri" w:eastAsia="Amiri" w:cs="Amiri"/>
          <w:color w:val="111111"/>
          <w:sz w:val="28"/>
          <w:sz w:val="28"/>
          <w:szCs w:val="28"/>
          <w:rtl w:val="true"/>
          <w:lang w:bidi="ar-SA"/>
        </w:rPr>
        <w:t>إلى اللّه،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فمع إسناد الرمي إلى 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إلى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والسر في ذلك عدم استقلال أي فاعل في دائرة عالم الإمكان، وإن كان فاعلاً بالإرادة والاختيار، فلا يوجد في الوجود فاعل مستقل غير اللّه، فبلحاظ عدم الاستقلال يصح نسبة الفعل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النسبة لا تسلب المسؤولية عن الفاعل؛ لأنَّ الإرادة والاختيار دخيلان في صدور العمل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حجب علمه عنا، وإن كان الحجب إثر إخفاء الظالمين، بل يمكن إسناد الحجب إلى اللّه تعالى حتى في الشبهات الموضوعية، بل يصح إسناد جميع ما في الكون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النهاية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المسببات بما هي موجودات محدودة لا تنسب إلا إلى أسباب هي كذلك، وبما هي موجودات بقصر النظر على طبيعة الوجود المطلق تنسب إلى الموجود المطلق</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موجود من موجودات عالم الإمكان مركب من الماهية والوجود، فإذا قصر النظر على جهة الوجود من دون لحاظ حده، بأن لا تلحظ الماهية المنتزعة من حد الوجود، أمكن نسبة الوجود إلى الوجود أو الموجود المطلق وهو اللّه، وأما لو لوحظ الوجود بما أنه محدود بأن لوحظت الماهية، كان للملحوظ وجود محدود، ولا يمكن نسبة الوجود المحدود إلى الوجود المطلق، بل ينسب إلى الموجود المحدود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أن يغلب على الفعل المحدود العنصر الربوبي، فيمكن إسناده إلى اللّه بلحاظ الغلبة، بل يمكن غلبة العنصر الربوبي على الجهة الماهوية؛ لأنّ الفعل قربي فيصح الإسناد إليه تعالى بهذا اللحاظ،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ومع أن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الصدقات، لكن حيث إنَّ العمل قربي وغلبت عليه الجهة الربوبية أسند إلى اللّه تعالى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الفعل الغالب عليه الجهة الماهوية فلا يمكن نسبته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لأنَّ إخفاء الظالمين فعلاً غلب فيه الجانب الماهوي، فينسب إلى الظالمين لا إلى اللّه،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حجب علمه، ولذا ورد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فنسب البيان إلى اللّه والكتمان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وردت رواية في تحريم الطعام المحترق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حجبها، فلا يكون المقام مشمولاً لحديث الحجب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فالإضلال في القرآن نسب إلى أفراد غلب على فعلهم الجانب الماهوي،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الشَّيْطَانُ أَن يُضِلَّهُمْ</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 وقوله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يُضِلُّونَ إِلاَّ أَنفُسَهُمْ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إِنَّهُنَّ أَضْلَلْنَ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نسب إلى اللّه تعالى، كما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أَتُرِيدُونَ أَن تَهْدُواْ مَنْ أَضَلَّ اللّهُ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يَهْدِي مَنْ أَضَلَّ اللَّهُ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فِتْنَتُكَ تُضِلُّ</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فالإضلال والفتنة والختم والطبع كلها نسبت إلى اللّه عزّ وجلّ، فلا مانع من نسبة الحجب إلى اللّه، وما ذكر إن لم يتم بالجملة فهو تام في الجملة، فما أفاده محل تأمل، وإن احتاج المقام إلى مزيد التأمل بمراجعة كلمات العلماء والمفسرين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ظهور الرواية في المعنى الثاني، أم أنها ظاهرة في الأحكام الإنشائية التي حجب اللّه علمها عن المكلفين، فلا تنهض دليلاً على ما نحن فيه، لا أقل من تطرق الاحتمال، وإذا جاء الاحتمال بطل الاستدلال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يرد إشكال في المقام، وهو عدم صحة إسناد بعض الأفعال إلى اللّه تعالى، كالأكل والشرب والقعود والصلاة والحج وما أشبه، فلو وقع فعل </w:t>
      </w:r>
    </w:p>
    <w:p>
      <w:pPr>
        <w:pStyle w:val="BookText"/>
        <w:rPr/>
      </w:pPr>
      <w:r>
        <w:rPr>
          <w:rFonts w:ascii="Amiri" w:hAnsi="Amiri" w:eastAsia="Amiri" w:cs="Amiri"/>
          <w:color w:val="111111"/>
          <w:sz w:val="28"/>
          <w:sz w:val="28"/>
          <w:szCs w:val="28"/>
          <w:rtl w:val="true"/>
          <w:lang w:bidi="ar-SA"/>
        </w:rPr>
        <w:t>منها في دائرة الإمكان فلا يمكن نسبتها إلى اللّه تعالى عن ذلك، فلا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يقع في الكون يمكن إسناده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بعض العلماء وبيّن ضابطة لما يصح إسناده وما لا يصح إسناده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يعتبر فيها خصوصية المباشرة، وهي لا تنسب لكل ما له مدخلية في صدور الفعل، كالأكل والقعود، كقول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للمولى مدخلية في وقوع الفعل في الخارج، لكن لا يصح نسبتها إليه؛ لأخذ خصوصية المباشرة فيها، فلا تنسب إلا إلى فاعلها القريب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لم يؤخذ فيها خصوصية المباشرة بما لها من المفهوم، كالإعطاء والمنع والأسر والإحسان، ولذلك يمكن نسبتها إلى الفاعل القريب والبعيد،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العطاء إلى المولى أيضاً،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 الوكيل بيع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فنسب التعذيب إلى الفاعل غير المباشر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فصحة النسبة وعدم صحة النسبة تَرتبط بالخصوصية التي أخذت في معنى اللفظ، وهذا الاختلاف لا ينافي انتهاء جميع الأمور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مما يرتبط بمباحث التوحيد في الخالقية، ومحل الكلام والنقض والإبرام وبيان الصحة والسقم فيها منوط بعلم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 على الجواب الأوّل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الحجب لا ينسب إلى اللّه تعالى فيما لو كان معلولاً لإخفاء الظالمين أو العوارض الخارجية، لكن البحث في البراءة الشرعية أعم من هذا المعنى؛ لأنَّ البحث فيها عام لفقدان النص أو إجماله أو تعارض النصين، بل يمكن أن تكون الحادثة المشكوك حكمها لم تكن محل الابتلاء في زمان حضور المعصوم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وإنما تجدد حكمه كشرب التتن وعقد التأمين</w:t>
      </w:r>
      <w:r>
        <w:rPr>
          <w:rStyle w:val="FootnoteAnchor"/>
          <w:rtl w:val="true"/>
        </w:rPr>
        <w:footnoteReference w:id="77"/>
      </w:r>
      <w:r>
        <w:rPr>
          <w:rFonts w:ascii="Amiri" w:hAnsi="Amiri" w:eastAsia="Amiri" w:cs="Amiri"/>
          <w:color w:val="111111"/>
          <w:sz w:val="28"/>
          <w:sz w:val="28"/>
          <w:szCs w:val="28"/>
          <w:rtl w:val="true"/>
          <w:lang w:bidi="ar-SA"/>
        </w:rPr>
        <w:t>وسائر المسائل المتجددة، كحكم صلاة من يركب طائرة تتحرك مع حركة الشمس، فليس ذلك معلولاً لإخفاء الظالمين، فيصح إسناده إلى اللّه تعالى، فيكون مصداقاً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عنه بأنّ المراد من إخفاء الظالمين سد باب الولاية والإمامة، وإلا لوصلت إلينا جميع الأحكام فتعارض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حصل للتقية، فيعود إلى عمل الظالمين، ولو لم يكن تعارض النصين وإجماله معلولاً لعمل الظالمين، إلاّ أنّ غيبة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لأعمال الظالمين، وإلا كنا في عصر الظهور وأمكن حل جميع المبهمات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ذلك عدم تمامية الإشكالين على الجواب الأول، فلا يصح نسبة الحجب إليه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يبقى إشكال الظهور، وإنّ البحث في مقام الإثبات لا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 على حديث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المجموعي، فالمراد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حجب اللّه علمه عن مجموع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بعض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أجنبي عن محل الكلام؛ لأنَّ حكم التتن لم يحجبه اللّه عن مجموع العباد، لا أقل من معرفة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ولو شك أنه حجب عن الكل أو البعض فالتمسك بالعام في الشبهة المصداقية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يمكن التزام مثل ذلك في حديث الرفع، فلو كان جميع الأمة مكرهة يرفع عنهم الحكم؟</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مناسبة الحكم والموضوع كون المراد العموم الانحلالي،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كل فرد فرد، فالعرف يرى أنّ ملاك الوضع الحجب، فلأنه حجب عنه وضع عنه، فلا يرتبط بالحجب عن المكلف الآخر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المتأخرين</w:t>
      </w:r>
      <w:r>
        <w:rPr>
          <w:rStyle w:val="FootnoteAnchor"/>
          <w:rtl w:val="true"/>
        </w:rPr>
        <w:footnoteReference w:id="78"/>
      </w:r>
      <w:r>
        <w:rPr>
          <w:rFonts w:ascii="Amiri" w:hAnsi="Amiri" w:eastAsia="Amiri" w:cs="Amiri"/>
          <w:color w:val="111111"/>
          <w:sz w:val="28"/>
          <w:sz w:val="28"/>
          <w:szCs w:val="28"/>
          <w:rtl w:val="true"/>
          <w:lang w:bidi="ar-SA"/>
        </w:rPr>
        <w:t>من أنّ إرادة الحجب بالمعنى الأول بعيد في نفسه، فلا مجال لتوهم المؤاخذة والإدانة والمسؤولية في الحكم الذي كان المولى بصدد إخفائه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عنهم، فلا بد أن يكون المراد المعنى الثاني، حيث إنَّ ما بينه اللّه واختفى إثر العوارض الخارجية محل توهم المؤاخذة والمسؤولية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محل تأمل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المسؤولية قائم والاحتياط ممكن، فقد ذهب جمع</w:t>
      </w:r>
      <w:r>
        <w:rPr>
          <w:rStyle w:val="FootnoteAnchor"/>
          <w:rtl w:val="true"/>
        </w:rPr>
        <w:footnoteReference w:id="79"/>
      </w:r>
      <w:r>
        <w:rPr>
          <w:rFonts w:ascii="Amiri" w:hAnsi="Amiri" w:eastAsia="Amiri" w:cs="Amiri"/>
          <w:color w:val="111111"/>
          <w:sz w:val="28"/>
          <w:sz w:val="28"/>
          <w:szCs w:val="28"/>
          <w:rtl w:val="true"/>
          <w:lang w:bidi="ar-SA"/>
        </w:rPr>
        <w:t xml:space="preserve">من المتأخرين والمتقدمين إلى أنّ الأصل في الأشياء الحظر، إلاّ أن يأذن اللّه، وذلك كالعبد لابد له أن يستأذن المولى إذا أراد التصرف في ممتلكاته، كدخول غرفته أو مطالعة مخطوطاته، فتأتي هذه الرواية وأمثالها لقلب الأصل الأولي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أو على احتمال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أصالة الإباحة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أنه ليس المقام معرضا لتوهم المؤاخذة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الحديث لردع التكلف لا لدفع توهم المسؤولية، فالمراد النهي عن التكلف فيما أخفاه اللّه، وقد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حدّ حدوداً فلا تعتدوها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أشياء لم يسكت عنها نسياناً فلا تتكلفوها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قضية بقرة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w:t>
      </w:r>
    </w:p>
    <w:p>
      <w:pPr>
        <w:pStyle w:val="BookText"/>
        <w:rPr/>
      </w:pPr>
      <w:r>
        <w:rPr>
          <w:rFonts w:ascii="Amiri" w:hAnsi="Amiri" w:eastAsia="Amiri" w:cs="Amiri"/>
          <w:color w:val="111111"/>
          <w:sz w:val="28"/>
          <w:sz w:val="28"/>
          <w:szCs w:val="28"/>
          <w:rtl w:val="true"/>
          <w:lang w:bidi="ar-SA"/>
        </w:rPr>
        <w:t xml:space="preserve">لَنَا رَبَّكَ يُبَيِّن لَّنَا مَا هِيَ إِنَّ البَقَرَ تَشَابَهَ عَلَيْنَا وَإِنَّآ إِن شَاء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وَلاَ تَسْقِي الْحَرْثَ مُسَلَّمَةٌ لاَّ شِيَةَ فِيهَا قَالُواْ الآنَ جِئْتَ بِالْحَقِّ فَذَبَحُوهَا وَمَا كَادُواْ يَفْعَلُونَ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بالحق الواضح، وهو من باب حذف النعت، يقول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المنعوت والنعت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حذفه، وفي النعت يقل</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وكأن الحق كان مجهولاً قبل ذلك مع أنه كان واضحاً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يَأْمُرُكُمْ 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اذبحوا أية بقرة، فالبقرة تمام الموضوع، وكان بإمكانهم تطبيق الطبيعي على كل بقرة ولكنهم تكلفوا وسألوا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 النبي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عليكم الحج</w:t>
      </w:r>
      <w:r>
        <w:rPr>
          <w:rStyle w:val="FootnoteAnchor"/>
          <w:rtl w:val="true"/>
        </w:rPr>
        <w:footnoteReference w:id="85"/>
      </w:r>
      <w:r>
        <w:rPr>
          <w:rFonts w:ascii="IRNazanin" w:hAnsi="IRNazanin" w:eastAsia="IRNazanin"/>
          <w:color w:val="111111"/>
          <w:sz w:val="28"/>
          <w:sz w:val="28"/>
          <w:szCs w:val="28"/>
          <w:rtl w:val="true"/>
          <w:lang w:bidi="fa-IR"/>
        </w:rPr>
        <w:t>فقام سراقة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عام يا رسول اللّه؟ فأعرض عنه حتى عاد مرتين أو ثلاثاً،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 وما يؤمنك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لوجب</w:t>
      </w:r>
      <w:r>
        <w:rPr>
          <w:rStyle w:val="FootnoteAnchor"/>
          <w:rtl w:val="true"/>
        </w:rPr>
        <w:footnoteReference w:id="86"/>
      </w:r>
      <w:r>
        <w:rPr>
          <w:rFonts w:ascii="IRNazanin" w:hAnsi="IRNazanin" w:eastAsia="IRNazanin"/>
          <w:color w:val="111111"/>
          <w:sz w:val="28"/>
          <w:sz w:val="28"/>
          <w:szCs w:val="28"/>
          <w:rtl w:val="true"/>
          <w:lang w:bidi="fa-IR"/>
        </w:rPr>
        <w:t>ولو وجب ما استطعتم</w:t>
      </w:r>
      <w:r>
        <w:rPr>
          <w:rStyle w:val="FootnoteAnchor"/>
          <w:rtl w:val="true"/>
        </w:rPr>
        <w:footnoteReference w:id="87"/>
      </w:r>
      <w:r>
        <w:rPr>
          <w:rFonts w:ascii="Amiri" w:hAnsi="Amiri" w:eastAsia="Amiri" w:cs="Amiri"/>
          <w:color w:val="111111"/>
          <w:sz w:val="28"/>
          <w:sz w:val="28"/>
          <w:szCs w:val="28"/>
          <w:rtl w:val="true"/>
          <w:lang w:bidi="ar-SA"/>
        </w:rPr>
        <w:t xml:space="preserve">ولو تركتم لكفرتم، </w:t>
      </w:r>
      <w:bookmarkStart w:id="38" w:name="pg15608_166714"/>
    </w:p>
    <w:p>
      <w:pPr>
        <w:pStyle w:val="BookText"/>
        <w:rPr/>
      </w:pPr>
      <w:bookmarkEnd w:id="38"/>
      <w:r>
        <w:rPr>
          <w:rFonts w:ascii="Amiri" w:hAnsi="Amiri" w:eastAsia="Amiri" w:cs="Amiri"/>
          <w:color w:val="111111"/>
          <w:sz w:val="28"/>
          <w:sz w:val="28"/>
          <w:szCs w:val="28"/>
          <w:rtl w:val="true"/>
          <w:lang w:bidi="ar-SA"/>
        </w:rPr>
        <w:t>فاتركوني ما تركتكم</w:t>
      </w:r>
      <w:r>
        <w:rPr>
          <w:rStyle w:val="FootnoteAnchor"/>
          <w:rtl w:val="true"/>
        </w:rPr>
        <w:footnoteReference w:id="88"/>
      </w:r>
      <w:r>
        <w:rPr>
          <w:rFonts w:ascii="Amiri" w:hAnsi="Amiri" w:eastAsia="Amiri" w:cs="Amiri"/>
          <w:color w:val="111111"/>
          <w:sz w:val="28"/>
          <w:sz w:val="28"/>
          <w:szCs w:val="28"/>
          <w:rtl w:val="true"/>
          <w:lang w:bidi="ar-SA"/>
        </w:rPr>
        <w:t>، فإنما هلك من كان قبلكم بكثرة سؤالهم واختلافهم على أنبيائهم، فنزلت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طلب بنو إسرائيل من اللّه الحرب، فلما كتب عليهم تولوا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وَأَبْنَآئِنَا فَلَمَّا كُتِبَ عَلَيْهِمُ الْقِتَالُ تَوَلَّوْاْ إِلاَّ قَلِيلاً مِّنْهُمْ وَاللّهُ عَلِيمٌ بِالظَّالِمِينَ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لردع التكلف لا لدفع توهم المسؤولية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0086459_2142443653"/>
      <w:bookmarkStart w:id="40" w:name="_Toc14"/>
      <w:bookmarkEnd w:id="39"/>
      <w:r>
        <w:rPr>
          <w:rtl w:val="true"/>
        </w:rPr>
        <w:t>تقرير لدلالة حديث الحجب على البراءة</w:t>
      </w:r>
      <w:bookmarkEnd w:id="40"/>
    </w:p>
    <w:p>
      <w:pPr>
        <w:pStyle w:val="BookText"/>
        <w:rPr/>
      </w:pPr>
      <w:r>
        <w:rPr>
          <w:rFonts w:ascii="IRNazanin" w:hAnsi="IRNazanin" w:eastAsia="IRNazanin"/>
          <w:color w:val="111111"/>
          <w:sz w:val="28"/>
          <w:sz w:val="28"/>
          <w:szCs w:val="28"/>
          <w:rtl w:val="true"/>
          <w:lang w:bidi="fa-IR"/>
        </w:rPr>
        <w:t>هذا وقد قرر البعض</w:t>
      </w:r>
      <w:r>
        <w:rPr>
          <w:rStyle w:val="FootnoteAnchor"/>
          <w:rtl w:val="true"/>
        </w:rPr>
        <w:footnoteReference w:id="92"/>
      </w:r>
      <w:r>
        <w:rPr>
          <w:rFonts w:ascii="Amiri" w:hAnsi="Amiri" w:eastAsia="Amiri" w:cs="Amiri"/>
          <w:color w:val="111111"/>
          <w:sz w:val="28"/>
          <w:sz w:val="28"/>
          <w:szCs w:val="28"/>
          <w:rtl w:val="true"/>
          <w:lang w:bidi="ar-SA"/>
        </w:rPr>
        <w:t xml:space="preserve">وجه دلالة حديث الحجب على البراءة الشرعية،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أحياناً بحرف الاستعلاء، فيكون ظاهراً في إثبات شيء لشيء، وأما لو تعدى بحرف المجاوزة فيكون ظاهراً في الإسقاط بعد الثبوت،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عَنْهُمْ إِصْرَهُمْ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فالإصر الثابت والثقل الموضوع عليهم قد رفع عنهم، فلا بد أنّ يكون </w:t>
      </w:r>
      <w:bookmarkStart w:id="41" w:name="pg15608_166716"/>
    </w:p>
    <w:p>
      <w:pPr>
        <w:pStyle w:val="BookText"/>
        <w:rPr/>
      </w:pPr>
      <w:bookmarkEnd w:id="41"/>
      <w:r>
        <w:rPr>
          <w:rFonts w:ascii="Amiri" w:hAnsi="Amiri" w:eastAsia="Amiri" w:cs="Amiri"/>
          <w:color w:val="111111"/>
          <w:sz w:val="28"/>
          <w:sz w:val="28"/>
          <w:szCs w:val="28"/>
          <w:rtl w:val="true"/>
          <w:lang w:bidi="ar-SA"/>
        </w:rPr>
        <w:t>الشيء ثابتاً حتى يصح استخدام كلمة الوضع في مورد رفعه بعد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عن المكلف متفرع على الوضع على المكلف، فلا بد أن يوضع شيء على المكلف حتى يصح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ظاهراً فيما نحن فيه، أما ما سكت اللّه عنه فلم يكن ثابتاً على عاتق المكلف حتى يوضع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الحكم صادراً، وتحقق المقتضي لإيصال الحكم إلى المكلفين، لكن الشارع صرف التكليف عنهم، ولا يلزم في تحقق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البيان والإعلام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أصدر مجلس شورى دولة قانوناً للضرائب، وقبل الإعلام ألغاه الحاكم الأعلى، فيصح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وضعت التكليف عن الأمة، وعليه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عن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صرف التكليف وإن لم يصل إليه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0086461_2142443653"/>
      <w:bookmarkStart w:id="43" w:name="_Toc15"/>
      <w:bookmarkEnd w:id="42"/>
      <w:r>
        <w:rPr>
          <w:rtl w:val="true"/>
        </w:rPr>
        <w:t>تذنيب</w:t>
      </w:r>
      <w:bookmarkEnd w:id="4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الحر العاملي في المقام بين الشبهة الوجوبية والتحريمية، فخص انطباق حديث الحجب بالأولى دون الثانية،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مخصوص بالوجوب، وإنه لا يجب الاحتياط بمجرد احتمال الوجوب</w:t>
      </w:r>
      <w:r>
        <w:rPr>
          <w:rStyle w:val="FootnoteAnchor"/>
          <w:rtl w:val="true"/>
        </w:rPr>
        <w:footnoteReference w:id="94"/>
      </w:r>
      <w:r>
        <w:rPr>
          <w:rFonts w:ascii="Amiri" w:hAnsi="Amiri" w:eastAsia="Amiri" w:cs="Amiri"/>
          <w:color w:val="111111"/>
          <w:sz w:val="28"/>
          <w:sz w:val="28"/>
          <w:szCs w:val="28"/>
          <w:rtl w:val="true"/>
          <w:lang w:bidi="ar-SA"/>
        </w:rPr>
        <w:t>، بخلاف الشك في التحريم</w:t>
      </w:r>
      <w:r>
        <w:rPr>
          <w:rStyle w:val="FootnoteAnchor"/>
          <w:rtl w:val="true"/>
        </w:rPr>
        <w:footnoteReference w:id="95"/>
      </w:r>
      <w:r>
        <w:rPr>
          <w:rFonts w:ascii="Amiri" w:hAnsi="Amiri" w:eastAsia="Amiri" w:cs="Amiri"/>
          <w:color w:val="111111"/>
          <w:sz w:val="28"/>
          <w:sz w:val="28"/>
          <w:szCs w:val="28"/>
          <w:rtl w:val="true"/>
          <w:lang w:bidi="ar-SA"/>
        </w:rPr>
        <w:t>فإنه يجب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قرينة ظاهرة على إرادة الشك في وجوب فعل وجودي لا في تحريمه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وجه هذا التفصيل بأنه ربما نظر إلى أنّ الواجب فعل ثابت في ذمة المكلف، فبلحاظ ثبوت الفعل يصح إطلاق الوضع عن عهدة المكلف، أما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للقول بثبوته، بل هو مردوع ومزجور عنه، فليس فيه نحو من أنحاء الثبوت في ذمة المكلف حتى يصدق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التفصيل مع ما ذكر من التوجيه غير واضح؛ فليس الكلام في الفعل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ثابت أو غير ثابت في ذمته، بل الكلام في الحكم، فالوجوب والتحريم وضعا على عهدة المكلف، وبهذا اللحاظ يكونان قابلين للوضع عنه، وقد قلنا إن الوضع عنه فرع الوضع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في الوجوب والتحريم،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تعدى التحريم إلى المكلف بحرف الاستعلاء، كما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فَصَّلَ لَكُم مَّا حَرَّمَ عَلَيْكُمْ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44" w:name="pg15608_166720"/>
    </w:p>
    <w:p>
      <w:pPr>
        <w:pStyle w:val="BookText"/>
        <w:rPr/>
      </w:pPr>
      <w:bookmarkEnd w:id="44"/>
      <w:r>
        <w:rPr>
          <w:rFonts w:ascii="Amiri" w:hAnsi="Amiri" w:eastAsia="Amiri" w:cs="Amiri"/>
          <w:color w:val="111111"/>
          <w:sz w:val="28"/>
          <w:sz w:val="28"/>
          <w:szCs w:val="28"/>
          <w:rtl w:val="true"/>
          <w:lang w:bidi="ar-SA"/>
        </w:rPr>
        <w:t>وكما أن الوجوب ثقل على عاتق المكلف فيوضع عنه كذلك التحريم، فحديث الحجب شامل للشبهات الوجوبية والتحريمية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حديث الحجب</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0086463_2142443653"/>
      <w:bookmarkStart w:id="46" w:name="_Toc16"/>
      <w:bookmarkEnd w:id="45"/>
      <w:r>
        <w:rPr>
          <w:rtl w:val="true"/>
        </w:rPr>
        <w:t>الحديث الثالث</w:t>
      </w:r>
      <w:r>
        <w:rPr>
          <w:rtl w:val="true"/>
        </w:rPr>
        <w:t xml:space="preserve">: </w:t>
      </w:r>
      <w:r>
        <w:rPr>
          <w:rtl w:val="true"/>
        </w:rPr>
        <w:t>حديث السعة</w:t>
      </w:r>
      <w:bookmarkEnd w:id="46"/>
    </w:p>
    <w:p>
      <w:pPr>
        <w:pStyle w:val="Heading4"/>
        <w:numPr>
          <w:ilvl w:val="3"/>
          <w:numId w:val="1"/>
        </w:numPr>
        <w:rPr/>
      </w:pPr>
      <w:bookmarkStart w:id="47" w:name="__RefHeading___Toc10086465_2142443653"/>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في سعة ما لم يعلموا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0086467_2142443653"/>
      <w:bookmarkStart w:id="50" w:name="_Toc18"/>
      <w:bookmarkEnd w:id="49"/>
      <w:r>
        <w:rPr>
          <w:rtl w:val="true"/>
        </w:rPr>
        <w:t>المبحث الأول</w:t>
      </w:r>
      <w:r>
        <w:rPr>
          <w:rtl w:val="true"/>
        </w:rPr>
        <w:t xml:space="preserve">: </w:t>
      </w:r>
      <w:r>
        <w:rPr>
          <w:rtl w:val="true"/>
        </w:rPr>
        <w:t>البحث السندي</w:t>
      </w:r>
      <w:bookmarkEnd w:id="50"/>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يوجد في كتب الأخبار أصلاً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وإنما وجد في كتب الأصوليين بلا مدرك، وتبعه بعض تلاميذه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يرد عليه أنه مذكور في العوالي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ونقله عنه في المستدرك 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فالحديث موجود في كتب الأخبار لكنه مرسل</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0086469_2142443653"/>
      <w:bookmarkStart w:id="52" w:name="_Toc19"/>
      <w:bookmarkEnd w:id="51"/>
      <w:r>
        <w:rPr>
          <w:rtl w:val="true"/>
        </w:rPr>
        <w:t>المبحث الثاني</w:t>
      </w:r>
      <w:r>
        <w:rPr>
          <w:rtl w:val="true"/>
        </w:rPr>
        <w:t xml:space="preserve">: </w:t>
      </w:r>
      <w:r>
        <w:rPr>
          <w:rtl w:val="true"/>
        </w:rPr>
        <w:t>في متن حديث السعة</w:t>
      </w:r>
      <w:bookmarkEnd w:id="52"/>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كتب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سعة ما لا يعلمون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وفرعوا عليه مباحث عديدة كدخول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المضارع، وقد أشار إلى آثارها المحقق النائيني</w:t>
      </w:r>
      <w:r>
        <w:rPr>
          <w:rStyle w:val="FootnoteAnchor"/>
          <w:rtl w:val="true"/>
        </w:rPr>
        <w:footnoteReference w:id="105"/>
      </w:r>
      <w:r>
        <w:rPr>
          <w:rFonts w:ascii="Amiri" w:hAnsi="Amiri" w:eastAsia="Amiri" w:cs="Amiri"/>
          <w:color w:val="111111"/>
          <w:sz w:val="28"/>
          <w:sz w:val="28"/>
          <w:szCs w:val="28"/>
          <w:rtl w:val="true"/>
          <w:lang w:bidi="ar-SA"/>
        </w:rPr>
        <w:t xml:space="preserve">وذكر </w:t>
      </w:r>
      <w:bookmarkStart w:id="53" w:name="pg15608_166722"/>
    </w:p>
    <w:p>
      <w:pPr>
        <w:pStyle w:val="BookText"/>
        <w:rPr/>
      </w:pPr>
      <w:bookmarkEnd w:id="53"/>
      <w:r>
        <w:rPr>
          <w:rFonts w:ascii="Amiri" w:hAnsi="Amiri" w:eastAsia="Amiri" w:cs="Amiri"/>
          <w:color w:val="111111"/>
          <w:sz w:val="28"/>
          <w:sz w:val="28"/>
          <w:szCs w:val="28"/>
          <w:rtl w:val="true"/>
          <w:lang w:bidi="ar-SA"/>
        </w:rPr>
        <w:t>بعضها في المصباح</w:t>
      </w:r>
      <w:r>
        <w:rPr>
          <w:rStyle w:val="FootnoteAnchor"/>
          <w:rtl w:val="true"/>
        </w:rPr>
        <w:footnoteReference w:id="106"/>
      </w:r>
      <w:r>
        <w:rPr>
          <w:rFonts w:ascii="Amiri" w:hAnsi="Amiri" w:eastAsia="Amiri" w:cs="Amiri"/>
          <w:color w:val="111111"/>
          <w:sz w:val="28"/>
          <w:sz w:val="28"/>
          <w:szCs w:val="28"/>
          <w:rtl w:val="true"/>
          <w:lang w:bidi="ar-SA"/>
        </w:rPr>
        <w:t xml:space="preserve">، لكن لم نجد ذلك في كتب الأخبار، بل الموجود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فجميع المباحث التي فرعت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0086471_2142443653"/>
      <w:bookmarkStart w:id="55" w:name="_Toc20"/>
      <w:bookmarkEnd w:id="54"/>
      <w:r>
        <w:rPr>
          <w:rtl w:val="true"/>
        </w:rPr>
        <w:t>المبحث الثالث</w:t>
      </w:r>
      <w:r>
        <w:rPr>
          <w:rtl w:val="true"/>
        </w:rPr>
        <w:t xml:space="preserve">: </w:t>
      </w:r>
      <w:r>
        <w:rPr>
          <w:rtl w:val="true"/>
        </w:rPr>
        <w:t xml:space="preserve">في مفاد كلمة </w:t>
      </w:r>
      <w:r>
        <w:rPr>
          <w:rtl w:val="true"/>
        </w:rPr>
        <w:t>(</w:t>
      </w:r>
      <w:r>
        <w:rPr>
          <w:rtl w:val="true"/>
        </w:rPr>
        <w:t>ما لم يعلموا</w:t>
      </w:r>
      <w:r>
        <w:rPr>
          <w:rtl w:val="true"/>
        </w:rPr>
        <w:t>)</w:t>
      </w:r>
      <w:bookmarkEnd w:id="55"/>
    </w:p>
    <w:p>
      <w:pPr>
        <w:pStyle w:val="BookText"/>
        <w:rPr/>
      </w:pPr>
      <w:r>
        <w:rPr>
          <w:rFonts w:ascii="Amiri" w:hAnsi="Amiri" w:eastAsia="Amiri" w:cs="Amiri"/>
          <w:color w:val="111111"/>
          <w:sz w:val="28"/>
          <w:sz w:val="28"/>
          <w:szCs w:val="28"/>
          <w:rtl w:val="true"/>
          <w:lang w:bidi="ar-SA"/>
        </w:rPr>
        <w:t>وفيه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موصولة،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موصولة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قراءة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الإضافة لا غير</w:t>
      </w:r>
      <w:r>
        <w:rPr>
          <w:rStyle w:val="FootnoteAnchor"/>
          <w:rtl w:val="true"/>
        </w:rPr>
        <w:footnoteReference w:id="107"/>
      </w:r>
      <w:r>
        <w:rPr>
          <w:rFonts w:ascii="Amiri" w:hAnsi="Amiri" w:eastAsia="Amiri" w:cs="Amiri"/>
          <w:color w:val="111111"/>
          <w:sz w:val="28"/>
          <w:sz w:val="28"/>
          <w:szCs w:val="28"/>
          <w:rtl w:val="true"/>
          <w:lang w:bidi="ar-SA"/>
        </w:rPr>
        <w:t>، أي الناس في سعةِ الحكم الذي لا يعلمونه، فلا ضيق عليهم من قبل الحكم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مصدرية ظرفية زمانية</w:t>
      </w:r>
      <w:r>
        <w:rPr>
          <w:rStyle w:val="FootnoteAnchor"/>
          <w:rtl w:val="true"/>
        </w:rPr>
        <w:footnoteReference w:id="108"/>
      </w:r>
      <w:r>
        <w:rPr>
          <w:rFonts w:ascii="Amiri" w:hAnsi="Amiri" w:eastAsia="Amiri" w:cs="Amiri"/>
          <w:color w:val="111111"/>
          <w:sz w:val="28"/>
          <w:sz w:val="28"/>
          <w:szCs w:val="28"/>
          <w:rtl w:val="true"/>
          <w:lang w:bidi="ar-SA"/>
        </w:rPr>
        <w:t xml:space="preserve">فلا بد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أي أنهم في سعةٍ مدة عدم علمهم بالواقع</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0086473_2142443653"/>
      <w:bookmarkStart w:id="57" w:name="_Toc21"/>
      <w:bookmarkEnd w:id="56"/>
      <w:r>
        <w:rPr>
          <w:rtl w:val="true"/>
        </w:rPr>
        <w:t>المبحث الرابع</w:t>
      </w:r>
      <w:r>
        <w:rPr>
          <w:rtl w:val="true"/>
        </w:rPr>
        <w:t xml:space="preserve">: </w:t>
      </w:r>
      <w:r>
        <w:rPr>
          <w:rtl w:val="true"/>
        </w:rPr>
        <w:t>في النسبة بين حديث السعة وأدلة وجوب الاحتياط</w:t>
      </w:r>
      <w:bookmarkEnd w:id="57"/>
    </w:p>
    <w:p>
      <w:pPr>
        <w:pStyle w:val="BookText"/>
        <w:rPr/>
      </w:pPr>
      <w:r>
        <w:rPr>
          <w:rFonts w:ascii="Amiri" w:hAnsi="Amiri" w:eastAsia="Amiri" w:cs="Amiri"/>
          <w:color w:val="111111"/>
          <w:sz w:val="28"/>
          <w:sz w:val="28"/>
          <w:szCs w:val="28"/>
          <w:rtl w:val="true"/>
          <w:lang w:bidi="ar-SA"/>
        </w:rPr>
        <w:t xml:space="preserve">وفي النسبة بين حديث السعة وأدلة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دلالتها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تعارض حديث السعة مع دليل الاحتياط</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الدليلان متعارضين، فحديث السعة يثبت السعة ويرخص، ودليل الاحتياط يأمر بالاحتياط ويضيق، فلو كان هنالك جمعٌ دلاليٌ فهو المرجع، كأن يحمل في المقام أوامر الاحتياط على </w:t>
      </w:r>
    </w:p>
    <w:p>
      <w:pPr>
        <w:pStyle w:val="BookText"/>
        <w:rPr/>
      </w:pPr>
      <w:r>
        <w:rPr>
          <w:rFonts w:ascii="Amiri" w:hAnsi="Amiri" w:eastAsia="Amiri" w:cs="Amiri"/>
          <w:color w:val="111111"/>
          <w:sz w:val="28"/>
          <w:sz w:val="28"/>
          <w:szCs w:val="28"/>
          <w:rtl w:val="true"/>
          <w:lang w:bidi="ar-SA"/>
        </w:rPr>
        <w:t>الاستحباب، كما ذكره السيد الوالد في الأصول</w:t>
      </w:r>
      <w:r>
        <w:rPr>
          <w:rStyle w:val="FootnoteAnchor"/>
          <w:rtl w:val="true"/>
        </w:rPr>
        <w:footnoteReference w:id="109"/>
      </w:r>
      <w:r>
        <w:rPr>
          <w:rFonts w:ascii="Amiri" w:hAnsi="Amiri" w:eastAsia="Amiri" w:cs="Amiri"/>
          <w:color w:val="111111"/>
          <w:sz w:val="28"/>
          <w:sz w:val="28"/>
          <w:szCs w:val="28"/>
          <w:rtl w:val="true"/>
          <w:lang w:bidi="ar-SA"/>
        </w:rPr>
        <w:t>، وإلاّ فلا بد من مراجعة مرجحات باب تعارض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دليل الاحتياط على حديث السعة</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دليل الاحتياط وارداً أو حاكماً على حديث السعة؛ لأنَّ الثاني مقيد بعدم العلم والأول علم، ولا فرق في العلم بين العلم بالحكم الواقعي أو الظاهري، فلا إشكال في الحكم بطهارة المشكوك للعلم بالحكم الظاهري اعتمادا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فإنّ موضوعه مرتفع مع العلم بالحكم الواقعي أو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لو حصل العلم بالحكم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موضوع حديث السعة، فتكون أدلة الاحتياط واردة،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التوسعة والتضييق تعبديان لا وجدانيان كانت أدلة الاحتياط 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بين طريقية أدلة الاحتياط وموضوعيتها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صاحب الكفاية في المقام وبنى تفصيله على كون المبنى في أدلة الاحتياط طريقياً أو نفسياً، فإن كان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هو لحفظ التكاليف والملاكات الواقعية، وأنه واجب طريقي ولا ملاك مستقل له في حد ذاته، ولا ثواب ولا عقاب مستقل فيه، فهو يعارض حديث السعة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المبنى أنه واجب نفسي مستقل، وله ملاك</w:t>
      </w:r>
      <w:r>
        <w:rPr>
          <w:rStyle w:val="FootnoteAnchor"/>
          <w:rtl w:val="true"/>
        </w:rPr>
        <w:footnoteReference w:id="111"/>
      </w:r>
      <w:r>
        <w:rPr>
          <w:rFonts w:ascii="Amiri" w:hAnsi="Amiri" w:eastAsia="Amiri" w:cs="Amiri"/>
          <w:color w:val="111111"/>
          <w:sz w:val="28"/>
          <w:sz w:val="28"/>
          <w:szCs w:val="28"/>
          <w:rtl w:val="true"/>
          <w:lang w:bidi="ar-SA"/>
        </w:rPr>
        <w:t>وثواب وعقاب مستقل، فهو وارد على حديث السعة و رافع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النسبة على الطريقية التعارض، وعلى الموضوعية الورود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الاحتياط واجباً لما كانوا في سعة أصلاً، فيعارض ما دل على وجوبه</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به وجوب الاحتياط</w:t>
      </w:r>
      <w:r>
        <w:rPr>
          <w:rStyle w:val="FootnoteAnchor"/>
          <w:rtl w:val="true"/>
        </w:rPr>
        <w:footnoteReference w:id="113"/>
      </w:r>
      <w:r>
        <w:rPr>
          <w:rFonts w:ascii="Amiri" w:hAnsi="Amiri" w:eastAsia="Amiri" w:cs="Amiri"/>
          <w:color w:val="111111"/>
          <w:sz w:val="28"/>
          <w:sz w:val="28"/>
          <w:szCs w:val="28"/>
          <w:rtl w:val="true"/>
          <w:lang w:bidi="ar-SA"/>
        </w:rPr>
        <w:t>،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الوجوب أو الحرمة بعد، فكيف يقع في ضيق الاحتياط من أجله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فالحكم الواقعي للتتن مجهول، ولا يكون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للعلم بالحكم الواقعي، بل هو متمحض في الطريقية، فلا يكون هنالك إلا وجوب وحرمة واحدة هي الواقعية، وحيث لم ينقلب الجهل إلى العلم بالأمر بالاحتياط كان المكلف في ضيق، وأما حديث السعة فيوسع عليه لجهله بالحكم، فيتعارض الدليلان، وهذا على مبنى الطريقية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إطلاق كلام الكفاية محل تأمل؛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السعة إما موصولة أو ظرفية، فلو كانت موصولة كان الكلام تاماً، حيث إنَّ مفاد حديث السعة أنَّ الناس في سعة من جهة الحكم المجهول، ومفاد أوامر </w:t>
      </w:r>
    </w:p>
    <w:p>
      <w:pPr>
        <w:pStyle w:val="BookText"/>
        <w:rPr/>
      </w:pPr>
      <w:r>
        <w:rPr>
          <w:rFonts w:ascii="Amiri" w:hAnsi="Amiri" w:eastAsia="Amiri" w:cs="Amiri"/>
          <w:color w:val="111111"/>
          <w:sz w:val="28"/>
          <w:sz w:val="28"/>
          <w:szCs w:val="28"/>
          <w:rtl w:val="true"/>
          <w:lang w:bidi="ar-SA"/>
        </w:rPr>
        <w:t>الاحتياط لزوم الاحتياط من جهة الحكم المجهول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كانت بمعنى الظرفية، فمفاد حديث السعة أنّ الناس في سعة في ظرف الجهل،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بالحكم، غاية الأمر أنه علم بالحكم الظاهري، ولا فرق بين العلم بالحكم الظاهري والواقعي، فينتفي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 الاحتياط وارداً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لغوية حديث السعة بناء على ورود أدلة الاحتياط</w:t>
      </w:r>
    </w:p>
    <w:p>
      <w:pPr>
        <w:pStyle w:val="BookText"/>
        <w:rPr/>
      </w:pPr>
      <w:r>
        <w:rPr>
          <w:rFonts w:ascii="Amiri" w:hAnsi="Amiri" w:eastAsia="Amiri" w:cs="Amiri"/>
          <w:color w:val="111111"/>
          <w:sz w:val="28"/>
          <w:sz w:val="28"/>
          <w:szCs w:val="28"/>
          <w:rtl w:val="true"/>
          <w:lang w:bidi="ar-SA"/>
        </w:rPr>
        <w:t>وقد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لغوية حديث السعة؛ لعدم بقاء مورد له مع حكومة أوامر الاحتياط أو ورودها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السعة عام يشمل الموارد التي لا وجوب للاحتياط فيها، كالشبهات الموضوعية مطلقاً أو في الجملة، فلو شك في طهارة شيء كان المحكم حديث السعة، ولا يشمله دليل الاحتياط، فليس حديث السعة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إنما يتم بناء على مبنى انقلاب النسبة</w:t>
      </w:r>
      <w:r>
        <w:rPr>
          <w:rStyle w:val="FootnoteAnchor"/>
          <w:rtl w:val="true"/>
        </w:rPr>
        <w:footnoteReference w:id="115"/>
      </w:r>
      <w:r>
        <w:rPr>
          <w:rFonts w:ascii="Amiri" w:hAnsi="Amiri" w:eastAsia="Amiri" w:cs="Amiri"/>
          <w:color w:val="111111"/>
          <w:sz w:val="28"/>
          <w:sz w:val="28"/>
          <w:szCs w:val="28"/>
          <w:rtl w:val="true"/>
          <w:lang w:bidi="ar-SA"/>
        </w:rPr>
        <w:t>، وأما بناء على عدم انقلاب النسبة فاللغوية قائمة، والتعارض بين الدليلين حاصل، فلا يكون الجواب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اللغوية بناء على انقلاب النسبة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 دليلين نسبة من النسب المنطقية الأربع، فورد دليل ثالث، فمع ضمه إلى أحد الدليلين الأولين يمكن انقلاب النسبة بينهما وإلا فلا،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التباين الكلي، فلو </w:t>
      </w:r>
    </w:p>
    <w:p>
      <w:pPr>
        <w:pStyle w:val="BookText"/>
        <w:rPr/>
      </w:pPr>
      <w:r>
        <w:rPr>
          <w:rFonts w:ascii="Amiri" w:hAnsi="Amiri" w:eastAsia="Amiri" w:cs="Amiri"/>
          <w:color w:val="111111"/>
          <w:sz w:val="28"/>
          <w:sz w:val="28"/>
          <w:szCs w:val="28"/>
          <w:rtl w:val="true"/>
          <w:lang w:bidi="ar-SA"/>
        </w:rPr>
        <w:t xml:space="preserve">ورد دليل 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تنقلب النسبة يبقى التباين قائماً بين الدليلين الأولين، فيتعارضان ويجري عليهما أحكام التعارض، ويمكن تساقطهما، فلا يبقى إلا الدليل الثالث، ومع انقلاب النسبة يتم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 النحاة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النحاة إلا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النحاة غير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التخصيص تنقلب النسبة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التباين الكلي إلى العموم المطلق،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النحاة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بعد تخصيص أحد العامين تنقلب نسبة العام إلى العام الآخر من التباين الكلي إلى العموم المطلق، فيخصص العام المخصَص العام الآخر، فلا تعارض بين الأدلة الثلاثة، وما نحن فيه كذلك، فهنالك عامان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لجميع الشبهات الوجوبية والتحريمية، الحكمية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 أيضاً، والنسبة بينهما التباين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هنالك دليل ثالث في المقام،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وجوب الاحتياط في الشبهات الموضوعية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العموم المطلق، حيث يلزم التوقف عند الشبهة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الاقتحام في شبهة الطهارة والنجاسة والزوجية</w:t>
      </w:r>
      <w:r>
        <w:rPr>
          <w:rStyle w:val="FootnoteAnchor"/>
          <w:rtl w:val="true"/>
        </w:rPr>
        <w:footnoteReference w:id="11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تعارض بينهما،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مفاده وجوب الاحتياط في الشبهات الحكمية، لا في الشبهات الموضوعية كُلاُّ أو بعضاً، فمع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تنقلب نسبة العام الأول إلى الثاني من التباين الكلي إلى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مفاد العام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لجميع الشبهات، ومفاد العام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الاحتياط بعد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الوقوف في الشبهات الحكمية، فانقلبت النسبة بين العامين من التباين الكلي إلى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إشكال اللغوية؛ 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للشبهات الموضوعية،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الاحتياط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اللغوية بناء على عدم انقلاب النسبة</w:t>
      </w:r>
    </w:p>
    <w:p>
      <w:pPr>
        <w:pStyle w:val="BookText"/>
        <w:rPr/>
      </w:pPr>
      <w:r>
        <w:rPr>
          <w:rFonts w:ascii="Amiri" w:hAnsi="Amiri" w:eastAsia="Amiri" w:cs="Amiri"/>
          <w:color w:val="111111"/>
          <w:sz w:val="28"/>
          <w:sz w:val="28"/>
          <w:szCs w:val="28"/>
          <w:rtl w:val="true"/>
          <w:lang w:bidi="ar-SA"/>
        </w:rPr>
        <w:t>أما مع عدم انقلاب النسبة، والقول بورود دليل الاحتياط على حديث السعة، بناء على احتمال الظرفية، فيكون حديث السعة لغواً، حيث إنّ حديث السعة شامل لجميع الشبهات، ودليل الاحتياط يلزم الاحتياط في كل ما لم يعلم، ومع ورده ينتفي موضوع حديث السعة، فلا يبقى له مورد، فيكون لغواً، فينتفي التفصيل بين كونه ظرفاً أو موصولاً، فيتعارض الدليلان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أنه بناء على مبنى عدم انقلاب النسبة كان كلام الكفاية تاماً، حيث التعارض قائم بين الدليلين، ولا فرق فيه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موصولاً أو ظرفاً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مبنى انقلاب النسبة فالتعارض قائم بناء على كونه موصولاً، وأما بناء على الظرفية فلا تعارض؛ لورود دليل الاحتياط على حديث السعة</w:t>
      </w:r>
      <w:r>
        <w:rPr>
          <w:rFonts w:eastAsia="Amiri" w:cs="Amiri" w:ascii="Amiri" w:hAnsi="Amiri"/>
          <w:color w:val="111111"/>
          <w:sz w:val="28"/>
          <w:szCs w:val="28"/>
          <w:rtl w:val="true"/>
          <w:lang w:bidi="ar-SA"/>
        </w:rPr>
        <w:t xml:space="preserve">. </w:t>
      </w:r>
      <w:bookmarkStart w:id="58" w:name="pg15608_166735"/>
    </w:p>
    <w:p>
      <w:pPr>
        <w:pStyle w:val="BookText"/>
        <w:rPr/>
      </w:pPr>
      <w:bookmarkEnd w:id="58"/>
      <w:r>
        <w:rPr>
          <w:rFonts w:ascii="Amiri" w:hAnsi="Amiri" w:eastAsia="Amiri" w:cs="Amiri"/>
          <w:color w:val="111111"/>
          <w:sz w:val="28"/>
          <w:sz w:val="28"/>
          <w:szCs w:val="28"/>
          <w:rtl w:val="true"/>
          <w:lang w:bidi="ar-SA"/>
        </w:rPr>
        <w:t>هذا تمام الكلام في الشق الأول من كلام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الثاني الذي ذكره صاحب الكفاية بناء على الموضوعية ونفسية أوامر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الاحتياط واجباً نفسياً</w:t>
      </w:r>
      <w:r>
        <w:rPr>
          <w:rStyle w:val="FootnoteAnchor"/>
          <w:rtl w:val="true"/>
        </w:rPr>
        <w:footnoteReference w:id="118"/>
      </w:r>
      <w:r>
        <w:rPr>
          <w:rFonts w:ascii="Amiri" w:hAnsi="Amiri" w:eastAsia="Amiri" w:cs="Amiri"/>
          <w:color w:val="111111"/>
          <w:sz w:val="28"/>
          <w:sz w:val="28"/>
          <w:szCs w:val="28"/>
          <w:rtl w:val="true"/>
          <w:lang w:bidi="ar-SA"/>
        </w:rPr>
        <w:t>كان</w:t>
      </w:r>
      <w:r>
        <w:rPr>
          <w:rStyle w:val="FootnoteAnchor"/>
          <w:rtl w:val="true"/>
        </w:rPr>
        <w:footnoteReference w:id="119"/>
      </w:r>
      <w:r>
        <w:rPr>
          <w:rFonts w:ascii="Amiri" w:hAnsi="Amiri" w:eastAsia="Amiri" w:cs="Amiri"/>
          <w:color w:val="111111"/>
          <w:sz w:val="28"/>
          <w:sz w:val="28"/>
          <w:szCs w:val="28"/>
          <w:rtl w:val="true"/>
          <w:lang w:bidi="ar-SA"/>
        </w:rPr>
        <w:t>وقوعه في ضيقه بعد العلم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تعارض بين الدليلين؛ لعدم ضيق على المكلف بالنسبة إلى الحكم الواقعي لحديث السعة، ودليل الاحتياط لا ينافي السعة؛ لأنَّ التضييق على المكلف ليس ناشئاً من الحرمة المجهولة، وإنّما من وجوب الاحتياط المعلوم، فيرتفع موضوع السعة للعلم بوجوب الاحتياط وجوباً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هنا نفس ما ذكرناه في الشق الأول من انقلاب النسبة وعدمه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0086475_2142443653"/>
      <w:bookmarkStart w:id="60" w:name="_Toc22"/>
      <w:bookmarkEnd w:id="59"/>
      <w:r>
        <w:rPr>
          <w:rtl w:val="true"/>
        </w:rPr>
        <w:t>الحديث الرابع</w:t>
      </w:r>
      <w:r>
        <w:rPr>
          <w:rtl w:val="true"/>
        </w:rPr>
        <w:t xml:space="preserve">: </w:t>
      </w:r>
      <w:r>
        <w:rPr>
          <w:rtl w:val="true"/>
        </w:rPr>
        <w:t>حديث الإطلاق</w:t>
      </w:r>
      <w:bookmarkEnd w:id="60"/>
    </w:p>
    <w:p>
      <w:pPr>
        <w:pStyle w:val="Heading4"/>
        <w:numPr>
          <w:ilvl w:val="3"/>
          <w:numId w:val="1"/>
        </w:numPr>
        <w:rPr/>
      </w:pPr>
      <w:bookmarkStart w:id="61" w:name="__RefHeading___Toc10086477_2142443653"/>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رواه في الوسائل عن الإمام الصادق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بحثان سندي و دلالي</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0086479_2142443653"/>
      <w:bookmarkStart w:id="64" w:name="_Toc24"/>
      <w:bookmarkEnd w:id="63"/>
      <w:r>
        <w:rPr>
          <w:rtl w:val="true"/>
        </w:rPr>
        <w:t>البحث الأول</w:t>
      </w:r>
      <w:r>
        <w:rPr>
          <w:rtl w:val="true"/>
        </w:rPr>
        <w:t xml:space="preserve">: </w:t>
      </w:r>
      <w:r>
        <w:rPr>
          <w:rtl w:val="true"/>
        </w:rPr>
        <w:t>في سند الحديث</w:t>
      </w:r>
      <w:bookmarkEnd w:id="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مرسلاً، ولكنه مرسل بخصوصيتين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أرسله الشيخ الصدوق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أسنده إلى الإمام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على نحو البت والجزم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فيحتمل أن يكون له نوع من أنواع الحجية، والبحث في حجية روايات الفقيه مهم جداً، فإنَّ ثلثه مراسيل</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ثلاثة مبان في مراسيل الصدوق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مطلقاً، ذهب إليه جمع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التفريشي في شرحه على الفقيه،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حيث قال</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مراسيل الصدوق في الفقيه كمراسيل ابن أبي عمير في الحجية والاعتبار، وإنَّ هذه المزية من خواص هذا الكتاب لا توجد في غيره من كتب الأصحاب،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في شرحه على الفقيه</w:t>
      </w:r>
      <w:r>
        <w:rPr>
          <w:rStyle w:val="FootnoteAnchor"/>
          <w:rtl w:val="true"/>
        </w:rPr>
        <w:footnoteReference w:id="123"/>
      </w:r>
      <w:r>
        <w:rPr>
          <w:rFonts w:ascii="Amiri" w:hAnsi="Amiri" w:eastAsia="Amiri" w:cs="Amiri"/>
          <w:color w:val="111111"/>
          <w:sz w:val="28"/>
          <w:sz w:val="28"/>
          <w:szCs w:val="28"/>
          <w:rtl w:val="true"/>
          <w:lang w:bidi="ar-SA"/>
        </w:rPr>
        <w:t>وذكر فيه أنَّ مبنى جمع أنَّ مراسيل الثقة أقوى في الاعتبار من مسانيده، ففي المراسيل ينسب الحديث إلى الإمام، وأما في المسانيد يروي عن الإمام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فتكون المراسيل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الحجية بين ما أسنده على نحو البت والقطع فهو حجة، وبين ما لم يسنده كذلك، اختاره المحقق الداماد في الرواشح</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الأول دليلان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الصدوق لحجية ما فيه لما ذكره في أول الفقيه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أقصد فيه قصد المصنفين في إيراد جميع ما روي، بل قصدت إلى إيراد ما أفتي به وأحكم بصحته، وأعتقد فيه أنه حجة فيما بيني وبين ربي تقدس ذكره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لأنَّ الصحة في اصطلاح المتقدمين غيرها عند المتأخرين، فعند المتأخرين عبارة عن الخبر الذي رواه عدل إمامي ضابط عن مثله في جميع الطبقات، أما عند المتقدمين فهو الخبر الذي اعتضد بما يوجب الاعتماد عليه</w:t>
      </w:r>
      <w:r>
        <w:rPr>
          <w:rStyle w:val="FootnoteAnchor"/>
          <w:rtl w:val="true"/>
        </w:rPr>
        <w:footnoteReference w:id="126"/>
      </w:r>
      <w:r>
        <w:rPr>
          <w:rFonts w:ascii="Amiri" w:hAnsi="Amiri" w:eastAsia="Amiri" w:cs="Amiri"/>
          <w:color w:val="111111"/>
          <w:sz w:val="28"/>
          <w:sz w:val="28"/>
          <w:szCs w:val="28"/>
          <w:rtl w:val="true"/>
          <w:lang w:bidi="ar-SA"/>
        </w:rPr>
        <w:t>، فيمكن أن تكون قرينة الصحة قرينة خارجية</w:t>
      </w:r>
      <w:r>
        <w:rPr>
          <w:rStyle w:val="FootnoteAnchor"/>
          <w:rtl w:val="true"/>
        </w:rPr>
        <w:footnoteReference w:id="127"/>
      </w:r>
      <w:r>
        <w:rPr>
          <w:rFonts w:ascii="Amiri" w:hAnsi="Amiri" w:eastAsia="Amiri" w:cs="Amiri"/>
          <w:color w:val="111111"/>
          <w:sz w:val="28"/>
          <w:sz w:val="28"/>
          <w:szCs w:val="28"/>
          <w:rtl w:val="true"/>
          <w:lang w:bidi="ar-SA"/>
        </w:rPr>
        <w:t>لا داخلية</w:t>
      </w:r>
      <w:r>
        <w:rPr>
          <w:rStyle w:val="FootnoteAnchor"/>
          <w:rtl w:val="true"/>
        </w:rPr>
        <w:footnoteReference w:id="128"/>
      </w:r>
      <w:r>
        <w:rPr>
          <w:rFonts w:ascii="Amiri" w:hAnsi="Amiri" w:eastAsia="Amiri" w:cs="Amiri"/>
          <w:color w:val="111111"/>
          <w:sz w:val="28"/>
          <w:sz w:val="28"/>
          <w:szCs w:val="28"/>
          <w:rtl w:val="true"/>
          <w:lang w:bidi="ar-SA"/>
        </w:rPr>
        <w:t>، فأوجبت الاطمئنان للشيخ فحسب، إلاّ أن يقال بحجية اجتهاد مجتهد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الصدوق في مقدمة الفقيه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مشهورة عليها المعول وإليها المرجع</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قابل للتأمل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أن تكون شهرة الكتاب والاعتماد عليه في مقابل السلب الكلي، فمفاده الموجبة الجزئية في قبال السالبة الكلية،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 الفقهاء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الهفت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يعتمدون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معناه الاعتماد على كل ما فيه، بل في مقابل </w:t>
      </w:r>
      <w:bookmarkStart w:id="65" w:name="pg15608_166741"/>
    </w:p>
    <w:p>
      <w:pPr>
        <w:pStyle w:val="BookText"/>
        <w:rPr/>
      </w:pPr>
      <w:bookmarkEnd w:id="65"/>
      <w:r>
        <w:rPr>
          <w:rFonts w:ascii="Amiri" w:hAnsi="Amiri" w:eastAsia="Amiri" w:cs="Amiri"/>
          <w:color w:val="111111"/>
          <w:sz w:val="28"/>
          <w:sz w:val="28"/>
          <w:szCs w:val="28"/>
          <w:rtl w:val="true"/>
          <w:lang w:bidi="ar-SA"/>
        </w:rPr>
        <w:t>السلب المطلق للكتب غير المشهورة التي لا يعتمد عليها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القول الثاني، فقد قال المحقق الداماد في الرواشح</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الجازم بالإسناد هادم لجلالته وعدالته، فلو لم يجزم الشيخ الصدوق بالخبر من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فكيف يسنده إليه وهو خلاف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الكلام فيه مما تقدم؛ لإمكان حصول الاطمئنان بصدوره عن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القرائن الخارجية، فلا يكون هادماً للعدالة، مضافاً إلى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مفطرات الصوم</w:t>
      </w:r>
      <w:r>
        <w:rPr>
          <w:rStyle w:val="FootnoteAnchor"/>
          <w:rtl w:val="true"/>
        </w:rPr>
        <w:footnoteReference w:id="131"/>
      </w:r>
      <w:r>
        <w:rPr>
          <w:rFonts w:ascii="Amiri" w:hAnsi="Amiri" w:eastAsia="Amiri" w:cs="Amiri"/>
          <w:color w:val="111111"/>
          <w:sz w:val="28"/>
          <w:sz w:val="28"/>
          <w:szCs w:val="28"/>
          <w:rtl w:val="true"/>
          <w:lang w:bidi="ar-SA"/>
        </w:rPr>
        <w:t>حينما يقول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يعني روي أنه قال الإمام وهكذا المؤلف، فلا ظهور في النسبة الجازمة وتفصيله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إلا القول الثالث وهو عدم الحجية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المبنيين الأولين يكون حديث الإطلاق معتبراً، وعلى كل حال، له نوع من أنواع الحجية أو القرب إلى الحجية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0086481_2142443653"/>
      <w:bookmarkStart w:id="67" w:name="_Toc25"/>
      <w:bookmarkEnd w:id="66"/>
      <w:r>
        <w:rPr>
          <w:rtl w:val="true"/>
        </w:rPr>
        <w:t>البحث الثاني</w:t>
      </w:r>
      <w:r>
        <w:rPr>
          <w:rtl w:val="true"/>
        </w:rPr>
        <w:t xml:space="preserve">: </w:t>
      </w:r>
      <w:r>
        <w:rPr>
          <w:rtl w:val="true"/>
        </w:rPr>
        <w:t>في دلالة حديث الإطلاق</w:t>
      </w:r>
      <w:bookmarkEnd w:id="67"/>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ودلالته على المطلب أوضح من الكل</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الشيخ الصدوق في الفقيه على جواز الدعاء في القنوت باللغة الفارسية؛ لعدم ورود النهي فيه، فيحكم بجوازه بكل شيء مطلق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شيخنا ابن الوليد عن سعد بن عبد اللّه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bookmarkStart w:id="68" w:name="pg15608_166743"/>
    </w:p>
    <w:p>
      <w:pPr>
        <w:pStyle w:val="BookText"/>
        <w:rPr/>
      </w:pPr>
      <w:bookmarkEnd w:id="68"/>
      <w:r>
        <w:rPr>
          <w:rFonts w:ascii="Amiri" w:hAnsi="Amiri" w:eastAsia="Amiri" w:cs="Amiri"/>
          <w:color w:val="111111"/>
          <w:sz w:val="28"/>
          <w:sz w:val="28"/>
          <w:szCs w:val="28"/>
          <w:rtl w:val="true"/>
          <w:lang w:bidi="ar-SA"/>
        </w:rPr>
        <w:t>الدعاء في القنوت بالفارسية، وكان الصفار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والذي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لقول الباقر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بأس أن يتكلم الرجل في صلاة الفريضة بكل شيء يناجي به ربه عز وجل، ولو لم يرد هذا الخبر لكنت أجيزه للخبر الذي روي عن الإمام الصادق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شيء مطلق حتى يرد فيه نهي، والنهي عن الدعاء بالفارسية في الصلاة غير موجود</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0086483_2142443653"/>
      <w:bookmarkStart w:id="70" w:name="_Toc26"/>
      <w:bookmarkEnd w:id="69"/>
      <w:r>
        <w:rPr>
          <w:rtl w:val="true"/>
        </w:rPr>
        <w:t>إشكالات على الاستدلال بحديث الإطلاق</w:t>
      </w:r>
      <w:bookmarkEnd w:id="70"/>
    </w:p>
    <w:p>
      <w:pPr>
        <w:pStyle w:val="BookText"/>
        <w:rPr/>
      </w:pPr>
      <w:r>
        <w:rPr>
          <w:rFonts w:ascii="IRNazanin" w:hAnsi="IRNazanin" w:eastAsia="IRNazanin"/>
          <w:color w:val="111111"/>
          <w:sz w:val="28"/>
          <w:sz w:val="28"/>
          <w:szCs w:val="28"/>
          <w:rtl w:val="true"/>
          <w:lang w:bidi="fa-IR"/>
        </w:rPr>
        <w:t>الإشكال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نفی صاحب الكفاية دلالته على البراءة الشرعية</w:t>
      </w:r>
      <w:r>
        <w:rPr>
          <w:rStyle w:val="FootnoteAnchor"/>
          <w:rtl w:val="true"/>
        </w:rPr>
        <w:footnoteReference w:id="134"/>
      </w:r>
      <w:r>
        <w:rPr>
          <w:rFonts w:ascii="Amiri" w:hAnsi="Amiri" w:eastAsia="Amiri" w:cs="Amiri"/>
          <w:color w:val="111111"/>
          <w:sz w:val="28"/>
          <w:sz w:val="28"/>
          <w:szCs w:val="28"/>
          <w:rtl w:val="true"/>
          <w:lang w:bidi="ar-SA"/>
        </w:rPr>
        <w:t>بأنّ للورود معنيين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في نفسه، وهو مساوق للصدور،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على المكلف، وهو مساوق للوصول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تتم دلالة الحديث على البراءة لو لم تصدق كلمة الورود إلا في حالة الوصول إلى المكلف، فيكون دليلاً على ما نحن فيه، لكنه ممنوع؛ لأنَّ الورود يصدق على مجرد الصدور،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فيما لو صدر من الشارع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وتتميماً لكلامه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التمسك بالعام في الشبهات المصداقية فيما لو شك في صدور النهي؛ لاحتمال صدوره وعدم وصوله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تيقن عدم الصدور لكان مطلقاً، لكنه لا يرتبط بالمقام؛ لأنَّ البحث في مشكوك الحكم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الحديث على مبنى الشيخ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الشيء المشكوك،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الإباحة الظاهرية،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يصل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مبنى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الشيء بما هو هو وبما له من العنوان الأولي،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الإباحة الواقعية،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يصدر، ولا يجدي العلم بعدم صدور النهي في المقام؛ لأنَّ البحث في البراءة احتمال صدور النهي لكنه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المعنيين فلا ينفع في المقام، حيث إنه 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النهاية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والتتبع لموارد الاستعمالات يدل على أنَّ الورود بمعنى الوصول إلى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w:t>
      </w:r>
      <w:r>
        <w:rPr>
          <w:rStyle w:val="FootnoteAnchor"/>
          <w:rtl w:val="true"/>
        </w:rPr>
        <w:footnoteReference w:id="135"/>
      </w:r>
      <w:r>
        <w:rPr>
          <w:rFonts w:ascii="Amiri" w:hAnsi="Amiri" w:eastAsia="Amiri" w:cs="Amiri"/>
          <w:color w:val="111111"/>
          <w:sz w:val="28"/>
          <w:sz w:val="28"/>
          <w:szCs w:val="28"/>
          <w:rtl w:val="true"/>
          <w:lang w:bidi="ar-SA"/>
        </w:rPr>
        <w:t>كما يساعده تتبع موارد الاستعمالات</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يشر إلى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أمثلة، ويمكن أن نجد في القرآن الكريم موارد تشهد لمدعاه،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وَرَدَ مَاء مَدْيَنَ وَجَدَ عَلَيْهِ أُمَّةً مِّنَ النَّاسِ يَسْقُونَ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فالوارد هو النبي موسى</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والمورود الماء،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هَؤُلَاء آلِهَةً مَّا وَرَدُوهَا وَكُلٌّ فِيهَا خَالِدُونَ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فالوارد الأصنام والمورود جهنم، وفي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فتتبع موارد الاستعمالات يدل على أنَّ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ومورود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نكتة وهي أنه يمكن أن يكون للوارد موضوع</w:t>
      </w:r>
      <w:r>
        <w:rPr>
          <w:rStyle w:val="FootnoteAnchor"/>
          <w:rtl w:val="true"/>
        </w:rPr>
        <w:footnoteReference w:id="140"/>
      </w:r>
      <w:r>
        <w:rPr>
          <w:rFonts w:ascii="Amiri" w:hAnsi="Amiri" w:eastAsia="Amiri" w:cs="Amiri"/>
          <w:color w:val="111111"/>
          <w:sz w:val="28"/>
          <w:sz w:val="28"/>
          <w:szCs w:val="28"/>
          <w:rtl w:val="true"/>
          <w:lang w:bidi="ar-SA"/>
        </w:rPr>
        <w:t>، كما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في شرب الخمر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فموضوع الوارد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طبيعة الحكم تعلقي ويحتاج إلى متعلق أو موضوع أو محل، لكن هنالك فرق بين موضوع الوارد ومضايفه، فالوارد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وموروده وهو المضايف للوارد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نفس معنى الورود متعد بنفسه إلى المورود</w:t>
      </w:r>
      <w:r>
        <w:rPr>
          <w:rStyle w:val="FootnoteAnchor"/>
          <w:rtl w:val="true"/>
        </w:rPr>
        <w:footnoteReference w:id="141"/>
      </w:r>
      <w:r>
        <w:rPr>
          <w:rFonts w:ascii="Amiri" w:hAnsi="Amiri" w:eastAsia="Amiri" w:cs="Amiri"/>
          <w:color w:val="111111"/>
          <w:sz w:val="28"/>
          <w:sz w:val="28"/>
          <w:szCs w:val="28"/>
          <w:rtl w:val="true"/>
          <w:lang w:bidi="ar-SA"/>
        </w:rPr>
        <w:t>، ولمكان التضايف</w:t>
      </w:r>
      <w:r>
        <w:rPr>
          <w:rStyle w:val="FootnoteAnchor"/>
          <w:rtl w:val="true"/>
        </w:rPr>
        <w:footnoteReference w:id="142"/>
      </w:r>
      <w:r>
        <w:rPr>
          <w:rFonts w:ascii="Amiri" w:hAnsi="Amiri" w:eastAsia="Amiri" w:cs="Amiri"/>
          <w:color w:val="111111"/>
          <w:sz w:val="28"/>
          <w:sz w:val="28"/>
          <w:szCs w:val="28"/>
          <w:rtl w:val="true"/>
          <w:lang w:bidi="ar-SA"/>
        </w:rPr>
        <w:t>لا يعقل الوارد إلا بلحاظ المورد، وليس المورود هنا إلاّ المكلف دون محل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أنَّ الورود ليس بمعنى الصدور وما يساوقه مفهوماً حتى لا يحتاج في ذاته إلى مكلف يتعلق به، بل بمعنى يساوق الوصول إليه لتضايف الوارد والمورد</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يرد عليه أنه دوري؛ لأنَّ التضايف مبني على كون الورود بمعنى الوصول، والمفروض أن إثباته موقوف على التضايف وهو دور، أما لو كان معناه الصدور فليس الصدور من المعاني التضايفية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قابل للدفع؛ لعدم بناء الاستدلال على التضايف، ولو كان كذلك </w:t>
      </w:r>
      <w:bookmarkStart w:id="71" w:name="pg15608_166749"/>
    </w:p>
    <w:p>
      <w:pPr>
        <w:pStyle w:val="BookText"/>
        <w:rPr/>
      </w:pPr>
      <w:bookmarkEnd w:id="71"/>
      <w:r>
        <w:rPr>
          <w:rFonts w:ascii="Amiri" w:hAnsi="Amiri" w:eastAsia="Amiri" w:cs="Amiri"/>
          <w:color w:val="111111"/>
          <w:sz w:val="28"/>
          <w:sz w:val="28"/>
          <w:szCs w:val="28"/>
          <w:rtl w:val="true"/>
          <w:lang w:bidi="ar-SA"/>
        </w:rPr>
        <w:t>لكان الإشكال تاماً، لكن الدقة في عباراته تبين أنّ جوهر الاستدلال الظهور وتتبع موارد الاستعمالات، والتضايف متفرع على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وبتتبعنا الناقص في القرآن وبعض الكتب اللغوية</w:t>
      </w:r>
      <w:r>
        <w:rPr>
          <w:rStyle w:val="FootnoteAnchor"/>
          <w:rtl w:val="true"/>
        </w:rPr>
        <w:footnoteReference w:id="144"/>
      </w:r>
      <w:r>
        <w:rPr>
          <w:rFonts w:ascii="Amiri" w:hAnsi="Amiri" w:eastAsia="Amiri" w:cs="Amiri"/>
          <w:color w:val="111111"/>
          <w:sz w:val="28"/>
          <w:sz w:val="28"/>
          <w:szCs w:val="28"/>
          <w:rtl w:val="true"/>
          <w:lang w:bidi="ar-SA"/>
        </w:rPr>
        <w:t>لم نجد أنّ الورود في اللغة العربية بمعنى الصدور، بل بمعنى الوصول والبلوغ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ما ذكر في الكفاية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في المنتقى على النهاية بعد تسليم كون الورود متعدياً، وإنّ كل وارد يحتاج إلى مورود وإنَّ المورود هو المكلف، إلا أنه لا ملازمة بين ثبوت هذا المعنى وعلم المكلف بما ورد عليه، حيث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وردني ضيف ولم أعلم به إلا بعد خروجه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عندنا اشتراط العلم في معنى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فلا يصح الاستدلال بحديث الإطلاق على البراءة؛ لاحتمال ورود النهي وعدم وصوله إلى المكلف، ولا يصح التمسك بالعام في الشبهة المصداقية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0086485_2142443653"/>
      <w:bookmarkStart w:id="73" w:name="_Toc27"/>
      <w:bookmarkEnd w:id="72"/>
      <w:r>
        <w:rPr>
          <w:rtl w:val="true"/>
        </w:rPr>
        <w:t xml:space="preserve">ترجيح معنى الوصول على الصدور من كلمة </w:t>
      </w:r>
      <w:r>
        <w:rPr>
          <w:rtl w:val="true"/>
        </w:rPr>
        <w:t>(</w:t>
      </w:r>
      <w:r>
        <w:rPr>
          <w:rtl w:val="true"/>
        </w:rPr>
        <w:t>الورود</w:t>
      </w:r>
      <w:r>
        <w:rPr>
          <w:rtl w:val="true"/>
        </w:rPr>
        <w:t>)</w:t>
      </w:r>
      <w:bookmarkEnd w:id="73"/>
    </w:p>
    <w:p>
      <w:pPr>
        <w:pStyle w:val="BookText"/>
        <w:rPr/>
      </w:pPr>
      <w:r>
        <w:rPr>
          <w:rFonts w:ascii="Amiri" w:hAnsi="Amiri" w:eastAsia="Amiri" w:cs="Amiri"/>
          <w:color w:val="111111"/>
          <w:sz w:val="28"/>
          <w:sz w:val="28"/>
          <w:szCs w:val="28"/>
          <w:rtl w:val="true"/>
          <w:lang w:bidi="ar-SA"/>
        </w:rPr>
        <w:t>ورجح في النهاية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معنى الوصول على الصدور لكون الإطلاق بمعنى الإباحة، والإباحة على ثلاثة أنواع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الشرعية الواقعية،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الشرعية الظاهرية،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الإباحة الثابتة للأشياء قبل الشرع، ويعبر عنه بالإباحة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 النوعين الأولين بالصدور ممتنع، وتقييد الثالث بالصدور بعيد، فيتعين أن يكون المراد هو الوصول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دعاوى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الشرعية الواقعية، فغاية الإباحة الشرعية الواقعية صدور النهي،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مباح شرعاً واقعاً حتى يصدر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المعنى ممتنع؛ لأنه يوجب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الشرعية الواقعية عبارة عن الإباحة الثابتة لذات الموضوع، وهي ناشئة من لا اقتضائية الموضوع، وهو ناشئ من خلوه من المصالح والمفاسد الواقعية، ولذلك يحكم المولى بالإباحة الواقعية، فورود النهي في مثل هذا الموضوع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الاستحالة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الإباحة الواقعية فالمفروض أنها ناشئة عن لا اقتضائية الموضوع، فلا يعقل ورود حرمة في موضوعها؛ للزوم الخلف من فرض اقتضائية الموضوع المفروض أنه لا اقتضاء</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حيث لا يعقل أن يرد نهي في الموضوع اللا اقتضائي، فإنَّ لازمه تبديل اللااقتضاء إلى الاقتضاء، وهذا خلاف الفرض</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اقتضائيته من حيث ذاته لا تنافي عروض عنوان عليه يقتضي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فيه نهي</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الذي يرد فيه نهي </w:t>
      </w:r>
    </w:p>
    <w:p>
      <w:pPr>
        <w:pStyle w:val="BookText"/>
        <w:rPr/>
      </w:pPr>
      <w:r>
        <w:rPr>
          <w:rFonts w:ascii="Amiri" w:hAnsi="Amiri" w:eastAsia="Amiri" w:cs="Amiri"/>
          <w:color w:val="111111"/>
          <w:sz w:val="28"/>
          <w:sz w:val="28"/>
          <w:szCs w:val="28"/>
          <w:rtl w:val="true"/>
          <w:lang w:bidi="ar-SA"/>
        </w:rPr>
        <w:t>ذلك العنوان الذي له اقتضاء الحرمة، لا أنَّ النهي يرد في مورد الإباحة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الخبر ورود النهي في مورد الإباحة، بأنَّ المولى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حلال واقعاً حتى يرد فيه نهي، ومع عروض العنوان الطارئ فواقع النهي متعلق بالعنوان لا بشرب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يستحيل صدور النهي في مورد الإباحة الشرعية الواقعية، فالاحتمال الأول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لإمكان فرض كون موضوع الإباحة الواقعية اقتضائية، لكن يحكم الشارع بالإباحة الواقعية؛ لوجود مانع يمنع من تأثير المقتضي في مقتضاه، وبعد ارتفاع المانع يصدر فيه النهي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الحصر حقيقياً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فمع أن الجري له اقتضاء الحرمة لكن لوجود مانع</w:t>
      </w:r>
      <w:r>
        <w:rPr>
          <w:rStyle w:val="FootnoteAnchor"/>
          <w:rtl w:val="true"/>
        </w:rPr>
        <w:footnoteReference w:id="152"/>
      </w:r>
      <w:r>
        <w:rPr>
          <w:rFonts w:ascii="Amiri" w:hAnsi="Amiri" w:eastAsia="Amiri" w:cs="Amiri"/>
          <w:color w:val="111111"/>
          <w:sz w:val="28"/>
          <w:sz w:val="28"/>
          <w:szCs w:val="28"/>
          <w:rtl w:val="true"/>
          <w:lang w:bidi="ar-SA"/>
        </w:rPr>
        <w:t xml:space="preserve">من ورود النهي فيه يحكم الشارع بإباحته، وبعد ارتفاع المانع يرد فيه النهي، وليس ذلك ممتنعاً، ولا يستلزم الخلف وانقلاب اللا اقتضاء </w:t>
      </w:r>
    </w:p>
    <w:p>
      <w:pPr>
        <w:pStyle w:val="BookText"/>
        <w:rPr/>
      </w:pPr>
      <w:r>
        <w:rPr>
          <w:rFonts w:ascii="IRNazanin" w:hAnsi="IRNazanin" w:eastAsia="IRNazanin"/>
          <w:color w:val="111111"/>
          <w:sz w:val="28"/>
          <w:sz w:val="28"/>
          <w:szCs w:val="28"/>
          <w:rtl w:val="true"/>
          <w:lang w:bidi="fa-IR"/>
        </w:rPr>
        <w:t>إلى الاقتضاء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الإطلاق الإباحة الشرعية الظاهرية، وهي الإباحة الثابتة للموضوع بما هو محتمل الحرمة والحلية، الناشئة عما يقتضي التسهيل على المكلف بجعله مرخصاً فيه، فملاك التسهيل يقتضي تشريع الإباحة الظاهرية بأن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العظم حلال ظاهراً حتى يصدر فيه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ممتنع أو غير صحيح، وذلك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الإباحة حيث إنها مغياة بصدور النهي واقعاً، أو محددة بعدم صدوره واقعاً، والغاية أو القيد مشكوك الحصول</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والمستنتج من عبارته لغوية التشريع؛ لعدم الأثر فيه، حيث لا نعلم صدور النهي، ولا يمكن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قابل للتأمل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تحقق العلم الوجداني بعدم صدور النهي، حيث نقطع بذلك في التتن؛ لعدم كونه محلاً للابتلاء في أول الشرع</w:t>
      </w:r>
      <w:r>
        <w:rPr>
          <w:rStyle w:val="FootnoteAnchor"/>
          <w:rtl w:val="true"/>
        </w:rPr>
        <w:footnoteReference w:id="154"/>
      </w:r>
      <w:r>
        <w:rPr>
          <w:rFonts w:ascii="Amiri" w:hAnsi="Amiri" w:eastAsia="Amiri" w:cs="Amiri"/>
          <w:color w:val="111111"/>
          <w:sz w:val="28"/>
          <w:sz w:val="28"/>
          <w:szCs w:val="28"/>
          <w:rtl w:val="true"/>
          <w:lang w:bidi="ar-SA"/>
        </w:rPr>
        <w:t>، وكما لو كنا في عهد الشارع فلو صدر تحريمه لبان، فلا يكون التشريع لغواً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النهاية</w:t>
      </w:r>
      <w:r>
        <w:rPr>
          <w:rStyle w:val="FootnoteAnchor"/>
          <w:rtl w:val="true"/>
        </w:rPr>
        <w:footnoteReference w:id="155"/>
      </w:r>
      <w:r>
        <w:rPr>
          <w:rFonts w:ascii="IRNazanin" w:hAnsi="IRNazanin" w:eastAsia="IRNazanin"/>
          <w:color w:val="111111"/>
          <w:sz w:val="28"/>
          <w:sz w:val="28"/>
          <w:szCs w:val="28"/>
          <w:rtl w:val="true"/>
          <w:lang w:bidi="fa-IR"/>
        </w:rPr>
        <w:t xml:space="preserve">بإمكان حصول العلم التعبدي بعدم الصدور، فحينما نزل جبرائيل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يصدر تحريم </w:t>
      </w:r>
    </w:p>
    <w:p>
      <w:pPr>
        <w:pStyle w:val="BookText"/>
        <w:rPr/>
      </w:pPr>
      <w:r>
        <w:rPr>
          <w:rFonts w:ascii="Amiri" w:hAnsi="Amiri" w:eastAsia="Amiri" w:cs="Amiri"/>
          <w:color w:val="111111"/>
          <w:sz w:val="28"/>
          <w:sz w:val="28"/>
          <w:szCs w:val="28"/>
          <w:rtl w:val="true"/>
          <w:lang w:bidi="ar-SA"/>
        </w:rPr>
        <w:t>التتن، ويضم إليه أصالة عدم صدور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الثابتة للأشياء قبل الشرع، وتقييده بالصدور بعيد،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مناص من حمل الإباحة على إباحة الأشياء قبل الشرع بمعنى اللا حرج العقلي، فإنها محدودة ومغياة بعدم صدور الحرمة الشرعية، فيكون الخبر دليلاً على هذه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حمل الإباحة على الإباحة المالكية قبل الشرع التي يحكم بها عقل كل عاقل بعيد غير مناسب للإمام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المعد لتبليغ الأحكام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بيان لأمر بديهي يحكم به عقل كل عاقل، وذلك لا يناسب مقام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أعد لبيان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بتمامية ما ذكره فيما لو كان اللاحرج العقلي والإباحة الثابتة للأشياء مع قطع النظر عن الشرع من الأمور الواضحة، كاجتماع النقيضين، فيبعد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النقيضين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مسألة اللاحرجية العقلية من الأمور الغامضة، ومحل الكلام والنقض والإبرام بين الأعلام مع قطع النظر عن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العقل يحكم باللاحرجية أو بالحظر؟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هو في عالم الإمكان ملك لله سبحانه، فالذي يدخن مثلاً أنما يتصرف في مملوك اللّه تعالى بدون إذنه، فهل العقل يحكم بعدم الحرج عليه أو يحكم بوجوب التوقف، بل إنه يتصرف في الأعضاء والجوارح والقوى الباطنية مع أنَّ جميعها مملوكة لله تبارك وتعالى، فهل هذا التصرف جائز في نظر العقل؟ إنه محل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 المولى عبده في داره، فهل يحكم عقله بجواز اقتحام الغرفة المغلقة أو يحكم بالحظر والتوقف؟</w:t>
      </w:r>
    </w:p>
    <w:p>
      <w:pPr>
        <w:pStyle w:val="BookText"/>
        <w:rPr/>
      </w:pPr>
      <w:r>
        <w:rPr>
          <w:rFonts w:ascii="Amiri" w:hAnsi="Amiri" w:eastAsia="Amiri" w:cs="Amiri"/>
          <w:color w:val="111111"/>
          <w:sz w:val="28"/>
          <w:sz w:val="28"/>
          <w:szCs w:val="28"/>
          <w:rtl w:val="true"/>
          <w:lang w:bidi="ar-SA"/>
        </w:rPr>
        <w:t>ولذلك ذهب جمع من الأعلام حتى بعض المحققين</w:t>
      </w:r>
      <w:r>
        <w:rPr>
          <w:rStyle w:val="FootnoteAnchor"/>
          <w:rtl w:val="true"/>
        </w:rPr>
        <w:footnoteReference w:id="157"/>
      </w:r>
      <w:r>
        <w:rPr>
          <w:rFonts w:ascii="Amiri" w:hAnsi="Amiri" w:eastAsia="Amiri" w:cs="Amiri"/>
          <w:color w:val="111111"/>
          <w:sz w:val="28"/>
          <w:sz w:val="28"/>
          <w:szCs w:val="28"/>
          <w:rtl w:val="true"/>
          <w:lang w:bidi="ar-SA"/>
        </w:rPr>
        <w:t>من المتأخرين إلى أصالة الحظر عقلاً، وأصالة البراءة الشرعية قلبت القاعدة الأولية العقلية إلى قاعدة ثانوية شرعية، وإلا فالاحتياط حكم أولي يحكم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 إلى التوقف في المسألة</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ذهب جمع إلى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في النهاية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بها عقل كل عاقل</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المفاد خلاف ظاهر الحديث، فظاهره إنشاء الإباحة الشرعية لا أنه تأكيد لحكم العقل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 الأول على الاستدلال بحديث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الحر العاملي،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فإنّ العامة يقولون بحجية الأصل، فيضعف عن مقاومة ما سبق</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مراده أنَّ حديث الإطلاق موافق للعامة</w:t>
      </w:r>
      <w:r>
        <w:rPr>
          <w:rStyle w:val="FootnoteAnchor"/>
          <w:rtl w:val="true"/>
        </w:rPr>
        <w:footnoteReference w:id="161"/>
      </w:r>
      <w:r>
        <w:rPr>
          <w:rFonts w:ascii="IRNazanin" w:hAnsi="IRNazanin" w:eastAsia="IRNazanin"/>
          <w:color w:val="111111"/>
          <w:sz w:val="28"/>
          <w:sz w:val="28"/>
          <w:szCs w:val="28"/>
          <w:rtl w:val="true"/>
          <w:lang w:bidi="fa-IR"/>
        </w:rPr>
        <w:t xml:space="preserve">، وما سبق من </w:t>
      </w:r>
    </w:p>
    <w:p>
      <w:pPr>
        <w:pStyle w:val="BookText"/>
        <w:rPr/>
      </w:pPr>
      <w:r>
        <w:rPr>
          <w:rFonts w:ascii="Amiri" w:hAnsi="Amiri" w:eastAsia="Amiri" w:cs="Amiri"/>
          <w:color w:val="111111"/>
          <w:sz w:val="28"/>
          <w:sz w:val="28"/>
          <w:szCs w:val="28"/>
          <w:rtl w:val="true"/>
          <w:lang w:bidi="ar-SA"/>
        </w:rPr>
        <w:t>الأحاديث</w:t>
      </w:r>
      <w:r>
        <w:rPr>
          <w:rStyle w:val="FootnoteAnchor"/>
          <w:rtl w:val="true"/>
        </w:rPr>
        <w:footnoteReference w:id="162"/>
      </w:r>
      <w:r>
        <w:rPr>
          <w:rFonts w:ascii="Amiri" w:hAnsi="Amiri" w:eastAsia="Amiri" w:cs="Amiri"/>
          <w:color w:val="111111"/>
          <w:sz w:val="28"/>
          <w:sz w:val="28"/>
          <w:szCs w:val="28"/>
          <w:rtl w:val="true"/>
          <w:lang w:bidi="ar-SA"/>
        </w:rPr>
        <w:t>مخالف للعامة، وأحد مرجحات باب التعارض مخالفة العامة، فتترجح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عليه بعض المعاصرين</w:t>
      </w:r>
      <w:r>
        <w:rPr>
          <w:rStyle w:val="FootnoteAnchor"/>
          <w:rtl w:val="true"/>
        </w:rPr>
        <w:footnoteReference w:id="163"/>
      </w:r>
      <w:r>
        <w:rPr>
          <w:rFonts w:ascii="Amiri" w:hAnsi="Amiri" w:eastAsia="Amiri" w:cs="Amiri"/>
          <w:color w:val="111111"/>
          <w:sz w:val="28"/>
          <w:sz w:val="28"/>
          <w:szCs w:val="28"/>
          <w:rtl w:val="true"/>
          <w:lang w:bidi="ar-SA"/>
        </w:rPr>
        <w:t xml:space="preserve">بأن الترجيح بموافقة الكتاب مقدم رتبة على الترجيح بمخالفة العامة، والكتاب موافق لحديث الإطلاق، فيرجح حديث الإطلاق الموافق للعامة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الاحتياط موافقة للكتاب أيضاً؛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فهو أحد أدلة الأخباريين لوجوب الاحتياط في الشبهات الحكمية التحريمية،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محل تأمل، فهل الترجيح مع موافقة الكتاب أو مخالفة العامة؟</w:t>
      </w:r>
    </w:p>
    <w:p>
      <w:pPr>
        <w:pStyle w:val="BookText"/>
        <w:rPr/>
      </w:pPr>
      <w:r>
        <w:rPr>
          <w:rFonts w:ascii="Amiri" w:hAnsi="Amiri" w:eastAsia="Amiri" w:cs="Amiri"/>
          <w:color w:val="111111"/>
          <w:sz w:val="28"/>
          <w:sz w:val="28"/>
          <w:szCs w:val="28"/>
          <w:rtl w:val="true"/>
          <w:lang w:bidi="ar-SA"/>
        </w:rPr>
        <w:t>وقد ذهب صاحب الكفاية</w:t>
      </w:r>
      <w:r>
        <w:rPr>
          <w:rStyle w:val="FootnoteAnchor"/>
          <w:rtl w:val="true"/>
        </w:rPr>
        <w:footnoteReference w:id="166"/>
      </w:r>
      <w:r>
        <w:rPr>
          <w:rFonts w:ascii="Amiri" w:hAnsi="Amiri" w:eastAsia="Amiri" w:cs="Amiri"/>
          <w:color w:val="111111"/>
          <w:sz w:val="28"/>
          <w:sz w:val="28"/>
          <w:szCs w:val="28"/>
          <w:rtl w:val="true"/>
          <w:lang w:bidi="ar-SA"/>
        </w:rPr>
        <w:t>إلى عدم وجود الترتيب بين المرجحات، بل كلها في عرض الآخر، فلا وجه لتقديم هذا على ذاك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النائيني</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 الصدور يقدم على مرجح جهة الصدور والمضمون، ومرجح جهة الصدور يقدم على مرجح المضمون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مخالفة العامة مرجح جهة الصدور، وموافقة الكتاب مرجح المضمون، فيقدم الأول على الثاني، فيتم كلام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مع بعض الفوارق ما ذكره الوحيد البهبهاني في الفوائد الحائرية</w:t>
      </w:r>
      <w:r>
        <w:rPr>
          <w:rStyle w:val="FootnoteAnchor"/>
          <w:rtl w:val="true"/>
        </w:rPr>
        <w:footnoteReference w:id="168"/>
      </w:r>
      <w:r>
        <w:rPr>
          <w:rFonts w:ascii="Amiri" w:hAnsi="Amiri" w:eastAsia="Amiri" w:cs="Amiri"/>
          <w:color w:val="111111"/>
          <w:sz w:val="28"/>
          <w:sz w:val="28"/>
          <w:szCs w:val="28"/>
          <w:rtl w:val="true"/>
          <w:lang w:bidi="ar-SA"/>
        </w:rPr>
        <w:t>من تقديم الترجيح بجهة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الكلام في ذلك يوكل إلى مباحث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يجاب عن إشكال صاحب الوسائل بعدم تمامية ما دل على وجوب الاحتياط، فيبقى حديث الإطلاق بلا معارض، وسيأتي تفصيل الكلام في استعراض أدلة الأخباريين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الإطلاق خاص بالشبهات التحريمية ولا يشمل الشبهات الوجوبية، حيث لا معنى للقول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السيد الوالد في الأصول</w:t>
      </w:r>
      <w:r>
        <w:rPr>
          <w:rStyle w:val="FootnoteAnchor"/>
          <w:rtl w:val="true"/>
        </w:rPr>
        <w:footnoteReference w:id="169"/>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الملاك بين ورود النهي وورود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الواجب منهي، فلو كان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لكان تركه منهياً عنه، فالقنوت مطلق حتى يرد في تركه نهي ولم يرد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خلاف الأخباري فيها إلاّ البعض، فإنَّ عمدة الخلاف بين الأصوليين والأخباريين الشبهات التحريمة، وأما الشبهات الوجوبية فقد أطبق الجميع على جريان البراءة فيها إلا المحدث الإسترابادي</w:t>
      </w:r>
      <w:r>
        <w:rPr>
          <w:rStyle w:val="FootnoteAnchor"/>
          <w:rtl w:val="true"/>
        </w:rPr>
        <w:footnoteReference w:id="170"/>
      </w:r>
      <w:r>
        <w:rPr>
          <w:rFonts w:ascii="Amiri" w:hAnsi="Amiri" w:eastAsia="Amiri" w:cs="Amiri"/>
          <w:color w:val="111111"/>
          <w:sz w:val="28"/>
          <w:sz w:val="28"/>
          <w:szCs w:val="28"/>
          <w:rtl w:val="true"/>
          <w:lang w:bidi="ar-SA"/>
        </w:rPr>
        <w:t xml:space="preserve">، حيث </w:t>
      </w:r>
      <w:bookmarkStart w:id="74" w:name="pg15608_166766"/>
    </w:p>
    <w:p>
      <w:pPr>
        <w:pStyle w:val="BookText"/>
        <w:rPr/>
      </w:pPr>
      <w:bookmarkEnd w:id="74"/>
      <w:r>
        <w:rPr>
          <w:rFonts w:ascii="Amiri" w:hAnsi="Amiri" w:eastAsia="Amiri" w:cs="Amiri"/>
          <w:color w:val="111111"/>
          <w:sz w:val="28"/>
          <w:sz w:val="28"/>
          <w:szCs w:val="28"/>
          <w:rtl w:val="true"/>
          <w:lang w:bidi="ar-SA"/>
        </w:rPr>
        <w:t>ذهب إلى وجوب الاحتياط حتى في الشبهات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الإطلاق يتكفل البراءة في الشبهات التحريمية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0086487_2142443653"/>
      <w:bookmarkStart w:id="76" w:name="_Toc28"/>
      <w:bookmarkEnd w:id="75"/>
      <w:r>
        <w:rPr>
          <w:rtl w:val="true"/>
        </w:rPr>
        <w:t xml:space="preserve">دلالة الحديث على البراءة حتى بناء على كون معنى الورود </w:t>
      </w:r>
      <w:r>
        <w:rPr>
          <w:rtl w:val="true"/>
        </w:rPr>
        <w:t>(</w:t>
      </w:r>
      <w:r>
        <w:rPr>
          <w:rtl w:val="true"/>
        </w:rPr>
        <w:t>الصدور</w:t>
      </w:r>
      <w:r>
        <w:rPr>
          <w:rtl w:val="true"/>
        </w:rPr>
        <w:t>)</w:t>
      </w:r>
      <w:bookmarkEnd w:id="76"/>
    </w:p>
    <w:p>
      <w:pPr>
        <w:pStyle w:val="BookText"/>
        <w:rPr/>
      </w:pPr>
      <w:r>
        <w:rPr>
          <w:rFonts w:ascii="Amiri" w:hAnsi="Amiri" w:eastAsia="Amiri" w:cs="Amiri"/>
          <w:color w:val="111111"/>
          <w:sz w:val="28"/>
          <w:sz w:val="28"/>
          <w:szCs w:val="28"/>
          <w:rtl w:val="true"/>
          <w:lang w:bidi="ar-SA"/>
        </w:rPr>
        <w:t>ولو سلم ما ذكره صاحب الكفاية</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من احتمال كون معنى الورود الصدور لا الوصول، فلا يضر ذلك بالنتيجة، وذلك بضم الأصل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 صدور النهي مشكوكاً، ولا يجوز التمسك بالعام في الشبهة المصداقية، إلا أنه ينقح الموضوع بالأصل، فموضوع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المشكوك الذي لم يصدر فيه النهي، ومع استصحاب عدم صدور النهي يحقق الموضوع،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في المآل بين كلام الشيخ وكلام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يرتضه الثاني، وذلك لتحقق عنوانين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والبحث في البراءة في ثبوتها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ضميمة الأصل إلى الخبر تثبت البراءة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يرد فيه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المقام ثبوت البراءة، سواء بهذا العنوان أم بذاك، فاللازم إثبات حلية التتن، والعنوانان ينطبقان عليه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ثبتت البراءة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يصدر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أخص من المدعى، فإنه لا فرق بين العنوانين في الشبهة البدوية، وأما في الشبهة المقرونة بالعلم الإجمالي فمع العلم بصدور النهي في زمان، وصدور الإباحة في زمان آخر، والجهل بين المتقدم والمتأخر، فإن كان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البراءة، لكن لو كان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يصدر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صدور الإباحة والنهي في أكل الحمر الأهلية</w:t>
      </w:r>
      <w:r>
        <w:rPr>
          <w:rStyle w:val="FootnoteAnchor"/>
          <w:rtl w:val="true"/>
        </w:rPr>
        <w:footnoteReference w:id="172"/>
      </w:r>
      <w:r>
        <w:rPr>
          <w:rFonts w:ascii="Amiri" w:hAnsi="Amiri" w:eastAsia="Amiri" w:cs="Amiri"/>
          <w:color w:val="111111"/>
          <w:sz w:val="28"/>
          <w:sz w:val="28"/>
          <w:szCs w:val="28"/>
          <w:rtl w:val="true"/>
          <w:lang w:bidi="ar-SA"/>
        </w:rPr>
        <w:t>فلا يمكن استصحاب عدم ورود النهي لانقطاعه، فلا تجري البراءة بناء على الاستدلال بالخبر بضميمة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ضميمة الأصل إلى الخبر تثبت البراءة في الجملة، وهي موارد الشبهة البدوية للنهي، لا في الشبهة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 صاحب الكفاية</w:t>
      </w:r>
      <w:r>
        <w:rPr>
          <w:rStyle w:val="FootnoteAnchor"/>
          <w:rtl w:val="true"/>
        </w:rPr>
        <w:footnoteReference w:id="173"/>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تام لولا عدم القول بالفصل، فالإجماع المركب قائم في المقام، فكل من ذهب إلى الاحتياط في الشبهات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 الشبهتين البدوية والمقرونة بالعلم الإجمالي، وكذلك من ذهب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يثبت جريان البراءة في الشبهة البدوية بالخبر بضمينة الأصل، وفي العلم الإجمالي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أجاب عنه</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تام إذا كان مثبت الحكم الدليل الاجتهادي لا الأصل العملي، فإن الأول يثبت اللوازم والملزومات والملازمات، وأما الثاني فلا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غير واضح، حيث يتم إثبات اللازم بالإجماع المركب، وهو دليل </w:t>
      </w:r>
      <w:bookmarkStart w:id="77" w:name="pg15608_166770"/>
    </w:p>
    <w:p>
      <w:pPr>
        <w:pStyle w:val="BookText"/>
        <w:rPr/>
      </w:pPr>
      <w:bookmarkEnd w:id="77"/>
      <w:r>
        <w:rPr>
          <w:rFonts w:ascii="Amiri" w:hAnsi="Amiri" w:eastAsia="Amiri" w:cs="Amiri"/>
          <w:color w:val="111111"/>
          <w:sz w:val="28"/>
          <w:sz w:val="28"/>
          <w:szCs w:val="28"/>
          <w:rtl w:val="true"/>
          <w:lang w:bidi="ar-SA"/>
        </w:rPr>
        <w:t>اجتهادي، لا بالأصل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إثبات حلية شرب التتن بالأصل بكل شيء مطلق، وأما إثبات حلية الحمر الأهلية فليس بالأصل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يثبت لوازمه، بل بالإجماع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وجه لحليته مع غض النظر عن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 تقرير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للإجماع المركب ملاك، ومعقده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قال في بعض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وجب أن يقول في جميعها بذلك، وكل من قال بالاحتياط في بعضها وجب أن يقول به في كلها، وليس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يكون كلام الكفاية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لأن نسبة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يصدر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المطلق، فالأول يشمل التتن والحمر، والثاني لا يشمل الحمر، فلا يمكن التفكيك بينهما؛ لأنهما فردان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والكلمة الأخيرة في المقام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الإجماع المركب، فينهدم أساس الاستدلال كله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0086489_2142443653"/>
      <w:bookmarkStart w:id="79" w:name="_Toc29"/>
      <w:bookmarkEnd w:id="78"/>
      <w:r>
        <w:rPr>
          <w:rtl w:val="true"/>
        </w:rPr>
        <w:t>الحديث الخامس</w:t>
      </w:r>
      <w:r>
        <w:rPr>
          <w:rtl w:val="true"/>
        </w:rPr>
        <w:t xml:space="preserve">: </w:t>
      </w:r>
      <w:r>
        <w:rPr>
          <w:rtl w:val="true"/>
        </w:rPr>
        <w:t>حديث الحل</w:t>
      </w:r>
      <w:bookmarkEnd w:id="79"/>
    </w:p>
    <w:p>
      <w:pPr>
        <w:pStyle w:val="Heading4"/>
        <w:numPr>
          <w:ilvl w:val="3"/>
          <w:numId w:val="1"/>
        </w:numPr>
        <w:rPr/>
      </w:pPr>
      <w:bookmarkStart w:id="80" w:name="__RefHeading___Toc10086491_2142443653"/>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الحل</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وقد روي بتعبيرين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التعبير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82" w:name="pg15608_166772"/>
    </w:p>
    <w:p>
      <w:pPr>
        <w:pStyle w:val="BookText"/>
        <w:rPr/>
      </w:pPr>
      <w:bookmarkEnd w:id="82"/>
      <w:r>
        <w:rPr>
          <w:rFonts w:ascii="Amiri" w:hAnsi="Amiri" w:eastAsia="Amiri" w:cs="Amiri"/>
          <w:color w:val="111111"/>
          <w:sz w:val="28"/>
          <w:sz w:val="28"/>
          <w:szCs w:val="28"/>
          <w:rtl w:val="true"/>
          <w:lang w:bidi="ar-SA"/>
        </w:rPr>
        <w:t>التعبير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صاحب الكفاية</w:t>
      </w:r>
      <w:r>
        <w:rPr>
          <w:rStyle w:val="FootnoteAnchor"/>
          <w:rtl w:val="true"/>
        </w:rPr>
        <w:footnoteReference w:id="178"/>
      </w:r>
      <w:r>
        <w:rPr>
          <w:rFonts w:ascii="Amiri" w:hAnsi="Amiri" w:eastAsia="Amiri" w:cs="Amiri"/>
          <w:color w:val="111111"/>
          <w:sz w:val="28"/>
          <w:sz w:val="28"/>
          <w:szCs w:val="28"/>
          <w:rtl w:val="true"/>
          <w:lang w:bidi="ar-SA"/>
        </w:rPr>
        <w:t>بالصيغة الأولى ولم يتعرض للثانية، بينما عكس الشيخ الأعظم</w:t>
      </w:r>
      <w:r>
        <w:rPr>
          <w:rStyle w:val="FootnoteAnchor"/>
          <w:rtl w:val="true"/>
        </w:rPr>
        <w:footnoteReference w:id="179"/>
      </w:r>
      <w:r>
        <w:rPr>
          <w:rFonts w:ascii="Amiri" w:hAnsi="Amiri" w:eastAsia="Amiri" w:cs="Amiri"/>
          <w:color w:val="111111"/>
          <w:sz w:val="28"/>
          <w:sz w:val="28"/>
          <w:szCs w:val="28"/>
          <w:rtl w:val="true"/>
          <w:lang w:bidi="ar-SA"/>
        </w:rPr>
        <w:t>فاستدل بالثانية ولم يتعرض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تكون العلة في ذلك أنَّ الصيغة الثانية لم تدل على البراءة عند صاحب الكفاية في الشبهات الحكمية بخلاف الأولى، على عكس الشيخ الأعظم، فينبغي البحث في مقامين</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0086493_2142443653"/>
      <w:bookmarkStart w:id="84" w:name="_Toc31"/>
      <w:bookmarkEnd w:id="83"/>
      <w:r>
        <w:rPr>
          <w:rtl w:val="true"/>
        </w:rPr>
        <w:t>التعبير الأول لروايات الحل</w:t>
      </w:r>
      <w:bookmarkEnd w:id="84"/>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الكليني في الكافي عن علي بن إبراهيم</w:t>
      </w:r>
      <w:r>
        <w:rPr>
          <w:rStyle w:val="FootnoteAnchor"/>
          <w:rtl w:val="true"/>
        </w:rPr>
        <w:footnoteReference w:id="180"/>
      </w:r>
      <w:r>
        <w:rPr>
          <w:rFonts w:ascii="IRNazanin" w:hAnsi="IRNazanin" w:eastAsia="IRNazanin"/>
          <w:color w:val="111111"/>
          <w:sz w:val="28"/>
          <w:sz w:val="28"/>
          <w:szCs w:val="28"/>
          <w:rtl w:val="true"/>
          <w:lang w:bidi="fa-IR"/>
        </w:rPr>
        <w:t>، عن هارون بن مسلم</w:t>
      </w:r>
      <w:r>
        <w:rPr>
          <w:rStyle w:val="FootnoteAnchor"/>
          <w:rtl w:val="true"/>
        </w:rPr>
        <w:footnoteReference w:id="181"/>
      </w:r>
      <w:r>
        <w:rPr>
          <w:rFonts w:ascii="Amiri" w:hAnsi="Amiri" w:eastAsia="Amiri" w:cs="Amiri"/>
          <w:color w:val="111111"/>
          <w:sz w:val="28"/>
          <w:sz w:val="28"/>
          <w:szCs w:val="28"/>
          <w:rtl w:val="true"/>
          <w:lang w:bidi="ar-SA"/>
        </w:rPr>
        <w:t>، عن مسعدة بن صدقة، عن أبي عبد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أو المملوك عندك ولعله حرٌّ قد باع نفسه أو خدع فبيع قهراً، 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الرواية بحثان سندي ودلالي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الرواية</w:t>
      </w:r>
    </w:p>
    <w:p>
      <w:pPr>
        <w:pStyle w:val="BookText"/>
        <w:rPr/>
      </w:pPr>
      <w:r>
        <w:rPr>
          <w:rFonts w:ascii="Amiri" w:hAnsi="Amiri" w:eastAsia="Amiri" w:cs="Amiri"/>
          <w:color w:val="111111"/>
          <w:sz w:val="28"/>
          <w:sz w:val="28"/>
          <w:szCs w:val="28"/>
          <w:rtl w:val="true"/>
          <w:lang w:bidi="ar-SA"/>
        </w:rPr>
        <w:t>فلم أر مَنْ تعرض له فيما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عبر عنها في المصباح</w:t>
      </w:r>
      <w:r>
        <w:rPr>
          <w:rStyle w:val="FootnoteAnchor"/>
          <w:rtl w:val="true"/>
        </w:rPr>
        <w:footnoteReference w:id="183"/>
      </w:r>
      <w:r>
        <w:rPr>
          <w:rFonts w:ascii="Amiri" w:hAnsi="Amiri" w:eastAsia="Amiri" w:cs="Amiri"/>
          <w:color w:val="111111"/>
          <w:sz w:val="28"/>
          <w:sz w:val="28"/>
          <w:szCs w:val="28"/>
          <w:rtl w:val="true"/>
          <w:lang w:bidi="ar-SA"/>
        </w:rPr>
        <w:t>بموثقة مسعدة بن صدقة ولم يبحث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تعبيره بالموثقة بحثان بنائي ومبنائي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الرواية</w:t>
      </w:r>
    </w:p>
    <w:p>
      <w:pPr>
        <w:pStyle w:val="BookText"/>
        <w:rPr/>
      </w:pPr>
      <w:r>
        <w:rPr>
          <w:rFonts w:ascii="Amiri" w:hAnsi="Amiri" w:eastAsia="Amiri" w:cs="Amiri"/>
          <w:color w:val="111111"/>
          <w:sz w:val="28"/>
          <w:sz w:val="28"/>
          <w:szCs w:val="28"/>
          <w:rtl w:val="true"/>
          <w:lang w:bidi="ar-SA"/>
        </w:rPr>
        <w:t>أما البحث البنائي، فلابد من التعبير عنها بالصحيحة لا الموثقة، فإنّ علي بن إبراهيم وهارون بن مسلم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مسعدة بن صدقة فهنالك شخصان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 العبدي وهو ثقة،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 العامي، كما عبر عنه الشيخ، أو البتري، كما عبر عنه الكشي</w:t>
      </w:r>
      <w:r>
        <w:rPr>
          <w:rStyle w:val="FootnoteAnchor"/>
          <w:rtl w:val="true"/>
        </w:rPr>
        <w:footnoteReference w:id="184"/>
      </w:r>
      <w:r>
        <w:rPr>
          <w:rFonts w:ascii="Amiri" w:hAnsi="Amiri" w:eastAsia="Amiri" w:cs="Amiri"/>
          <w:color w:val="111111"/>
          <w:sz w:val="28"/>
          <w:sz w:val="28"/>
          <w:szCs w:val="28"/>
          <w:rtl w:val="true"/>
          <w:lang w:bidi="ar-SA"/>
        </w:rPr>
        <w:t>، والمراد منه في هذه الرواية الأول، وذلك لقرينتين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عنه،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الصادق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الثاني لا يروي إلا عن الإمام الباقر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والأول يروي عن الإمام الصادق والإمام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مما يسلّم به السيد الخوئي، فينبغي التعبير عنها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تضعيف الرواية</w:t>
      </w:r>
    </w:p>
    <w:p>
      <w:pPr>
        <w:pStyle w:val="BookText"/>
        <w:rPr/>
      </w:pPr>
      <w:r>
        <w:rPr>
          <w:rFonts w:ascii="Amiri" w:hAnsi="Amiri" w:eastAsia="Amiri" w:cs="Amiri"/>
          <w:color w:val="111111"/>
          <w:sz w:val="28"/>
          <w:sz w:val="28"/>
          <w:szCs w:val="28"/>
          <w:rtl w:val="true"/>
          <w:lang w:bidi="ar-SA"/>
        </w:rPr>
        <w:t>وأما البحث المبنائي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التعبير عن هذه الرواية بالضعيفة؛ لعدم الدليل على وثاقة مسعدة بن صدقة العبدي إلاّ وروده في كامل الزيارات، ووروده في تفسير القمي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رجع هو عن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محل نظر عندنا، فإنه </w:t>
      </w:r>
    </w:p>
    <w:p>
      <w:pPr>
        <w:pStyle w:val="BookText"/>
        <w:rPr/>
      </w:pPr>
      <w:r>
        <w:rPr>
          <w:rFonts w:ascii="Amiri" w:hAnsi="Amiri" w:eastAsia="Amiri" w:cs="Amiri"/>
          <w:color w:val="111111"/>
          <w:sz w:val="28"/>
          <w:sz w:val="28"/>
          <w:szCs w:val="28"/>
          <w:rtl w:val="true"/>
          <w:lang w:bidi="ar-SA"/>
        </w:rPr>
        <w:t>وإن ارتضى المبنى السيد الخوئي من وثاقة جميع مشايخه حتى غير المباشرين، لكنه محل تأمل لما ذكر في محله من أنّ ظاهر التوثيق لا يشمل إلا المشايخ المباشرين، لا أقل من أنه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مبنى وثاقة جميع المشايخ فينبغي التعبير عنها بالصحيحة لا الموثقة، وإلا فينبغي التعبير عنها بالضعيفة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رويت في الكافي الشريف فتكون معتبرة بناء على اعتبار كل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البحث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الرواية</w:t>
      </w:r>
    </w:p>
    <w:p>
      <w:pPr>
        <w:pStyle w:val="BookText"/>
        <w:rPr/>
      </w:pPr>
      <w:r>
        <w:rPr>
          <w:rFonts w:ascii="Amiri" w:hAnsi="Amiri" w:eastAsia="Amiri" w:cs="Amiri"/>
          <w:color w:val="111111"/>
          <w:sz w:val="28"/>
          <w:sz w:val="28"/>
          <w:szCs w:val="28"/>
          <w:rtl w:val="true"/>
          <w:lang w:bidi="ar-SA"/>
        </w:rPr>
        <w:t>فقد ذهب صاحب الكفاية إلى دلالتها على البراءة في الشبهات الحكمية والموضوعية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أورد عليه إشكالات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الموضوعية</w:t>
      </w:r>
    </w:p>
    <w:p>
      <w:pPr>
        <w:pStyle w:val="BookText"/>
        <w:rPr/>
      </w:pPr>
      <w:r>
        <w:rPr>
          <w:rFonts w:ascii="Amiri" w:hAnsi="Amiri" w:eastAsia="Amiri" w:cs="Amiri"/>
          <w:color w:val="111111"/>
          <w:sz w:val="28"/>
          <w:sz w:val="28"/>
          <w:szCs w:val="28"/>
          <w:rtl w:val="true"/>
          <w:lang w:bidi="ar-SA"/>
        </w:rPr>
        <w:t>الإشكال</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186"/>
      </w:r>
      <w:r>
        <w:rPr>
          <w:rFonts w:ascii="Amiri" w:hAnsi="Amiri" w:eastAsia="Amiri" w:cs="Amiri"/>
          <w:color w:val="111111"/>
          <w:sz w:val="28"/>
          <w:sz w:val="28"/>
          <w:szCs w:val="28"/>
          <w:rtl w:val="true"/>
          <w:lang w:bidi="ar-SA"/>
        </w:rPr>
        <w:t xml:space="preserve">،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الشبهات الموضوعية، حيث إنَّ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التقسيم، والتقسيم لا يجري إلا في الشبهات الموضوعية، وأما في الشبهات الحكمية فالجاري فيها هو الترديد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كون الشك في تعيين الحرام، وهو </w:t>
      </w:r>
    </w:p>
    <w:p>
      <w:pPr>
        <w:pStyle w:val="BookText"/>
        <w:rPr/>
      </w:pPr>
      <w:r>
        <w:rPr>
          <w:rFonts w:ascii="Amiri" w:hAnsi="Amiri" w:eastAsia="Amiri" w:cs="Amiri"/>
          <w:color w:val="111111"/>
          <w:sz w:val="28"/>
          <w:sz w:val="28"/>
          <w:szCs w:val="28"/>
          <w:rtl w:val="true"/>
          <w:lang w:bidi="ar-SA"/>
        </w:rPr>
        <w:t>إنما يتحقق في مورد ينقسم إلى قسمين، فيختص بالشبهة الموضوعية، والبحث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اللحم خارجاً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أو مذكّى وغيره، فإذا شك في أنّ هذا اللحم حلال أو حرام فيحكم بحليته؛ لعدم العلم بحرمته بعينه حتى يعلم أنه حرام بعينه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المائع الخارجي نوعان نجس وطاهر، فيحكم بطهارته حتى يعلم أنه 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أكل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انقسام في الأمر، بل الاحتمال قائم، فيحتمل أنه حلال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المراد الشبهة الموضوعية ولا تشمل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في تفسير الرواية</w:t>
      </w:r>
      <w:r>
        <w:rPr>
          <w:rStyle w:val="FootnoteAnchor"/>
          <w:rtl w:val="true"/>
        </w:rPr>
        <w:footnoteReference w:id="188"/>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 قيد العلم والتأخير لأجل أن يتم الكلام لإفادة عدم الاعتماد على ما عداه، كما هي عادة الناس غالباً، وإلا لزم التناقض ولو العرفي</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يحتاج إلى تأمل أكثر لوجود احتمالين في المقام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للعلم، ويكون مفاده التأكيد، أي </w:t>
      </w:r>
    </w:p>
    <w:p>
      <w:pPr>
        <w:pStyle w:val="BookText"/>
        <w:rPr/>
      </w:pPr>
      <w:r>
        <w:rPr>
          <w:rFonts w:ascii="Amiri" w:hAnsi="Amiri" w:eastAsia="Amiri" w:cs="Amiri"/>
          <w:color w:val="111111"/>
          <w:sz w:val="28"/>
          <w:sz w:val="28"/>
          <w:szCs w:val="28"/>
          <w:rtl w:val="true"/>
          <w:lang w:bidi="ar-SA"/>
        </w:rPr>
        <w:t xml:space="preserve">تأكيد العلم والمعرفة، بمعنى لزوم كون الوقوف على الأحكام وقوفاً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يفعل غالب الناس، حيث لا يتقيدون بالعلم، بل يعملون بالظن وبما هو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تكراراً وتأكيداً لنسبة العلم إلى الحرام، وكأنّ المولى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حرام حتى يحصل العلم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في ذلك التأكيد اللفظي، كقول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التوكيد لفظي 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مكرراً كقولك ادرجي ادرجي</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وعليه، يكون القيد تأكيدياً، ولكن الأصل أن يكون القيد احترازياً تأسيسياً لا تأكيدياً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الضمير المنصوب، أي أنه بعينه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بالنفس أو بالعين الاسم أكدا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ضمير طابق المؤكَّدا</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وذلك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الأمير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 هو لا خادمه أو وزيره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يكون القيد احترازياً،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العلم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لا بعينه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 تقييد الضمير المنصوب لا تقييد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فرض ما ذكر في الشبهات الحكمية أيضاً، حيث نعلم إجمالاً بوجود محرمات في الشريعة، فهذا علم لا بعينه فيحكم المولى بالحلية حتى يتحقق العلم بعينه، فيكون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نعلم أنه 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فينهض دليلاً على البراءة في الشبهات الحكمية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المحقق النائيني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يقتضي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بشخصه، وفي التتن الحكم الكلي مجهول لا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الأول مع التخريج الأخير الظاهر في كونه في الشبهات الموضوعية يخلّ بالاستدلال بالحديث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أخص من المدعى</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أخص من المدعى؛ لأنها تتكفل بجعل البراءة في الشبهات التحريمية، وأما في الشبهات الوجوبية فليس الشك في الحرمة، بل في الوجوب فلا تشمله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صاحب الكفاية</w:t>
      </w:r>
      <w:r>
        <w:rPr>
          <w:rStyle w:val="FootnoteAnchor"/>
          <w:rtl w:val="true"/>
        </w:rPr>
        <w:footnoteReference w:id="193"/>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فالقائل بجريان البراءة في الشبهات التحريمية قائل بجريانها في الشبهات الوجوبية، وإن لم يصدق العكس</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لكنه محل تأمل؛ لأنّ الحجة هو القول بعدم الفصل لا عدم القول بالفصل، فإنّ الأول مآله إلى الإجماع البسيط، والثاني مآله إلى الإجماع المركب وهو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حتى لو فرض أنّ المتحقق هو الإجماع البسيط لكنه مدركي؛ لاستناده قطعاً أو ظناً لا أقل من احتمال إلى الأدلة اللفظية أو اللبية في المقام، والمعروف بينهم أن الإجماع المدركي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محتمل الوجوب محتمل التحريم، فترك القنوت المحتمل وجوبه محتمل التحريم، ورواية مسعدة تؤمن بلحاظ هذا الترك، فترك القنوت حلال حتى تعلم أن تركه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أيضاً لما ثبت في محله أن ترك الواجب هو ترك فعل الواجب لا فعل الحرام، فلا حرمة في الضد العام للواجب، كما لا وجوب في الضد العام للحرام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قرر في مباحث الضد</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لا يقتضي النهي عن ضده من غير فرق بين أن يكون الضد ضداً عاماً أو خاصاً، وكذلك النهي عن الشيء لا يقتضي الأمر بضده بلا فرق بين الضد العام أو الخاص، إلا أن يقال بشبهة الكعبي</w:t>
      </w:r>
      <w:r>
        <w:rPr>
          <w:rStyle w:val="FootnoteAnchor"/>
          <w:rtl w:val="true"/>
        </w:rPr>
        <w:footnoteReference w:id="196"/>
      </w:r>
      <w:r>
        <w:rPr>
          <w:rFonts w:ascii="Amiri" w:hAnsi="Amiri" w:eastAsia="Amiri" w:cs="Amiri"/>
          <w:color w:val="111111"/>
          <w:sz w:val="28"/>
          <w:sz w:val="28"/>
          <w:szCs w:val="28"/>
          <w:rtl w:val="true"/>
          <w:lang w:bidi="ar-SA"/>
        </w:rPr>
        <w:t xml:space="preserve">القائل بحرمة ترك </w:t>
      </w:r>
    </w:p>
    <w:p>
      <w:pPr>
        <w:pStyle w:val="BookText"/>
        <w:rPr/>
      </w:pP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فترك القنوت ليس محرماً، وإنما هو ترك فعل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واجب وأما تركه فلا حكم له، كذلك وجوب استقبال الجنوب عندنا في الصلاة، وأما استدبار الشمال فلا حكم له، والأمر كذلك في جميع الملازمات الوجودية وهي بالعشرات، فهل من أتى بها قد أتى بعشرات الواجبات؟ وكذلك في جانب النهي، فهل مَنْ شرب الخمر يعاقب مرتين لفعل الحرام، وهو شرب الخمر ولتركه الواجب وهو ترك الشرب؟</w:t>
      </w:r>
    </w:p>
    <w:p>
      <w:pPr>
        <w:pStyle w:val="BookText"/>
        <w:rPr/>
      </w:pPr>
      <w:r>
        <w:rPr>
          <w:rFonts w:ascii="Amiri" w:hAnsi="Amiri" w:eastAsia="Amiri" w:cs="Amiri"/>
          <w:color w:val="111111"/>
          <w:sz w:val="28"/>
          <w:sz w:val="28"/>
          <w:szCs w:val="28"/>
          <w:rtl w:val="true"/>
          <w:lang w:bidi="ar-SA"/>
        </w:rPr>
        <w:t>نعم، لا يعقل أن يكون هنالك فعل بدون أي حكم، أما ملازماته فيمكن أن تكون بلا أي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شمول الحلال للشبهات الوجوبية</w:t>
      </w:r>
    </w:p>
    <w:p>
      <w:pPr>
        <w:pStyle w:val="BookText"/>
        <w:rPr/>
      </w:pPr>
      <w:r>
        <w:rPr>
          <w:rFonts w:ascii="Amiri" w:hAnsi="Amiri" w:eastAsia="Amiri" w:cs="Amiri"/>
          <w:color w:val="111111"/>
          <w:sz w:val="28"/>
          <w:sz w:val="28"/>
          <w:szCs w:val="28"/>
          <w:rtl w:val="true"/>
          <w:lang w:bidi="ar-SA"/>
        </w:rPr>
        <w:t>قال السيد الوالد في الأصول</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ثلاثة من الأحكام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الحلال بمعنى اللااقتضاء، فيشمل الاستحباب والكراهة وإلاباحة، وأن الحرام بمعنى الاقتضاء فيشمل الحرام والواجب، وقد نظّر لذلك بالحديث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فالحلية هي الجامع بين الأحكام اللاقتضائية الثلاثة، والحرمة الجامع بين الوجوب والتحريم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ترك القنوت حلالاً بالمعنى الأعم حتى يعلم أنه واجب أو حرام فيشمل الشبهة الوجوبية والتحريمية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فيه ثبوتاً، وأما إثباتاً فيحتاج إلى تأمل؛ لأنّ ظاهر الحرام الحرمة المصطلحة، بمعنى الزجر عن الشيء فلا يشمل الشبهة الوجوبية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الحديث بالشبهات الموضوعية</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المذكورة في الرواية من قبيل الشبهات الموضوعية، فتكون قرينة على اختصاص الصدر بها، لا أقل من كونها محتملة القرينية، واحتفاف الكلام بمثله صارف عن العموم، كما أشير إليه في مبحث الاستثناء المتعقب للجمل المتعددة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العبرة بعموم القاعدة لا بخصوص الأمثلة، مثلاً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مثل بأمثلة في الشبهات الموضوعية، كمن خفق ثم شك أنه نام، فالمثال لا يقدح في عموم القاعدة أو إطلاقها، فإنّ العبرة بعموم اللفظ لا بخصوص المثال، خاصة في زمن صدور الروايات، حيث كانت الشبهات الموضوعية محل الابتلاء دون الحكمية، حيث لم تكن مجرى البراءة لوجوب الفحص فيها، وكان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التمثيل بالشبهات الموضوعية فحسب أنما هو لندرة </w:t>
      </w:r>
    </w:p>
    <w:p>
      <w:pPr>
        <w:pStyle w:val="BookText"/>
        <w:rPr/>
      </w:pPr>
      <w:r>
        <w:rPr>
          <w:rFonts w:ascii="Amiri" w:hAnsi="Amiri" w:eastAsia="Amiri" w:cs="Amiri"/>
          <w:color w:val="111111"/>
          <w:sz w:val="28"/>
          <w:sz w:val="28"/>
          <w:szCs w:val="28"/>
          <w:rtl w:val="true"/>
          <w:lang w:bidi="ar-SA"/>
        </w:rPr>
        <w:t>الشبهات الحكمية أو لعدم وجود شرطها وهو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استناد الأمثلة إلى أصالة البراءة</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 البعض بالعويصة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استناد جميع الأمثلة المذكورة إلى أصالة البراءة، فلا يعقل أن يكون الصدر متكفلاً لبيانها بأن يذكر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كبرى كلية، لكنها لا تنطبق على الأمثلة، فإنّ الحلية في الثوب والعبد المشترى مستندة إلى قاعدة اليد، ومعها لا شك حتى تجري أصالة البراءة، وأما كون المرأة رضيعة فاستصحاب العدم حاكم أو وارد</w:t>
      </w:r>
      <w:r>
        <w:rPr>
          <w:rStyle w:val="FootnoteAnchor"/>
          <w:rtl w:val="true"/>
        </w:rPr>
        <w:footnoteReference w:id="200"/>
      </w:r>
      <w:r>
        <w:rPr>
          <w:rFonts w:ascii="Amiri" w:hAnsi="Amiri" w:eastAsia="Amiri" w:cs="Amiri"/>
          <w:color w:val="111111"/>
          <w:sz w:val="28"/>
          <w:sz w:val="28"/>
          <w:szCs w:val="28"/>
          <w:rtl w:val="true"/>
          <w:lang w:bidi="ar-SA"/>
        </w:rPr>
        <w:t xml:space="preserve">على البراءة، ويثبت عدم كونها أختاً باستصحاب العدم الأزلي على فرض تماميته، وإلا فبالقاعدة العقلائية التي أمضاها الشارع من كون الأصل العدم في الانتساب ونحوه، كما نقله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Style w:val="FootnoteAnchor"/>
          <w:rtl w:val="true"/>
        </w:rPr>
        <w:footnoteReference w:id="201"/>
      </w:r>
      <w:r>
        <w:rPr>
          <w:rFonts w:ascii="Amiri" w:hAnsi="Amiri" w:eastAsia="Amiri" w:cs="Amiri"/>
          <w:color w:val="111111"/>
          <w:sz w:val="28"/>
          <w:sz w:val="28"/>
          <w:szCs w:val="28"/>
          <w:rtl w:val="true"/>
          <w:lang w:bidi="ar-SA"/>
        </w:rPr>
        <w:t>عن الفقيه الهمداني في ترتب أحكام الحيض واليأس والعدة لمشكوكة القرشية والنبطية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ليست البراءة هي المستند للإباحة في الأمثلة المذكورة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الحلية في رواية مسعدة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202"/>
      </w:r>
      <w:r>
        <w:rPr>
          <w:rFonts w:ascii="Amiri" w:hAnsi="Amiri" w:eastAsia="Amiri" w:cs="Amiri"/>
          <w:color w:val="111111"/>
          <w:sz w:val="28"/>
          <w:sz w:val="28"/>
          <w:szCs w:val="28"/>
          <w:rtl w:val="true"/>
          <w:lang w:bidi="ar-SA"/>
        </w:rPr>
        <w:t>من أن المراد من الحلية في رواية مسعدة لا يخلو من احتمالات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الحلية المستندة إلى دليل غير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الحلية المستندة إلى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 أي الإرسال وعدم التقييد في مقابل المنع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أجنبي عن المقام، وأما الثاني فتنافيه الأمثلة، وأما الثالث فلا معيّن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يتأمل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استناد جميع الأمثلة إلى أصالة البراءة على مبنى جريان الأصول الطولية في عرض واحد إذا كانت متوافقة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طروء النجاسة على الشيء الطاهر، فتجري أصالة الطهارة في عرض الاستصحاب مع وروده أو حكومته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استناد الحلية في الثوب إلى قاعدة اليد وأصالة البراءة معاً، وكذلك في سائر الأمثلة، فتفيد الرواية أصالة البراءة في جميع الموارد، ولا تنافيها الأمثلة المذكورة لاستناد الحلية فيها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ظاهرة في الانحصار في الاستناد ولا انحصار في الأمثلة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الظهور في ذلك، فمجرد كونه مستنداً لا يدل على انحصار الاستناد، كما لو سئل عن دليل حرمة الخمر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يدل ذلك على انحصار الدليل فيه؟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بالحلية في رواية مسعدة المعنى اللغوي، أي الإرسال وعدم التقييد،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مطلق الحلية وهو الجامع بين الحليات المتعددة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قاعدة اليد،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قاعدة السوق،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لا تنقض اليقين بالشك،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بأنه لا معيّن لذلك، فيدفع بالإطلاق أو العموم، فهو معين لإرادة الجامع بين الحليات، فإنّ الثوب والمرأة وشرب التتن والمائع المشكوك كلها مشمول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دليل الحلية في الأخيرين اليد والسوق، فيكون كاشفاً عن جعل الشارع لأصالة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أفاده محل 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تخصص الرواية بالشبهات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مسعدة مغياة بغاية لا تنطبق إلا على الشبهات الموضوعية،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ولا خلاف في عدم الاحتياج إلى البينة في الشبهات الحكمية، حيث يكفي قول العادل الواحد، فتكون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المغيّا بالشبهات الموضوعية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بأنّ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الشاهدين العادلين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حادث، وأما لغة فبمعنى الحجة والدليل وما يتبين به الشيء، وقد استخدمت في القرآن الكريم بمعناها اللغوي،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وَالْمُشْرِكِينَ مُنفَكِّينَ حَتَّى تَأْتِيَهُمُ الْبَيِّنَةُ</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عَلَى </w:t>
      </w:r>
    </w:p>
    <w:p>
      <w:pPr>
        <w:pStyle w:val="BookText"/>
        <w:rPr/>
      </w:pPr>
      <w:r>
        <w:rPr>
          <w:rFonts w:ascii="Amiri" w:hAnsi="Amiri" w:eastAsia="Amiri" w:cs="Amiri"/>
          <w:color w:val="111111"/>
          <w:sz w:val="28"/>
          <w:sz w:val="28"/>
          <w:szCs w:val="28"/>
          <w:rtl w:val="true"/>
          <w:lang w:bidi="ar-SA"/>
        </w:rPr>
        <w:t>بَيِّنَةٍ مِّن رَّبِّيَ</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جَاءكُم بَيِّنَةٌ مِّن رَّبِّكُمْ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تقوم به الحجة، وهي في الموضوعات الخارجية الشاهدان العادلان مثلاً، وفي الأحكام الشرعية قول الثقة الواحد، فلا تكون قرينة على اختصاص المغيّا بالشبهات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ذهب إلى أنّ البينة بمعناها اللغوي السيد الوالد في الفقه</w:t>
      </w:r>
      <w:r>
        <w:rPr>
          <w:rStyle w:val="FootnoteAnchor"/>
          <w:rtl w:val="true"/>
        </w:rPr>
        <w:footnoteReference w:id="207"/>
      </w:r>
      <w:r>
        <w:rPr>
          <w:rFonts w:ascii="Amiri" w:hAnsi="Amiri" w:eastAsia="Amiri" w:cs="Amiri"/>
          <w:color w:val="111111"/>
          <w:sz w:val="28"/>
          <w:sz w:val="28"/>
          <w:szCs w:val="28"/>
          <w:rtl w:val="true"/>
          <w:lang w:bidi="ar-SA"/>
        </w:rPr>
        <w:t>والسيد الخوئي في المصباح</w:t>
      </w:r>
      <w:r>
        <w:rPr>
          <w:rStyle w:val="FootnoteAnchor"/>
          <w:rtl w:val="true"/>
        </w:rPr>
        <w:footnoteReference w:id="208"/>
      </w:r>
      <w:r>
        <w:rPr>
          <w:rFonts w:ascii="Amiri" w:hAnsi="Amiri" w:eastAsia="Amiri" w:cs="Amiri"/>
          <w:color w:val="111111"/>
          <w:sz w:val="28"/>
          <w:sz w:val="28"/>
          <w:szCs w:val="28"/>
          <w:rtl w:val="true"/>
          <w:lang w:bidi="ar-SA"/>
        </w:rPr>
        <w:t>وشرح العروة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استظهر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الفقه</w:t>
      </w:r>
      <w:r>
        <w:rPr>
          <w:rStyle w:val="FootnoteAnchor"/>
          <w:rtl w:val="true"/>
        </w:rPr>
        <w:footnoteReference w:id="210"/>
      </w:r>
      <w:r>
        <w:rPr>
          <w:rFonts w:ascii="Amiri" w:hAnsi="Amiri" w:eastAsia="Amiri" w:cs="Amiri"/>
          <w:color w:val="111111"/>
          <w:sz w:val="28"/>
          <w:sz w:val="28"/>
          <w:szCs w:val="28"/>
          <w:rtl w:val="true"/>
          <w:lang w:bidi="ar-SA"/>
        </w:rPr>
        <w:t>تحول كلمة البينة في لسان الشارع إلى المعنى الجديد، وهو الشاهدان العادلان، واستشهد لذلك بمجموعة من الروايات الدالة على استخدامها فيها بخصوصها، وقال الروايات مشحونة بالمئات من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ثبوت الحقيقة الشرعية لها، خاصة في عهد الإمام الصادق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رويت عنه هذه الرواية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في بحث ثبوت اجتهاد المجتهد من مباحث الاجتهاد والتقليد، وكذا في طرق إثبات النجاسة من مباحث الطهارة، فتتمة الكلام </w:t>
      </w:r>
      <w:bookmarkStart w:id="85" w:name="pg15608_166798"/>
    </w:p>
    <w:p>
      <w:pPr>
        <w:pStyle w:val="BookText"/>
        <w:rPr/>
      </w:pPr>
      <w:bookmarkEnd w:id="85"/>
      <w:r>
        <w:rPr>
          <w:rFonts w:ascii="Amiri" w:hAnsi="Amiri" w:eastAsia="Amiri" w:cs="Amiri"/>
          <w:color w:val="111111"/>
          <w:sz w:val="28"/>
          <w:sz w:val="28"/>
          <w:szCs w:val="28"/>
          <w:rtl w:val="true"/>
          <w:lang w:bidi="ar-SA"/>
        </w:rPr>
        <w:t>توكل إلى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الصيغة الأولى من روايات الحل</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0086495_2142443653"/>
      <w:bookmarkStart w:id="87" w:name="_Toc32"/>
      <w:bookmarkEnd w:id="86"/>
      <w:r>
        <w:rPr>
          <w:rtl w:val="true"/>
        </w:rPr>
        <w:t>التعبير الثاني لروايات الحل</w:t>
      </w:r>
      <w:bookmarkEnd w:id="87"/>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شيء فيه حلال وحرام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اقتصر عليه الشيخ الأعظم</w:t>
      </w:r>
      <w:r>
        <w:rPr>
          <w:rStyle w:val="FootnoteAnchor"/>
          <w:rtl w:val="true"/>
        </w:rPr>
        <w:footnoteReference w:id="211"/>
      </w:r>
      <w:r>
        <w:rPr>
          <w:rFonts w:ascii="Amiri" w:hAnsi="Amiri" w:eastAsia="Amiri" w:cs="Amiri"/>
          <w:color w:val="111111"/>
          <w:sz w:val="28"/>
          <w:sz w:val="28"/>
          <w:szCs w:val="28"/>
          <w:rtl w:val="true"/>
          <w:lang w:bidi="ar-SA"/>
        </w:rPr>
        <w:t>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الوسائل بسند صحيح عن محمد بن علي بن الحسين بإسناده</w:t>
      </w:r>
      <w:r>
        <w:rPr>
          <w:rStyle w:val="FootnoteAnchor"/>
          <w:rtl w:val="true"/>
        </w:rPr>
        <w:footnoteReference w:id="212"/>
      </w:r>
      <w:r>
        <w:rPr>
          <w:rFonts w:ascii="IRNazanin" w:hAnsi="IRNazanin" w:eastAsia="IRNazanin"/>
          <w:color w:val="111111"/>
          <w:sz w:val="28"/>
          <w:sz w:val="28"/>
          <w:szCs w:val="28"/>
          <w:rtl w:val="true"/>
          <w:lang w:bidi="fa-IR"/>
        </w:rPr>
        <w:t>عن الحسن بن محبوب</w:t>
      </w:r>
      <w:r>
        <w:rPr>
          <w:rStyle w:val="FootnoteAnchor"/>
          <w:rtl w:val="true"/>
        </w:rPr>
        <w:footnoteReference w:id="213"/>
      </w:r>
      <w:r>
        <w:rPr>
          <w:rFonts w:ascii="IRNazanin" w:hAnsi="IRNazanin" w:eastAsia="IRNazanin"/>
          <w:color w:val="111111"/>
          <w:sz w:val="28"/>
          <w:sz w:val="28"/>
          <w:szCs w:val="28"/>
          <w:rtl w:val="true"/>
          <w:lang w:bidi="fa-IR"/>
        </w:rPr>
        <w:t>، عن عبد اللّه بن سنان</w:t>
      </w:r>
      <w:r>
        <w:rPr>
          <w:rStyle w:val="FootnoteAnchor"/>
          <w:rtl w:val="true"/>
        </w:rPr>
        <w:footnoteReference w:id="214"/>
      </w:r>
      <w:r>
        <w:rPr>
          <w:rFonts w:ascii="Amiri" w:hAnsi="Amiri" w:eastAsia="Amiri" w:cs="Amiri"/>
          <w:color w:val="111111"/>
          <w:sz w:val="28"/>
          <w:sz w:val="28"/>
          <w:szCs w:val="28"/>
          <w:rtl w:val="true"/>
          <w:lang w:bidi="ar-SA"/>
        </w:rPr>
        <w:t>، عن أبي عبد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ولها أسناد أخرى أيضاً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عن محمد بن يعقوب، عن محمد بن يحيى</w:t>
      </w:r>
      <w:r>
        <w:rPr>
          <w:rStyle w:val="FootnoteAnchor"/>
          <w:rtl w:val="true"/>
        </w:rPr>
        <w:footnoteReference w:id="217"/>
      </w:r>
      <w:r>
        <w:rPr>
          <w:rFonts w:ascii="Amiri" w:hAnsi="Amiri" w:eastAsia="Amiri" w:cs="Amiri"/>
          <w:color w:val="111111"/>
          <w:sz w:val="28"/>
          <w:sz w:val="28"/>
          <w:szCs w:val="28"/>
          <w:rtl w:val="true"/>
          <w:lang w:bidi="ar-SA"/>
        </w:rPr>
        <w:t>، عن أحمد بن محمد بن عيسى</w:t>
      </w:r>
      <w:r>
        <w:rPr>
          <w:rStyle w:val="FootnoteAnchor"/>
          <w:rtl w:val="true"/>
        </w:rPr>
        <w:footnoteReference w:id="218"/>
      </w:r>
      <w:r>
        <w:rPr>
          <w:rFonts w:ascii="Amiri" w:hAnsi="Amiri" w:eastAsia="Amiri" w:cs="Amiri"/>
          <w:color w:val="111111"/>
          <w:sz w:val="28"/>
          <w:sz w:val="28"/>
          <w:szCs w:val="28"/>
          <w:rtl w:val="true"/>
          <w:lang w:bidi="ar-SA"/>
        </w:rPr>
        <w:t>، عن أبي أيوب</w:t>
      </w:r>
      <w:r>
        <w:rPr>
          <w:rStyle w:val="FootnoteAnchor"/>
          <w:rtl w:val="true"/>
        </w:rPr>
        <w:footnoteReference w:id="219"/>
      </w:r>
      <w:r>
        <w:rPr>
          <w:rFonts w:ascii="IRNazanin" w:hAnsi="IRNazanin" w:eastAsia="IRNazanin"/>
          <w:color w:val="111111"/>
          <w:sz w:val="28"/>
          <w:sz w:val="28"/>
          <w:szCs w:val="28"/>
          <w:rtl w:val="true"/>
          <w:lang w:bidi="fa-IR"/>
        </w:rPr>
        <w:t xml:space="preserve">، عن عبد اللّه بن </w:t>
      </w:r>
    </w:p>
    <w:p>
      <w:pPr>
        <w:pStyle w:val="BookText"/>
        <w:rPr/>
      </w:pPr>
      <w:r>
        <w:rPr>
          <w:rFonts w:ascii="Amiri" w:hAnsi="Amiri" w:eastAsia="Amiri" w:cs="Amiri"/>
          <w:color w:val="111111"/>
          <w:sz w:val="28"/>
          <w:sz w:val="28"/>
          <w:szCs w:val="28"/>
          <w:rtl w:val="true"/>
          <w:lang w:bidi="ar-SA"/>
        </w:rPr>
        <w:t>سنان، عن عبد اللّه بن سليمان</w:t>
      </w:r>
      <w:r>
        <w:rPr>
          <w:rStyle w:val="FootnoteAnchor"/>
          <w:rtl w:val="true"/>
        </w:rPr>
        <w:footnoteReference w:id="2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أبا جعفر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الجبن</w:t>
      </w:r>
      <w:r>
        <w:rPr>
          <w:rStyle w:val="FootnoteAnchor"/>
          <w:rtl w:val="true"/>
        </w:rPr>
        <w:footnoteReference w:id="2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طعام يعجبني، ثم أعطى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ابتع لنا جبناً، ثم دعا بالغداء فتغدينا معه، فأتي بالجبن فأكل</w:t>
      </w:r>
      <w:r>
        <w:rPr>
          <w:rStyle w:val="FootnoteAnchor"/>
          <w:rtl w:val="true"/>
        </w:rPr>
        <w:footnoteReference w:id="222"/>
      </w:r>
      <w:r>
        <w:rPr>
          <w:rFonts w:ascii="Amiri" w:hAnsi="Amiri" w:eastAsia="Amiri" w:cs="Amiri"/>
          <w:color w:val="111111"/>
          <w:sz w:val="28"/>
          <w:sz w:val="28"/>
          <w:szCs w:val="28"/>
          <w:rtl w:val="true"/>
          <w:lang w:bidi="ar-SA"/>
        </w:rPr>
        <w:t>وأكلنا، فلما فرغنا من الغداء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w:t>
      </w:r>
      <w:r>
        <w:rPr>
          <w:rStyle w:val="FootnoteAnchor"/>
          <w:rtl w:val="true"/>
        </w:rPr>
        <w:footnoteReference w:id="2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ترني أكله؟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أحب أن اسمعه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وغيره، كلُّ ما كان فيه حلال وحرام فهو لك حلال 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الثالثة</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عن المحاسن، عن اليقطيني، عن صفوان، عن معاوية بن عمار، عن رجل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فسأله رجل عن الجبن، فقال أبو جعفر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لطعام يعجبني فسأخبرك عن الجبن وغيره، كلُّ شيء فيه الحلال والحرام فهو لك حلال حتى تعرف الحرام فتدعه بعينه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في ذلك صحيحة عبد اللّه بن سنان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إشكالات على دلالة الرواية على البراءة</w:t>
      </w:r>
    </w:p>
    <w:p>
      <w:pPr>
        <w:pStyle w:val="BookText"/>
        <w:rPr/>
      </w:pPr>
      <w:r>
        <w:rPr>
          <w:rFonts w:ascii="Amiri" w:hAnsi="Amiri" w:eastAsia="Amiri" w:cs="Amiri"/>
          <w:color w:val="111111"/>
          <w:sz w:val="28"/>
          <w:sz w:val="28"/>
          <w:szCs w:val="28"/>
          <w:rtl w:val="true"/>
          <w:lang w:bidi="ar-SA"/>
        </w:rPr>
        <w:t xml:space="preserve">وفي شمولها للشبهات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محط نظر الأصوليين في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الانقسام بالفعل</w:t>
      </w:r>
    </w:p>
    <w:p>
      <w:pPr>
        <w:pStyle w:val="BookText"/>
        <w:rPr/>
      </w:pPr>
      <w:r>
        <w:rPr>
          <w:rFonts w:ascii="Amiri" w:hAnsi="Amiri" w:eastAsia="Amiri" w:cs="Amiri"/>
          <w:color w:val="111111"/>
          <w:sz w:val="28"/>
          <w:sz w:val="28"/>
          <w:szCs w:val="28"/>
          <w:rtl w:val="true"/>
          <w:lang w:bidi="ar-SA"/>
        </w:rPr>
        <w:t>مركب من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فيه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الانقسام بالفعل،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المائع نوع حلال بالفعل، وهو الخل، ونوع حرام وهو الخمر، فلو وجد مائع مشكوك يشك في انطباق عنوان الخل أو الخمر عليه فبمقتضى الصحيحة يكون حلالاً؛ لوجود الانقسام بالفعل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انقسام بالفعل في الشبهات الحكمية، بل الموجود فيها الترديد والاحتمال، ففي شرب التتن لا يمكن القول بانقسامه إلى حلال وحرام، بل المتحقق فيه الترديد، فهو إما حلال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الصحيحة التقسيم لا الترديد، فلا تنطبق على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 فيهما معاً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المناقشة في الصغرى فهي ما ذكره المحقق النائيني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الشيئية حيث إنها تساوق الوجود فظاهر لفظ الشيء هو الموجود الخارجي، فيدور الأمر بين إرادة احتمال الحلية والحرمة من قوله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فيه حلال وحرام، وبين الالتزام بالاستخدام وحمله على الانقسام الفعلي، والأول وإن كان في نفسه خلاف الظاهر إلا أنّ الالتزام به أهون من الالتزام بالاستخدام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يمكن أن يشمل الحديث الشريف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الخارجي، وأنّ إرادة الموجود الذهني منه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إطلاق الموجود الخارجي على 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المنتشر في الخارج المتكثر فيه</w:t>
      </w:r>
      <w:r>
        <w:rPr>
          <w:rStyle w:val="FootnoteAnchor"/>
          <w:rtl w:val="true"/>
        </w:rPr>
        <w:footnoteReference w:id="228"/>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الجزئي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أشار إلى الجبن الجزئي الخارجي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كلامه تاماً، حيث إنّ ظاهره الترديد، أي يحتمل الحلية والحرمة، ولا يمكن حمله على الانقسام بالفعل، لكن لو أراد من الموجود الخارجي الكلي المنتشر في الخارج فلا محذور من انقسامه بالفعل إلى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بنى عليه المحقق النائيني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توضيح عبارته مع بيان الإشكال عليها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المساوقة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الشيئية حيث إنها تساوق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منحلة إلى أربعة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موجود، وكلّ موجود شيء، وكلّ ما ليس بشيء فليس بموجود، وكلّ ما ليس بموجود فليس بشيءٍ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لفظ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الخارجي، أي الموجود الخارجي الجزئي، وحيث فرض هذا المعنى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الحلية والحرمة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يتعين ذلك، بل الظاهر منه الشيء الخارجي المنتشر،كالجبن في السوق المنقسم إلى نوعين، بل حمله على الجزئي الخارجي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قال من أن الموجود الخارجي يعني الجزئي المتعين المشار إليه، يدور الأمر بين الاحتمال الأول، وهو الترديد وإرادة احتمال الحلية والحرمة، وبين الاحتمال الثاني وهو الالتزام بالاستخدام</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وللغزالة شيء من تلفته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ونورها من ضيا خديه مكتسب</w:t>
      </w:r>
    </w:p>
    <w:p>
      <w:pPr>
        <w:pStyle w:val="BookText"/>
        <w:rPr/>
      </w:pP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نوعه، فيعود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بمعنى آخر، وعلى الثاني يمكن تحقق الانقسام الفعلي؛ لأنّ نوع الجبن الجزئي ينقسم بالفعل إلى الحلال والحرام، وهو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كون المراد الترديد خلاف الظاهر، إلاّ أنّ الالتزام به أهون من الالتزام بالاستخدام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وجه أهونية الاحتمال الأول، وترجيحه على الاحتمال الثاني غير واضح، بل ربما يدعى أهونية الاستخدام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فالمناقشة في الصغرى محل تأمل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المناقشة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تسليم الصغرى وأن ظاهر الحديث </w:t>
      </w:r>
    </w:p>
    <w:p>
      <w:pPr>
        <w:pStyle w:val="BookText"/>
        <w:rPr/>
      </w:pPr>
      <w:r>
        <w:rPr>
          <w:rFonts w:ascii="Amiri" w:hAnsi="Amiri" w:eastAsia="Amiri" w:cs="Amiri"/>
          <w:color w:val="111111"/>
          <w:sz w:val="28"/>
          <w:sz w:val="28"/>
          <w:szCs w:val="28"/>
          <w:rtl w:val="true"/>
          <w:lang w:bidi="ar-SA"/>
        </w:rPr>
        <w:t>التقسيم لا الترديد، لكن يمكن فرض التقسيم بالفعل في الشبهات الحكمية كالموضوعية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نوعان حلال كلحم الغنم، وحرام كلحم الكلب، فلو شككنا أنّ لحم الأرنب حلال أو حرام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حتى تعلم أنه حرام، فأمكن فرض الانقسام الفعلي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نوعان حلال كعصير البرتقال، وحرام كالعصير العنبي إذا غلى ولم يذهب ثلثاه، فلو شك في العصير التمري إذا غلى، فيحكم عليه بالحلية حتى يعلم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الأول على دلالة صحيحة عبد اللّه بن سنان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الانقسام سبب الشك</w:t>
      </w:r>
    </w:p>
    <w:p>
      <w:pPr>
        <w:pStyle w:val="BookText"/>
        <w:rPr/>
      </w:pPr>
      <w:r>
        <w:rPr>
          <w:rFonts w:ascii="Amiri" w:hAnsi="Amiri" w:eastAsia="Amiri" w:cs="Amiri"/>
          <w:color w:val="111111"/>
          <w:sz w:val="28"/>
          <w:sz w:val="28"/>
          <w:szCs w:val="28"/>
          <w:rtl w:val="true"/>
          <w:lang w:bidi="ar-SA"/>
        </w:rPr>
        <w:t>سلمنا شمول التقسيم للشبهات الموضوعية والحكمية، لكن ظاهر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فيه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الشك الانقسام، وفرضه في الشبهات الموضوعية واضح، فإنّ منشأ الشك في المائع الخارجي هو وجود الخمر الحرام والخل الحلال في المائعات، ويشك في انطباق أحد العنوانين على المائع الخارجي، فالانقسام سبب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الشبهات الحكمية، فإنّ منشأ الشك فيها إما فقدان النص أو إجماله أو تعارض النصين، لا وجود الحلال والحرام في الخارج، ولذا لو علم أنّ جميع الأنواع الأخر حلال أو حرام لكان الشك فيه باقياً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تشريع الحكم لكل واقعة كلية، ومع غض النظر عن انقسام المأكولات أو المنظورات أو الملبوسات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نوعين نشك أنّ </w:t>
      </w:r>
    </w:p>
    <w:p>
      <w:pPr>
        <w:pStyle w:val="BookText"/>
        <w:rPr/>
      </w:pPr>
      <w:r>
        <w:rPr>
          <w:rFonts w:ascii="Amiri" w:hAnsi="Amiri" w:eastAsia="Amiri" w:cs="Amiri"/>
          <w:color w:val="111111"/>
          <w:sz w:val="28"/>
          <w:sz w:val="28"/>
          <w:szCs w:val="28"/>
          <w:rtl w:val="true"/>
          <w:lang w:bidi="ar-SA"/>
        </w:rPr>
        <w:t xml:space="preserve">التتن والنظر إلى فوق الركبة من المماثل حلال أو حرام، وهذا الشك لا يرتبط بكون المنظورات نوعين، فإنّ الحالة الأولية لكل واقعة هي الشك، 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الشك الانقسام إلى الحلال والحرام، أما في الشبهات الحكمية فمع قطع النظر عن الانقسام يتحقق الشك في كل واقعة واقعة، فيكون ذلك قرينة على أنّ الحديث ناظر إلى الشبهات الموضوعية لا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كون الشك في تعيين الحرام، وهذا المعنى لا ينطبق إلا على الشبهات الموضوعية، وقد مرّ تفصيل الكلام فيه في الصيغة الأولى من روايات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العهد الذكري</w:t>
      </w:r>
      <w:r>
        <w:rPr>
          <w:rStyle w:val="FootnoteAnchor"/>
          <w:rtl w:val="true"/>
        </w:rPr>
        <w:footnoteReference w:id="231"/>
      </w:r>
      <w:r>
        <w:rPr>
          <w:rFonts w:ascii="Amiri" w:hAnsi="Amiri" w:eastAsia="Amiri" w:cs="Amiri"/>
          <w:color w:val="111111"/>
          <w:sz w:val="28"/>
          <w:sz w:val="28"/>
          <w:szCs w:val="28"/>
          <w:rtl w:val="true"/>
          <w:lang w:bidi="ar-SA"/>
        </w:rPr>
        <w:t>، أي الحرام الذي مرّ ذكره، فالجبن نوعان حلال وحرام، والجبن المشكوك حلال حتى تعرف أنه نفس الجبن الذي يوضع فيه شحم الخنزير مثلاً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لا يتلاءم مع الشبهات الحكمية، فإنه لو عرفت الحرمة في المشكوك فهي غير الحرمة المتقدمة، فلو علم أنّ اللحم نوعان غنم وكلب، وشك في حكم لحم الأرنب ثم علم أنه حرام فليس هو نفس الحرام السابق، بل هي حرمة جديدة،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نفس الحرام</w:t>
      </w:r>
      <w:r>
        <w:rPr>
          <w:rFonts w:eastAsia="Amiri" w:cs="Amiri" w:ascii="Amiri" w:hAnsi="Amiri"/>
          <w:color w:val="111111"/>
          <w:sz w:val="28"/>
          <w:szCs w:val="28"/>
          <w:rtl w:val="true"/>
          <w:lang w:bidi="ar-SA"/>
        </w:rPr>
        <w:t xml:space="preserve">. </w:t>
      </w:r>
      <w:bookmarkStart w:id="88" w:name="pg15608_166812"/>
    </w:p>
    <w:p>
      <w:pPr>
        <w:pStyle w:val="BookText"/>
        <w:rPr/>
      </w:pPr>
      <w:bookmarkEnd w:id="88"/>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الشبهة الموضوعية، ولو كان المراد الشبهة الحكمية لكان اللازم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الحرام منه</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0086497_2142443653"/>
      <w:bookmarkStart w:id="90" w:name="_Toc33"/>
      <w:bookmarkEnd w:id="89"/>
      <w:r>
        <w:rPr>
          <w:rtl w:val="true"/>
        </w:rPr>
        <w:t>التعبير الثالث لروايات الحل</w:t>
      </w:r>
      <w:bookmarkEnd w:id="90"/>
    </w:p>
    <w:p>
      <w:pPr>
        <w:pStyle w:val="BookText"/>
        <w:rPr/>
      </w:pPr>
      <w:r>
        <w:rPr>
          <w:rFonts w:ascii="Amiri" w:hAnsi="Amiri" w:eastAsia="Amiri" w:cs="Amiri"/>
          <w:color w:val="111111"/>
          <w:sz w:val="28"/>
          <w:sz w:val="28"/>
          <w:szCs w:val="28"/>
          <w:rtl w:val="true"/>
          <w:lang w:bidi="ar-SA"/>
        </w:rPr>
        <w:t>هنالك صيغة ثالثة أشار إليها الشيخ الأعظم</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في ضمن كلامه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يعثر على أثر عليها في الكتب الروائية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0086499_2142443653"/>
      <w:bookmarkStart w:id="92" w:name="_Toc34"/>
      <w:bookmarkEnd w:id="91"/>
      <w:r>
        <w:rPr>
          <w:rtl w:val="true"/>
        </w:rPr>
        <w:t>الحديث السادس</w:t>
      </w:r>
      <w:r>
        <w:rPr>
          <w:rtl w:val="true"/>
        </w:rPr>
        <w:t xml:space="preserve">: </w:t>
      </w:r>
      <w:r>
        <w:rPr>
          <w:rtl w:val="true"/>
        </w:rPr>
        <w:t>من ركب أمراً بجهالة</w:t>
      </w:r>
      <w:bookmarkEnd w:id="92"/>
    </w:p>
    <w:p>
      <w:pPr>
        <w:pStyle w:val="Heading4"/>
        <w:numPr>
          <w:ilvl w:val="3"/>
          <w:numId w:val="1"/>
        </w:numPr>
        <w:rPr/>
      </w:pPr>
      <w:bookmarkStart w:id="93" w:name="__RefHeading___Toc10086501_2142443653"/>
      <w:bookmarkStart w:id="94" w:name="_Toc35"/>
      <w:bookmarkEnd w:id="93"/>
      <w:r>
        <w:rPr>
          <w:rtl w:val="true"/>
        </w:rPr>
        <w:t>اشارة</w:t>
      </w:r>
      <w:bookmarkEnd w:id="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الصمد بن بشير المروية في التهذيب</w:t>
      </w:r>
      <w:r>
        <w:rPr>
          <w:rStyle w:val="FootnoteAnchor"/>
          <w:rtl w:val="true"/>
        </w:rPr>
        <w:footnoteReference w:id="233"/>
      </w:r>
      <w:r>
        <w:rPr>
          <w:rFonts w:ascii="Amiri" w:hAnsi="Amiri" w:eastAsia="Amiri" w:cs="Amiri"/>
          <w:color w:val="111111"/>
          <w:sz w:val="28"/>
          <w:sz w:val="28"/>
          <w:szCs w:val="28"/>
          <w:rtl w:val="true"/>
          <w:lang w:bidi="ar-SA"/>
        </w:rPr>
        <w:t>، ورويت مختصرةً في الوسائل</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عن موسى بن القاسم</w:t>
      </w:r>
      <w:r>
        <w:rPr>
          <w:rStyle w:val="FootnoteAnchor"/>
          <w:rtl w:val="true"/>
        </w:rPr>
        <w:footnoteReference w:id="235"/>
      </w:r>
      <w:r>
        <w:rPr>
          <w:rFonts w:ascii="Amiri" w:hAnsi="Amiri" w:eastAsia="Amiri" w:cs="Amiri"/>
          <w:color w:val="111111"/>
          <w:sz w:val="28"/>
          <w:sz w:val="28"/>
          <w:szCs w:val="28"/>
          <w:rtl w:val="true"/>
          <w:lang w:bidi="ar-SA"/>
        </w:rPr>
        <w:t>، عن عبد الصمد بن بشير</w:t>
      </w:r>
      <w:r>
        <w:rPr>
          <w:rStyle w:val="FootnoteAnchor"/>
          <w:rtl w:val="true"/>
        </w:rPr>
        <w:footnoteReference w:id="236"/>
      </w:r>
      <w:r>
        <w:rPr>
          <w:rFonts w:ascii="Amiri" w:hAnsi="Amiri" w:eastAsia="Amiri" w:cs="Amiri"/>
          <w:color w:val="111111"/>
          <w:sz w:val="28"/>
          <w:sz w:val="28"/>
          <w:szCs w:val="28"/>
          <w:rtl w:val="true"/>
          <w:lang w:bidi="ar-SA"/>
        </w:rPr>
        <w:t>، عن أبي عبد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يلبي حتى دخل المسجد وهو يلبي وعليه قميصه</w:t>
      </w:r>
      <w:r>
        <w:rPr>
          <w:rStyle w:val="FootnoteAnchor"/>
          <w:rtl w:val="true"/>
        </w:rPr>
        <w:footnoteReference w:id="237"/>
      </w:r>
      <w:r>
        <w:rPr>
          <w:rFonts w:ascii="Amiri" w:hAnsi="Amiri" w:eastAsia="Amiri" w:cs="Amiri"/>
          <w:color w:val="111111"/>
          <w:sz w:val="28"/>
          <w:sz w:val="28"/>
          <w:szCs w:val="28"/>
          <w:rtl w:val="true"/>
          <w:lang w:bidi="ar-SA"/>
        </w:rPr>
        <w:t>، فوثب إليه أناس من أصحاب أبي حنيفة،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قميصك وأخرجه من رجليك، فإنّ عليك بدنة وعليك الحج من قابل وحجك فاسد، فطلع</w:t>
      </w:r>
      <w:r>
        <w:rPr>
          <w:rStyle w:val="FootnoteAnchor"/>
          <w:rtl w:val="true"/>
        </w:rPr>
        <w:footnoteReference w:id="238"/>
      </w:r>
      <w:r>
        <w:rPr>
          <w:rFonts w:ascii="IRNazanin" w:hAnsi="IRNazanin" w:eastAsia="IRNazanin"/>
          <w:color w:val="111111"/>
          <w:sz w:val="28"/>
          <w:sz w:val="28"/>
          <w:szCs w:val="28"/>
          <w:rtl w:val="true"/>
          <w:lang w:bidi="fa-IR"/>
        </w:rPr>
        <w:t>أبو عبد اللّه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فقام على باب </w:t>
      </w:r>
      <w:bookmarkStart w:id="95" w:name="pg15608_166815"/>
    </w:p>
    <w:p>
      <w:pPr>
        <w:pStyle w:val="BookText"/>
        <w:rPr/>
      </w:pPr>
      <w:bookmarkEnd w:id="95"/>
      <w:r>
        <w:rPr>
          <w:rFonts w:ascii="Amiri" w:hAnsi="Amiri" w:eastAsia="Amiri" w:cs="Amiri"/>
          <w:color w:val="111111"/>
          <w:sz w:val="28"/>
          <w:sz w:val="28"/>
          <w:szCs w:val="28"/>
          <w:rtl w:val="true"/>
          <w:lang w:bidi="ar-SA"/>
        </w:rPr>
        <w:t>المسجد فكبر واستقبل الكعبة، فدنا الرجل من أبي عبد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ينتف شعره ويضرب وجهه</w:t>
      </w:r>
      <w:r>
        <w:rPr>
          <w:rStyle w:val="FootnoteAnchor"/>
          <w:rtl w:val="true"/>
        </w:rPr>
        <w:footnoteReference w:id="239"/>
      </w:r>
      <w:r>
        <w:rPr>
          <w:rFonts w:ascii="IRNazanin" w:hAnsi="IRNazanin" w:eastAsia="IRNazanin"/>
          <w:color w:val="111111"/>
          <w:sz w:val="28"/>
          <w:sz w:val="28"/>
          <w:szCs w:val="28"/>
          <w:rtl w:val="true"/>
          <w:lang w:bidi="fa-IR"/>
        </w:rPr>
        <w:t>، فقال له أبو عبد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اسكن يا عبد اللّه</w:t>
      </w:r>
      <w:r>
        <w:rPr>
          <w:rStyle w:val="FootnoteAnchor"/>
          <w:rtl w:val="true"/>
        </w:rPr>
        <w:footnoteReference w:id="240"/>
      </w:r>
      <w:r>
        <w:rPr>
          <w:rFonts w:ascii="Amiri" w:hAnsi="Amiri" w:eastAsia="Amiri" w:cs="Amiri"/>
          <w:color w:val="111111"/>
          <w:sz w:val="28"/>
          <w:sz w:val="28"/>
          <w:szCs w:val="28"/>
          <w:rtl w:val="true"/>
          <w:lang w:bidi="ar-SA"/>
        </w:rPr>
        <w:t>، فلما كلّمه وكان الرجل أعجمياً، فقال أبو عبد اللّه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تقول</w:t>
      </w:r>
      <w:r>
        <w:rPr>
          <w:rStyle w:val="FootnoteAnchor"/>
          <w:rtl w:val="true"/>
        </w:rPr>
        <w:footnoteReference w:id="2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أعمل بيدي، فاجتمعت لي نفقة فجئت أحج لم أسأل أحداً عن شيء فأفتاني هؤلاء أن أشق قميصي وأنزعه من قبل رجلي، وأنّ حجي فاسد، وأنّ علي بدنة،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لبست قميصك، أبعد ما لبيت أم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ألبي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رأسك</w:t>
      </w:r>
      <w:r>
        <w:rPr>
          <w:rStyle w:val="FootnoteAnchor"/>
          <w:rtl w:val="true"/>
        </w:rPr>
        <w:footnoteReference w:id="242"/>
      </w:r>
      <w:r>
        <w:rPr>
          <w:rFonts w:ascii="Amiri" w:hAnsi="Amiri" w:eastAsia="Amiri" w:cs="Amiri"/>
          <w:color w:val="111111"/>
          <w:sz w:val="28"/>
          <w:sz w:val="28"/>
          <w:szCs w:val="28"/>
          <w:rtl w:val="true"/>
          <w:lang w:bidi="ar-SA"/>
        </w:rPr>
        <w:t>فإنه ليس عليك بدنة وليس عليك الحج من قابل، 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عدم ثبوت الحكم التكليفي والوضعي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 أشكل على دلالة الحديث على البراءة في الشبهات الحكمية بإشكالات</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0086503_2142443653"/>
      <w:bookmarkStart w:id="97" w:name="_Toc36"/>
      <w:bookmarkEnd w:id="96"/>
      <w:r>
        <w:rPr>
          <w:rtl w:val="true"/>
        </w:rPr>
        <w:t>الإشكال الاول</w:t>
      </w:r>
      <w:r>
        <w:rPr>
          <w:rtl w:val="true"/>
        </w:rPr>
        <w:t xml:space="preserve">: </w:t>
      </w:r>
      <w:r>
        <w:rPr>
          <w:rtl w:val="true"/>
        </w:rPr>
        <w:t>عدم شمول الحديث للجاهل البسيط</w:t>
      </w:r>
      <w:bookmarkEnd w:id="97"/>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ثلاثة أنواع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الغافل، وهو من لا التفات له بالواقع أصلاً، كمن يعيش </w:t>
      </w:r>
    </w:p>
    <w:p>
      <w:pPr>
        <w:pStyle w:val="BookText"/>
        <w:rPr/>
      </w:pPr>
      <w:r>
        <w:rPr>
          <w:rFonts w:ascii="Amiri" w:hAnsi="Amiri" w:eastAsia="Amiri" w:cs="Amiri"/>
          <w:color w:val="111111"/>
          <w:sz w:val="28"/>
          <w:sz w:val="28"/>
          <w:szCs w:val="28"/>
          <w:rtl w:val="true"/>
          <w:lang w:bidi="ar-SA"/>
        </w:rPr>
        <w:t>في منقطع الجبال، أو من يغفل عن بعض الأحكام الشرعية غفلة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المركب، وهو من كان جاهلاً وهو جاهل بجهله، بل يعتقد أنه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البسيط، وهو الجاهل العالم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 هذا التركيب في اللغة العربية النوعان الأولان، حيث يطلق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الثالث، فلا تشمله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ثلاثة للإشكال</w:t>
      </w:r>
    </w:p>
    <w:p>
      <w:pPr>
        <w:pStyle w:val="BookText"/>
        <w:rPr/>
      </w:pPr>
      <w:r>
        <w:rPr>
          <w:rFonts w:ascii="Amiri" w:hAnsi="Amiri" w:eastAsia="Amiri" w:cs="Amiri"/>
          <w:color w:val="111111"/>
          <w:sz w:val="28"/>
          <w:sz w:val="28"/>
          <w:szCs w:val="28"/>
          <w:rtl w:val="true"/>
          <w:lang w:bidi="ar-SA"/>
        </w:rPr>
        <w:t>ويمكن أن يقرر بثلاثة 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خصوصية المورد تعيّن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اتضاح خصوصية المورد،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أسأل أحداً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ظاهراً في الغفلة أو الجهل المركب، بل يمكن أن يكون جاهلاً ملتفتاً، وترك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الاستفصال في الجواب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الخصوصية إلاّ أنّ المورد لا يخصص الوارد، فإنه أنما يقدر موضوع السائل لو لم يكن للجواب موضوع، أما لو كان للجواب موضوع وكان أعم من موضوع السؤال فالعبرة بعموم الجواب لا بخصوص السؤال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الجهل المركب والغفلة، دون الجهل البسيط،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ظاهرة في السببية والعلية، وهي أنما تكون في الأولين، أما علة الاقتحام في الجهل البسيط فلا تخلو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المبالاة بالدين أو اعتقاد وجود المؤمّن، فلا يكون الجهل سبباً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 حيث لا يسلم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السببية، بل لها معانٍ متعددة</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بالباء استعن وعد عوض ألصق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مع ومن وعن بها انطق</w:t>
      </w:r>
    </w:p>
    <w:p>
      <w:pPr>
        <w:pStyle w:val="BookText"/>
        <w:rPr/>
      </w:pPr>
      <w:r>
        <w:rPr>
          <w:rFonts w:ascii="Amiri" w:hAnsi="Amiri" w:eastAsia="Amiri" w:cs="Amiri"/>
          <w:color w:val="111111"/>
          <w:sz w:val="28"/>
          <w:sz w:val="28"/>
          <w:szCs w:val="28"/>
          <w:rtl w:val="true"/>
          <w:lang w:bidi="ar-SA"/>
        </w:rPr>
        <w:t xml:space="preserve">شرح ابن عقيل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أحداها المصاحبة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المحتمل في المقام، أي ركب أمراً في حالة الجهالة، أي مصحوباً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العراقي في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الجهل البسيط أيضاً سبب لارتكاب الحرام المشكوك، بمقتضى حكم العقل بقبح العقاب بلا بيان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 كما يظهر من مجموع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ومع الواسطة، ويطلق على كليهما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هنا للاستعانة، وتستخدم بلا واسطة للقلم ومع الواسطة لليد، وفي الجهل البسيط السبب البعيد الجهل والسبب القريب قاعدة قبح العقاب بلا بيان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المجتهد يجهل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علة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يستعين بقاعدة قبح العقاب ويقتحم المشكوك، ولو سئل عن ذلك أجاب بأنّ العلة البعيدة الجهل بالواقع والعلة القريبة وجود المؤمّن العقلي، فتصدق السببية في </w:t>
      </w:r>
    </w:p>
    <w:p>
      <w:pPr>
        <w:pStyle w:val="BookText"/>
        <w:rPr/>
      </w:pPr>
      <w:r>
        <w:rPr>
          <w:rFonts w:ascii="Amiri" w:hAnsi="Amiri" w:eastAsia="Amiri" w:cs="Amiri"/>
          <w:color w:val="111111"/>
          <w:sz w:val="28"/>
          <w:sz w:val="28"/>
          <w:szCs w:val="28"/>
          <w:rtl w:val="true"/>
          <w:lang w:bidi="ar-SA"/>
        </w:rPr>
        <w:t xml:space="preserve">الجاهل البسيط الملتفت ويطلق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أمراً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عليه في المنتقى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الاستناد إلى قاعدة قبح العقاب بلا بيان في ارتكاب المجهول بالجهل البسيط يستلزم أن يكون ارتكاب الحرام عن علم لا عن جهل، فلا يعد ارتكابه بسبب الجهل</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واضح، فإنّ للشيء 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w:t>
      </w:r>
      <w:r>
        <w:rPr>
          <w:rStyle w:val="FootnoteAnchor"/>
          <w:rtl w:val="true"/>
        </w:rPr>
        <w:footnoteReference w:id="247"/>
      </w:r>
      <w:r>
        <w:rPr>
          <w:rFonts w:ascii="Amiri" w:hAnsi="Amiri" w:eastAsia="Amiri" w:cs="Amiri"/>
          <w:color w:val="111111"/>
          <w:sz w:val="28"/>
          <w:sz w:val="28"/>
          <w:szCs w:val="28"/>
          <w:rtl w:val="true"/>
          <w:lang w:bidi="ar-SA"/>
        </w:rPr>
        <w:t>وعرضي</w:t>
      </w:r>
      <w:r>
        <w:rPr>
          <w:rStyle w:val="FootnoteAnchor"/>
          <w:rtl w:val="true"/>
        </w:rPr>
        <w:footnoteReference w:id="248"/>
      </w:r>
      <w:r>
        <w:rPr>
          <w:rFonts w:ascii="Amiri" w:hAnsi="Amiri" w:eastAsia="Amiri" w:cs="Amiri"/>
          <w:color w:val="111111"/>
          <w:sz w:val="28"/>
          <w:sz w:val="28"/>
          <w:szCs w:val="28"/>
          <w:rtl w:val="true"/>
          <w:lang w:bidi="ar-SA"/>
        </w:rPr>
        <w:t>، والعنوان الذاتي يترتب عليه الحكم الواقعي، كالحلية أو الحرمة في اللوح المحفوظ، والعنوان العرضي موضوع للحكم الظاهري وهو البراءة، فلو لاحظنا الحكم الواقعي المترتب على العنوان الذاتي 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الاقتحام مسبب عن الجهل، ولو لاحظنا الحكم الظاهري والتأمين العقلي المترتب على العنوان العرضي 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الاقتحام بسبب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اقتحام المشكوك علم المكلف بأنه غير معاقب، وهو لا ينافي كون الجهل سبب الاقتحام أيضاً، فإنّ الجهل بالحكم الواقعي محمول على العنوان الذاتي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له مدخلية في الاقتحام، وهذا لا ينافي أن يكون للجهل المدخلية فيه أيضاً، فالاقتحام معلول للجهل وإن كان معلولاً للعلم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 في المنتقى لا ينفي كلام المحقق العراقي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ظاهر كلام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الظهور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وتمامية المدعى موقوفة على بيان معنى الجهالة، فإنها في اللغة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السفاهة وعدم العلم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آية النبأ، حيث يحتمل فيها أن تكون بمعنى السفاهة، وقواه صاحب الكفاية</w:t>
      </w:r>
      <w:r>
        <w:rPr>
          <w:rStyle w:val="FootnoteAnchor"/>
          <w:rtl w:val="true"/>
        </w:rPr>
        <w:footnoteReference w:id="251"/>
      </w:r>
      <w:r>
        <w:rPr>
          <w:rFonts w:ascii="Amiri" w:hAnsi="Amiri" w:eastAsia="Amiri" w:cs="Amiri"/>
          <w:color w:val="111111"/>
          <w:sz w:val="28"/>
          <w:sz w:val="28"/>
          <w:szCs w:val="28"/>
          <w:rtl w:val="true"/>
          <w:lang w:bidi="ar-SA"/>
        </w:rPr>
        <w:t>، وكذا في آيات التوبة</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مراداً في المقام، فيتعين المعنى الثاني، وهو شامل للجهل البسيط والمركب، منتهى الأمر يمكن القول بانصرافها عن البراءة قبل الفحص، أما بعد الفحص التام واستفراغ الوسع من قبل المجتهد فلا مانع من إطلاق الجاهل عليه فيكون دليلاً على البراءة، والبحث في الشبهات الحكمية ليس البراءة قبل الفحص قطعاً، وإنما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استخدامها في موارد أخرى من دون التعرض فيها للتفصيل بين الجاهل البسيط و المركب، ففي الكافي عن أبي عبد اللّه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وليس عليك فداء ما أتيته بجهالة إلا الصيد، فإنّ عليك فيه الفداء بجهل كان أو بعمد</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أفتى الفقهاء</w:t>
      </w:r>
      <w:r>
        <w:rPr>
          <w:rStyle w:val="FootnoteAnchor"/>
          <w:rtl w:val="true"/>
        </w:rPr>
        <w:footnoteReference w:id="254"/>
      </w:r>
      <w:r>
        <w:rPr>
          <w:rFonts w:ascii="Amiri" w:hAnsi="Amiri" w:eastAsia="Amiri" w:cs="Amiri"/>
          <w:color w:val="111111"/>
          <w:sz w:val="28"/>
          <w:sz w:val="28"/>
          <w:szCs w:val="28"/>
          <w:rtl w:val="true"/>
          <w:lang w:bidi="ar-SA"/>
        </w:rPr>
        <w:t>على طبقها ولم يفرقوا بينهما</w:t>
      </w:r>
      <w:r>
        <w:rPr>
          <w:rFonts w:eastAsia="Amiri" w:cs="Amiri" w:ascii="Amiri" w:hAnsi="Amiri"/>
          <w:color w:val="111111"/>
          <w:sz w:val="28"/>
          <w:szCs w:val="28"/>
          <w:rtl w:val="true"/>
          <w:lang w:bidi="ar-SA"/>
        </w:rPr>
        <w:t xml:space="preserve">. </w:t>
      </w:r>
      <w:bookmarkStart w:id="98" w:name="pg15608_166825"/>
    </w:p>
    <w:p>
      <w:pPr>
        <w:pStyle w:val="BookText"/>
        <w:rPr/>
      </w:pPr>
      <w:bookmarkEnd w:id="98"/>
      <w:r>
        <w:rPr>
          <w:rFonts w:ascii="Amiri" w:hAnsi="Amiri" w:eastAsia="Amiri" w:cs="Amiri"/>
          <w:color w:val="111111"/>
          <w:sz w:val="28"/>
          <w:sz w:val="28"/>
          <w:szCs w:val="28"/>
          <w:rtl w:val="true"/>
          <w:lang w:bidi="ar-SA"/>
        </w:rPr>
        <w:t>وفيه أيضاً عن أبي إبراهيم</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سألته عن الرجل يتزوج المرأة في عدتها بجهالة، أهي ممن لا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إذا كان بجهالة فليتزوجها بعد ما تنقضي عدتها، وقد يعذر الناس في الجهالة بما هو أعظم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أن يعلم أن ذلك محرم عليه</w:t>
      </w:r>
      <w:r>
        <w:rPr>
          <w:rStyle w:val="FootnoteAnchor"/>
          <w:rtl w:val="true"/>
        </w:rPr>
        <w:footnoteReference w:id="255"/>
      </w:r>
      <w:r>
        <w:rPr>
          <w:rFonts w:ascii="Amiri" w:hAnsi="Amiri" w:eastAsia="Amiri" w:cs="Amiri"/>
          <w:color w:val="111111"/>
          <w:sz w:val="28"/>
          <w:sz w:val="28"/>
          <w:szCs w:val="28"/>
          <w:rtl w:val="true"/>
          <w:lang w:bidi="ar-SA"/>
        </w:rPr>
        <w:t>أم بجهالته أنها في عدة</w:t>
      </w:r>
      <w:r>
        <w:rPr>
          <w:rStyle w:val="FootnoteAnchor"/>
          <w:rtl w:val="true"/>
        </w:rPr>
        <w:footnoteReference w:id="256"/>
      </w:r>
      <w:r>
        <w:rPr>
          <w:rFonts w:ascii="IRNazanin" w:hAnsi="IRNazanin" w:eastAsia="IRNazanin"/>
          <w:color w:val="111111"/>
          <w:sz w:val="28"/>
          <w:sz w:val="28"/>
          <w:szCs w:val="28"/>
          <w:rtl w:val="true"/>
          <w:lang w:bidi="fa-IR"/>
        </w:rPr>
        <w:t>؟ فقال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إحدى الجهالتين أهون من الأخرى</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أفتى الفقهاء على طبقها،كما في العروة</w:t>
      </w:r>
      <w:r>
        <w:rPr>
          <w:rStyle w:val="FootnoteAnchor"/>
          <w:rtl w:val="true"/>
        </w:rPr>
        <w:footnoteReference w:id="258"/>
      </w:r>
      <w:r>
        <w:rPr>
          <w:rFonts w:ascii="Amiri" w:hAnsi="Amiri" w:eastAsia="Amiri" w:cs="Amiri"/>
          <w:color w:val="111111"/>
          <w:sz w:val="28"/>
          <w:sz w:val="28"/>
          <w:szCs w:val="28"/>
          <w:rtl w:val="true"/>
          <w:lang w:bidi="ar-SA"/>
        </w:rPr>
        <w:t>، فإنّ ملاك الحرمة الأبدية الدخول أو علم أحد الطرفين، فلو كان أحد الطرفين عالماً بالموضوع والحكم أوجب الحرمة الأبدية، وكذا لو حصل الدخول بقرينة الروايات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استخدمت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الروايات</w:t>
      </w:r>
      <w:r>
        <w:rPr>
          <w:rStyle w:val="FootnoteAnchor"/>
          <w:rtl w:val="true"/>
        </w:rPr>
        <w:footnoteReference w:id="259"/>
      </w:r>
      <w:r>
        <w:rPr>
          <w:rFonts w:ascii="Amiri" w:hAnsi="Amiri" w:eastAsia="Amiri" w:cs="Amiri"/>
          <w:color w:val="111111"/>
          <w:sz w:val="28"/>
          <w:sz w:val="28"/>
          <w:szCs w:val="28"/>
          <w:rtl w:val="true"/>
          <w:lang w:bidi="ar-SA"/>
        </w:rPr>
        <w:t xml:space="preserve">ولم يفرق الفقهاء فيمن رأينا بين الجاهل البسيط والمركب في تلك الموارد، فلا مانع من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الصمد بن بشير لهما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0086505_2142443653"/>
      <w:bookmarkStart w:id="100" w:name="_Toc37"/>
      <w:bookmarkEnd w:id="99"/>
      <w:r>
        <w:rPr>
          <w:rtl w:val="true"/>
        </w:rPr>
        <w:t>الإشكال الثاني</w:t>
      </w:r>
      <w:r>
        <w:rPr>
          <w:rtl w:val="true"/>
        </w:rPr>
        <w:t xml:space="preserve">: </w:t>
      </w:r>
      <w:r>
        <w:rPr>
          <w:rtl w:val="true"/>
        </w:rPr>
        <w:t>لزوم التخصيص الصحيحة</w:t>
      </w:r>
      <w:bookmarkEnd w:id="1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ويؤيده أن تعميم الجهالة لصورة التردد يحوج </w:t>
      </w:r>
    </w:p>
    <w:p>
      <w:pPr>
        <w:pStyle w:val="BookText"/>
        <w:rPr/>
      </w:pPr>
      <w:r>
        <w:rPr>
          <w:rFonts w:ascii="Amiri" w:hAnsi="Amiri" w:eastAsia="Amiri" w:cs="Amiri"/>
          <w:color w:val="111111"/>
          <w:sz w:val="28"/>
          <w:sz w:val="28"/>
          <w:szCs w:val="28"/>
          <w:rtl w:val="true"/>
          <w:lang w:bidi="ar-SA"/>
        </w:rPr>
        <w:t>الكلام إلى التخصيص بالشاك غير المقصر، وسياقه يأبى عن التخصيص</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قلنا بشمول الحديث للمتردد كالفقيه، فلابد من تخصيصه؛ لعدم معذورية المتردد المقصر قطعاً، وسياق الرواية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لازم على كل حال، سواء كانت الرواية شاملة للمتردد أم لا؛ لأنّ الجاهل المركب لو كان مقصراً فليس بمعذور، وكذا الغافل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التخصيص مطلقاً، فإنّ الرواية شاملة حتى للجاهل المقصر، فإنها وإن كانت نكرة في سياق النفي، لكنها محيثة</w:t>
      </w:r>
      <w:r>
        <w:rPr>
          <w:rStyle w:val="FootnoteAnchor"/>
          <w:rtl w:val="true"/>
        </w:rPr>
        <w:footnoteReference w:id="261"/>
      </w:r>
      <w:r>
        <w:rPr>
          <w:rFonts w:ascii="Amiri" w:hAnsi="Amiri" w:eastAsia="Amiri" w:cs="Amiri"/>
          <w:color w:val="111111"/>
          <w:sz w:val="28"/>
          <w:sz w:val="28"/>
          <w:szCs w:val="28"/>
          <w:rtl w:val="true"/>
          <w:lang w:bidi="ar-SA"/>
        </w:rPr>
        <w:t>، أي ناظرة إلى الأحكام الوضعية، كبطلان الحج لا الحرمة والعقوبة الأخروية واستحقاقها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غض النظر عن الإشكالين، لم يظهر لنا وجه إباء الرواية عن التخصيص</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مانع من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 إلاّ في باب الصيد، وإلا في الجاهل المقصر فعليهما شيء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ما ذكره الشيخ الأعظم بعنوان المؤيد غير واضح</w:t>
      </w:r>
      <w:r>
        <w:rPr>
          <w:rFonts w:eastAsia="Amiri" w:cs="Amiri" w:ascii="Amiri" w:hAnsi="Amiri"/>
          <w:color w:val="111111"/>
          <w:sz w:val="28"/>
          <w:szCs w:val="28"/>
          <w:rtl w:val="true"/>
          <w:lang w:bidi="ar-SA"/>
        </w:rPr>
        <w:t xml:space="preserve">. </w:t>
      </w:r>
      <w:bookmarkStart w:id="101" w:name="pg15608_166829"/>
    </w:p>
    <w:p>
      <w:pPr>
        <w:pStyle w:val="Heading4"/>
        <w:numPr>
          <w:ilvl w:val="3"/>
          <w:numId w:val="1"/>
        </w:numPr>
        <w:rPr/>
      </w:pPr>
      <w:bookmarkStart w:id="102" w:name="__RefHeading___Toc10086507_2142443653"/>
      <w:bookmarkStart w:id="103" w:name="_Toc38"/>
      <w:bookmarkEnd w:id="101"/>
      <w:bookmarkEnd w:id="102"/>
      <w:r>
        <w:rPr>
          <w:rtl w:val="true"/>
        </w:rPr>
        <w:t>الإشكال الثالث</w:t>
      </w:r>
      <w:r>
        <w:rPr>
          <w:rtl w:val="true"/>
        </w:rPr>
        <w:t xml:space="preserve">: </w:t>
      </w:r>
      <w:r>
        <w:rPr>
          <w:rtl w:val="true"/>
        </w:rPr>
        <w:t>ورود أدلة الاحتياط على الصحيحة</w:t>
      </w:r>
      <w:bookmarkEnd w:id="103"/>
    </w:p>
    <w:p>
      <w:pPr>
        <w:pStyle w:val="BookText"/>
        <w:rPr/>
      </w:pPr>
      <w:r>
        <w:rPr>
          <w:rFonts w:ascii="Amiri" w:hAnsi="Amiri" w:eastAsia="Amiri" w:cs="Amiri"/>
          <w:color w:val="111111"/>
          <w:sz w:val="28"/>
          <w:sz w:val="28"/>
          <w:szCs w:val="28"/>
          <w:rtl w:val="true"/>
          <w:lang w:bidi="ar-SA"/>
        </w:rPr>
        <w:t>إنّ أدلة الاحتياط واردة على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صحيحة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تنتفي في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بالوظيفة الفعلية، وأدلة الاحتياط رافعة للجهالة، فإنّ الوظيفة الفعلية معلومة وإن لم يعلم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تمامية أدلة الاحتياط، وسيأتي إن شاء اللّه عدم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الصحيحة وافية لإثبات البراءة الشرعية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0086509_2142443653"/>
      <w:bookmarkStart w:id="105" w:name="_Toc39"/>
      <w:bookmarkEnd w:id="104"/>
      <w:r>
        <w:rPr>
          <w:rtl w:val="true"/>
        </w:rPr>
        <w:t>الحديث السابع</w:t>
      </w:r>
      <w:r>
        <w:rPr>
          <w:rtl w:val="true"/>
        </w:rPr>
        <w:t xml:space="preserve">: </w:t>
      </w:r>
      <w:r>
        <w:rPr>
          <w:rtl w:val="true"/>
        </w:rPr>
        <w:t>احتجاج اللّه على الناس بما آتاهم</w:t>
      </w:r>
      <w:bookmarkEnd w:id="105"/>
    </w:p>
    <w:p>
      <w:pPr>
        <w:pStyle w:val="Heading4"/>
        <w:numPr>
          <w:ilvl w:val="3"/>
          <w:numId w:val="1"/>
        </w:numPr>
        <w:rPr/>
      </w:pPr>
      <w:bookmarkStart w:id="106" w:name="__RefHeading___Toc10086511_2142443653"/>
      <w:bookmarkStart w:id="107" w:name="_Toc40"/>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ما في الكافي عن محمد بن إسماعيل، عن الفضل بن شاذان</w:t>
      </w:r>
      <w:r>
        <w:rPr>
          <w:rStyle w:val="FootnoteAnchor"/>
          <w:rtl w:val="true"/>
        </w:rPr>
        <w:footnoteReference w:id="263"/>
      </w:r>
      <w:r>
        <w:rPr>
          <w:rFonts w:ascii="Amiri" w:hAnsi="Amiri" w:eastAsia="Amiri" w:cs="Amiri"/>
          <w:color w:val="111111"/>
          <w:sz w:val="28"/>
          <w:sz w:val="28"/>
          <w:szCs w:val="28"/>
          <w:rtl w:val="true"/>
          <w:lang w:bidi="ar-SA"/>
        </w:rPr>
        <w:t>، عن ابن أبي عمير</w:t>
      </w:r>
      <w:r>
        <w:rPr>
          <w:rStyle w:val="FootnoteAnchor"/>
          <w:rtl w:val="true"/>
        </w:rPr>
        <w:footnoteReference w:id="264"/>
      </w:r>
      <w:r>
        <w:rPr>
          <w:rFonts w:ascii="Amiri" w:hAnsi="Amiri" w:eastAsia="Amiri" w:cs="Amiri"/>
          <w:color w:val="111111"/>
          <w:sz w:val="28"/>
          <w:sz w:val="28"/>
          <w:szCs w:val="28"/>
          <w:rtl w:val="true"/>
          <w:lang w:bidi="ar-SA"/>
        </w:rPr>
        <w:t>، عن جميل بن دراج</w:t>
      </w:r>
      <w:r>
        <w:rPr>
          <w:rStyle w:val="FootnoteAnchor"/>
          <w:rtl w:val="true"/>
        </w:rPr>
        <w:footnoteReference w:id="265"/>
      </w:r>
      <w:r>
        <w:rPr>
          <w:rFonts w:ascii="Amiri" w:hAnsi="Amiri" w:eastAsia="Amiri" w:cs="Amiri"/>
          <w:color w:val="111111"/>
          <w:sz w:val="28"/>
          <w:sz w:val="28"/>
          <w:szCs w:val="28"/>
          <w:rtl w:val="true"/>
          <w:lang w:bidi="ar-SA"/>
        </w:rPr>
        <w:t>، عن ابن الطيار، عن أبي عبد اللّه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 على الناس بما آتاهم وعرفهم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اعتبار السند موقوف على وثاقة محمد بن إسماعيل وابن الطيار</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0086513_2142443653"/>
      <w:bookmarkStart w:id="109" w:name="_Toc41"/>
      <w:bookmarkEnd w:id="108"/>
      <w:r>
        <w:rPr>
          <w:rtl w:val="true"/>
        </w:rPr>
        <w:t>طرق وثاقة محمد بن إسماعيل</w:t>
      </w:r>
      <w:bookmarkEnd w:id="10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محمد بن إسماعيل فهو مشترك بين ثلاثة، محمد بن إسماعيل بن </w:t>
      </w:r>
    </w:p>
    <w:p>
      <w:pPr>
        <w:pStyle w:val="BookText"/>
        <w:rPr/>
      </w:pPr>
      <w:r>
        <w:rPr>
          <w:rFonts w:ascii="Amiri" w:hAnsi="Amiri" w:eastAsia="Amiri" w:cs="Amiri"/>
          <w:color w:val="111111"/>
          <w:sz w:val="28"/>
          <w:sz w:val="28"/>
          <w:szCs w:val="28"/>
          <w:rtl w:val="true"/>
          <w:lang w:bidi="ar-SA"/>
        </w:rPr>
        <w:t>بزيع ومحمد بن إسماعيل البرمكي وهما ثقتان، ومحمد بن إسماعيل البندقي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طرق لرفع الجهالة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حسن الصدر في رسالته</w:t>
      </w:r>
      <w:r>
        <w:rPr>
          <w:rStyle w:val="FootnoteAnchor"/>
          <w:rtl w:val="true"/>
        </w:rPr>
        <w:footnoteReference w:id="267"/>
      </w:r>
      <w:r>
        <w:rPr>
          <w:rFonts w:ascii="Amiri" w:hAnsi="Amiri" w:eastAsia="Amiri" w:cs="Amiri"/>
          <w:color w:val="111111"/>
          <w:sz w:val="28"/>
          <w:sz w:val="28"/>
          <w:szCs w:val="28"/>
          <w:rtl w:val="true"/>
          <w:lang w:bidi="ar-SA"/>
        </w:rPr>
        <w:t>لإثبات أنّ شيخ الكليني هو ابن بزيع 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جمع من المتأخرين، حيث وصفوا الحديث الواقع فيه محمد بن إسماعيل بالصحة، بل نقل أنّ المتأخرين أطبقوا على ذلك غير ابن داود، وهو كافٍ في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هو أقوى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الكليني صحح بالصحة القدمائية جميع ما في الكافي، وقد روى عن 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فتكون كثرة النقل كاشفة عن وثاقته، فإنّ كثرة الاعتماد يلازم الوثاقة المخبرية، فالقرينة داخلية لا خارجية، وتوثيق الكليني للمخبر كتوثيقات بقية الرجاليين المتقدمين حجة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طرق أخرى لتوثيقه</w:t>
      </w:r>
      <w:r>
        <w:rPr>
          <w:rFonts w:eastAsia="Amiri" w:cs="Amiri" w:ascii="Amiri" w:hAnsi="Amiri"/>
          <w:color w:val="111111"/>
          <w:sz w:val="28"/>
          <w:szCs w:val="28"/>
          <w:rtl w:val="true"/>
          <w:lang w:bidi="ar-SA"/>
        </w:rPr>
        <w:t xml:space="preserve">. </w:t>
      </w:r>
      <w:bookmarkStart w:id="110" w:name="pg15608_166834"/>
    </w:p>
    <w:p>
      <w:pPr>
        <w:pStyle w:val="Heading4"/>
        <w:numPr>
          <w:ilvl w:val="3"/>
          <w:numId w:val="1"/>
        </w:numPr>
        <w:rPr/>
      </w:pPr>
      <w:bookmarkStart w:id="111" w:name="__RefHeading___Toc10086515_2142443653"/>
      <w:bookmarkStart w:id="112" w:name="_Toc42"/>
      <w:bookmarkEnd w:id="110"/>
      <w:bookmarkEnd w:id="111"/>
      <w:r>
        <w:rPr>
          <w:rtl w:val="true"/>
        </w:rPr>
        <w:t>وثاقة ابن الطيار</w:t>
      </w:r>
      <w:bookmarkEnd w:id="112"/>
    </w:p>
    <w:p>
      <w:pPr>
        <w:pStyle w:val="BookText"/>
        <w:rPr/>
      </w:pPr>
      <w:r>
        <w:rPr>
          <w:rFonts w:ascii="Amiri" w:hAnsi="Amiri" w:eastAsia="Amiri" w:cs="Amiri"/>
          <w:color w:val="111111"/>
          <w:sz w:val="28"/>
          <w:sz w:val="28"/>
          <w:szCs w:val="28"/>
          <w:rtl w:val="true"/>
          <w:lang w:bidi="ar-SA"/>
        </w:rPr>
        <w:t>وأما ابن الطيار فقد قال البعض منهم العلامة المجلسي</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وربما نظره إلى روايات وردت في مدحه، لكن ورودها فيه محل نظر؛ لاحتمال ورودها في مدح أبيه، بل هنالك قرائن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حسن الرجل فضلاً عن وثاقته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ولكنه ينافي مبناه؛ لورود محمد بن إسماعيل في تفسير القمي، وهو يدل على الوثاقة، إلاّ أنّ المبنى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تكون الرواية صحيحة أو حسنة أو ضعيفة حسب اختلاف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سند آخر للرواية،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Style w:val="FootnoteAnchor"/>
          <w:rtl w:val="true"/>
        </w:rPr>
        <w:footnoteReference w:id="271"/>
      </w:r>
      <w:r>
        <w:rPr>
          <w:rFonts w:ascii="Amiri" w:hAnsi="Amiri" w:eastAsia="Amiri" w:cs="Amiri"/>
          <w:color w:val="111111"/>
          <w:sz w:val="28"/>
          <w:sz w:val="28"/>
          <w:szCs w:val="28"/>
          <w:rtl w:val="true"/>
          <w:lang w:bidi="ar-SA"/>
        </w:rPr>
        <w:t>وغيره، عن أحمد بن محمد بن عيسى</w:t>
      </w:r>
      <w:r>
        <w:rPr>
          <w:rStyle w:val="FootnoteAnchor"/>
          <w:rtl w:val="true"/>
        </w:rPr>
        <w:footnoteReference w:id="272"/>
      </w:r>
      <w:r>
        <w:rPr>
          <w:rFonts w:ascii="Amiri" w:hAnsi="Amiri" w:eastAsia="Amiri" w:cs="Amiri"/>
          <w:color w:val="111111"/>
          <w:sz w:val="28"/>
          <w:sz w:val="28"/>
          <w:szCs w:val="28"/>
          <w:rtl w:val="true"/>
          <w:lang w:bidi="ar-SA"/>
        </w:rPr>
        <w:t>، عن الحسين بن سعيد</w:t>
      </w:r>
      <w:r>
        <w:rPr>
          <w:rStyle w:val="FootnoteAnchor"/>
          <w:rtl w:val="true"/>
        </w:rPr>
        <w:footnoteReference w:id="273"/>
      </w:r>
      <w:r>
        <w:rPr>
          <w:rFonts w:ascii="Amiri" w:hAnsi="Amiri" w:eastAsia="Amiri" w:cs="Amiri"/>
          <w:color w:val="111111"/>
          <w:sz w:val="28"/>
          <w:sz w:val="28"/>
          <w:szCs w:val="28"/>
          <w:rtl w:val="true"/>
          <w:lang w:bidi="ar-SA"/>
        </w:rPr>
        <w:t>، عن ابن أبي عمير</w:t>
      </w:r>
      <w:r>
        <w:rPr>
          <w:rStyle w:val="FootnoteAnchor"/>
          <w:rtl w:val="true"/>
        </w:rPr>
        <w:footnoteReference w:id="274"/>
      </w:r>
      <w:r>
        <w:rPr>
          <w:rFonts w:ascii="Amiri" w:hAnsi="Amiri" w:eastAsia="Amiri" w:cs="Amiri"/>
          <w:color w:val="111111"/>
          <w:sz w:val="28"/>
          <w:sz w:val="28"/>
          <w:szCs w:val="28"/>
          <w:rtl w:val="true"/>
          <w:lang w:bidi="ar-SA"/>
        </w:rPr>
        <w:t>، عن جميل بن دراج</w:t>
      </w:r>
      <w:r>
        <w:rPr>
          <w:rStyle w:val="FootnoteAnchor"/>
          <w:rtl w:val="true"/>
        </w:rPr>
        <w:footnoteReference w:id="275"/>
      </w:r>
      <w:r>
        <w:rPr>
          <w:rFonts w:ascii="Amiri" w:hAnsi="Amiri" w:eastAsia="Amiri" w:cs="Amiri"/>
          <w:color w:val="111111"/>
          <w:sz w:val="28"/>
          <w:sz w:val="28"/>
          <w:szCs w:val="28"/>
          <w:rtl w:val="true"/>
          <w:lang w:bidi="ar-SA"/>
        </w:rPr>
        <w:t>، عن ابن الطيار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سند ثالث سيأتي البحث عنه إن شاء اللّه تعالى</w:t>
      </w:r>
      <w:r>
        <w:rPr>
          <w:rFonts w:eastAsia="Amiri" w:cs="Amiri" w:ascii="Amiri" w:hAnsi="Amiri"/>
          <w:color w:val="111111"/>
          <w:sz w:val="28"/>
          <w:szCs w:val="28"/>
          <w:rtl w:val="true"/>
          <w:lang w:bidi="ar-SA"/>
        </w:rPr>
        <w:t xml:space="preserve">. </w:t>
      </w:r>
      <w:bookmarkStart w:id="113" w:name="pg15608_166835"/>
    </w:p>
    <w:p>
      <w:pPr>
        <w:pStyle w:val="Heading4"/>
        <w:numPr>
          <w:ilvl w:val="3"/>
          <w:numId w:val="1"/>
        </w:numPr>
        <w:rPr/>
      </w:pPr>
      <w:bookmarkStart w:id="114" w:name="__RefHeading___Toc10086517_2142443653"/>
      <w:bookmarkStart w:id="115" w:name="_Toc43"/>
      <w:bookmarkEnd w:id="113"/>
      <w:bookmarkEnd w:id="114"/>
      <w:r>
        <w:rPr>
          <w:rtl w:val="true"/>
        </w:rPr>
        <w:t>البحث في مفاد الحديث</w:t>
      </w:r>
      <w:bookmarkEnd w:id="115"/>
    </w:p>
    <w:p>
      <w:pPr>
        <w:pStyle w:val="BookText"/>
        <w:rPr/>
      </w:pPr>
      <w:r>
        <w:rPr>
          <w:rFonts w:ascii="Amiri" w:hAnsi="Amiri" w:eastAsia="Amiri" w:cs="Amiri"/>
          <w:color w:val="111111"/>
          <w:sz w:val="28"/>
          <w:sz w:val="28"/>
          <w:szCs w:val="28"/>
          <w:rtl w:val="true"/>
          <w:lang w:bidi="ar-SA"/>
        </w:rPr>
        <w:t>يحتمل في معنى الإيتاء والتعريف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الإيتاء إشارة إلى شرطية القدرة، والتعريف إشارة إلى شرطية العلم، وهو ظاهر العلامة المجلسي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آتاهم، أي من العقول والآلات والأدوات والجوارح والقوى، وعرفهم من أصول الدين وفروعه،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لَّهُ عَيْنَيْنِ وَلِسَانًا وَشَفَتَيْنِ وَهَدَيْنَاهُ النَّجْدَيْنِ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حيث يحتمل أن تكون إشارة إلى شرطية العلم والقدرة في التكليف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بها واضح، فإنّ حرمة المشكوك مما لم يؤته اللّه، فلا يكون مورداً للاحتجاج والمؤاخذة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مدلوله مما لا ينكره الأخباريون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الكبرى محل اتفاق بين الأصوليين والأخباريين، فإنّ اللّه لا يحتج ولا يؤاخذ إلا بعد الإيتاء والتعريف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الأخباري قائل بالبيان بأوامر الاحتياط في </w:t>
      </w:r>
    </w:p>
    <w:p>
      <w:pPr>
        <w:pStyle w:val="BookText"/>
        <w:rPr/>
      </w:pPr>
      <w:r>
        <w:rPr>
          <w:rFonts w:ascii="Amiri" w:hAnsi="Amiri" w:eastAsia="Amiri" w:cs="Amiri"/>
          <w:color w:val="111111"/>
          <w:sz w:val="28"/>
          <w:sz w:val="28"/>
          <w:szCs w:val="28"/>
          <w:rtl w:val="true"/>
          <w:lang w:bidi="ar-SA"/>
        </w:rPr>
        <w:t>الشبهات الحكمية بخلاف الأصولي، فما تفيده الرواية ليس محلاً للخلاف، وما هو محل للخلاف لا تفيده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الاحتياط إيتاءٌ وهي تعريف فتكون واردة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صاحب الكفاية</w:t>
      </w:r>
      <w:r>
        <w:rPr>
          <w:rStyle w:val="FootnoteAnchor"/>
          <w:rtl w:val="true"/>
        </w:rPr>
        <w:footnoteReference w:id="279"/>
      </w:r>
      <w:r>
        <w:rPr>
          <w:rFonts w:ascii="Amiri" w:hAnsi="Amiri" w:eastAsia="Amiri" w:cs="Amiri"/>
          <w:color w:val="111111"/>
          <w:sz w:val="28"/>
          <w:sz w:val="28"/>
          <w:szCs w:val="28"/>
          <w:rtl w:val="true"/>
          <w:lang w:bidi="ar-SA"/>
        </w:rPr>
        <w:t>لم يرتض الإشكال،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إن كان نفسياً، بحيث كان العقاب والثواب على إطاعته ومخالفته كان مدلول الرواية غير منكر لأحد، وإن كان لتنجيز الأحكام الواقعية وتصحيح المؤاخذة على مخالفتها فمدلولها ينافي ما ذهب إليه الأخباريون، فإنّ المؤاخذة على الحرمة المجهولة احتجاج بما لم يؤت ولم يعرف ولو بعد إيجاب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المبنى أنّ وجوب الاحتياط نفسي، بحيث يكون على مخالفته العقاب وعلى إطاعته الثواب، فلا ينكر الأخباريون مدلول رواية ابن الطيار، فإنّ اللّه قد آتانا وجوب الاحتياط فيلزم في المشكوك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المبنى أنّ وجوب الاحتياط طريقي كما هو المختار، فإنما وضع الأمر لتنجيز الواقع المحتمل فالأخباريون ينكرون مدلولها، فإنّ في المشكوك حكمين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ولا موضوعية فيه ولا يترتب عليه الثواب والعقاب، بل هو طريقي،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يعاقب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الواقعية للتتن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لم يبين ولم يعرف حتى مع وجوب الاحتياط لعدم انكشافها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من اقتحم المشكوك لم يعاقب، فإنّ العقاب إن كان على مخالفته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معقول؛ لعدم موضوعيته، وإن كان على مخالفته للحرمة الواقعية فغير معقول أيضاً؛ لأنها لم تعرف ولم تبين، واللّه لا يحتج إلا بما آتاهم، فالحرمة الواقعية لم تقع مورداً للتعريف فلا يعاقب ولا يؤاخذ عليها، فما ذكره الشيخ من عدم إنكار الأخباريين لمدلولها غير تام، فإنّ مدلولها مصادم لأخبار الاحتياط، حيث بينهما التعارض، فإنّ روايات الاحتياط تأمر به وهذه الرواية تجوز الاقتحام حيث لا هلكة ولا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أوامر الاحتياط طريقية والحرمة الواقعية لم تعرف فلا عقاب عليهما، فتكون الرواية ناهضة لإثبات حلية المشكوك، ولا تكون أدلة الاحتياط واردة عليها، بل هما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في المشكوك إما على مخالفة التكليف بالاحتياط أو على مخالفة التكليف الواقعي، وكلاهما غير معقول؛ لأنّ الأمر بالاحتياط طريقي والتكليف الواقعي مجهول، فتكون الرواية معارضة لأخبار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من تأمل، فإنّ في المقام ثلاثة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والاحتجاج والإيتاء والتعريف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ومفاد رواية ابن الطيار ثبوت الاحتجاج بما عرف لا ثبوت العقوبة على ما عرف، والعقوبة على الأمر الطريقي غير معقول، وأما الاحتجاج به فلا </w:t>
      </w:r>
    </w:p>
    <w:p>
      <w:pPr>
        <w:pStyle w:val="BookText"/>
        <w:rPr/>
      </w:pPr>
      <w:r>
        <w:rPr>
          <w:rFonts w:ascii="IRNazanin" w:hAnsi="IRNazanin" w:eastAsia="IRNazanin"/>
          <w:color w:val="111111"/>
          <w:sz w:val="28"/>
          <w:sz w:val="28"/>
          <w:szCs w:val="28"/>
          <w:rtl w:val="true"/>
          <w:lang w:bidi="fa-IR"/>
        </w:rPr>
        <w:t>مانع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ذكره صاحب الكفاية من عدم معقولية المؤاخذة والعقوبة على الأمر الطريقي لا ينفي معقولية الاحتجاج بالأمر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للمولى أن يحتج بالأوامر الطريقية في المورد المشكوك ويعاقب على مخالفة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بملاحظة المولى العرفي، فلو أمر بالاحتياط فيما اشتبه عليه التكليف الواقعي، ولم يحتط العبد ووقع في مخالفة الواقع استحق العقاب على مخالفة الأمر الواقعي، فلو اعتذر العبد بأنه كان مجهولاً حق 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بالاحتياط؟ فيحتج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 ويعاقب على مخالفة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الشيخ الأعظم</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مفاد الرواية كون الاحتجاج فرع التعريف، وأوامر الاحتياط تعريف للوظيفة الظاهرية، ولا مانع من الاحتجاج بها فتكون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الأمر أنّ أوامر الاحتياط في حد ذاتها غير تامة، كما سيأتي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تنهض للبراءة في الشبهات الحكمية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المذكورة نقلت في باب آخر بسند آخر</w:t>
      </w:r>
      <w:r>
        <w:rPr>
          <w:rStyle w:val="FootnoteAnchor"/>
          <w:rtl w:val="true"/>
        </w:rPr>
        <w:footnoteReference w:id="281"/>
      </w:r>
      <w:r>
        <w:rPr>
          <w:rFonts w:ascii="Amiri" w:hAnsi="Amiri" w:eastAsia="Amiri" w:cs="Amiri"/>
          <w:color w:val="111111"/>
          <w:sz w:val="28"/>
          <w:sz w:val="28"/>
          <w:szCs w:val="28"/>
          <w:rtl w:val="true"/>
          <w:lang w:bidi="ar-SA"/>
        </w:rPr>
        <w:t>وفي نهايتها ما يفيد خلاف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عدة من أصحابنا</w:t>
      </w:r>
      <w:r>
        <w:rPr>
          <w:rStyle w:val="FootnoteAnchor"/>
          <w:rtl w:val="true"/>
        </w:rPr>
        <w:footnoteReference w:id="282"/>
      </w:r>
      <w:r>
        <w:rPr>
          <w:rFonts w:ascii="IRNazanin" w:hAnsi="IRNazanin" w:eastAsia="IRNazanin"/>
          <w:color w:val="111111"/>
          <w:sz w:val="28"/>
          <w:sz w:val="28"/>
          <w:szCs w:val="28"/>
          <w:rtl w:val="true"/>
          <w:lang w:bidi="fa-IR"/>
        </w:rPr>
        <w:t>، عن أحمد بن محمد بن خالد</w:t>
      </w:r>
      <w:r>
        <w:rPr>
          <w:rStyle w:val="FootnoteAnchor"/>
          <w:rtl w:val="true"/>
        </w:rPr>
        <w:footnoteReference w:id="283"/>
      </w:r>
      <w:r>
        <w:rPr>
          <w:rFonts w:ascii="Amiri" w:hAnsi="Amiri" w:eastAsia="Amiri" w:cs="Amiri"/>
          <w:color w:val="111111"/>
          <w:sz w:val="28"/>
          <w:sz w:val="28"/>
          <w:szCs w:val="28"/>
          <w:rtl w:val="true"/>
          <w:lang w:bidi="ar-SA"/>
        </w:rPr>
        <w:t>، عن علي بن الحكم</w:t>
      </w:r>
      <w:r>
        <w:rPr>
          <w:rStyle w:val="FootnoteAnchor"/>
          <w:rtl w:val="true"/>
        </w:rPr>
        <w:footnoteReference w:id="284"/>
      </w:r>
      <w:r>
        <w:rPr>
          <w:rFonts w:ascii="IRNazanin" w:hAnsi="IRNazanin" w:eastAsia="IRNazanin"/>
          <w:color w:val="111111"/>
          <w:sz w:val="28"/>
          <w:sz w:val="28"/>
          <w:szCs w:val="28"/>
          <w:rtl w:val="true"/>
          <w:lang w:bidi="fa-IR"/>
        </w:rPr>
        <w:t>، عن أبان الأحمر</w:t>
      </w:r>
      <w:r>
        <w:rPr>
          <w:rStyle w:val="FootnoteAnchor"/>
          <w:rtl w:val="true"/>
        </w:rPr>
        <w:footnoteReference w:id="285"/>
      </w:r>
      <w:r>
        <w:rPr>
          <w:rFonts w:ascii="Amiri" w:hAnsi="Amiri" w:eastAsia="Amiri" w:cs="Amiri"/>
          <w:color w:val="111111"/>
          <w:sz w:val="28"/>
          <w:sz w:val="28"/>
          <w:szCs w:val="28"/>
          <w:rtl w:val="true"/>
          <w:lang w:bidi="ar-SA"/>
        </w:rPr>
        <w:t>، عن حمزة بن الطيار</w:t>
      </w:r>
      <w:r>
        <w:rPr>
          <w:rStyle w:val="FootnoteAnchor"/>
          <w:rtl w:val="true"/>
        </w:rPr>
        <w:footnoteReference w:id="286"/>
      </w:r>
      <w:r>
        <w:rPr>
          <w:rFonts w:ascii="Amiri" w:hAnsi="Amiri" w:eastAsia="Amiri" w:cs="Amiri"/>
          <w:color w:val="111111"/>
          <w:sz w:val="28"/>
          <w:sz w:val="28"/>
          <w:szCs w:val="28"/>
          <w:rtl w:val="true"/>
          <w:lang w:bidi="ar-SA"/>
        </w:rPr>
        <w:t>، عن أبي عبد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فأملى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يحتج على العباد بما آتاهم وعرفهم ثم أرسل إليهم رسولاً، وأنزل عليهم الكتاب فأمر فيه ونهى</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 الأخيرة تدل على أنّ المراد التعريف الفطري، فإنّ التعريف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الفطري، وهو عبارة عما أودعه اللّه سبحانه في فطرة كل 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عبر الحجج الظاهرة، وهم الأنبياء والرسل صلوات اللّه عليهم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مرحلة الحجة الباطنة، ثم جاء دور مرحلة الحجة الظاهرة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فالرواية ترتبط بمرحلة الحجة الباطنة ولا ترتبط بما نحن فيه، فإنّ البحث في المقام في إمكان إجراء البراءة لو لم تبلغنا الحجة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البحث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نقلت حكايتان عن راوٍ واحد واختلف ظهورهما، ولم تكونا متنافيين تضاداً أو تناقضاً، بل كانتا متخالفين</w:t>
      </w:r>
      <w:r>
        <w:rPr>
          <w:rStyle w:val="FootnoteAnchor"/>
          <w:rtl w:val="true"/>
        </w:rPr>
        <w:footnoteReference w:id="289"/>
      </w:r>
      <w:r>
        <w:rPr>
          <w:rFonts w:ascii="Amiri" w:hAnsi="Amiri" w:eastAsia="Amiri" w:cs="Amiri"/>
          <w:color w:val="111111"/>
          <w:sz w:val="28"/>
          <w:sz w:val="28"/>
          <w:szCs w:val="28"/>
          <w:rtl w:val="true"/>
          <w:lang w:bidi="ar-SA"/>
        </w:rPr>
        <w:t>فلا مانع من إثبات مؤدى الحكايتين، والنتيجة إثبات كلا المفادين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وللتقريب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ثقة عن زيد أنه رأى أسداً والآخر نقل عنه أنه رأى أسداً يرمي فلا تناقض بين الحكيين، ولا مانع من تصديقهما وإثبات كلا المؤديين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كذلك، فالثقة يخبر عن ابن الطيار الرواية بلا إضافة، ولها ظهور في العموم أو الإطلاق، والثقة الآخر ينقل عنه الرواية مع إضافة، ومفادها أمر آخر وتكون النسبة بين المحكيين العموم والخصوص المطلق، فالأولى عامة والثانية خاصة، فيثبت كلا المؤديين ولا تنافي بينهما، ولا وجه ملزم لحمل أحدهما على الأخر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المذيلة الدالة على أنّ المراد التوحيد الفطري مذيلة بما يفيد العموم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يحتج على العباد بما آتاهم وعرفهم ثم أرسل إليهم رسولاً وأنزل عليهم الكتاب فأمر فيه و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وكذلك إذا نظرت في جميع الأشياء لم تجد أحداً في </w:t>
      </w:r>
      <w:bookmarkStart w:id="116" w:name="pg15608_166847"/>
    </w:p>
    <w:p>
      <w:pPr>
        <w:pStyle w:val="BookText"/>
        <w:rPr/>
      </w:pPr>
      <w:bookmarkEnd w:id="116"/>
      <w:r>
        <w:rPr>
          <w:rFonts w:ascii="Amiri" w:hAnsi="Amiri" w:eastAsia="Amiri" w:cs="Amiri"/>
          <w:color w:val="111111"/>
          <w:sz w:val="28"/>
          <w:sz w:val="28"/>
          <w:szCs w:val="28"/>
          <w:rtl w:val="true"/>
          <w:lang w:bidi="ar-SA"/>
        </w:rPr>
        <w:t>ضيق ولم تجد أحداً إلا ولله عليه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الأخيرة تفيد العموم، وحيث لم تنهض حجة على حرمة المشكوك فلا يحتج على العبد فيه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0086519_2142443653"/>
      <w:bookmarkStart w:id="118" w:name="_Toc44"/>
      <w:bookmarkEnd w:id="117"/>
      <w:r>
        <w:rPr>
          <w:rtl w:val="true"/>
        </w:rPr>
        <w:t>الحديث الثامن</w:t>
      </w:r>
      <w:r>
        <w:rPr>
          <w:rtl w:val="true"/>
        </w:rPr>
        <w:t xml:space="preserve">: </w:t>
      </w:r>
      <w:r>
        <w:rPr>
          <w:rtl w:val="true"/>
        </w:rPr>
        <w:t>من لم يعرف شيئاً</w:t>
      </w:r>
      <w:bookmarkEnd w:id="118"/>
    </w:p>
    <w:p>
      <w:pPr>
        <w:pStyle w:val="Heading4"/>
        <w:numPr>
          <w:ilvl w:val="3"/>
          <w:numId w:val="1"/>
        </w:numPr>
        <w:rPr/>
      </w:pPr>
      <w:bookmarkStart w:id="119" w:name="__RefHeading___Toc10086521_2142443653"/>
      <w:bookmarkStart w:id="120" w:name="_Toc45"/>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من الأحاديث التي استدل به للبراءة الشرعية في الشبهات الحكمية، ما ورد في الكافي عن عدة من أصحابنا، عن أحمد بن محمد بن عيسى</w:t>
      </w:r>
      <w:r>
        <w:rPr>
          <w:rStyle w:val="FootnoteAnchor"/>
          <w:rtl w:val="true"/>
        </w:rPr>
        <w:footnoteReference w:id="290"/>
      </w:r>
      <w:r>
        <w:rPr>
          <w:rFonts w:ascii="IRNazanin" w:hAnsi="IRNazanin" w:eastAsia="IRNazanin"/>
          <w:color w:val="111111"/>
          <w:sz w:val="28"/>
          <w:sz w:val="28"/>
          <w:szCs w:val="28"/>
          <w:rtl w:val="true"/>
          <w:lang w:bidi="fa-IR"/>
        </w:rPr>
        <w:t>، عن الحجال</w:t>
      </w:r>
      <w:r>
        <w:rPr>
          <w:rStyle w:val="FootnoteAnchor"/>
          <w:rtl w:val="true"/>
        </w:rPr>
        <w:footnoteReference w:id="291"/>
      </w:r>
      <w:r>
        <w:rPr>
          <w:rFonts w:ascii="Amiri" w:hAnsi="Amiri" w:eastAsia="Amiri" w:cs="Amiri"/>
          <w:color w:val="111111"/>
          <w:sz w:val="28"/>
          <w:sz w:val="28"/>
          <w:szCs w:val="28"/>
          <w:rtl w:val="true"/>
          <w:lang w:bidi="ar-SA"/>
        </w:rPr>
        <w:t>، عن ثعلبة بن ميمون</w:t>
      </w:r>
      <w:r>
        <w:rPr>
          <w:rStyle w:val="FootnoteAnchor"/>
          <w:rtl w:val="true"/>
        </w:rPr>
        <w:footnoteReference w:id="292"/>
      </w:r>
      <w:r>
        <w:rPr>
          <w:rFonts w:ascii="Amiri" w:hAnsi="Amiri" w:eastAsia="Amiri" w:cs="Amiri"/>
          <w:color w:val="111111"/>
          <w:sz w:val="28"/>
          <w:sz w:val="28"/>
          <w:szCs w:val="28"/>
          <w:rtl w:val="true"/>
          <w:lang w:bidi="ar-SA"/>
        </w:rPr>
        <w:t>، عن عبد الأعلى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لم يعرف</w:t>
      </w:r>
      <w:r>
        <w:rPr>
          <w:rStyle w:val="FootnoteAnchor"/>
          <w:rtl w:val="true"/>
        </w:rPr>
        <w:footnoteReference w:id="293"/>
      </w:r>
      <w:r>
        <w:rPr>
          <w:rFonts w:ascii="Amiri" w:hAnsi="Amiri" w:eastAsia="Amiri" w:cs="Amiri"/>
          <w:color w:val="111111"/>
          <w:sz w:val="28"/>
          <w:sz w:val="28"/>
          <w:szCs w:val="28"/>
          <w:rtl w:val="true"/>
          <w:lang w:bidi="ar-SA"/>
        </w:rPr>
        <w:t>شيئاً هل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لا يعلم حرمة المشكوك فليس في اقتحامه مؤاخذة أو عقاب</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0086523_2142443653"/>
      <w:bookmarkStart w:id="122" w:name="_Toc46"/>
      <w:bookmarkEnd w:id="121"/>
      <w:r>
        <w:rPr>
          <w:rtl w:val="true"/>
        </w:rPr>
        <w:t>توثيق عبد الأعلى بن أعين</w:t>
      </w:r>
      <w:bookmarkEnd w:id="122"/>
    </w:p>
    <w:p>
      <w:pPr>
        <w:pStyle w:val="BookText"/>
        <w:rPr/>
      </w:pPr>
      <w:r>
        <w:rPr>
          <w:rFonts w:ascii="Amiri" w:hAnsi="Amiri" w:eastAsia="Amiri" w:cs="Amiri"/>
          <w:color w:val="111111"/>
          <w:sz w:val="28"/>
          <w:sz w:val="28"/>
          <w:szCs w:val="28"/>
          <w:rtl w:val="true"/>
          <w:lang w:bidi="ar-SA"/>
        </w:rPr>
        <w:t>والكلام في تمامية سندها موقوف على وثاقة عبد الأعلى، حيث إنّ فيه كلاماً، فقد قال العلامة المجلسي في المرآة</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مجهولة لعبد الأعلى وضعفها بعض المعاصرين لذلك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فإنّ الشيخ المفيد وثقه وتوثيقه كاف، قال في الرسالة </w:t>
      </w:r>
    </w:p>
    <w:p>
      <w:pPr>
        <w:pStyle w:val="BookText"/>
        <w:rPr/>
      </w:pPr>
      <w:r>
        <w:rPr>
          <w:rFonts w:ascii="Amiri" w:hAnsi="Amiri" w:eastAsia="Amiri" w:cs="Amiri"/>
          <w:color w:val="111111"/>
          <w:sz w:val="28"/>
          <w:sz w:val="28"/>
          <w:szCs w:val="28"/>
          <w:rtl w:val="true"/>
          <w:lang w:bidi="ar-SA"/>
        </w:rPr>
        <w:t>العددية</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فقهاء أصحاب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 والرؤساء المأخوذ عنهم الحلال والحرام والفتيا والأحكام، والذين لا يطعن عليهم ولا طريق إلى ذم واحد منهم، وهم أصحاب الأصول المعروفة والمصنفات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وعبارته صريحة أو ظاهرة في التوثيق، وعليه تكون 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ينتزع من كلام الشيخ الأعظم</w:t>
      </w:r>
      <w:r>
        <w:rPr>
          <w:rStyle w:val="FootnoteAnchor"/>
          <w:rtl w:val="true"/>
        </w:rPr>
        <w:footnoteReference w:id="297"/>
      </w:r>
      <w:r>
        <w:rPr>
          <w:rFonts w:ascii="Amiri" w:hAnsi="Amiri" w:eastAsia="Amiri" w:cs="Amiri"/>
          <w:color w:val="111111"/>
          <w:sz w:val="28"/>
          <w:sz w:val="28"/>
          <w:szCs w:val="28"/>
          <w:rtl w:val="true"/>
          <w:lang w:bidi="ar-SA"/>
        </w:rPr>
        <w:t xml:space="preserve">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فيه احتمالان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بالشيء شيئاً معيناً بخصوصه، كحرمة شرب التتن، فيكون السلب سلباً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نكرة في سياق النفي، وهو يفيد العموم بمعنى من لم يعرف شيئاً أبداً، كمن هو في رؤوس الجبال أو البوادي البعيدة، أي الجاهل القاصر غير الملتفت إلى شيء أبداً، فلا يرتبط بما نحن فيه، ولا أقل من الإجمال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المحقق العراقي</w:t>
      </w:r>
      <w:r>
        <w:rPr>
          <w:rStyle w:val="FootnoteAnchor"/>
          <w:rtl w:val="true"/>
        </w:rPr>
        <w:footnoteReference w:id="300"/>
      </w:r>
      <w:r>
        <w:rPr>
          <w:rFonts w:ascii="Amiri" w:hAnsi="Amiri" w:eastAsia="Amiri" w:cs="Amiri"/>
          <w:color w:val="111111"/>
          <w:sz w:val="28"/>
          <w:sz w:val="28"/>
          <w:szCs w:val="28"/>
          <w:rtl w:val="true"/>
          <w:lang w:bidi="ar-SA"/>
        </w:rPr>
        <w:t xml:space="preserve">إلى أنّ الجاهل المطلق نوعان، إما غافل أو ملتفت، والرواية تشمل من يعيش في البوادي الملتفت إلى إمكان وجود </w:t>
      </w:r>
      <w:bookmarkStart w:id="123" w:name="pg15608_166851"/>
    </w:p>
    <w:p>
      <w:pPr>
        <w:pStyle w:val="BookText"/>
        <w:rPr/>
      </w:pPr>
      <w:bookmarkEnd w:id="123"/>
      <w:r>
        <w:rPr>
          <w:rFonts w:ascii="Amiri" w:hAnsi="Amiri" w:eastAsia="Amiri" w:cs="Amiri"/>
          <w:color w:val="111111"/>
          <w:sz w:val="28"/>
          <w:sz w:val="28"/>
          <w:szCs w:val="28"/>
          <w:rtl w:val="true"/>
          <w:lang w:bidi="ar-SA"/>
        </w:rPr>
        <w:t>شريعة، ولا طريق له للفحص، وبعدم القول بالفصل تشمل الشاك في حكم جزئي إذا لم يمكنه الفحص والكشف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في البوادي البعيدة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وشاك لا طريق له للفحص، وشاك يمكنه الفحص، والثالث خارج عن الرواية قطعاً، فإنه مقصر، لكن إطلاق الرواية يشمل النوعين الأولين، فلا شيء على الثاني فيعدى إلى الشاك بالحكم الجزئي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لما قرر في محله من عدم حجية عدم القول بالفصل، بل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مجملة ولا تصلح للاستدلال على ما نحن فيه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0086525_2142443653"/>
      <w:bookmarkStart w:id="125" w:name="_Toc47"/>
      <w:bookmarkEnd w:id="124"/>
      <w:r>
        <w:rPr>
          <w:rtl w:val="true"/>
        </w:rPr>
        <w:t>الحديث التاسع</w:t>
      </w:r>
      <w:r>
        <w:rPr>
          <w:rtl w:val="true"/>
        </w:rPr>
        <w:t xml:space="preserve">: </w:t>
      </w:r>
      <w:r>
        <w:rPr>
          <w:rtl w:val="true"/>
        </w:rPr>
        <w:t>عذر الناس بالجهالة</w:t>
      </w:r>
      <w:bookmarkEnd w:id="125"/>
    </w:p>
    <w:p>
      <w:pPr>
        <w:pStyle w:val="Heading4"/>
        <w:numPr>
          <w:ilvl w:val="3"/>
          <w:numId w:val="1"/>
        </w:numPr>
        <w:rPr/>
      </w:pPr>
      <w:bookmarkStart w:id="126" w:name="__RefHeading___Toc10086527_2142443653"/>
      <w:bookmarkStart w:id="127" w:name="_Toc48"/>
      <w:bookmarkEnd w:id="126"/>
      <w:r>
        <w:rPr>
          <w:rtl w:val="true"/>
        </w:rPr>
        <w:t>اشارة</w:t>
      </w:r>
      <w:bookmarkEnd w:id="12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عن أبي علي الأشعري</w:t>
      </w:r>
      <w:r>
        <w:rPr>
          <w:rStyle w:val="FootnoteAnchor"/>
          <w:rtl w:val="true"/>
        </w:rPr>
        <w:footnoteReference w:id="301"/>
      </w:r>
      <w:r>
        <w:rPr>
          <w:rFonts w:ascii="IRNazanin" w:hAnsi="IRNazanin" w:eastAsia="IRNazanin"/>
          <w:color w:val="111111"/>
          <w:sz w:val="28"/>
          <w:sz w:val="28"/>
          <w:szCs w:val="28"/>
          <w:rtl w:val="true"/>
          <w:lang w:bidi="fa-IR"/>
        </w:rPr>
        <w:t>، عن محمد بن عبد الجبار</w:t>
      </w:r>
      <w:r>
        <w:rPr>
          <w:rStyle w:val="FootnoteAnchor"/>
          <w:rtl w:val="true"/>
        </w:rPr>
        <w:footnoteReference w:id="302"/>
      </w:r>
      <w:r>
        <w:rPr>
          <w:rFonts w:ascii="Amiri" w:hAnsi="Amiri" w:eastAsia="Amiri" w:cs="Amiri"/>
          <w:color w:val="111111"/>
          <w:sz w:val="28"/>
          <w:sz w:val="28"/>
          <w:szCs w:val="28"/>
          <w:rtl w:val="true"/>
          <w:lang w:bidi="ar-SA"/>
        </w:rPr>
        <w:t>، وعن محمد بن إسماعيل</w:t>
      </w:r>
      <w:r>
        <w:rPr>
          <w:rStyle w:val="FootnoteAnchor"/>
          <w:rtl w:val="true"/>
        </w:rPr>
        <w:footnoteReference w:id="303"/>
      </w:r>
      <w:r>
        <w:rPr>
          <w:rFonts w:ascii="IRNazanin" w:hAnsi="IRNazanin" w:eastAsia="IRNazanin"/>
          <w:color w:val="111111"/>
          <w:sz w:val="28"/>
          <w:sz w:val="28"/>
          <w:szCs w:val="28"/>
          <w:rtl w:val="true"/>
          <w:lang w:bidi="fa-IR"/>
        </w:rPr>
        <w:t>، عن الفضل بن شاذان</w:t>
      </w:r>
      <w:r>
        <w:rPr>
          <w:rStyle w:val="FootnoteAnchor"/>
          <w:rtl w:val="true"/>
        </w:rPr>
        <w:footnoteReference w:id="304"/>
      </w:r>
      <w:r>
        <w:rPr>
          <w:rFonts w:ascii="Amiri" w:hAnsi="Amiri" w:eastAsia="Amiri" w:cs="Amiri"/>
          <w:color w:val="111111"/>
          <w:sz w:val="28"/>
          <w:sz w:val="28"/>
          <w:szCs w:val="28"/>
          <w:rtl w:val="true"/>
          <w:lang w:bidi="ar-SA"/>
        </w:rPr>
        <w:t>، جميعاً عن صفوان</w:t>
      </w:r>
      <w:r>
        <w:rPr>
          <w:rStyle w:val="FootnoteAnchor"/>
          <w:rtl w:val="true"/>
        </w:rPr>
        <w:footnoteReference w:id="305"/>
      </w:r>
      <w:r>
        <w:rPr>
          <w:rFonts w:ascii="IRNazanin" w:hAnsi="IRNazanin" w:eastAsia="IRNazanin"/>
          <w:color w:val="111111"/>
          <w:sz w:val="28"/>
          <w:sz w:val="28"/>
          <w:szCs w:val="28"/>
          <w:rtl w:val="true"/>
          <w:lang w:bidi="fa-IR"/>
        </w:rPr>
        <w:t>، عن عبد الرحمن بن الحجاج</w:t>
      </w:r>
      <w:r>
        <w:rPr>
          <w:rStyle w:val="FootnoteAnchor"/>
          <w:rtl w:val="true"/>
        </w:rPr>
        <w:footnoteReference w:id="306"/>
      </w:r>
      <w:r>
        <w:rPr>
          <w:rFonts w:ascii="Amiri" w:hAnsi="Amiri" w:eastAsia="Amiri" w:cs="Amiri"/>
          <w:color w:val="111111"/>
          <w:sz w:val="28"/>
          <w:sz w:val="28"/>
          <w:szCs w:val="28"/>
          <w:rtl w:val="true"/>
          <w:lang w:bidi="ar-SA"/>
        </w:rPr>
        <w:t>، عن أبي إبراهيم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 عدتها بجهالة</w:t>
      </w:r>
      <w:r>
        <w:rPr>
          <w:rStyle w:val="FootnoteAnchor"/>
          <w:rtl w:val="true"/>
        </w:rPr>
        <w:footnoteReference w:id="307"/>
      </w:r>
      <w:r>
        <w:rPr>
          <w:rFonts w:ascii="Amiri" w:hAnsi="Amiri" w:eastAsia="Amiri" w:cs="Amiri"/>
          <w:color w:val="111111"/>
          <w:sz w:val="28"/>
          <w:sz w:val="28"/>
          <w:szCs w:val="28"/>
          <w:rtl w:val="true"/>
          <w:lang w:bidi="ar-SA"/>
        </w:rPr>
        <w:t xml:space="preserve">، أهي ممن لا </w:t>
      </w:r>
    </w:p>
    <w:p>
      <w:pPr>
        <w:pStyle w:val="BookText"/>
        <w:rPr/>
      </w:pPr>
      <w:r>
        <w:rPr>
          <w:rFonts w:ascii="Amiri" w:hAnsi="Amiri" w:eastAsia="Amiri" w:cs="Amiri"/>
          <w:color w:val="111111"/>
          <w:sz w:val="28"/>
          <w:sz w:val="28"/>
          <w:szCs w:val="28"/>
          <w:rtl w:val="true"/>
          <w:lang w:bidi="ar-SA"/>
        </w:rPr>
        <w:t>تحل له أبداً؟ فقال لا، أما إذا كان بجهالة فليتزوجها بعد ما تنقضي عدتها</w:t>
      </w:r>
      <w:r>
        <w:rPr>
          <w:rStyle w:val="FootnoteAnchor"/>
          <w:rtl w:val="true"/>
        </w:rPr>
        <w:footnoteReference w:id="308"/>
      </w:r>
      <w:r>
        <w:rPr>
          <w:rFonts w:ascii="Amiri" w:hAnsi="Amiri" w:eastAsia="Amiri" w:cs="Amiri"/>
          <w:color w:val="111111"/>
          <w:sz w:val="28"/>
          <w:sz w:val="28"/>
          <w:szCs w:val="28"/>
          <w:rtl w:val="true"/>
          <w:lang w:bidi="ar-SA"/>
        </w:rPr>
        <w:t>، وقد يعذر الناس في الجهالة بما هو أعظم من ذلك</w:t>
      </w:r>
      <w:r>
        <w:rPr>
          <w:rStyle w:val="FootnoteAnchor"/>
          <w:rtl w:val="true"/>
        </w:rPr>
        <w:footnoteReference w:id="309"/>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وقد وقع البحث في كيفية قراءتها ومعناها، فقد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في العذر كأحرم دخل في الإحرام،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بتقدير هو، أي هو أشد عذراً،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للمجهول، لكن في نسخة الوسائل والكافي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هو منشأ إعذاره الجهالة الحكمية أو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بجهالته أنّ ذلك محرم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 بجهالته أنها في 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الجهالة بأن اللّه حرم ذلك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وذلك بأنه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يقدر على الاحتياط معها،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الأخرى 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متعمداً والآخر بجهل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bookmarkStart w:id="128" w:name="pg15608_166855"/>
    </w:p>
    <w:p>
      <w:pPr>
        <w:pStyle w:val="BookText"/>
        <w:rPr/>
      </w:pPr>
      <w:bookmarkEnd w:id="128"/>
      <w:r>
        <w:rPr>
          <w:rFonts w:ascii="Amiri" w:hAnsi="Amiri" w:eastAsia="Amiri" w:cs="Amiri"/>
          <w:color w:val="111111"/>
          <w:sz w:val="28"/>
          <w:sz w:val="28"/>
          <w:szCs w:val="28"/>
          <w:rtl w:val="true"/>
          <w:lang w:bidi="ar-SA"/>
        </w:rPr>
        <w:t>تعمد لا يحل له أن يرجع إلى صاحبه أبداً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10086529_2142443653"/>
      <w:bookmarkStart w:id="130" w:name="_Toc49"/>
      <w:bookmarkEnd w:id="129"/>
      <w:r>
        <w:rPr>
          <w:rtl w:val="true"/>
        </w:rPr>
        <w:t>تمامية السند</w:t>
      </w:r>
      <w:bookmarkEnd w:id="130"/>
    </w:p>
    <w:p>
      <w:pPr>
        <w:pStyle w:val="BookText"/>
        <w:rPr/>
      </w:pPr>
      <w:r>
        <w:rPr>
          <w:rFonts w:ascii="Amiri" w:hAnsi="Amiri" w:eastAsia="Amiri" w:cs="Amiri"/>
          <w:color w:val="111111"/>
          <w:sz w:val="28"/>
          <w:sz w:val="28"/>
          <w:szCs w:val="28"/>
          <w:rtl w:val="true"/>
          <w:lang w:bidi="ar-SA"/>
        </w:rPr>
        <w:t>ومع التشكيك في الطريق الثاني من السند لجهالة محمد بن إسماعيل، وتردده بين ابن بزيع والبرمكي الثقتين والبندقي المجهول، إلا أنّ الطريق الأول معتبر، فتكون الرواية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الاستدلال على ما نحن فيه بفقرة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يعذر الناس في الجهالة بما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فالجاهل يكون معذوراً في اقتحام المشكوك، حيث لا يعلم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البحث في البراءة الشرعية هو الجاهل البسيط، وموضوع الصحيحة الجاهل المركب، حيث تتكفل معذوريته،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واردة في الغافل والبحث في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المدعى توجد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والتعذير والتعليل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فإنها ظاهرة في الجاهل المركب والغافل، ولا تشمل الجاهل البسيط والمتردد، وقد مرّ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التعذير، لعدم إمكان معذورية الجاهل البسيط، فإنّ الرواية أعذرت الجاهل، والجهل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بانقضاء العدة، وهو شبهة موضوعية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بمقدار العدة، وهو شبهة مفهومية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تشريع العدة، وهو شبهة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في المقام إما موضوعية أو مفهومية أو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انقضاء عدتها لم يحق له الزواج بها لمكان الاستصحاب، وهو حاكم على البراءة، فلا يكون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مقدار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عدة المتعة أنها حيضة أو حيضتان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له أن يتزوجها، فإنّ الشبهة المفهومية فيما نحن فيه مآلها إلى الشبهة الحكمية، فيلزم الفحص، ولا يكون معذوراً في الاقتحام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أصل تشريع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ثبوت العدة للصغيرة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له أن يتزوجها؛ لوجوب الفحص في الأحكام وجريان أصالة عدم نفوذ العقد، والأصل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الرواية حكمت بالمعذورية، وثبت عدم معذورية الشاك في الأنواع الثلاثة فلابد أن يكون المراد الغافل، حيث إنه معذور في جميع أنواع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بعض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غير حاصر؛ لوجود قسم رابع، وهو الشك الموضوعي، أي الشك في أصل كونها معتدة، ولا مانع من الاقتحام معه، ولا إشكال في معذورية المقتحم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فيما لو شك في انقضاء العدة، فإنه لا مانع من إجراء أصالة الصحة في عمل المرأة، مثلما لو علمت بأنه متزوج بأربع سابقاً ثم أقدم على خطبتها، فإنه يمكنها القبول مع جريان الاستصحاب على ذلك، وذلك لحكومة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معذور أيضاً في القسم الأول مع الشك والالتفات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المفهومية والحكمية لا مانع من كون المكلف معذوراً بعد الفحص واليأس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يعذر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المعذورية لا يمكن أن تشمل الملتفت فتختص الرواية بالغافل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فقد عللت المعذورية في الصحيحة بعدم قدرة الجاهل على الاحتياط، حيث قال</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إحدى الجهالتين أهون من الأخرى، الجهالة بأنّ اللّه حرم ذلك عليه؛ وذلك بأنه لا يقدر على الاحتياط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تتأتى في الجاهل المركب، حيث لا يستطيع الاحتياط، أما الجاهل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قادر على الاحتياط في المشكوك، وقد ثبت في محله أنّ العلة تعمم وتخصص، فبمقتضى التعليل تكون معذورية الجاهل في الشبهات الحكمية مختصة بصورة عدم إمكان الاحتياط، فلا ينفع فيما نحن فيه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إيرادان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المعذورية حكمة،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وارد لظهوره في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يقدر على الاحتياط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الظهور في العلية، إلاّ أنّ اللام وباء السببية استخدمت في لسان الشرع في الحكمة كثيراً، ومع الكثرة لا يبقى لها ظهور في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استخدام اللفظ الظاهر في معنى في معنى آخر لا يستلزم فقدان الظهور الأولي، بل هو محفوظ مع عدم وجود القرينة على الخلاف، إلا فيما لو أوجب النقل إلى المعنى الثاني أو الاشتراك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كثر استعمالها في الندب، ومع ذلك لم يستلزم فقدان الظهور الأولي عند المشهور خلافاً لصاحب المعالم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الأول بطريقه الثالث وارد على الاستدلال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الإعذار يتنوع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الإعذار بلحاظ الحكم التكليفي، والمراد به عدم استحقاق المؤاخذة والعقاب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الإعذار بلحاظ الحكم الوضعي، والمراد به عدم البطلان وعدم الحرمة الأبدية</w:t>
      </w:r>
      <w:r>
        <w:rPr>
          <w:rFonts w:eastAsia="Amiri" w:cs="Amiri" w:ascii="Amiri" w:hAnsi="Amiri"/>
          <w:color w:val="111111"/>
          <w:sz w:val="28"/>
          <w:szCs w:val="28"/>
          <w:rtl w:val="true"/>
          <w:lang w:bidi="ar-SA"/>
        </w:rPr>
        <w:t xml:space="preserve">. </w:t>
      </w:r>
      <w:bookmarkStart w:id="131" w:name="pg15608_166863"/>
    </w:p>
    <w:p>
      <w:pPr>
        <w:pStyle w:val="BookText"/>
        <w:rPr/>
      </w:pPr>
      <w:bookmarkEnd w:id="131"/>
      <w:r>
        <w:rPr>
          <w:rFonts w:ascii="Amiri" w:hAnsi="Amiri" w:eastAsia="Amiri" w:cs="Amiri"/>
          <w:color w:val="111111"/>
          <w:sz w:val="28"/>
          <w:sz w:val="28"/>
          <w:szCs w:val="28"/>
          <w:rtl w:val="true"/>
          <w:lang w:bidi="ar-SA"/>
        </w:rPr>
        <w:t>ومحل البحث في البراءة الإعذار بالمعنى الأول، والرواية ناظرة إلى الإعذار بالمعنى الثاني، حيث إنّ الحكم الوضعي هو مصب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للتأمل بأنّ العبرة بعموم القاعدة لا بخصوص المورد،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يعذر الناس في الجهالة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قاعدة عامة لا يخصصها 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يحتاج إلى مزيد من التأمل، فإنه موقوف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موقوف على كون المتكلم في مقام البيان من تلك الجهة التي يراد انتزاع الإطلاق منها، والظاهر أنّ المولى ليس في مقام البيان من هذه الجهة، لا أقل من كون الكلام محفوفاً بما يصلح للقرينية عن صرف المطلق عن إطلاقه، ومثله مانع عن انعقاد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دلالة الرواية على البراءة محل تأمل</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0086531_2142443653"/>
      <w:bookmarkStart w:id="133" w:name="_Toc50"/>
      <w:bookmarkEnd w:id="132"/>
      <w:r>
        <w:rPr>
          <w:rtl w:val="true"/>
        </w:rPr>
        <w:t>عدم قبول الأحكام الوضعية للتشكيك</w:t>
      </w:r>
      <w:bookmarkEnd w:id="133"/>
    </w:p>
    <w:p>
      <w:pPr>
        <w:pStyle w:val="BookText"/>
        <w:rPr/>
      </w:pPr>
      <w:r>
        <w:rPr>
          <w:rFonts w:ascii="Amiri" w:hAnsi="Amiri" w:eastAsia="Amiri" w:cs="Amiri"/>
          <w:color w:val="111111"/>
          <w:sz w:val="28"/>
          <w:sz w:val="28"/>
          <w:szCs w:val="28"/>
          <w:rtl w:val="true"/>
          <w:lang w:bidi="ar-SA"/>
        </w:rPr>
        <w:t>لكن قال البعض</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ناظرة إلى الحكم التكليفي لا الوضعي، وهو مبني على كبرى كلية تكررت في الأصول والفقه في مواقع مختلفة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الوضعية لا تقبل التشكيك، فإنّ أمرها دائر بين الوجود والعدم، كالزوجية الاعتبارية، فهي إما موجودة أو لا، ولا معنى لأشدية زوجية هند لزيد من دعد لخالد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محل تأمل؛ لأنّ الأحكام الوضعية أمور اعتبارية، وكما أنّ مفاد كان التامة فيها قابل للاعتبار كذلك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المقامين </w:t>
      </w:r>
    </w:p>
    <w:p>
      <w:pPr>
        <w:pStyle w:val="BookText"/>
        <w:rPr/>
      </w:pPr>
      <w:r>
        <w:rPr>
          <w:rFonts w:ascii="Amiri" w:hAnsi="Amiri" w:eastAsia="Amiri" w:cs="Amiri"/>
          <w:color w:val="111111"/>
          <w:sz w:val="28"/>
          <w:sz w:val="28"/>
          <w:szCs w:val="28"/>
          <w:rtl w:val="true"/>
          <w:lang w:bidi="ar-SA"/>
        </w:rPr>
        <w:t>الأمر بحاجة إلى مصحح عقلائي، ومعه لا مانع من اعتبار الشدة والضعف في الأمور الاعتبارية، ففي موثقة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تبارك وتعالى لم يخلق خلقا أنجس من الكلب وأن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فالنجاسة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حكم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للتشكيك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سأل الإمام الصادق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أبا حنيفة أنّ البول أطهر أم المني؟</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وقد قال البعض</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صيغة فعول وهي من صيغ المبالغة</w:t>
      </w:r>
      <w:r>
        <w:rPr>
          <w:rStyle w:val="FootnoteAnchor"/>
          <w:rtl w:val="true"/>
        </w:rPr>
        <w:footnoteReference w:id="320"/>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من السماء ماءً شديداً في الطهارة الاعتبارية، وكما أنّ النظافة التكوينية لها مراتب كذلك ماء المطر له درجة من الطهارة الاعتبارية التي لا يصل إليها ماء النهر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تطبيق الكبرى على المقام على فرض تسليمها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بالأعذرية</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والأهونية في الرواية أنما هو بلحاظ الحكم التكليفي؛ لأنه قابل للتشكيك، وأما الحكم الوضعي فلا يقبل التشكيك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فليس البحث حول الحكم الوضعي والتكليفي، بل </w:t>
      </w:r>
    </w:p>
    <w:p>
      <w:pPr>
        <w:pStyle w:val="BookText"/>
        <w:rPr/>
      </w:pPr>
      <w:r>
        <w:rPr>
          <w:rFonts w:ascii="Amiri" w:hAnsi="Amiri" w:eastAsia="Amiri" w:cs="Amiri"/>
          <w:color w:val="111111"/>
          <w:sz w:val="28"/>
          <w:sz w:val="28"/>
          <w:szCs w:val="28"/>
          <w:rtl w:val="true"/>
          <w:lang w:bidi="ar-SA"/>
        </w:rPr>
        <w:t>حول الأعذرية بلحاظهما، فقد يكون منشأ العذر قوياً، فيكون المكلف أعذر، وقد يكون ضعيفاً، فيكون المكلف معذوراً، كما أنه قد يكون منشأ العذر متعدداً وقد يكون متحداً، ولا مانع من استخدام أفعل التفضيل بلحاظ ضعف وقوة المنشأ أو اتحاده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فالجاهل جهلاً مركباً بلحاظ الحرمة الأبدية والبطلان أعذر، أما البسيط فهو معذور؛ لأنّ الأول أبعد من العلم بخلاف الثاني فإنه أقرب لتركبه من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الجاهل غافلاً فلا يمكنه الاحتياط، سواء أكان جهله متعلقاً بالموضوع الخارجي أم بالحكم الشرعي، فمع فرض الغفلة عن الموضوع أو الحكم فالمكلف لا يستطيع الاحتياط؛ لأنه فرع الشك وهو منتف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القادر على الاحتياط فهو الجاهل البسيط، سواء أكان شاكاً في الحكم أم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في الرواية أهونية الجهل بالحرمة من الجهل بالعدة بأنه لا يقدر على الاحتياط، فالجاهل بالحكم لا يستطيع الاحتياط بخلاف الجاهل بالموضوع، فما هو وجه التفريق بينهما؟ فإنّ التعليل جار في الاثنين فيما لو كان غافلاً، بخلاف ما لو كان شاكاً حيث لا يجري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بجوابين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في المعنى، فإنّ الجهالة بالحرمة بمعنى الغفلة، والجهالة بالعدة بمعنى الشك، والغافل لا يستطيع الاحتياط بخلاف الشاك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خلاف الظاهر، فحمل الجهالة الأولى على الغفلة والثانية على الشاك خلاف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في الدرر</w:t>
      </w:r>
      <w:r>
        <w:rPr>
          <w:rStyle w:val="FootnoteAnchor"/>
          <w:rtl w:val="true"/>
        </w:rPr>
        <w:footnoteReference w:id="3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أنما هو لأجل الغلبة الخارجية لا لاختلاف معنى الجهالة، فللجهالة معنى واحد، إلا أنّ الجهل بالحكم مقارن بالغفلة غالباً، فلا يستطيع الاحتياط، وأما الجهل بالموضوع فمقارن بالشك غالباً، فيستطيع الاحتياط، فالوجه في التفريق اختلاف المصاديق لا اختلاف المعنى العام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يتزوجون المرأة وهي في العدة على نوعين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بالحكم،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بعيدون عن الأجواء الدينية، كمن يعيش في قرية منقطعة أو صحاري بعيدة أو من هو جديد الإيمان</w:t>
      </w:r>
      <w:r>
        <w:rPr>
          <w:rStyle w:val="FootnoteAnchor"/>
          <w:rtl w:val="true"/>
        </w:rPr>
        <w:footnoteReference w:id="324"/>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غافل حيث لم يخطر في ذهنه احتمال الحرمة، فيكون التعليل في حقه تاماً؛ لأنه لا يقدر على الاحتياط، فإنه فرع الالتفات والشك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بالموضوع،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الحكم الكلي</w:t>
      </w:r>
      <w:r>
        <w:rPr>
          <w:rStyle w:val="FootnoteAnchor"/>
          <w:rtl w:val="true"/>
        </w:rPr>
        <w:footnoteReference w:id="325"/>
      </w:r>
      <w:r>
        <w:rPr>
          <w:rFonts w:ascii="Amiri" w:hAnsi="Amiri" w:eastAsia="Amiri" w:cs="Amiri"/>
          <w:color w:val="111111"/>
          <w:sz w:val="28"/>
          <w:sz w:val="28"/>
          <w:szCs w:val="28"/>
          <w:rtl w:val="true"/>
          <w:lang w:bidi="ar-SA"/>
        </w:rPr>
        <w:t xml:space="preserve">، فمن يريد الزواج يسأل عن الخصوصيات عادة، ككونها ذات بعل أم لا؟ بكراً أم لا؟ ولذلك من يتزوج المرأة المعتدة جهلاً بالموضوع ينقدح في </w:t>
      </w:r>
      <w:bookmarkStart w:id="134" w:name="pg15608_166871"/>
    </w:p>
    <w:p>
      <w:pPr>
        <w:pStyle w:val="BookText"/>
        <w:rPr/>
      </w:pPr>
      <w:bookmarkEnd w:id="134"/>
      <w:r>
        <w:rPr>
          <w:rFonts w:ascii="Amiri" w:hAnsi="Amiri" w:eastAsia="Amiri" w:cs="Amiri"/>
          <w:color w:val="111111"/>
          <w:sz w:val="28"/>
          <w:sz w:val="28"/>
          <w:szCs w:val="28"/>
          <w:rtl w:val="true"/>
          <w:lang w:bidi="ar-SA"/>
        </w:rPr>
        <w:t xml:space="preserve">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معتدة أم لا؟ كما يظهر ذلك بوضوح في المسافرين إلى البلاد الغربية والمتزوجين متعة، ففي الكثير من الموارد ينقدح الشك عندهم، وإنما يقدمون على الزواج لأصالة الصحة أو البراءة أو لغير ذلك، ومع هذا الشك كان يمكنه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 هو الغلبة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عليه المحقق الحائري، قال</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وضوح الحكم بين المسلمين كما يوجب عدم الشك مع الالتفات كذلك غلبة التفتيش عن حال المرأة توجب عدم بقاء الشك بحاله</w:t>
      </w:r>
      <w:r>
        <w:rPr>
          <w:rStyle w:val="FootnoteAnchor"/>
          <w:rtl w:val="true"/>
        </w:rPr>
        <w:footnoteReference w:id="327"/>
      </w:r>
      <w:r>
        <w:rPr>
          <w:rFonts w:ascii="Amiri" w:hAnsi="Amiri" w:eastAsia="Amiri" w:cs="Amiri"/>
          <w:color w:val="111111"/>
          <w:sz w:val="28"/>
          <w:sz w:val="28"/>
          <w:szCs w:val="28"/>
          <w:rtl w:val="true"/>
          <w:lang w:bidi="ar-SA"/>
        </w:rPr>
        <w:t>، فالتعرض لحكم الشك في الشبهة في العدة تعرض للفرد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واضح لوجود 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الدليل على الفرد النادر،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الدليل إلى الفرد النادر، ولا يصح الأول بينما الثاني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فرد نادر؛ لبقاء الشك في الكثير من الموارد كما في المسافرين،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أنه فرد نادر فلا محذور في بادئ النظر أن ينظر الدليل إلى الفرد النادر ويحكم بوجوبه أو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المراد من الأمر بالتأمل في آخر كلامه هو ما ذكرناه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0086533_2142443653"/>
      <w:bookmarkStart w:id="136" w:name="_Toc51"/>
      <w:bookmarkEnd w:id="135"/>
      <w:r>
        <w:rPr>
          <w:rtl w:val="true"/>
        </w:rPr>
        <w:t>الحديث العاشر</w:t>
      </w:r>
      <w:r>
        <w:rPr>
          <w:rtl w:val="true"/>
        </w:rPr>
        <w:t xml:space="preserve">: </w:t>
      </w:r>
      <w:r>
        <w:rPr>
          <w:rtl w:val="true"/>
        </w:rPr>
        <w:t>من عمل بما علم كفي ما لم يعلم</w:t>
      </w:r>
      <w:bookmarkEnd w:id="13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البحار عن أبي عبد اللّه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من عمل بما علم كفي ما لم يعلم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137" w:name="pg15608_166873"/>
    </w:p>
    <w:p>
      <w:pPr>
        <w:pStyle w:val="BookText"/>
        <w:rPr/>
      </w:pPr>
      <w:bookmarkEnd w:id="137"/>
      <w:r>
        <w:rPr>
          <w:rFonts w:ascii="Amiri" w:hAnsi="Amiri" w:eastAsia="Amiri" w:cs="Amiri"/>
          <w:color w:val="111111"/>
          <w:sz w:val="28"/>
          <w:sz w:val="28"/>
          <w:szCs w:val="28"/>
          <w:rtl w:val="true"/>
          <w:lang w:bidi="ar-SA"/>
        </w:rPr>
        <w:t>والظاهر تمامية دلالته، فمن عمل بالواجبات وترك المحرمات التي يعرفها كفي ما لم يعلم، ومعنى الكفاية عدم الحرج والتبعة عليه، وظاهره أنه لا شيء عليه غير ذلك، ومن مصاديقه ارتكاب المشكوك إلا على القول بكون أوامر الاحتياط علماً، فيدخل المشكوك بما علم، والجواب أنها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 سنداً؛ لمكان القاسم بن محمد الإصبهاني، سواء أكان متحداً مع قاسم بن محمد الجوهري، كما ذهب إليه البعض، أم مختلفاً كما ذهب إليه آخرون، فكلاهما مجهولان</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ضعيفة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0086535_2142443653"/>
      <w:bookmarkStart w:id="139" w:name="_Toc52"/>
      <w:bookmarkEnd w:id="138"/>
      <w:r>
        <w:rPr>
          <w:rtl w:val="true"/>
        </w:rPr>
        <w:t>الدليل الثالث</w:t>
      </w:r>
      <w:r>
        <w:rPr>
          <w:rtl w:val="true"/>
        </w:rPr>
        <w:t xml:space="preserve">: </w:t>
      </w:r>
      <w:r>
        <w:rPr>
          <w:rtl w:val="true"/>
        </w:rPr>
        <w:t>الإجماع</w:t>
      </w:r>
      <w:bookmarkEnd w:id="139"/>
    </w:p>
    <w:p>
      <w:pPr>
        <w:pStyle w:val="BookText"/>
        <w:rPr/>
      </w:pPr>
      <w:r>
        <w:rPr>
          <w:rFonts w:ascii="Amiri" w:hAnsi="Amiri" w:eastAsia="Amiri" w:cs="Amiri"/>
          <w:color w:val="111111"/>
          <w:sz w:val="28"/>
          <w:sz w:val="28"/>
          <w:szCs w:val="28"/>
          <w:rtl w:val="true"/>
          <w:lang w:bidi="ar-SA"/>
        </w:rPr>
        <w:t>وقد استدل بالإجماع على البراءة في الشبهات الحكمية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أشكل عليه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المدعى إما إجماع على البراءة فيما لم يصل بنفسه، فالكبرى ممنوعة، أو إجماع عليها فيما لم يصل لا بنفسه ولا بطريقه</w:t>
      </w:r>
      <w:r>
        <w:rPr>
          <w:rStyle w:val="FootnoteAnchor"/>
          <w:rtl w:val="true"/>
        </w:rPr>
        <w:footnoteReference w:id="331"/>
      </w:r>
      <w:r>
        <w:rPr>
          <w:rFonts w:ascii="Amiri" w:hAnsi="Amiri" w:eastAsia="Amiri" w:cs="Amiri"/>
          <w:color w:val="111111"/>
          <w:sz w:val="28"/>
          <w:sz w:val="28"/>
          <w:szCs w:val="28"/>
          <w:rtl w:val="true"/>
          <w:lang w:bidi="ar-SA"/>
        </w:rPr>
        <w:t>، فالصغرى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إجماع على الكبرى؛ لمخالفة جمهرة كبيرة من العلماء لذلك كالأخباريين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أوجبوا الاحتياط في الشبهات التحريمية</w:t>
      </w:r>
      <w:r>
        <w:rPr>
          <w:rStyle w:val="FootnoteAnchor"/>
          <w:rtl w:val="true"/>
        </w:rPr>
        <w:footnoteReference w:id="332"/>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يصل التحريم بنفسه، بل قال بذلك الإسترابادي في </w:t>
      </w:r>
      <w:bookmarkStart w:id="140" w:name="pg15608_166875"/>
    </w:p>
    <w:p>
      <w:pPr>
        <w:pStyle w:val="BookText"/>
        <w:rPr/>
      </w:pPr>
      <w:bookmarkEnd w:id="140"/>
      <w:r>
        <w:rPr>
          <w:rFonts w:ascii="Amiri" w:hAnsi="Amiri" w:eastAsia="Amiri" w:cs="Amiri"/>
          <w:color w:val="111111"/>
          <w:sz w:val="28"/>
          <w:sz w:val="28"/>
          <w:szCs w:val="28"/>
          <w:rtl w:val="true"/>
          <w:lang w:bidi="ar-SA"/>
        </w:rPr>
        <w:t>مطلق الشبهات الحكمية التحريمة أو الوجوبية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فالكبرى مسلمة ولم يقع فيها خلاف، لكنها لا تنفع في المقام لادعائهم وصول التحريم بطريقه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وجود الإجماع على الكبرى والصغرى في المقام إلا أنه مقطوع الاستناد، أو مظنونه أو محتمله بالأدلة الأخرى كالآيات والروايات، والمعروف بين الأصوليين أنه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نقطع بكون الإجماع تعبدياً، كي يكون كاشفاً عن رأي المعصوم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بالكشف الإني</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0086537_2142443653"/>
      <w:bookmarkStart w:id="142" w:name="_Toc53"/>
      <w:bookmarkEnd w:id="141"/>
      <w:r>
        <w:rPr>
          <w:rtl w:val="true"/>
        </w:rPr>
        <w:t>الدليل الرابع</w:t>
      </w:r>
      <w:r>
        <w:rPr>
          <w:rtl w:val="true"/>
        </w:rPr>
        <w:t xml:space="preserve">: </w:t>
      </w:r>
      <w:r>
        <w:rPr>
          <w:rtl w:val="true"/>
        </w:rPr>
        <w:t>دليل العقل</w:t>
      </w:r>
      <w:bookmarkEnd w:id="142"/>
    </w:p>
    <w:p>
      <w:pPr>
        <w:pStyle w:val="Heading4"/>
        <w:numPr>
          <w:ilvl w:val="3"/>
          <w:numId w:val="1"/>
        </w:numPr>
        <w:rPr/>
      </w:pPr>
      <w:bookmarkStart w:id="143" w:name="__RefHeading___Toc10086539_2142443653"/>
      <w:bookmarkStart w:id="144" w:name="_Toc54"/>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وله تقريران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المشهور،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الغنية</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0086541_2142443653"/>
      <w:bookmarkStart w:id="146" w:name="_Toc55"/>
      <w:bookmarkEnd w:id="145"/>
      <w:r>
        <w:rPr>
          <w:rtl w:val="true"/>
        </w:rPr>
        <w:t>التقرير الأول</w:t>
      </w:r>
      <w:r>
        <w:rPr>
          <w:rtl w:val="true"/>
        </w:rPr>
        <w:t xml:space="preserve">: </w:t>
      </w:r>
      <w:r>
        <w:rPr>
          <w:rtl w:val="true"/>
        </w:rPr>
        <w:t>التمسك بقاعدة قبح العقاب بلا بيان</w:t>
      </w:r>
      <w:bookmarkEnd w:id="146"/>
    </w:p>
    <w:p>
      <w:pPr>
        <w:pStyle w:val="BookText"/>
        <w:rPr/>
      </w:pPr>
      <w:r>
        <w:rPr>
          <w:rFonts w:ascii="Amiri" w:hAnsi="Amiri" w:eastAsia="Amiri" w:cs="Amiri"/>
          <w:color w:val="111111"/>
          <w:sz w:val="28"/>
          <w:sz w:val="28"/>
          <w:szCs w:val="28"/>
          <w:rtl w:val="true"/>
          <w:lang w:bidi="ar-SA"/>
        </w:rPr>
        <w:t>أما 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التمسك بقاعدة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ولتنقيح الدليل ينبغي البحث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قاعدة 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الجمع بين القاعدتين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قاعدة قبح العقاب بلا بيان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فالمعروف بين الأصوليين ثبوت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w:t>
      </w:r>
    </w:p>
    <w:p>
      <w:pPr>
        <w:pStyle w:val="BookText"/>
        <w:rPr/>
      </w:pPr>
      <w:r>
        <w:rPr>
          <w:rFonts w:ascii="Amiri" w:hAnsi="Amiri" w:eastAsia="Amiri" w:cs="Amiri"/>
          <w:color w:val="111111"/>
          <w:sz w:val="28"/>
          <w:sz w:val="28"/>
          <w:szCs w:val="28"/>
          <w:rtl w:val="true"/>
          <w:lang w:bidi="ar-SA"/>
        </w:rPr>
        <w:t xml:space="preserve">أنها كادت تكون إجماعية بين الأصوليين من زمن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أضاف البعض إليها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العتاب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القاعدة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العقاب على مخالفة ما لا يقتضي التحريك</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للمولى أن يعاقب العبد على ترك التحرك في صورة عدم وجود المقتضي للتحرك،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 على مخالفة ما لا يقتضي 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تحليل عبارته إلى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أنها لا تكون محركة للعبد إلا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محركيتها إلا بعد الوصول، ضرورة عدم إمكان الانبعاث إلا عن البعث بوجوده العلمي دون الخارجي</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ارتباط المقطع الأول من الصغرى بمحل الكلام إلا بعنوان المقدمية، فمن البديهي أنّ الوجود الواقعي غير قابل للمحركية إلا إذا تلبس بالصورة العلمية</w:t>
      </w:r>
      <w:r>
        <w:rPr>
          <w:rStyle w:val="FootnoteAnchor"/>
          <w:rtl w:val="true"/>
        </w:rPr>
        <w:footnoteReference w:id="335"/>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سابقاً أنّ بينهما عموماً من وجه، والمحرك هو الوجود العلمي لا الواقعي، فالعاقل لا يتحرك مع تحقق الوجود الواقعي من دون الوجود العلمي، كما أنه يتحرك نحو المطلوب مع تحقق الوجود العلمي وإن لم يتحقق الوجود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بالوجود العلمي وجود الصورة الذهنية سواء أكانت علماً أم ظناً أم شكاً أم وهماً، فإن الوجود الوهمي أيضاً قابل للتحريك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البحث في البراءة في الغافل بالمرة، فإنه لا إشكال في معذوريته إن لم يكن مقصراً في المقدمات، وإنما البحث في المجتهد، فإنّ الحكم بحرمة الشيء موجود عنده بصورة من صوره الذهنية ظناً أو شكاً أو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معقولية محركية الحكم الواقعي إلا بعد الوصول ضرورة عدم إمكان الانبعاث إلا عن البعث بوجوده العلمي دون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هو بعنوان المقدمية، وهو شرط محقق في المقام، فإنّ حرمة الشيء لها وجود علمي بالمعنى الأعم للعلم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الحكم المحتمل فهو بنفسه غير قابل للمحركية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لتساوي احتمال الوجود مع احتمال عدمه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يحتاج إلى ضميمة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جعلها 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والظن غير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الممكن أن يظن المجتهد بحرمة الشيء، والبحث في البراءة أعم من الشك والظن والوهم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الحكم بوجوده الواقعي غير قابل للمحركية أصلاً ووجوده الاحتمالي غير قابل لها بنفسه</w:t>
      </w:r>
      <w:r>
        <w:rPr>
          <w:rStyle w:val="FootnoteAnchor"/>
          <w:rtl w:val="true"/>
        </w:rPr>
        <w:footnoteReference w:id="33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فالعقاب على مخالفته عند عدم وصوله عقاب على مخالفة حكم لا اقتضاء له للمحركية، </w:t>
      </w:r>
    </w:p>
    <w:p>
      <w:pPr>
        <w:pStyle w:val="BookText"/>
        <w:rPr/>
      </w:pPr>
      <w:r>
        <w:rPr>
          <w:rFonts w:ascii="Amiri" w:hAnsi="Amiri" w:eastAsia="Amiri" w:cs="Amiri"/>
          <w:color w:val="111111"/>
          <w:sz w:val="28"/>
          <w:sz w:val="28"/>
          <w:szCs w:val="28"/>
          <w:rtl w:val="true"/>
          <w:lang w:bidi="ar-SA"/>
        </w:rPr>
        <w:t>ولا ريب في قبح ذلك</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لوجهين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المحتمل قابل للمحركية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للوجود الاحتمالي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المقام غرض لازم الاستيفاء،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غرض لازم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كلامه عدم قابلية الحكم المحتمل للمحركية، لكنه إنما يتم في الحالة الثانية، أما في الحالة الأولى فإنّ الحكم المحتمل قابل ولازم للمحركية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احتمل وجود الماء فهل هذا الماء المحتمل قابل للمحركية؟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مشرفاً على الموت نعم، ولذا سعت السيدة هاجر بين الصفا والمروة، وعليه، في الماء حالتان، بل أكثر فأحياناً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المحركية وأحيانا راجح أو محال أو 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يتضح من كلام المحقق النائيني أن الحرمة المحتملة في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باستيفائها غرض لازم أو لا؟ فلو كان لازم الاستيفاء وجب الانبعاث نحوه، ولا قبح في العقوبة على مخالفته، ولو لم يكن لازم الاستيفاء لم يجب التحرك نحوه ويقبح العقاب 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لم يحل العقدة، فإنّ البحث في قبح العقاب على الوجود الاحتمالي للحكم، وما ذكره إعادة المدعى بصياغة </w:t>
      </w:r>
    </w:p>
    <w:p>
      <w:pPr>
        <w:pStyle w:val="BookText"/>
        <w:rPr/>
      </w:pPr>
      <w:r>
        <w:rPr>
          <w:rFonts w:ascii="Amiri" w:hAnsi="Amiri" w:eastAsia="Amiri" w:cs="Amiri"/>
          <w:color w:val="111111"/>
          <w:sz w:val="28"/>
          <w:sz w:val="28"/>
          <w:szCs w:val="28"/>
          <w:rtl w:val="true"/>
          <w:lang w:bidi="ar-SA"/>
        </w:rPr>
        <w:t>أخرى،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على الحكم المحتمل قبيح، وهو عين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التصرف في ملك الغير من دون إحراز الرضا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لا يخل بقاعدة قبح العقاب بلا بيان، لكنه مخل بالنتيجة التي توخاها من إثبات البراءة بها، فلو سلمنا بالقاعدة إلا أنّ النتيجة ليست البراءة، فإنّ إعمالها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بعرض لازم غير مفارق يخل بنتيجتها، وهو أنّ المقتضي للتحريك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وهو قبح التصرف في ملك الغير بدون إذنه، بل بدون إحراز إذنه، فإنّ التصرف في ملك الغير متوقف على إحراز رضاه، ومع الشك أو الظن برضاه لا يحق التصرف في ملكه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الاقتحام في المحرمات تصرف في ملك اللّه تعالى بالملكية الحقيقية، وإذا قبح التصرف بلا إذن في مملوك الغير بالملكية الاعتبارية فكيف بالمملوك بالملكية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يقتحم في الشبهة التحريمية أنما تصرف في ملك اللّه تعالى، ولا يعلم رضاه سبحانه بذلك، بل نفس الأعضاء والجوارح الظاهرية و الباطنية مملوكة لله عزَّ وجلَّ، فكيف يتصرف بها بدون إحراز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تتم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المولى العرفي، كما فيما بين الأب والابن والخادم والمستخدم فيما لم يكن تصرفاً في ملك الغير، أما في المولى والعبد الحقيقي فالقاعدة تحكم بعدم جواز التصرف، وهي المقتضية للانبعاث والانزجار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 في الوجه الأول لا يخلو من غموض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العقاب على ما لا يستند إلى المكلف</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أيضاً،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 على ما لا يستند إلى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العقاب في مورد عدم البيان الواصل إنما هو لأجل أنّ فوات مطلوب المولى لم يستند إلى المكلف بعد إعمال وظيفته من الفحص عن حكم الشبهة، واليأس عن الظفر به في مظان وجوده، بل فواته إما أن يكون من قبل المولى إذا لم يستوف مراده ببيان يمكن وصول العبد إليه عادة، وإما أن يكون لبعض الأسباب التي توجب اختفاء مراد المولى عن المكلف، وعلى كل تقدير لا يستند الفوات إلى العبد، فلأجل ذلك يستقل العقل بقبح مؤاخذته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استناد الفعل إلى المكلف أن يكون جميع مقدماته اختيارياً، بل يكفي اختيارية بعضها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القتل ظلماً مقدمات، كوجود المقتول والقاتل وآلة القتل الحادة، وعدم صلابة رقبة المقتول، وقدرة القاتل وتمكنه من الإرادة والاختيار وغير ذلك، وجميعها غير اختيارية، ومع ذلك يسند الفعل إلى الفاعل؛ لأنّ إرادة القتل وحركة العضلات نحو المقصود اختيارية، وهذا المقدار كافٍ في اختيارية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إقدام المكلف على اقتحام المشكوك اختياري فيسند الفعل إليه، فلا يتم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فوات مطلوب المولى لم يستند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إخفاء الظالمين للأحكام ليس اختيارياً للمكلف، وهكذا نزول المطر على كتب ابن أبي عمير وتلفها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إعمال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كون الوظيفة مجرد الفحص إلى حد اليأس أول الكلام، حيث لم يُقِمْ برهاناً على ذلك، فربما تكون الوظيفة مضافاً إلى ما ذكر التوقف وعدم الاقتحام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المكلف للوظيفة العقلية والشرعية، فإنهما مطبقان على قبح أو حرمة التصرف في ملك الغير بدون إحراز إذنه، كما مرّ توضيحه في البحث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العقاب مع عدم التكليف ثبوتاً</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w:t>
      </w:r>
      <w:r>
        <w:rPr>
          <w:rStyle w:val="FootnoteAnchor"/>
          <w:rtl w:val="true"/>
        </w:rPr>
        <w:footnoteReference w:id="341"/>
      </w:r>
      <w:r>
        <w:rPr>
          <w:rFonts w:ascii="IRNazanin" w:hAnsi="IRNazanin" w:eastAsia="IRNazanin"/>
          <w:color w:val="111111"/>
          <w:sz w:val="28"/>
          <w:sz w:val="28"/>
          <w:szCs w:val="28"/>
          <w:rtl w:val="true"/>
          <w:lang w:bidi="fa-IR"/>
        </w:rPr>
        <w:t>وتوضيحه مع تجزئة عبارته إلی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مدار الإطاعة والعصيان على الحكم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إما إنشائي أو حقيقي، ولا تتحقق الطاعة والعصيان بالنسبة إلى الحكم الإنشائي، بل مدارهما على وجود الحكم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الحكم الحقيقي متقوم بنحو من أنحاء الوصول؛ لعدم معقولية تأثير الإنشاء الواقعي في انقداح الداعي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التكليف الحقيقي هو التكليف الذي يمكن أن يكون داعياً وباعثاً </w:t>
      </w:r>
    </w:p>
    <w:p>
      <w:pPr>
        <w:pStyle w:val="BookText"/>
        <w:rPr/>
      </w:pPr>
      <w:r>
        <w:rPr>
          <w:rFonts w:ascii="Amiri" w:hAnsi="Amiri" w:eastAsia="Amiri" w:cs="Amiri"/>
          <w:color w:val="111111"/>
          <w:sz w:val="28"/>
          <w:sz w:val="28"/>
          <w:szCs w:val="28"/>
          <w:rtl w:val="true"/>
          <w:lang w:bidi="ar-SA"/>
        </w:rPr>
        <w:t>لحركة المكلف نحو المطلوب، ولا يمكن فرضه إلا في صورة وصول الحكم إليه، أما الحكم ثبوتاً فلا يعقل أن يكون محركاً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فلا تكليف حقيقي مع عدم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مقوم كون التكليف تكليفاً إمكان الداعوية وهو متقوم بالوصول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مخالفة للتكليف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اقتحم المكلف المشكوك لم يخالف التكليف؛ لعدم حرمته واقعاً؛ لعدم وصوله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طريق جديد، فإنّ المتبادر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التكليف في صقع الواقع، ولكن يقبح العقاب عليه حيث لم يصل إلى المكلف، ومفاد هذا الطريق عدم العقاب؛ لعدم التكليف فيكون سالبة بانتفاء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عقب</w:t>
      </w:r>
      <w:r>
        <w:rPr>
          <w:rStyle w:val="FootnoteAnchor"/>
          <w:rtl w:val="true"/>
        </w:rPr>
        <w:footnoteReference w:id="342"/>
      </w:r>
      <w:r>
        <w:rPr>
          <w:rFonts w:ascii="Amiri" w:hAnsi="Amiri" w:eastAsia="Amiri" w:cs="Amiri"/>
          <w:color w:val="111111"/>
          <w:sz w:val="28"/>
          <w:sz w:val="28"/>
          <w:szCs w:val="28"/>
          <w:rtl w:val="true"/>
          <w:lang w:bidi="ar-SA"/>
        </w:rPr>
        <w:t xml:space="preserve">بأنّ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مبنى البراءة العقلية، لاتفاقهم عليها واختلافهم في تقوم الحكم بالوصول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اعتبار، و لا يشترط فيه إمكان 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ذلك اللغوية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مع وجود المصحح العقلائي، ولا يلزم أن يكون المصحح إمكان الداعوية، وعليه يمكن أن يكون الحكم الحقيقي موجوداً وإن لم يكن إمكان الداعوية والباعثية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 الصبي قبل أذان الفجر وهو نائم حتى طلعت الشمس وجب عليه القضاء</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فرع التكليف بالأداء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التكليف بالأداء للباعثية، فإذن إمكان الداعوية ليس مقوماً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أن يكون لهذا الاعتبار مصحح عقلائي، ولو لم يمكن فيه الداعوية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مقوم التكليف إمكان الباعثية والداعوية، لكن عدم إمكانها أنما هو في التكليف الواقعي لو كان مغفولاً عنه، بخلاف ما لو كان محتملاً، كما هو محل الكلام في البراءة العقلية، كنبع العين الواقعية فيما لو احتمل وجودها تحت الأرض، فيمكن أن تكون محركة للعضلات لحفر الأرض، وفي المقام إمكان الداعوية متحقق لوجود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في الثاني</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الحقيقي متقوم بجعل ما يمكن أن يكون داعياً ولا إمكان للداعوية مع عدم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Style w:val="FootnoteAnchor"/>
          <w:rtl w:val="true"/>
        </w:rPr>
        <w:footnoteReference w:id="345"/>
      </w:r>
      <w:r>
        <w:rPr>
          <w:rFonts w:ascii="Amiri" w:hAnsi="Amiri" w:eastAsia="Amiri" w:cs="Amiri"/>
          <w:color w:val="111111"/>
          <w:sz w:val="28"/>
          <w:sz w:val="28"/>
          <w:szCs w:val="28"/>
          <w:rtl w:val="true"/>
          <w:lang w:bidi="ar-SA"/>
        </w:rPr>
        <w:t>أيضاً محلّ تأمل؛ لأنّ العقاب غير منحصر في مخالفة التكليف الحقيقي، بل هو ثابت أيضاً على تفويت غرض المولى، وقد مثلنا سابقاً بغرق ابن المولى وهو نائم حيث يجب على العبد إنقاذه مع عدم صدور أمر من المولى بذلك، مع أنه لو لم يفعل لم يفوت تكليف المولى وإنما فوت غرضه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اقتحام المشكوك قد يفوت غرض المولى، ولم يبرهن على أنَّ احتمال تفويت غرضه لا يوجب العقاب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 حكم العقل بقبح العقاب</w:t>
      </w:r>
    </w:p>
    <w:p>
      <w:pPr>
        <w:pStyle w:val="BookText"/>
        <w:rPr/>
      </w:pPr>
      <w:r>
        <w:rPr>
          <w:rFonts w:ascii="Amiri" w:hAnsi="Amiri" w:eastAsia="Amiri" w:cs="Amiri"/>
          <w:color w:val="111111"/>
          <w:sz w:val="28"/>
          <w:sz w:val="28"/>
          <w:szCs w:val="28"/>
          <w:rtl w:val="true"/>
          <w:lang w:bidi="ar-SA"/>
        </w:rPr>
        <w:t>التقريب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 أيضاً</w:t>
      </w:r>
      <w:r>
        <w:rPr>
          <w:rStyle w:val="FootnoteAnchor"/>
          <w:rtl w:val="true"/>
        </w:rPr>
        <w:footnoteReference w:id="34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العقلي</w:t>
      </w:r>
      <w:r>
        <w:rPr>
          <w:rStyle w:val="FootnoteAnchor"/>
          <w:rtl w:val="true"/>
        </w:rPr>
        <w:footnoteReference w:id="347"/>
      </w:r>
      <w:r>
        <w:rPr>
          <w:rFonts w:ascii="Amiri" w:hAnsi="Amiri" w:eastAsia="Amiri" w:cs="Amiri"/>
          <w:color w:val="111111"/>
          <w:sz w:val="28"/>
          <w:sz w:val="28"/>
          <w:szCs w:val="28"/>
          <w:rtl w:val="true"/>
          <w:lang w:bidi="ar-SA"/>
        </w:rPr>
        <w:t>حكم عقلي عملي</w:t>
      </w:r>
      <w:r>
        <w:rPr>
          <w:rStyle w:val="FootnoteAnchor"/>
          <w:rtl w:val="true"/>
        </w:rPr>
        <w:footnoteReference w:id="348"/>
      </w:r>
      <w:r>
        <w:rPr>
          <w:rFonts w:ascii="Amiri" w:hAnsi="Amiri" w:eastAsia="Amiri" w:cs="Amiri"/>
          <w:color w:val="111111"/>
          <w:sz w:val="28"/>
          <w:sz w:val="28"/>
          <w:szCs w:val="28"/>
          <w:rtl w:val="true"/>
          <w:lang w:bidi="ar-SA"/>
        </w:rPr>
        <w:t>بملاك التحسين والتقبيح العقليين</w:t>
      </w:r>
      <w:r>
        <w:rPr>
          <w:rStyle w:val="FootnoteAnchor"/>
          <w:rtl w:val="true"/>
        </w:rPr>
        <w:footnoteReference w:id="349"/>
      </w:r>
      <w:r>
        <w:rPr>
          <w:rFonts w:ascii="Amiri" w:hAnsi="Amiri" w:eastAsia="Amiri" w:cs="Amiri"/>
          <w:color w:val="111111"/>
          <w:sz w:val="28"/>
          <w:sz w:val="28"/>
          <w:szCs w:val="28"/>
          <w:rtl w:val="true"/>
          <w:lang w:bidi="ar-SA"/>
        </w:rPr>
        <w:t>، ومثله مأخوذ من الأحكام العقلائية</w:t>
      </w:r>
      <w:r>
        <w:rPr>
          <w:rStyle w:val="FootnoteAnchor"/>
          <w:rtl w:val="true"/>
        </w:rPr>
        <w:footnoteReference w:id="350"/>
      </w:r>
      <w:r>
        <w:rPr>
          <w:rFonts w:ascii="Amiri" w:hAnsi="Amiri" w:eastAsia="Amiri" w:cs="Amiri"/>
          <w:color w:val="111111"/>
          <w:sz w:val="28"/>
          <w:sz w:val="28"/>
          <w:szCs w:val="28"/>
          <w:rtl w:val="true"/>
          <w:lang w:bidi="ar-SA"/>
        </w:rPr>
        <w:t>التي حقيقتها ما تطابقت عليه آراء العقلاء حفظاً للنظام وإبقاءً للنوع</w:t>
      </w:r>
      <w:r>
        <w:rPr>
          <w:rStyle w:val="FootnoteAnchor"/>
          <w:rtl w:val="true"/>
        </w:rPr>
        <w:footnoteReference w:id="351"/>
      </w:r>
      <w:r>
        <w:rPr>
          <w:rFonts w:ascii="Amiri" w:hAnsi="Amiri" w:eastAsia="Amiri" w:cs="Amiri"/>
          <w:color w:val="111111"/>
          <w:sz w:val="28"/>
          <w:sz w:val="28"/>
          <w:szCs w:val="28"/>
          <w:rtl w:val="true"/>
          <w:lang w:bidi="ar-SA"/>
        </w:rPr>
        <w:t>، وحكم العقل بقبح العقاب ليس حكماً عقلياً منفرداً عن سائر الأحكام العقلية العملية، بل هو من أفراد حكم العقل بقبح الظلم عند العقلاء</w:t>
      </w:r>
      <w:r>
        <w:rPr>
          <w:rStyle w:val="FootnoteAnchor"/>
          <w:rtl w:val="true"/>
        </w:rPr>
        <w:footnoteReference w:id="352"/>
      </w:r>
      <w:r>
        <w:rPr>
          <w:rFonts w:ascii="Amiri" w:hAnsi="Amiri" w:eastAsia="Amiri" w:cs="Amiri"/>
          <w:color w:val="111111"/>
          <w:sz w:val="28"/>
          <w:sz w:val="28"/>
          <w:szCs w:val="28"/>
          <w:rtl w:val="true"/>
          <w:lang w:bidi="ar-SA"/>
        </w:rPr>
        <w:t>نظراً</w:t>
      </w:r>
      <w:r>
        <w:rPr>
          <w:rStyle w:val="FootnoteAnchor"/>
          <w:rtl w:val="true"/>
        </w:rPr>
        <w:footnoteReference w:id="353"/>
      </w:r>
      <w:r>
        <w:rPr>
          <w:rFonts w:ascii="Amiri" w:hAnsi="Amiri" w:eastAsia="Amiri" w:cs="Amiri"/>
          <w:color w:val="111111"/>
          <w:sz w:val="28"/>
          <w:sz w:val="28"/>
          <w:szCs w:val="28"/>
          <w:rtl w:val="true"/>
          <w:lang w:bidi="ar-SA"/>
        </w:rPr>
        <w:t xml:space="preserve">إلى أنَّ مخالفة ما قامت عليه الحجة خروج عن زي الرقية </w:t>
      </w:r>
    </w:p>
    <w:p>
      <w:pPr>
        <w:pStyle w:val="BookText"/>
        <w:rPr/>
      </w:pPr>
      <w:r>
        <w:rPr>
          <w:rFonts w:ascii="Amiri" w:hAnsi="Amiri" w:eastAsia="Amiri" w:cs="Amiri"/>
          <w:color w:val="111111"/>
          <w:sz w:val="28"/>
          <w:sz w:val="28"/>
          <w:szCs w:val="28"/>
          <w:rtl w:val="true"/>
          <w:lang w:bidi="ar-SA"/>
        </w:rPr>
        <w:t>ورسم العبودية، وهو ظلم من العبد على مولاه، فيستحق منه الذم والعقاب</w:t>
      </w:r>
      <w:r>
        <w:rPr>
          <w:rStyle w:val="FootnoteAnchor"/>
          <w:rtl w:val="true"/>
        </w:rPr>
        <w:footnoteReference w:id="354"/>
      </w:r>
      <w:r>
        <w:rPr>
          <w:rFonts w:ascii="Amiri" w:hAnsi="Amiri" w:eastAsia="Amiri" w:cs="Amiri"/>
          <w:color w:val="111111"/>
          <w:sz w:val="28"/>
          <w:sz w:val="28"/>
          <w:szCs w:val="28"/>
          <w:rtl w:val="true"/>
          <w:lang w:bidi="ar-SA"/>
        </w:rPr>
        <w:t>، كما أن مخالفة ما لم تقم عليه الحجة ليست من أفراد الظلم</w:t>
      </w:r>
      <w:r>
        <w:rPr>
          <w:rStyle w:val="FootnoteAnchor"/>
          <w:rtl w:val="true"/>
        </w:rPr>
        <w:footnoteReference w:id="355"/>
      </w:r>
      <w:r>
        <w:rPr>
          <w:rFonts w:ascii="Amiri" w:hAnsi="Amiri" w:eastAsia="Amiri" w:cs="Amiri"/>
          <w:color w:val="111111"/>
          <w:sz w:val="28"/>
          <w:sz w:val="28"/>
          <w:szCs w:val="28"/>
          <w:rtl w:val="true"/>
          <w:lang w:bidi="ar-SA"/>
        </w:rPr>
        <w:t>، إذ ليس من زي الرقّية أن لا يخالف العبد مولاه في الواقع وفي نفس الأمر</w:t>
      </w:r>
      <w:r>
        <w:rPr>
          <w:rStyle w:val="FootnoteAnchor"/>
          <w:rtl w:val="true"/>
        </w:rPr>
        <w:footnoteReference w:id="356"/>
      </w:r>
      <w:r>
        <w:rPr>
          <w:rFonts w:ascii="Amiri" w:hAnsi="Amiri" w:eastAsia="Amiri" w:cs="Amiri"/>
          <w:color w:val="111111"/>
          <w:sz w:val="28"/>
          <w:sz w:val="28"/>
          <w:szCs w:val="28"/>
          <w:rtl w:val="true"/>
          <w:lang w:bidi="ar-SA"/>
        </w:rPr>
        <w:t>، فليس مخالفة ما لم تقم عليه الحجة خروجاً عن زي الرقّية حتى يكون ظلماً، وحينئذ فالعقوبة عليه ظلم من المولى على عبده</w:t>
      </w:r>
      <w:r>
        <w:rPr>
          <w:rStyle w:val="FootnoteAnchor"/>
          <w:rtl w:val="true"/>
        </w:rPr>
        <w:footnoteReference w:id="357"/>
      </w:r>
      <w:r>
        <w:rPr>
          <w:rFonts w:ascii="Amiri" w:hAnsi="Amiri" w:eastAsia="Amiri" w:cs="Amiri"/>
          <w:color w:val="111111"/>
          <w:sz w:val="28"/>
          <w:sz w:val="28"/>
          <w:szCs w:val="28"/>
          <w:rtl w:val="true"/>
          <w:lang w:bidi="ar-SA"/>
        </w:rPr>
        <w:t>، إذ الذم على ما لا يذم عليه، والعقوبة على ما لا يوجب العقوبة عدوان محض من المولى على عبده، وإيذاء بحت بلا موجب عقلائي، فهو ظلم والظلم بنوعه يؤدّي إلى فساد النوع، واختلال النظام، وهو قبيح من كل أحد، بالإضافة إلى كل أحد، ولو من المولى إلى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اعتمد عليه في النهاية لإثبات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وجوه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ما لم تقم عليه الحجة نوعان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المخالفة مع الغفلة، كشرب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المخالفة مع الشك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المخالفة ليست ظلماً، وليست خروجاً عن طريق العبودية،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كونه ظلماً أول الكلام، فجوهر استدلاله</w:t>
      </w:r>
      <w:r>
        <w:rPr>
          <w:rStyle w:val="FootnoteAnchor"/>
          <w:rtl w:val="true"/>
        </w:rPr>
        <w:footnoteReference w:id="358"/>
      </w:r>
      <w:r>
        <w:rPr>
          <w:rFonts w:ascii="Amiri" w:hAnsi="Amiri" w:eastAsia="Amiri" w:cs="Amiri"/>
          <w:color w:val="111111"/>
          <w:sz w:val="28"/>
          <w:sz w:val="28"/>
          <w:szCs w:val="28"/>
          <w:rtl w:val="true"/>
          <w:lang w:bidi="ar-SA"/>
        </w:rPr>
        <w:t>مصادرة، فإنَّ البحث في أن المخالفة مع الشك والتردد هل هو ظلم وخروج عن رسم العبودية أم لا؟</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قامت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حكم العقل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التصرف في مال الغير وملكه بدون إحراز رضايته، كما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ما ذكره في المنتقى</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العقاب على المخالفة ظلم من المولى الشرعي، ولو سُلّم أنَّ المخالفة ليست خروجاً عن زي الرقية؛ لأنَّ الظلم هو الخروج عن الحقوق والحدود المفروضة بين الطرفين، وهذا إنما يتأتى بالنسبة إلى المولى العرفي وعبده، أما المولى الحقيقي فلا يتصور فيه ذلك، فإنَّ العبد لمولاه وبيده تكويناً واعتباراً يتصرف فيه كيف يشاء، ولا حق للعبد على المولى كي يكون الخروج عنه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التسليم بأنَّ المخالفة ليست خروجاً عن طريق العبودية، إلا أنَّ عقوبة العبد ليست ظلماً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لصعوبة الالتزام بلوازمه، فعلى سبيل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قبح التكليف بما لا يطاق، فيكلف المولى العبد بما لا يطاق، ثم يعاقبه على عدم الفعل؛ لأن العبد لمولاه يتصرف فيه كيف يشاء تكويناً واعتباراً، ولا يكون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عقاب المؤمنين المطيعين المخلصين، كأن يُلقي بأحدهم في قعر جهنم والعكس بالعكس، كأن يُكرم الكافر الفاسق في صدر الجنة؛ لأن العبد لمولاه يتصرف فيه كيف يشاء ولا يكون ظلماً؛ لأن الظلم إنما يتحقق بتجاوز الحدود بين المولى والعبد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الحقيقي فلا حدود بينه وبين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الالتزام بهذا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إظهار المعجزات على أيدي الكاذبين؛ لعدم قبحه، فإنَّ الملك ملكه يصنع به ما يشاء ويتصرف فيه كيفما شاء، فينسد باب إثبات النبوات، حيث لا حدود بين المولى الحقيقي وعبده أصلاً فيصنع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الفرق بين العدلية والأشاعرة في بادئ النظر، فبينما يقولون بإمكانه نرى أنه ممتنع بالامتناع الغيري، بلحاظ حكمته وكماله، فلا يمكن صدوره عنه وإن لم يكن ممتنعاً بالامتناع الذاتي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وظواهر القرآن الكريم تؤيده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فمع قطع النظر عن تعلق الأمر والنهي الإلهي يكون العمل عدلاً وإحساناً، أو </w:t>
      </w:r>
    </w:p>
    <w:p>
      <w:pPr>
        <w:pStyle w:val="BookText"/>
        <w:rPr/>
      </w:pPr>
      <w:r>
        <w:rPr>
          <w:rFonts w:ascii="Amiri" w:hAnsi="Amiri" w:eastAsia="Amiri" w:cs="Amiri"/>
          <w:color w:val="111111"/>
          <w:sz w:val="28"/>
          <w:sz w:val="28"/>
          <w:szCs w:val="28"/>
          <w:rtl w:val="true"/>
          <w:lang w:bidi="ar-SA"/>
        </w:rPr>
        <w:t>فحشاء ومنكراً،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أَفَنَجْعَلُ الْمُسْلِمِينَ كَالْمُجْرِمِينَ مَا لَكُمْ كَيْفَ تَحْكُمُونَ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فمِنَ المستنَكَر أن يكون مثل أبي جهل في صدر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أمير المؤمنين</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وكيف أظلم أحداً لنفس يسرع إلى البلى قفولها</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فهو منكر لا يمكن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اللّه تبارك وتعالى مجبوراً فيكون ذلك ممكناً ذاتاً، لكنه غير ممكن وقوعاً لحكمته عزّ وجلّ فالحكمة والكمال مانعة عن ذلك</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ذكره أكثر من مرة وبنى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العبد لم يخرج عن طريق العبودية، ولم يظلم مولاه، لكن لا يقبح عقاب اللّه إياه لعدم كونه ظلماً، حيث لا حدود بين المولى الحقيقي وعبده، وأنَّ كلَّ ما يفعله المولى ليس ظلماً، بل هو عين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فإنَّ الظلم وإن كان ممكناً بالإمكان الذاتي لله سبحانه، لكنه ممتنع بالامتناع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الكلام في تذنيبين للتقريب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تكرر في كلمات المحقق الإصفهاني</w:t>
      </w:r>
      <w:r>
        <w:rPr>
          <w:rStyle w:val="FootnoteAnchor"/>
          <w:rtl w:val="true"/>
        </w:rPr>
        <w:footnoteReference w:id="366"/>
      </w:r>
      <w:r>
        <w:rPr>
          <w:rFonts w:ascii="Amiri" w:hAnsi="Amiri" w:eastAsia="Amiri" w:cs="Amiri"/>
          <w:color w:val="111111"/>
          <w:sz w:val="28"/>
          <w:sz w:val="28"/>
          <w:szCs w:val="28"/>
          <w:rtl w:val="true"/>
          <w:lang w:bidi="ar-SA"/>
        </w:rPr>
        <w:t>في مقامات متعددة أنَّ الأحكام العقلية العملية، التي هي مبنية على التحسين والتقبيح العقليين، مأخوذة من الأحكام العقلائية، وهي التي تطابق عليها آراء العقلاء حفظاً للنظام وإبقاءً للنوع، وقد رتب على ذلك آثاراً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للتأمل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علّة بناء العقلاء على الأحكام المذكورة، فلا يعقل أن يكون ذلك عبثاً واعتباطاً من دون سبب، وهو أيضاً لا يرتضي ذلك، حيث يرى أنها معللة بحفظ النظام وبقاء النوع، حيث يختل النظام البشري مع الظلم ويقع النوع في معرض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فننقل الكلام إلى قضية حفظ النظام وإبقاء النوع، فلابد أن يكون ذلك حسناً حتى يكون علة لحكم العقلاء بحسن العدل، فهل حسنه ذاتي عقلي، أو ناشئ عن بناء العقلاء واتفاقهم على حسن حفظ النظام، فإن كان حسنه مُدرَكاً عقلياً ثبت أنَّ هنالك حسناً ذاتياً للأشياء، وهو ما ينكره، وإن كان حسنه لاتفاق العقلاء على ضرورة حفظ النظام فنتساءل عن علة الاتفاق المذكور، ولماذا لم يتفقوا على عكسه؟ فإن لم يكن له علة فلا يعقل اتفاق العقلاء على شيء من دون علة، وإن كان له علة فينقل الكلام إليها، ولا بد أن ننتهي أخيراً إلى الحسن والقبح الذاتي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نوعاً من أنواع الظلم لم يؤدِّ إلى اختلال النظام، فلا يكون قبيحاً على مبناه؛ لأنَّ العقلاء اتفقوا على قبح الظلم؛ لأنه يؤدي إلى </w:t>
      </w:r>
    </w:p>
    <w:p>
      <w:pPr>
        <w:pStyle w:val="BookText"/>
        <w:rPr/>
      </w:pPr>
      <w:r>
        <w:rPr>
          <w:rFonts w:ascii="Amiri" w:hAnsi="Amiri" w:eastAsia="Amiri" w:cs="Amiri"/>
          <w:color w:val="111111"/>
          <w:sz w:val="28"/>
          <w:sz w:val="28"/>
          <w:szCs w:val="28"/>
          <w:rtl w:val="true"/>
          <w:lang w:bidi="ar-SA"/>
        </w:rPr>
        <w:t>اختلال النظام، وقد فرض في هذا النوع عدم ذلك، كمن يظلم حيواناً في منقطع من الصحراء ولم يطلع عليه أحد، وهو خلاف الوجدان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وجود عقلاء، كما في الإنسان الأول، حيث لم يجتمع العقلاء ليقرروا قبح الظلم، فلا يقبح له ذلك على مبناه، فيحق له أن يظلم كيفما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المحال، كما لو اتفق العقلاء على حسن الظلم والخيانة، وقبح العدل وحفظ الأمانة، فهل يصبح الأمر كذلك لتطابق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الأمور الاعتبارية منوطة باعتبار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سلب الاعتبار مَنْ بيده الاعتبار سقط الدينار مثلاً عن الدينارية، أما الأمور الانتزاعية فلا ترتبط باعتبار المعتبر وفرض الفارض، فلو اجتمع العقلاء جميعاً على أن الواحد ليس فرداً فلا يسقط عن الفردية؛ لأنه ليس اعتبارياً حتى يتغير بالاعتبار أو بسلبه، وحسن العدل وقبح الظلم من الأمور الانتزاعية لا الاعتبارية، فلا يرتبط وجودها وبقاؤها بتطابق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تكررت في كلماته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العبد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أجدها في الروايات، بل وجدت نقيضها في القرآن الكريم،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ظَلَمُونَا وَلَكِن كَانُواْ أَنفُسَهُمْ يَظْلِمُونَ</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فلو تمرد العبد فقد </w:t>
      </w:r>
    </w:p>
    <w:p>
      <w:pPr>
        <w:pStyle w:val="BookText"/>
        <w:rPr/>
      </w:pPr>
      <w:r>
        <w:rPr>
          <w:rFonts w:ascii="IRNazanin" w:hAnsi="IRNazanin" w:eastAsia="IRNazanin"/>
          <w:color w:val="111111"/>
          <w:sz w:val="28"/>
          <w:sz w:val="28"/>
          <w:szCs w:val="28"/>
          <w:rtl w:val="true"/>
          <w:lang w:bidi="fa-IR"/>
        </w:rPr>
        <w:t>ظلم نفسه لا أنه ظلم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المؤاخذة مع عدم الإعلام</w:t>
      </w:r>
    </w:p>
    <w:p>
      <w:pPr>
        <w:pStyle w:val="BookText"/>
        <w:rPr/>
      </w:pPr>
      <w:r>
        <w:rPr>
          <w:rFonts w:ascii="Amiri" w:hAnsi="Amiri" w:eastAsia="Amiri" w:cs="Amiri"/>
          <w:color w:val="111111"/>
          <w:sz w:val="28"/>
          <w:sz w:val="28"/>
          <w:szCs w:val="28"/>
          <w:rtl w:val="true"/>
          <w:lang w:bidi="ar-SA"/>
        </w:rPr>
        <w:t xml:space="preserve">التقريب الخامس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له حكم العقلاء كافة بقبح مؤاخذة المولى عبده على فعل ما يعترف بعدم إعلامه أصلاً بتحريمه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اعترف المولى أنه لم يبين ممنوعية الفعل فيقبح مؤاخذة العبد على فعله، وقد بنى على ذلك العقلاء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البحث في البراءة هو في قبح العقاب على عدم البيان الواصل، لا عدم البيان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فلولم يكن بيان، كما في أول البعثة، وقد سكت المولى عن بيان حرمة الخمر، فليس ذلك محل البحث في البراءة، وإنما هو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فمن الممكن أن يكون العقاب عليه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احتمال خفاء البيان، بسبب إخفاء الظالمين أو عوامل أخرى، وإمكان الاحتياط لا يعلم كون العقاب قبيحاً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قبح العقاب بلا بيان واصل، لكن قبحه ثابت فيما لم يكن تصرفاً في ملك الغير، وقد مرّ في المباحث السابقة أنَّ الاقتحام تصرف في ملكه تعالى بلا إحراز إذنه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بلا بيان قبيح بشهادة الوجدان</w:t>
      </w:r>
    </w:p>
    <w:p>
      <w:pPr>
        <w:pStyle w:val="BookText"/>
        <w:rPr/>
      </w:pPr>
      <w:r>
        <w:rPr>
          <w:rFonts w:ascii="Amiri" w:hAnsi="Amiri" w:eastAsia="Amiri" w:cs="Amiri"/>
          <w:color w:val="111111"/>
          <w:sz w:val="28"/>
          <w:sz w:val="28"/>
          <w:szCs w:val="28"/>
          <w:rtl w:val="true"/>
          <w:lang w:bidi="ar-SA"/>
        </w:rPr>
        <w:t>التقريب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حيث قال</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العقاب بلا بيان والمؤاخذة بلا برهان قبيحان بشهادة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الكلام فيه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الوجوه الستة التي ذكرت لإثبات قاعدة قبح العقاب بلا بيان لا تخلو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الرابطة بين الثواب والعقاب وبين الأعمال في الدنيا</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المنتقى</w:t>
      </w:r>
      <w:r>
        <w:rPr>
          <w:rStyle w:val="FootnoteAnchor"/>
          <w:rtl w:val="true"/>
        </w:rPr>
        <w:footnoteReference w:id="372"/>
      </w:r>
      <w:r>
        <w:rPr>
          <w:rFonts w:ascii="Amiri" w:hAnsi="Amiri" w:eastAsia="Amiri" w:cs="Amiri"/>
          <w:color w:val="111111"/>
          <w:sz w:val="28"/>
          <w:sz w:val="28"/>
          <w:szCs w:val="28"/>
          <w:rtl w:val="true"/>
          <w:lang w:bidi="ar-SA"/>
        </w:rPr>
        <w:t>أنَّ في العقاب والثواب الأخرويين ثلاث 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والعقاب في الآخرة من باب تجسم الأعمال، فحال العمل حال البذر، كنواة التمر والحنظل التي تتجسم بشكل النخل أو شجرة الحنظل، فالشجرة عين النواة، لكنها تشكلت وتجسمت بهذه الكيفية، والعمل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بصورة شجرة من أشجار الجنة، والعمل الطالح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صورة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الآيات إشارة إلى ذلك، ولو في الجملة،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تُجْزَوْنَ إِلَّا مَا كُنتُمْ تَعْمَلُونَ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وورد في الحديث </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أعمالكم ترد إليكم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والثواب في الآخرة من قبيل الأثر الوضعي، فكما أنَّ للأعمال في هذه النشأة آثاراً وضعية، كسكر مَن يشرب الخمر، وموت مَن يشرب السم القاتل، كذلك الأمر فيها، وهو لا يرتهن بالعلم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النظريتين أنَّ الأولى تثبت العينية بين العمل والجزاء، والثانية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والعقاب الأخرويين من باب المجازات لا العينية ولا العلّية، وهو أمر قرره المولى مجازاة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المبنيين الأولين، فإنَّ الحسن والقبح يرتبطان بالعمل الاختياري للفاعل، ولا معنى للقول بقبح العقاب وعدمه مع كون الأثر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شرب التتن حراماً ثبوتاً، وكان أثره الوضعي أو تجسمه بصورة العقرب، فليس ذلك فعلاً اختيارياً حتى يقال بأنه قبيح، كما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شارب السم قبيح، فإنَّه أثر قهري لا فعل اختياري، ولذلك يترتب على العالم والجاهل، فلا معنى لوصفه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أنّما يتم إذا فرضت الرابطة بين العلة والمعلول ذاتية، فإنَّ الذاتي لا يختلف ولا يتخلف، أما لو فرضت الرابطة بينهما جعلية، أي بجعل المولى، فيكون ترتب الأثر اختيارياً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النار الإحراق، ولكن هل هي خاصية ذاتية أم خاصية </w:t>
      </w:r>
    </w:p>
    <w:p>
      <w:pPr>
        <w:pStyle w:val="BookText"/>
        <w:rPr/>
      </w:pPr>
      <w:r>
        <w:rPr>
          <w:rFonts w:ascii="Amiri" w:hAnsi="Amiri" w:eastAsia="Amiri" w:cs="Amiri"/>
          <w:color w:val="111111"/>
          <w:sz w:val="28"/>
          <w:sz w:val="28"/>
          <w:szCs w:val="28"/>
          <w:rtl w:val="true"/>
          <w:lang w:bidi="ar-SA"/>
        </w:rPr>
        <w:t>جعلية؟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جعلية فلا محذور في سلب اللّه تعالى لتلك الخاصية، وليس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جعل المانع على النبي إبراهيم عليه وعلى نبينا وآله الصلاة والسلام، حتى يمنع الحرارة عنه، أو انقلاب ماهية النار كانقلاب ماهية الماء إلى البخار، بل الخطاب للنار، فمع انحفاظ الماهية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فالرابطة جعلية توجد بالجعل وتسلب برفع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خاصية الماء الإرواء ورفع العطش، ولكن الرجل الذي دعا عليه سيد الشهداء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لا يروى من الماء أبداً كان يشرب الماء فيخرج من فمه من كثرة الشرب، ومع ذلك يصرخ العطش العطش</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حتى مات بتلك الحالة، فخاصية الإرواء ليست ذاتية للماء، بل جعلية، فيمكن أن تسلب بأمر اللّه تعالى مع انحفاظ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فرق بين المبنيين الأولين والثالث؛ لأنَّ ترتب الأثر على المباني الثلاثة اختياري للجاعل، وهو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الجهة الأولى، وهي ثبوت قاعدة قبح العقاب بلا بيان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وجوب دفع الضرر المحتمل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فيها في ثبوت قاعدة وجوب دفع الضرر المحتمل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 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ثبوت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قاعدة وجوب دفع الضرر المحتمل</w:t>
      </w:r>
    </w:p>
    <w:p>
      <w:pPr>
        <w:pStyle w:val="BookText"/>
        <w:rPr/>
      </w:pPr>
      <w:r>
        <w:rPr>
          <w:rFonts w:ascii="Amiri" w:hAnsi="Amiri" w:eastAsia="Amiri" w:cs="Amiri"/>
          <w:color w:val="111111"/>
          <w:sz w:val="28"/>
          <w:sz w:val="28"/>
          <w:szCs w:val="28"/>
          <w:rtl w:val="true"/>
          <w:lang w:bidi="ar-SA"/>
        </w:rPr>
        <w:t>أما المقام الأول فسوف نتحدث فيه عن أصل ثبوت هذه القاعدة، فقد أنكر السيد الروحاني</w:t>
      </w:r>
      <w:r>
        <w:rPr>
          <w:rStyle w:val="FootnoteAnchor"/>
          <w:rtl w:val="true"/>
        </w:rPr>
        <w:footnoteReference w:id="378"/>
      </w:r>
      <w:r>
        <w:rPr>
          <w:rFonts w:ascii="Amiri" w:hAnsi="Amiri" w:eastAsia="Amiri" w:cs="Amiri"/>
          <w:color w:val="111111"/>
          <w:sz w:val="28"/>
          <w:sz w:val="28"/>
          <w:szCs w:val="28"/>
          <w:rtl w:val="true"/>
          <w:lang w:bidi="ar-SA"/>
        </w:rPr>
        <w:t>أصل وجود هذه القاعدة، واستدل لذلك بأنَّ الوجوب المحتمل لا يخلو من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نفسي أو طريقي أو إرشادي، والكل غير معقول، فينتفي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 الواجبات النفسية دفع الضرر المحتمل بما هو محتمل، سواء كان الاحتمال موافقاً للواقع أم مخالفاً، فمن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معاقب عليه في القيامة على كل تقدير، سواء انكشفت حليته أم حرمته؛ لأنه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الحرمة، ومخالفة الواجب النفسي موجب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يمكن الالتزام بذلك، حيث لا يعقل أن يزيد احتمال الضرر على القطع بالضرر، فمَنْ قطع بحرمة شرب الخمر فخالف، فله عقاب واحد لمخالفته النهي، وأما لو شرب التتن وانكشفت الحرمة فبناء على الوجوب النفسي يستحق عقابين لمخالفته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الضرر المحتمل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فملاكه الوجوب الذي جعل بداعي تنجيز الواقع أو التعذير عنه، ولا يمكن أن يكون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طريقياً لتنجزه في مرحلة سابقة 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المحمول،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الموضوع، وبمجرد احتمال وجود الضرر في العمل يتنجز الواقع في الذمة في رتبة الموضوع، ولا يعقل تنجز الواقع في رتبة المحمول وبسببه ثانية، فلا يعقل أن يكون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الإرشادي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حقيقته إخبار في صورة الإنشاء</w:t>
      </w:r>
      <w:r>
        <w:rPr>
          <w:rStyle w:val="FootnoteAnchor"/>
          <w:rtl w:val="true"/>
        </w:rPr>
        <w:footnoteReference w:id="379"/>
      </w:r>
      <w:r>
        <w:rPr>
          <w:rFonts w:ascii="Amiri" w:hAnsi="Amiri" w:eastAsia="Amiri" w:cs="Amiri"/>
          <w:color w:val="111111"/>
          <w:sz w:val="28"/>
          <w:sz w:val="28"/>
          <w:szCs w:val="28"/>
          <w:rtl w:val="true"/>
          <w:lang w:bidi="ar-SA"/>
        </w:rPr>
        <w:t>، وإنَّما يصح الوجوب الإرشادي في مورد الغفلة، وأما مع الالتفات واحتمال تحققه فلا، إذ المخبَر يعلم بتحققه على تقدير وجوده في رتبة الموضوع، فلا معنى لإخباره بذلك؛ فإنه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انتفاء الأصناف الثلاثة للوجوب ينتفي النوع؛ لانتفائه بانتفاء تمام أصنافه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أساس لقاعدة وجوب الدفع الضرر المحتمل مع شهرتها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القاعدة وكون الوجوب فيها إرشادياً وأما المقام الثاني، فيقع الكلام فيه في إثبات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الوجوب إرشادي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ذكره السيد الروحاني محل تأمل؛ لأننا نختار الوجوب الإرشادي، وليس واقعه الإخبار، وإنما هو إنشاء بداعي الحث والتحريض والتحريك، ولم يظهر وجه أخذ الغفلة والجهل في الأمر الإرشادي، حيث </w:t>
      </w:r>
    </w:p>
    <w:p>
      <w:pPr>
        <w:pStyle w:val="BookText"/>
        <w:rPr/>
      </w:pPr>
      <w:r>
        <w:rPr>
          <w:rFonts w:ascii="Amiri" w:hAnsi="Amiri" w:eastAsia="Amiri" w:cs="Amiri"/>
          <w:color w:val="111111"/>
          <w:sz w:val="28"/>
          <w:sz w:val="28"/>
          <w:szCs w:val="28"/>
          <w:rtl w:val="true"/>
          <w:lang w:bidi="ar-SA"/>
        </w:rPr>
        <w:t>لا فرق في الحث بين علم المكلف وجهله، غاية الأمر أنه لا عقوبة على الهيئة، وإنما هي متعلقة بالمادة، بخلاف الأوامر المولوية التي ترتبط عقوبتها بمخالفة الهيئة، وهذا هو الفرق بين الأمر المولوي والإرشادي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ليس مجرد إخبار بوجود المصلحة في المادة وهي الطاعة، بل هو حث وتحريض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والمريض قد يعلم بضرر الطعام وما يترتب على المادة، ومع ذلك ينهاه الطبيب وهو 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تندفع شبهة تحصيل الحاصل؛ لأنَّ المتحقق في رتبة الموضوع الانكشاف</w:t>
      </w:r>
      <w:r>
        <w:rPr>
          <w:rStyle w:val="FootnoteAnchor"/>
          <w:rtl w:val="true"/>
        </w:rPr>
        <w:footnoteReference w:id="381"/>
      </w:r>
      <w:r>
        <w:rPr>
          <w:rFonts w:ascii="Amiri" w:hAnsi="Amiri" w:eastAsia="Amiri" w:cs="Amiri"/>
          <w:color w:val="111111"/>
          <w:sz w:val="28"/>
          <w:sz w:val="28"/>
          <w:szCs w:val="28"/>
          <w:rtl w:val="true"/>
          <w:lang w:bidi="ar-SA"/>
        </w:rPr>
        <w:t>، والمتحقق في رتبة المحمول التحريك والتحريض، فلم يكن هنالك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يرى احتمال الضرر في الإقدام على العمل</w:t>
      </w:r>
      <w:r>
        <w:rPr>
          <w:rStyle w:val="FootnoteAnchor"/>
          <w:rtl w:val="true"/>
        </w:rPr>
        <w:footnoteReference w:id="382"/>
      </w:r>
      <w:r>
        <w:rPr>
          <w:rFonts w:ascii="Amiri" w:hAnsi="Amiri" w:eastAsia="Amiri" w:cs="Amiri"/>
          <w:color w:val="111111"/>
          <w:sz w:val="28"/>
          <w:sz w:val="28"/>
          <w:szCs w:val="28"/>
          <w:rtl w:val="true"/>
          <w:lang w:bidi="ar-SA"/>
        </w:rPr>
        <w:t>، ثم يحث على عدم الاقتحام فيه، وهو معنى الوجوب العقلي الإرشادي، ولو خالفه المكلف لم يترتب عليه إلاّ عقوبة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الجواب مبنيٌ على مبنى وجود الأحكام العقلية، وقد مر سابقاً أنّ للعقل أحكاماً تبعث وتزجر، ويؤيده ظواهر الآيات والروايات،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خَافَ مَقَامَ رَبِّهِ وَنَهَى النَّفْسَ عَنِ الْهَوَى</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 وقوله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تَأْمُرُهُمْ أَحْلَامُهُم</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وقوله</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واعظ من نفسه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 إنكارها فلا يضر ذلك بالمدّعى أيضاً، حيث إنّه لا إشكال في وجود الجاذبية الطبيعية الفطرية، التي تبعد كل عاقل عن الضرر المحتمل</w:t>
      </w:r>
      <w:r>
        <w:rPr>
          <w:rStyle w:val="FootnoteAnchor"/>
          <w:rtl w:val="true"/>
        </w:rPr>
        <w:footnoteReference w:id="386"/>
      </w:r>
      <w:r>
        <w:rPr>
          <w:rFonts w:ascii="Amiri" w:hAnsi="Amiri" w:eastAsia="Amiri" w:cs="Amiri"/>
          <w:color w:val="111111"/>
          <w:sz w:val="28"/>
          <w:sz w:val="28"/>
          <w:szCs w:val="28"/>
          <w:rtl w:val="true"/>
          <w:lang w:bidi="ar-SA"/>
        </w:rPr>
        <w:t>، فحينما يرى العاقل النار يفرّ منها لزوماً، وهذا ما نعبر عنه بوجوب دفع الضرر المحتمل، ولا مشاحة في الاصطلاح، سواء عبر عنه بذلك أم عبر عنه بالوجوب، أم الجذب التكويني، أم الفطري أم الطبيعي أم لم يعبرّ عنه بالوجوب أصلاً، فليس البحث في الألفاظ، وإنما في واقع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فقاعدة وجوب دفع الضرر المحتمل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وجود إطلاق لقاعدة وجوب دفع الضرر المحتمل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أنه لو سلمنا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ليست كلية؛ لأنَّ الضرر إما خطير وإما حقير، ولا شك أنَّ العقل والفطرة يلزم بدفع الضرر الخطير، كهلاك النفس والخلود في النار، وأما لو كان الضرر المحتمل حقيراً يسيراً فلا يعلم ذلك، بل حتى لو كان الضرر الحقير مقطوعاً، كما في أكل الطعام إلى حد التخمة والسهر المضر، بل حتى لو كان ضرراً اُخروياً، كما في مجموعة من المكروهات أو تروك المستحبات، التي فيها أضرار أخروية حسب الروايات، كالغني الذي يتأخر </w:t>
      </w:r>
    </w:p>
    <w:p>
      <w:pPr>
        <w:pStyle w:val="BookText"/>
        <w:rPr/>
      </w:pPr>
      <w:r>
        <w:rPr>
          <w:rFonts w:ascii="Amiri" w:hAnsi="Amiri" w:eastAsia="Amiri" w:cs="Amiri"/>
          <w:color w:val="111111"/>
          <w:sz w:val="28"/>
          <w:sz w:val="28"/>
          <w:szCs w:val="28"/>
          <w:rtl w:val="true"/>
          <w:lang w:bidi="ar-SA"/>
        </w:rPr>
        <w:t>في الدخول إلى الجنة</w:t>
      </w:r>
      <w:r>
        <w:rPr>
          <w:rStyle w:val="FootnoteAnchor"/>
          <w:rtl w:val="true"/>
        </w:rPr>
        <w:footnoteReference w:id="387"/>
      </w:r>
      <w:r>
        <w:rPr>
          <w:rFonts w:ascii="Amiri" w:hAnsi="Amiri" w:eastAsia="Amiri" w:cs="Amiri"/>
          <w:color w:val="111111"/>
          <w:sz w:val="28"/>
          <w:sz w:val="28"/>
          <w:szCs w:val="28"/>
          <w:rtl w:val="true"/>
          <w:lang w:bidi="ar-SA"/>
        </w:rPr>
        <w:t>، وظلام قبر مَنْ لا يصلّي صلاة الليل</w:t>
      </w:r>
      <w:r>
        <w:rPr>
          <w:rStyle w:val="FootnoteAnchor"/>
          <w:rtl w:val="true"/>
        </w:rPr>
        <w:footnoteReference w:id="388"/>
      </w:r>
      <w:r>
        <w:rPr>
          <w:rFonts w:ascii="Amiri" w:hAnsi="Amiri" w:eastAsia="Amiri" w:cs="Amiri"/>
          <w:color w:val="111111"/>
          <w:sz w:val="28"/>
          <w:sz w:val="28"/>
          <w:szCs w:val="28"/>
          <w:rtl w:val="true"/>
          <w:lang w:bidi="ar-SA"/>
        </w:rPr>
        <w:t>، ومع فرض كون هذه الأضرار يسيرة فلا يعلم لزوم دفعها، فكيف إذا كان الضرر مظنوناً أو مشكوكاً أو موهوماً؟</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إما خطير أو حقير، وإما دنيوي أو أخروي، ويجب دفع الخطير دنيوياً كان أو أخروياً، وأما الحقير فلا يجب دفعه، وإنْ حسن ذلك دنيوياً كان أو أخروياً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اشتهر من كلية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السيد العم دام ظله في بيان الفقه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القائلين من ذكر القاعدة هو أنَّ الضرر الذي يجب دفعه عقلاً في صورة القطع به، كنقص العضو والخلود في جهنم يجب دفعه إذا كان محتملاً، لا أنَّ كل ضرر محتمل يجب دفعه، فالقاعدة ناظرة إلى عدم الفرق بين القطع والاحتمال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يتم التوفيق بين الرأيين، وإلاَّ كان الإشكال على الكلية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الجمع بين القاعدتين فيقع الكلام فيها في وجه التوفيق بين القاعدتين في المقام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دفع الضرر </w:t>
      </w:r>
    </w:p>
    <w:p>
      <w:pPr>
        <w:pStyle w:val="BookText"/>
        <w:rPr/>
      </w:pPr>
      <w:r>
        <w:rPr>
          <w:rFonts w:ascii="IRNazanin" w:hAnsi="IRNazanin" w:eastAsia="IRNazanin"/>
          <w:color w:val="111111"/>
          <w:sz w:val="28"/>
          <w:sz w:val="28"/>
          <w:szCs w:val="28"/>
          <w:rtl w:val="true"/>
          <w:lang w:bidi="fa-IR"/>
        </w:rPr>
        <w:t>المحتمل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والمعروف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القاعدة الثانية هو كل ما احتمل فيه الضرر، ولا احتمال للعقوبة مع جريان القاعدة الأولى، وهي قطعية، فبعد الفحص واستفراغ الوسع في حكم المشكوك ولم يعثر على بيان على حرمته بأي نحو من الأنحاء، فيحكم العقل على نحو القطع بقبح العقاب، والقبيح ممتنع على المولى الحقيقي، فيقطع بعدم العقاب في اقتحام المشكوك، فينتفي موضوع القاعدة الثانية؛ لعدم احتمال الضرر بعد القطع بقبح العقاب</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على الورود المذكور بعكسه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العكس؛ لأنَّ موضوع القاعدة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يلزم في البيان أن يكون بياناً بالعنوان الذاتي للشيء</w:t>
      </w:r>
      <w:r>
        <w:rPr>
          <w:rStyle w:val="FootnoteAnchor"/>
          <w:rtl w:val="true"/>
        </w:rPr>
        <w:footnoteReference w:id="392"/>
      </w:r>
      <w:r>
        <w:rPr>
          <w:rFonts w:ascii="Amiri" w:hAnsi="Amiri" w:eastAsia="Amiri" w:cs="Amiri"/>
          <w:color w:val="111111"/>
          <w:sz w:val="28"/>
          <w:sz w:val="28"/>
          <w:szCs w:val="28"/>
          <w:rtl w:val="true"/>
          <w:lang w:bidi="ar-SA"/>
        </w:rPr>
        <w:t>، بل يمكن البيان بالعنوان العرضي، كالمشكوك والمشتبه ومحتمل الضرر، وعليه يجب الاجتناب عن المشكوك لورود البيان فيه بقاعدة وجوب دفع الضرر المحتمل</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البيان أعمّ من البيان العقلي والشرعي، فإنَّ لله حجتين باطنة وظاهرة</w:t>
      </w:r>
      <w:r>
        <w:rPr>
          <w:rStyle w:val="FootnoteAnchor"/>
          <w:rtl w:val="true"/>
        </w:rPr>
        <w:footnoteReference w:id="394"/>
      </w:r>
      <w:r>
        <w:rPr>
          <w:rFonts w:ascii="Amiri" w:hAnsi="Amiri" w:eastAsia="Amiri" w:cs="Amiri"/>
          <w:color w:val="111111"/>
          <w:sz w:val="28"/>
          <w:sz w:val="28"/>
          <w:szCs w:val="28"/>
          <w:rtl w:val="true"/>
          <w:lang w:bidi="ar-SA"/>
        </w:rPr>
        <w:t>والعقل حجة وبيانه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توارداً بين القاعدتين، فالقاعدة الأولى ترفع موضوع القاعدة الثانية، ونتيجتها حلية المشكوك، والقاعدة الثانية ترفع موضوع القاعدة الأولى، ونتيجتها حرمة المشكوك، ومآلها إلى تناقض حكم العقل؛ لأنه بين قاعدتين كليتين مآلهما إلى التناقض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ولدفع التوارد أجوبة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دورية بيانية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القاعدة الثانية دورية، فتكون بيانيتها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الدور بمقدمات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بيانية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متفرعة على احتمال الضرر، وهذه المقدمة واضحة؛ لأنَّ كلّ قضية متفرعة على تحقق موضوعها، فوجود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وبيانيتها وقلب اللابيان إلى البيان متفرع على احتمال الضرر، تفرع كلّ محمول على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الضرر متوقف على عدم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أيضاً واضحة، فإنّه مع جريان القاعدة يقطع بعدم العقاب، فلا احتمال للضرر الأخروي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بيانية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مع بيان العقل لوجوب دفع الضرر المحتمل يرتفع </w:t>
      </w:r>
    </w:p>
    <w:p>
      <w:pPr>
        <w:pStyle w:val="BookText"/>
        <w:rPr/>
      </w:pPr>
      <w:r>
        <w:rPr>
          <w:rFonts w:ascii="Amiri" w:hAnsi="Amiri" w:eastAsia="Amiri" w:cs="Amiri"/>
          <w:color w:val="111111"/>
          <w:sz w:val="28"/>
          <w:sz w:val="28"/>
          <w:szCs w:val="28"/>
          <w:rtl w:val="true"/>
          <w:lang w:bidi="ar-SA"/>
        </w:rPr>
        <w:t>موضوع قاعدة قبح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بيانية قاعدة وجوب الدفع متوقفة على بيانية قاعدة وجوب الدفع وهو محال، فلا يمكن أن تكون بياناً حتى ترفع موضوع القاعدة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المقدمات الثلاث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دورية عدم بيانية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عدم بيانية القاعدة الثانية دوري أيضاً فعدم البيانية 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بمقدمات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بيانية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عدم موضوعها</w:t>
      </w:r>
      <w:r>
        <w:rPr>
          <w:rStyle w:val="FootnoteAnchor"/>
          <w:rtl w:val="true"/>
        </w:rPr>
        <w:footnoteReference w:id="395"/>
      </w:r>
      <w:r>
        <w:rPr>
          <w:rFonts w:ascii="Amiri" w:hAnsi="Amiri" w:eastAsia="Amiri" w:cs="Amiri"/>
          <w:color w:val="111111"/>
          <w:sz w:val="28"/>
          <w:sz w:val="28"/>
          <w:szCs w:val="28"/>
          <w:rtl w:val="true"/>
          <w:lang w:bidi="ar-SA"/>
        </w:rPr>
        <w:t>لأنَّ انتفاء القضية الحملية بانتفاء موضوعها، فإذا لم يحتمل الضرر انتفى موضوع القاعدة، فتنتفي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موضوعها موقوف على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بعدم العقوبة، فينتفي احتمال الضرر، فينتفي موضوع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الدفع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عدم بيانية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تجري إذا لم تكن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ولو كانت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لم تجرِ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فإذن </w:t>
      </w:r>
    </w:p>
    <w:p>
      <w:pPr>
        <w:pStyle w:val="BookText"/>
        <w:rPr/>
      </w:pPr>
      <w:r>
        <w:rPr>
          <w:rFonts w:ascii="Amiri" w:hAnsi="Amiri" w:eastAsia="Amiri" w:cs="Amiri"/>
          <w:color w:val="111111"/>
          <w:sz w:val="28"/>
          <w:sz w:val="28"/>
          <w:szCs w:val="28"/>
          <w:rtl w:val="true"/>
          <w:lang w:bidi="ar-SA"/>
        </w:rPr>
        <w:t xml:space="preserve">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عدم بيانية قاعدة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بيانية قاعدة الضرر موقوف على عدم بيانية قاعدة الضرر،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فتعود مشكلة توارد القاعدتين، ورفع كل منهما لموضوع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البيان وتعليقية احتمال الضرر</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وتوضيحه يتوقف على بيان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وجود الكبرى لإنتاج القياس، بل يلزم انضمام الصغرى إليها، وفي المقام لا يكفي العلم بالكبرى في القاعدتين، إلا أن ينضم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القاعدة الأولى،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الضرر بمعنى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القاعدة الثانية، فتكون صورة القياس الأول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العقاب على ارتكاب المشتبه</w:t>
      </w:r>
      <w:r>
        <w:rPr>
          <w:rStyle w:val="FootnoteAnchor"/>
          <w:rtl w:val="true"/>
        </w:rPr>
        <w:footnoteReference w:id="396"/>
      </w:r>
      <w:r>
        <w:rPr>
          <w:rFonts w:ascii="Amiri" w:hAnsi="Amiri" w:eastAsia="Amiri" w:cs="Amiri"/>
          <w:color w:val="111111"/>
          <w:sz w:val="28"/>
          <w:sz w:val="28"/>
          <w:szCs w:val="28"/>
          <w:rtl w:val="true"/>
          <w:lang w:bidi="ar-SA"/>
        </w:rPr>
        <w:t>عقاب بلا بيان، والعقاب بلا بيان قبيح، فالعقاب على ارتكاب المشتبه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القياس الثاني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المشتبه محتمل الضرر، ومحتمل الضرر يجب التحرز عنه، فارتكاب المشتبه يجب التحرز عنه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القياسين مركباً من مقدمات فعلية، والآخر مركباً من مقدمات تعليقية</w:t>
      </w:r>
      <w:r>
        <w:rPr>
          <w:rStyle w:val="FootnoteAnchor"/>
          <w:rtl w:val="true"/>
        </w:rPr>
        <w:footnoteReference w:id="397"/>
      </w:r>
      <w:r>
        <w:rPr>
          <w:rFonts w:ascii="Amiri" w:hAnsi="Amiri" w:eastAsia="Amiri" w:cs="Amiri"/>
          <w:color w:val="111111"/>
          <w:sz w:val="28"/>
          <w:sz w:val="28"/>
          <w:szCs w:val="28"/>
          <w:rtl w:val="true"/>
          <w:lang w:bidi="ar-SA"/>
        </w:rPr>
        <w:t>ولم يتحقق المعلَّق عليه</w:t>
      </w:r>
      <w:r>
        <w:rPr>
          <w:rStyle w:val="FootnoteAnchor"/>
          <w:rtl w:val="true"/>
        </w:rPr>
        <w:footnoteReference w:id="398"/>
      </w:r>
      <w:r>
        <w:rPr>
          <w:rFonts w:ascii="Amiri" w:hAnsi="Amiri" w:eastAsia="Amiri" w:cs="Amiri"/>
          <w:color w:val="111111"/>
          <w:sz w:val="28"/>
          <w:sz w:val="28"/>
          <w:szCs w:val="28"/>
          <w:rtl w:val="true"/>
          <w:lang w:bidi="ar-SA"/>
        </w:rPr>
        <w:t xml:space="preserve">، فلا شك في تقدم القياس </w:t>
      </w:r>
    </w:p>
    <w:p>
      <w:pPr>
        <w:pStyle w:val="BookText"/>
        <w:rPr/>
      </w:pPr>
      <w:r>
        <w:rPr>
          <w:rFonts w:ascii="Amiri" w:hAnsi="Amiri" w:eastAsia="Amiri" w:cs="Amiri"/>
          <w:color w:val="111111"/>
          <w:sz w:val="28"/>
          <w:sz w:val="28"/>
          <w:szCs w:val="28"/>
          <w:rtl w:val="true"/>
          <w:lang w:bidi="ar-SA"/>
        </w:rPr>
        <w:t>الأول على القياس الثاني، فإنَّ الفعلي مقدَّم على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ولا إشكال في تمامية كبرى القاعدتين، وإنما الكلام في البحث عن تمامية صغرى القياسين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القياس الأول، فلا شك في تمامية 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وجود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لتحقق البحث والفحص بالمقدار اللازم عن حرمة المشكوك، فيقطع بعدم البيان، خصوصاً إذا ضُمَّ إلى تتبع الفقيه تتبع سائر الفقهاء، ووصولهم جميعاً إلى عدم بيان من الشارع في حرمته</w:t>
      </w:r>
      <w:r>
        <w:rPr>
          <w:rStyle w:val="FootnoteAnchor"/>
          <w:rtl w:val="true"/>
        </w:rPr>
        <w:footnoteReference w:id="399"/>
      </w:r>
      <w:r>
        <w:rPr>
          <w:rFonts w:ascii="Amiri" w:hAnsi="Amiri" w:eastAsia="Amiri" w:cs="Amiri"/>
          <w:color w:val="111111"/>
          <w:sz w:val="28"/>
          <w:sz w:val="28"/>
          <w:szCs w:val="28"/>
          <w:rtl w:val="true"/>
          <w:lang w:bidi="ar-SA"/>
        </w:rPr>
        <w:t>، فتكون صغرى القياس الأول وجدانية، وكبراه برهانية، فتكون النتيجة قطعية، فيقبح العقاب على اقتحام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صغرى القياس الثاني</w:t>
      </w:r>
      <w:r>
        <w:rPr>
          <w:rStyle w:val="FootnoteAnchor"/>
          <w:rtl w:val="true"/>
        </w:rPr>
        <w:footnoteReference w:id="400"/>
      </w:r>
      <w:r>
        <w:rPr>
          <w:rFonts w:ascii="Amiri" w:hAnsi="Amiri" w:eastAsia="Amiri" w:cs="Amiri"/>
          <w:color w:val="111111"/>
          <w:sz w:val="28"/>
          <w:sz w:val="28"/>
          <w:szCs w:val="28"/>
          <w:rtl w:val="true"/>
          <w:lang w:bidi="ar-SA"/>
        </w:rPr>
        <w:t>، فلابد أن يكون للاحتمال منشأ عقلائي، وإلا لم يعتد به، وليس احتمال الضرر</w:t>
      </w:r>
      <w:r>
        <w:rPr>
          <w:rStyle w:val="FootnoteAnchor"/>
          <w:rtl w:val="true"/>
        </w:rPr>
        <w:footnoteReference w:id="401"/>
      </w:r>
      <w:r>
        <w:rPr>
          <w:rFonts w:ascii="Amiri" w:hAnsi="Amiri" w:eastAsia="Amiri" w:cs="Amiri"/>
          <w:color w:val="111111"/>
          <w:sz w:val="28"/>
          <w:sz w:val="28"/>
          <w:szCs w:val="28"/>
          <w:rtl w:val="true"/>
          <w:lang w:bidi="ar-SA"/>
        </w:rPr>
        <w:t>فعلياً؛ لأنَّ منشأ احتمال العقاب لا يخلو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المولى عادلاً، فيحتمل العقاب من غير العادل، وهو منتفٍ قطعاً في مولى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حكيماً وهو منفي أيضاً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فلا يقبح العقاب مع عدم البيان، وهذا منتفٍ أيضاً، لما تقدم من ثبوت القاعدة على المبنى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العبد في الفحص عن البيان</w:t>
      </w:r>
      <w:r>
        <w:rPr>
          <w:rStyle w:val="FootnoteAnchor"/>
          <w:rtl w:val="true"/>
        </w:rPr>
        <w:footnoteReference w:id="402"/>
      </w:r>
      <w:r>
        <w:rPr>
          <w:rFonts w:ascii="IRNazanin" w:hAnsi="IRNazanin" w:eastAsia="IRNazanin"/>
          <w:color w:val="111111"/>
          <w:sz w:val="28"/>
          <w:sz w:val="28"/>
          <w:szCs w:val="28"/>
          <w:rtl w:val="true"/>
          <w:lang w:bidi="fa-IR"/>
        </w:rPr>
        <w:t>، وهذا المنشأ مفروض الانتفاء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الشبهة مقرونة بالعلم الإجمالي، لكن العبد اقتحم في ارتكاب أحدهما مع وجود البيان، وهذا مقطوع الانتفاء أيضاً؛ لأنَّ المفروض كون الشبهة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فمناشئ احتمال الضرر منتفية، ومع انتفاء جميعها يقطع بعدم العقوبة، فلا مجال لقاعدة 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صغرى القياس الأول فعلية، وصغرى القياس الثاني تعليقية، ولم يحصل المعلق عليه، فيتقدم القياس الأول، فيكون المشكوك محكوماً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يحتاج إلى مكمل، فإنَّ عدم كون القاعدة الثانية منشأً لاحتمال العقوبة، وعدم صلاحيتها لكي تكون بياناً يحتاج إلى توضيح وبيان، ومع تكميل البرهان بهذه الضميمة يكون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أوضحها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يعتبر جواباً ثالثاً لمشكلة التوارد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بيان ما ذكره لابد من الإشارة إلى أنَّ المنشأ الوحيد لاحتمال العقوبة منحصر في البيان الواصل ولا منشأ آخر؛ وذلك لأنَّ المفروض التسليم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مع الحكم ببطلانها فلا توارد بين القاعدتين، وفي البيان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متقدماً على احتمال الضرر</w:t>
      </w:r>
      <w:r>
        <w:rPr>
          <w:rStyle w:val="FootnoteAnchor"/>
          <w:rtl w:val="true"/>
        </w:rPr>
        <w:footnoteReference w:id="40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04"/>
      </w:r>
      <w:r>
        <w:rPr>
          <w:rFonts w:ascii="Amiri" w:hAnsi="Amiri" w:eastAsia="Amiri" w:cs="Amiri"/>
          <w:color w:val="111111"/>
          <w:sz w:val="28"/>
          <w:sz w:val="28"/>
          <w:szCs w:val="28"/>
          <w:rtl w:val="true"/>
          <w:lang w:bidi="ar-SA"/>
        </w:rPr>
        <w:t>مع توضيح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الذي ينشأ منه احتمال الضرر لا بد من كونه في الرتبة السابقة على الاحتمال المزبور</w:t>
      </w:r>
      <w:r>
        <w:rPr>
          <w:rStyle w:val="FootnoteAnchor"/>
          <w:rtl w:val="true"/>
        </w:rPr>
        <w:footnoteReference w:id="405"/>
      </w:r>
      <w:r>
        <w:rPr>
          <w:rFonts w:ascii="Amiri" w:hAnsi="Amiri" w:eastAsia="Amiri" w:cs="Amiri"/>
          <w:color w:val="111111"/>
          <w:sz w:val="28"/>
          <w:sz w:val="28"/>
          <w:szCs w:val="28"/>
          <w:rtl w:val="true"/>
          <w:lang w:bidi="ar-SA"/>
        </w:rPr>
        <w:t>، كما هو شأن كل علة بالقياس إلى معلوله</w:t>
      </w:r>
      <w:r>
        <w:rPr>
          <w:rStyle w:val="FootnoteAnchor"/>
          <w:rtl w:val="true"/>
        </w:rPr>
        <w:footnoteReference w:id="406"/>
      </w:r>
      <w:r>
        <w:rPr>
          <w:rFonts w:ascii="Amiri" w:hAnsi="Amiri" w:eastAsia="Amiri" w:cs="Amiri"/>
          <w:color w:val="111111"/>
          <w:sz w:val="28"/>
          <w:sz w:val="28"/>
          <w:szCs w:val="28"/>
          <w:rtl w:val="true"/>
          <w:lang w:bidi="ar-SA"/>
        </w:rPr>
        <w:t>، وبعد عدم إمكان نشوء الاحتمال المزبور</w:t>
      </w:r>
      <w:r>
        <w:rPr>
          <w:rStyle w:val="FootnoteAnchor"/>
          <w:rtl w:val="true"/>
        </w:rPr>
        <w:footnoteReference w:id="407"/>
      </w:r>
      <w:r>
        <w:rPr>
          <w:rFonts w:ascii="IRNazanin" w:hAnsi="IRNazanin" w:eastAsia="IRNazanin"/>
          <w:color w:val="111111"/>
          <w:sz w:val="28"/>
          <w:sz w:val="28"/>
          <w:szCs w:val="28"/>
          <w:rtl w:val="true"/>
          <w:lang w:bidi="fa-IR"/>
        </w:rPr>
        <w:t>عن مثل هذا الوجوب</w:t>
      </w:r>
      <w:r>
        <w:rPr>
          <w:rStyle w:val="FootnoteAnchor"/>
          <w:rtl w:val="true"/>
        </w:rPr>
        <w:footnoteReference w:id="408"/>
      </w:r>
      <w:r>
        <w:rPr>
          <w:rFonts w:ascii="IRNazanin" w:hAnsi="IRNazanin" w:eastAsia="IRNazanin"/>
          <w:color w:val="111111"/>
          <w:sz w:val="28"/>
          <w:sz w:val="28"/>
          <w:szCs w:val="28"/>
          <w:rtl w:val="true"/>
          <w:lang w:bidi="fa-IR"/>
        </w:rPr>
        <w:t>، المتفرع على الاحتمال المزبور</w:t>
      </w:r>
      <w:r>
        <w:rPr>
          <w:rStyle w:val="FootnoteAnchor"/>
          <w:rtl w:val="true"/>
        </w:rPr>
        <w:footnoteReference w:id="409"/>
      </w:r>
      <w:r>
        <w:rPr>
          <w:rFonts w:ascii="Amiri" w:hAnsi="Amiri" w:eastAsia="Amiri" w:cs="Amiri"/>
          <w:color w:val="111111"/>
          <w:sz w:val="28"/>
          <w:sz w:val="28"/>
          <w:szCs w:val="28"/>
          <w:rtl w:val="true"/>
          <w:lang w:bidi="ar-SA"/>
        </w:rPr>
        <w:t xml:space="preserve">لا بد في تحقق هذا الاحتمال من فرض وجود بيان آخر غير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يمكن احتمال الضرر في الاقتحام بسببه، والمفروض أنه لا بيان آخر للمشكوك في رتبة سابقة على الموضوع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المحتمل يجب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ومنشأ لاحتمال الضرر، لكان معناه أنَّ احتمال الضرر ناشئ عن محمول متأخر عنه، وهو مستلزم لتقدم الشيء على نفسه بمرحلتين، وهو غير معقول، فكيف يكون الشيء، الذي هو في رتبة المحمول، علة للموضوع؛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المحمول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الموضوع، فلا يمكن أن يكون المحمول المتأخر منشأً لاحتمال الضرر، فلابد من فرض </w:t>
      </w:r>
    </w:p>
    <w:p>
      <w:pPr>
        <w:pStyle w:val="BookText"/>
        <w:rPr/>
      </w:pPr>
      <w:r>
        <w:rPr>
          <w:rFonts w:ascii="Amiri" w:hAnsi="Amiri" w:eastAsia="Amiri" w:cs="Amiri"/>
          <w:color w:val="111111"/>
          <w:sz w:val="28"/>
          <w:sz w:val="28"/>
          <w:szCs w:val="28"/>
          <w:rtl w:val="true"/>
          <w:lang w:bidi="ar-SA"/>
        </w:rPr>
        <w:t>بيان متقدم على احتمال الضرر ليكون منشأً لاحتمال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تم عدم وجود منشأ آخر لاحتمال العقاب غير البيان، والمفروض انتفاء البيان في رتبة متقدمة على الموضوع، إذن لا احتمال للعقاب في اقتحام المشكوك، فلا مانع من اقتحامه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بيان في رتبة متقدمة على الموضوع، فلا احتمال للعقاب في رتبة الموضوع، ويقبح العقاب بلا بيان، فيقطع بعدم وجود الضرر، فينتفي موضوع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موارد العلم الإجمالي القاعدة تامة، لصدور الأمر من المولى بوجوب الاجتناب عما وقع فيه الدم، وهو بيان، وحيث إنَّ الشبهة محصورة يحكم العقل بوجوب اجتناب الإناء الأول؛ لأنه محتمل الضرر، ويجب دفع الضرر المحتمل، وهو معقول لتقدم البيان على الموضوع، ومعه يحتمل الضرر، فيحكم العقل بلزوم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المحتمل في المقام إما قاعدة وجوب دفع الضرر المحتمل، أو بيان آخر، والثاني غير موجود؛ لأنه المفروض، والأول لا يصلح أن يكون بياناً في الشبهة البدوية؛ لاستلزامه تقدم الشيء على نفسه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ينتفي إشكال التوارد بين القاعدتين؛ لثبوت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وانتفاء موضوع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يحتمل ترتب العقاب الأخروي على اقتحام المشكوك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الأولى مؤمنة من العقاب الأخروي، ومعه لا </w:t>
      </w:r>
    </w:p>
    <w:p>
      <w:pPr>
        <w:pStyle w:val="BookText"/>
        <w:rPr/>
      </w:pPr>
      <w:r>
        <w:rPr>
          <w:rFonts w:ascii="Amiri" w:hAnsi="Amiri" w:eastAsia="Amiri" w:cs="Amiri"/>
          <w:color w:val="111111"/>
          <w:sz w:val="28"/>
          <w:sz w:val="28"/>
          <w:szCs w:val="28"/>
          <w:rtl w:val="true"/>
          <w:lang w:bidi="ar-SA"/>
        </w:rPr>
        <w:t>يحتمل العقاب، فيرتفع موضوع القاعدة الثانية بالقاعدة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المراد من الضرر المحتمل العقاب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w:t>
      </w:r>
    </w:p>
    <w:p>
      <w:pPr>
        <w:pStyle w:val="BookText"/>
        <w:rPr/>
      </w:pPr>
      <w:r>
        <w:rPr>
          <w:rFonts w:ascii="Amiri" w:hAnsi="Amiri" w:eastAsia="Amiri" w:cs="Amiri"/>
          <w:color w:val="111111"/>
          <w:sz w:val="28"/>
          <w:sz w:val="28"/>
          <w:szCs w:val="28"/>
          <w:rtl w:val="true"/>
          <w:lang w:bidi="ar-SA"/>
        </w:rPr>
        <w:t xml:space="preserve">وأما لو أريد منه غير ذلك، فلا مجال لدعوى ورود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لأنَّ هذه الأضرار من قبيل الآثار الوضعية للأعمال، وهي تترتب على العمل على نحو القهر، ولا تناط بعلم المكلف، فيتحقق موضوع القاعدة الثانية</w:t>
      </w:r>
      <w:r>
        <w:rPr>
          <w:rStyle w:val="FootnoteAnchor"/>
          <w:rtl w:val="true"/>
        </w:rPr>
        <w:footnoteReference w:id="410"/>
      </w:r>
      <w:r>
        <w:rPr>
          <w:rFonts w:ascii="Amiri" w:hAnsi="Amiri" w:eastAsia="Amiri" w:cs="Amiri"/>
          <w:color w:val="111111"/>
          <w:sz w:val="28"/>
          <w:sz w:val="28"/>
          <w:szCs w:val="28"/>
          <w:rtl w:val="true"/>
          <w:lang w:bidi="ar-SA"/>
        </w:rPr>
        <w:t>وجداناً فيكون دفعه واجباً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احتملنا وجود الضرر في أكل العظم فهو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 ما ذكره في الكفاية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ضرر غير العقوبة وإن كان محتملاً إلاّ أنّ المتيقن منه فضلاً عن محتمله ليس بواجب الدفع شرعاً ولا عقلاً، ضرورة عدم القبح في تحمل بعض المضار لبعض الدواعي عقلاً، وجوازه شرعاً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تحمل الضرر غرضٌ عقلائي لأمكن عده سفاهة، كما هو الشأن في كثير من الأعمال، ولكن لا دليل على حرمة كل عمل سفهي، وإن كان مذموماً عقلاً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جواب كبروي، حاصله تسليم احتمال الضرر</w:t>
      </w:r>
      <w:r>
        <w:rPr>
          <w:rStyle w:val="FootnoteAnchor"/>
          <w:rtl w:val="true"/>
        </w:rPr>
        <w:footnoteReference w:id="412"/>
      </w:r>
      <w:r>
        <w:rPr>
          <w:rFonts w:ascii="IRNazanin" w:hAnsi="IRNazanin" w:eastAsia="IRNazanin"/>
          <w:color w:val="111111"/>
          <w:sz w:val="28"/>
          <w:sz w:val="28"/>
          <w:szCs w:val="28"/>
          <w:rtl w:val="true"/>
          <w:lang w:bidi="fa-IR"/>
        </w:rPr>
        <w:t xml:space="preserve">، وعدم وجوب دفع </w:t>
      </w:r>
    </w:p>
    <w:p>
      <w:pPr>
        <w:pStyle w:val="BookText"/>
        <w:rPr/>
      </w:pPr>
      <w:r>
        <w:rPr>
          <w:rFonts w:ascii="Amiri" w:hAnsi="Amiri" w:eastAsia="Amiri" w:cs="Amiri"/>
          <w:color w:val="111111"/>
          <w:sz w:val="28"/>
          <w:sz w:val="28"/>
          <w:szCs w:val="28"/>
          <w:rtl w:val="true"/>
          <w:lang w:bidi="ar-SA"/>
        </w:rPr>
        <w:t>المحتمل منه، بل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إطلاقه محل تأمل؛ لأنَّ الأضرار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حقيرة وخطيرة، والضرر الذي لا يجب دفع المتيقن منه فضلاً عن المظنون والمشكوك والموهوم هو الحقير، أما الخطير منه فيجب دفعه موهوماً ومشكوكاً ومظنوناً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كونه ضرراً خطيراً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احتماله كافٍ في وجوب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احتمال الحرمة واحتمال الضرر؛ لأنَّ الملازمة ثابتة فيما لو كانت ملاكات الأحكام ثابتة للمتعلقات، وليس ذلك معلوماً؛ لاحتمال كونها في الجعل لا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أن يستظهر من الروايات كون الملاك في المتعلق لا في الجعل</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كقوله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اعلم يرحمك اللّه أنَّ اللّه تبارك وتعالى لم يبح أكلاً وشرباً إلاّ لما فيه المنفعة والصلاح، ولم يحرم إلاّ ما فيه الضرر والتلف والفساد</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المحتملين</w:t>
      </w:r>
      <w:r>
        <w:rPr>
          <w:rStyle w:val="FootnoteAnchor"/>
          <w:rtl w:val="true"/>
        </w:rPr>
        <w:footnoteReference w:id="416"/>
      </w:r>
      <w:r>
        <w:rPr>
          <w:rFonts w:ascii="Amiri" w:hAnsi="Amiri" w:eastAsia="Amiri" w:cs="Amiri"/>
          <w:color w:val="111111"/>
          <w:sz w:val="28"/>
          <w:sz w:val="28"/>
          <w:szCs w:val="28"/>
          <w:rtl w:val="true"/>
          <w:lang w:bidi="ar-SA"/>
        </w:rPr>
        <w:t xml:space="preserve">، ولكن هنالك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الاحتمالين</w:t>
      </w:r>
      <w:r>
        <w:rPr>
          <w:rStyle w:val="FootnoteAnchor"/>
          <w:rtl w:val="true"/>
        </w:rPr>
        <w:footnoteReference w:id="417"/>
      </w:r>
      <w:r>
        <w:rPr>
          <w:rFonts w:ascii="Amiri" w:hAnsi="Amiri" w:eastAsia="Amiri" w:cs="Amiri"/>
          <w:color w:val="111111"/>
          <w:sz w:val="28"/>
          <w:sz w:val="28"/>
          <w:szCs w:val="28"/>
          <w:rtl w:val="true"/>
          <w:lang w:bidi="ar-SA"/>
        </w:rPr>
        <w:t xml:space="preserve">، حيث يحتمل أن يكون الملاك في المتعلق، فمن يقدم على </w:t>
      </w:r>
    </w:p>
    <w:p>
      <w:pPr>
        <w:pStyle w:val="BookText"/>
        <w:rPr/>
      </w:pPr>
      <w:r>
        <w:rPr>
          <w:rFonts w:ascii="Amiri" w:hAnsi="Amiri" w:eastAsia="Amiri" w:cs="Amiri"/>
          <w:color w:val="111111"/>
          <w:sz w:val="28"/>
          <w:sz w:val="28"/>
          <w:szCs w:val="28"/>
          <w:rtl w:val="true"/>
          <w:lang w:bidi="ar-SA"/>
        </w:rPr>
        <w:t>محتمل التحريم فقد أقدم على محتمل المضرة، ودفع الضرر المحتمل واجب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وجود الملاك في المتعلقات، لا نسلم أنه بملاك المنافع والمضار، بل قد يكون بملاك المفاسد والمصالح، وهنالك فرق بين المضرة والمفسدة، وبين المنفعة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العقل كما يحكم بوجوب دفع المضرة المحتملة كذلك يحكم بوجوب دفع المفسدة المحتملة، فقد لا تكون مضرة على الفرد في العمل قطعاً، لكن فيه مفسدة على النوع</w:t>
      </w:r>
      <w:r>
        <w:rPr>
          <w:rStyle w:val="FootnoteAnchor"/>
          <w:rtl w:val="true"/>
        </w:rPr>
        <w:footnoteReference w:id="418"/>
      </w:r>
      <w:r>
        <w:rPr>
          <w:rFonts w:ascii="Amiri" w:hAnsi="Amiri" w:eastAsia="Amiri" w:cs="Amiri"/>
          <w:color w:val="111111"/>
          <w:sz w:val="28"/>
          <w:sz w:val="28"/>
          <w:szCs w:val="28"/>
          <w:rtl w:val="true"/>
          <w:lang w:bidi="ar-SA"/>
        </w:rPr>
        <w:t>، فسواء كان المتحقق المضرة أم المفسدة فإنَّ العقل يحكم بوجوب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المضرة قائم، حيث يمكن أن يكون المترتب على الفعل مضرة أو مفسدة، ودفع الضرر المحتمل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إلاّ أنّ الوجوب عقلي، ولا ملازمة بين الوجوب العقلي والشرعي، إلاّ لمن يسلم بقاعدة الملازمة، ومن سلم بها فصل بين كون حكم العقل في سلسلة العلل أو المعلولات، وهنا من قبيل الثاني، والمهم إثبات الحكم الشرعي، ومع عدمه فلا يجدي في المقام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لإمكان دعوى أن دفع الضرر المحتمل واجب شرعاً، مضافاً إلى كونه واجباً عقلاً؛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تُلْقُواْ بِأَيْدِيكُمْ إلى </w:t>
      </w:r>
    </w:p>
    <w:p>
      <w:pPr>
        <w:pStyle w:val="BookText"/>
        <w:rPr/>
      </w:pP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w:t>
      </w:r>
      <w:r>
        <w:rPr>
          <w:rStyle w:val="FootnoteAnchor"/>
          <w:rtl w:val="true"/>
        </w:rPr>
        <w:footnoteReference w:id="419"/>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ولكن قد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يفترسه الأسد هل فعل محرماً في حد ذاته حتى يعاقب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افترسه الأسد هل يعاقب عقابين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مخالفة الواجب الشرعي في الإلقاء في التهلكة، ومخالفة النهي عن قتل النفس؟ الظاهر أنه مما لا يمكن الالتزام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الفقهاء إلى ذلك في موارد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بالعصيان في سلوك طريق يظن معه العطب،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سفر معصية، لاحتمال العطب كالموت أو تلف قوة، كما في الذكرى والروض والذخيرة وكشف الغطاء</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في التيمم باحتمال الضرر باستعمال الماء، كما في المنتهى والمدارك والمستند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في الإفطار في شهر رمضان باحتمال الضرر، كما في الشرائع والمدارك</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دعوى أنه وإن لم تثبت الملازمة بين الحكمين إلاّ أنَّ الإلقاء في محتمل الضرر محرم شرعاً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الشبهة من هذه </w:t>
      </w:r>
    </w:p>
    <w:p>
      <w:pPr>
        <w:pStyle w:val="BookText"/>
        <w:rPr/>
      </w:pPr>
      <w:r>
        <w:rPr>
          <w:rFonts w:ascii="Amiri" w:hAnsi="Amiri" w:eastAsia="Amiri" w:cs="Amiri"/>
          <w:color w:val="111111"/>
          <w:sz w:val="28"/>
          <w:sz w:val="28"/>
          <w:szCs w:val="28"/>
          <w:rtl w:val="true"/>
          <w:lang w:bidi="ar-SA"/>
        </w:rPr>
        <w:t>الجهة موضوعية لا يجب الاحتياط فيها باعتراف الأخباريين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أن تكون للشيء الواحد جهتان، يندرج بإحداهما تحت عنوان الشبهة الحكمية، وبالأخرى تحت عنوان الشبهة الموضوعية، فلو شك في استحقاق العقاب على اقتحام المشكوك كانت الشبهة حكمية من هذه الجهة، ولو شك في مضرته كانت الشبهة موضوعية، فلا يجب الاحتياط من هذه الجهة حتى عند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منع وجوب الدفع، وإما من دعوى ترخيص الشارع وإذنه فيما شك في كونه من مصاديق الضرر</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فإما أن تنكر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فمع وجود احتمال الضرر في الشبهة الموضوعية إلاّ أنّ العقل لا يحكم بوجوب الاحتياط فيها وإما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أذن في اقتحام المشكوك مع احتمال الضرر، ومع حكم العقل بوجوب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يأذن الشارع في اقتحام ما حظره العقل، بناء على الاحتمال الثاني؟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الضرر متدارك، فللشارع أن يأذن في اقتحام المضرة القطعية، لتداركها بنحو من الأنحاء، وبطريق أولى يمكن أن يأذن في اقتحام المضرة المحتملة لنفس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أشكل عليه صاحب الكفاية بإشكالين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من هذه الجهة حكمية؛ إذ الملاك فيها ما كان المرجع فيها غير الشارع، ومن المعلوم أنه لا طريق إلى المصالح والمفاسد التي تكون مناطات للأحكام الشرعية في غير ما استقل به العقل إلاّ البيان الشرعي للأحكام، فإنه بيان لمناطاتها على نحو الإنَّ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طريق إلى إحراز المصالح والمفاسد التي هي ملاكات الأحكام الشرعية، والطريق الوحيد لكشف هذه الملاكات البيان الشرعي، والبيان الشرعي كاشف أولاً وبالذات عن الحكم الشرعي، وثانياً وبالعرض عن الملاكات الواقعية على نحو الانتقال من المعلول إلى العلة، فتكون الشبهة حكمية، حيث لا نعلم أنّ المشكوك حلال أو حرام، وهل في أكله مفسدة واقعية أم لا، فيرجع الأمر إلى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لاختلاف الشبهة الحكمية والموضوعية في المتعلق، والمنشأ والمرجع، فمتعلق الشبهات الحكمية الحكم الكلي، ومتعلق الشبهات الموضوعية الحكم الجزئي، أو الموضوع الخارجي</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الأولى فقدان النص أو إجماله، أو تعارض النصين، ومنشأ الثانية اختلاط الأمور الخارجية، وبعبارة أوضح غموض الواقع الخارجي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 في الأولى الشارع، وفي الثانية</w:t>
      </w:r>
      <w:r>
        <w:rPr>
          <w:rStyle w:val="FootnoteAnchor"/>
          <w:rtl w:val="true"/>
        </w:rPr>
        <w:footnoteReference w:id="428"/>
      </w:r>
      <w:r>
        <w:rPr>
          <w:rFonts w:ascii="Amiri" w:hAnsi="Amiri" w:eastAsia="Amiri" w:cs="Amiri"/>
          <w:color w:val="111111"/>
          <w:sz w:val="28"/>
          <w:sz w:val="28"/>
          <w:szCs w:val="28"/>
          <w:rtl w:val="true"/>
          <w:lang w:bidi="ar-SA"/>
        </w:rPr>
        <w:t xml:space="preserve">غير الشارع، بل فحص </w:t>
      </w:r>
    </w:p>
    <w:p>
      <w:pPr>
        <w:pStyle w:val="BookText"/>
        <w:rPr/>
      </w:pPr>
      <w:r>
        <w:rPr>
          <w:rFonts w:ascii="Amiri" w:hAnsi="Amiri" w:eastAsia="Amiri" w:cs="Amiri"/>
          <w:color w:val="111111"/>
          <w:sz w:val="28"/>
          <w:sz w:val="28"/>
          <w:szCs w:val="28"/>
          <w:rtl w:val="true"/>
          <w:lang w:bidi="ar-SA"/>
        </w:rPr>
        <w:t>المكلف مثلاً، وعدم وجود طريق للفحص لا يضر بكونها 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والمنطبق فيما نحن فيه ضوابط الشبهة الموضوعية، فالشك في وجود ضرر في المشكوك شك في موضوع خارجي منشأه غموض الواقع الخارجي، ويزال بفحص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صاحب الكفاية خلاف المصطلح عليه،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المحور في البحث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الحكمية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يرد في الأدلة الشرعية</w:t>
      </w:r>
      <w:r>
        <w:rPr>
          <w:rStyle w:val="FootnoteAnchor"/>
          <w:rtl w:val="true"/>
        </w:rPr>
        <w:footnoteReference w:id="429"/>
      </w:r>
      <w:r>
        <w:rPr>
          <w:rFonts w:ascii="Amiri" w:hAnsi="Amiri" w:eastAsia="Amiri" w:cs="Amiri"/>
          <w:color w:val="111111"/>
          <w:sz w:val="28"/>
          <w:sz w:val="28"/>
          <w:szCs w:val="28"/>
          <w:rtl w:val="true"/>
          <w:lang w:bidi="ar-SA"/>
        </w:rPr>
        <w:t>، فلا يهم كون الشبهة من قبيل الأول أو الثاني، نعم، لا مانع من اختراع لفظ يكون طريقاً أو مشيراً إلى الدليل الشرعي</w:t>
      </w:r>
      <w:r>
        <w:rPr>
          <w:rStyle w:val="FootnoteAnchor"/>
          <w:rtl w:val="true"/>
        </w:rPr>
        <w:footnoteReference w:id="430"/>
      </w:r>
      <w:r>
        <w:rPr>
          <w:rFonts w:ascii="Amiri" w:hAnsi="Amiri" w:eastAsia="Amiri" w:cs="Amiri"/>
          <w:color w:val="111111"/>
          <w:sz w:val="28"/>
          <w:sz w:val="28"/>
          <w:szCs w:val="28"/>
          <w:rtl w:val="true"/>
          <w:lang w:bidi="ar-SA"/>
        </w:rPr>
        <w:t>، وبعيداً عن عالم الألفاظ، فلا بد من البحث في جريان الدليل في المقام، فهل أدلة البراءة تجري في هذه الشبهة أم أدلة الاحتياط؟</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للاعتراف بعدم وجوب الاحتياط؛ لعدم ما هو منشأ الاعتراف في غيرها من الشبهات الموضوعية ههنا؛ لأنَّ أدلة البراءة لا تشمل المقام، فإنَّ المؤمّن إما العقل وإما النقل، أما العقل فالمفروض حكمه بلزوم دفع الضرر المحتمل، وفي المشكوك يحتمل الضرر، فلا مؤمّن عقلي، وأما النقل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وحرام فهو حلال لك أبداً حتى أن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 مختص بما إذا كان منشأ الاشتباه وجود الحلال والحرام فعلاً، وعدم ما يميز أنه من أي منهما، ومن </w:t>
      </w:r>
    </w:p>
    <w:p>
      <w:pPr>
        <w:pStyle w:val="BookText"/>
        <w:rPr/>
      </w:pPr>
      <w:r>
        <w:rPr>
          <w:rFonts w:ascii="Amiri" w:hAnsi="Amiri" w:eastAsia="Amiri" w:cs="Amiri"/>
          <w:color w:val="111111"/>
          <w:sz w:val="28"/>
          <w:sz w:val="28"/>
          <w:szCs w:val="28"/>
          <w:rtl w:val="true"/>
          <w:lang w:bidi="ar-SA"/>
        </w:rPr>
        <w:t>المعلوم أنه ليس منشأ الاشتباه في المقام وجود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لعدم انحصار أدلة البراءة في الدليل المذكور، فتشمله سائر الأدلة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دليل البراءة منحصراً فيه لأمكن القول بعدم شموله للمقام؛ لأنَّ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الشبهة وجود القسمين في الخارج، كما في اللحم المشتبه، فإنَّ منشأ الشبهة وجود المذكى والميتة، أما في أكل العظم فليس منشأ الشبهة وجود القسمين، فمع فرض أنَّ جميع ما في الخارج معلوم النفع أو الضرر يبقى الشك في العظم، فليس منشأ الشك فيه وجود القسمين، فلا يشمله الدليل المذكور، إلاّ أنّ أدلة البراءة لا تنحصر فيه فقوله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يشمل مورد البحث، فلو شك في أكل العظم انطبق عليه الدليل، بناء على تفسير الورود بالوصول،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وقد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إعلام المكلف،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 xml:space="preserve">، ولم يبين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الاقتحام في أكل العظم، 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عدم جواز الاقتحام في الشبهات الموضوعية الخطيرة</w:t>
      </w:r>
    </w:p>
    <w:p>
      <w:pPr>
        <w:pStyle w:val="BookText"/>
        <w:rPr/>
      </w:pPr>
      <w:r>
        <w:rPr>
          <w:rFonts w:ascii="Amiri" w:hAnsi="Amiri" w:eastAsia="Amiri" w:cs="Amiri"/>
          <w:color w:val="111111"/>
          <w:sz w:val="28"/>
          <w:sz w:val="28"/>
          <w:szCs w:val="28"/>
          <w:rtl w:val="true"/>
          <w:lang w:bidi="ar-SA"/>
        </w:rPr>
        <w:t xml:space="preserve">هذا، ولكن إطلاق كلام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اتفاق الكل على جواز الاقتحام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فلو كان الضرر المحتمل خطيراً لم يجز ذلك، كما لو كان في الظلام ولا يعلم أنه مخزن النفط أو لا، فهل يحق له إشعال النار لتحرق المدينة لو كان نفطاً، أو رأى شبحاً لا يعلم أنه إنسان أو غزال، فهل يحق له الرمي؟</w:t>
      </w:r>
    </w:p>
    <w:p>
      <w:pPr>
        <w:pStyle w:val="BookText"/>
        <w:rPr/>
      </w:pPr>
      <w:r>
        <w:rPr>
          <w:rFonts w:ascii="Amiri" w:hAnsi="Amiri" w:eastAsia="Amiri" w:cs="Amiri"/>
          <w:color w:val="111111"/>
          <w:sz w:val="28"/>
          <w:sz w:val="28"/>
          <w:szCs w:val="28"/>
          <w:rtl w:val="true"/>
          <w:lang w:bidi="ar-SA"/>
        </w:rPr>
        <w:t>فلا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البراءة منصرفة عن أمثال ذلك، كما يراه السيد العم دام ظله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عدم القول بذلك فلا بد من تخصيصها عن عموم أدلة الرفع بالإجماع ونحوه، فإنّ الأمور الخطيرة لا تجري فيها البراءة، وإن كانت الشبهة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كان الضرر المحتمل خطيراً وجب الاجتناب عن المشتبه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العقلاء لا يعتنون بالاحتمال المذكور، فما ذكر من أنَّ المقام صغرى للقاعدة الثانية لا الأولى محل نظر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يعتني العقلاء بذلك في موارد، كاحتمال السرطان في أكل الغدد من الحيوان، وأما في غالب الشبهات الحكمية فلا يعتني العقلاء باحتمال الضرر</w:t>
      </w:r>
      <w:r>
        <w:rPr>
          <w:rFonts w:eastAsia="Amiri" w:cs="Amiri" w:ascii="Amiri" w:hAnsi="Amiri"/>
          <w:color w:val="111111"/>
          <w:sz w:val="28"/>
          <w:szCs w:val="28"/>
          <w:rtl w:val="true"/>
          <w:lang w:bidi="ar-SA"/>
        </w:rPr>
        <w:t xml:space="preserve">. </w:t>
      </w:r>
      <w:bookmarkStart w:id="147" w:name="pg15608_166961"/>
    </w:p>
    <w:p>
      <w:pPr>
        <w:pStyle w:val="BookText"/>
        <w:rPr/>
      </w:pPr>
      <w:bookmarkEnd w:id="147"/>
      <w:r>
        <w:rPr>
          <w:rFonts w:ascii="Amiri" w:hAnsi="Amiri" w:eastAsia="Amiri" w:cs="Amiri"/>
          <w:color w:val="111111"/>
          <w:sz w:val="28"/>
          <w:sz w:val="28"/>
          <w:szCs w:val="28"/>
          <w:rtl w:val="true"/>
          <w:lang w:bidi="ar-SA"/>
        </w:rPr>
        <w:t>وعليه فلا تكون هذه الموارد مجرى قاعدة وجوب دفع الضرر المحتمل العقلي، بل موردها الضرر المحتمل المعتد به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كله أنَّ الشبهة من جهة احتمال ترتب العقوبة الأخروية مؤمَّنة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جهة احتمال ترتب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مؤمّنة بإحدى الأجوبة الستة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0086543_2142443653"/>
      <w:bookmarkStart w:id="149" w:name="_Toc56"/>
      <w:bookmarkEnd w:id="148"/>
      <w:r>
        <w:rPr>
          <w:rtl w:val="true"/>
        </w:rPr>
        <w:t>التقرير الثاني</w:t>
      </w:r>
      <w:r>
        <w:rPr>
          <w:rtl w:val="true"/>
        </w:rPr>
        <w:t xml:space="preserve">: </w:t>
      </w:r>
      <w:r>
        <w:rPr>
          <w:rtl w:val="true"/>
        </w:rPr>
        <w:t>استحالة التكليف بالمجهول</w:t>
      </w:r>
      <w:bookmarkEnd w:id="149"/>
    </w:p>
    <w:p>
      <w:pPr>
        <w:pStyle w:val="BookText"/>
        <w:rPr/>
      </w:pPr>
      <w:r>
        <w:rPr>
          <w:rFonts w:ascii="Amiri" w:hAnsi="Amiri" w:eastAsia="Amiri" w:cs="Amiri"/>
          <w:color w:val="111111"/>
          <w:sz w:val="28"/>
          <w:sz w:val="28"/>
          <w:szCs w:val="28"/>
          <w:rtl w:val="true"/>
          <w:lang w:bidi="ar-SA"/>
        </w:rPr>
        <w:t>وأما التقرير الثاني لدليل العقل فهو ما ذكره في الغنية</w:t>
      </w:r>
      <w:r>
        <w:rPr>
          <w:rStyle w:val="FootnoteAnchor"/>
          <w:rtl w:val="true"/>
        </w:rPr>
        <w:footnoteReference w:id="4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بما لا طريق إلى العلم به تكليف بما لا يطاق،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جمع من الفقهاء، منهم المحقق الحلي في المعارج</w:t>
      </w:r>
      <w:r>
        <w:rPr>
          <w:rStyle w:val="FootnoteAnchor"/>
          <w:rtl w:val="true"/>
        </w:rPr>
        <w:footnoteReference w:id="438"/>
      </w:r>
      <w:r>
        <w:rPr>
          <w:rFonts w:ascii="Amiri" w:hAnsi="Amiri" w:eastAsia="Amiri" w:cs="Amiri"/>
          <w:color w:val="111111"/>
          <w:sz w:val="28"/>
          <w:sz w:val="28"/>
          <w:szCs w:val="28"/>
          <w:rtl w:val="true"/>
          <w:lang w:bidi="ar-SA"/>
        </w:rPr>
        <w:t>، والمحقق القمي في القوانين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ثبت فتكون النتيجة القطع بعدم التكليف المجهول، فيكون رفع التكليف واقعياً؛ لأنَّ التكليف بما لا يطاق محال في عالم الثبوت وصقع الواقع، بخلاف الأدلة المتقدمة، حيث كانت نتيجتها عدم ثبوت التكليف الظاهري،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لم ينف الحرمة الواقعية، بل مفادها عدم العقاب والرفع الظاهري للتكليف المجهول إن كان ثابتاً واقعاً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واضح البطلان بظاهره؛ لعدم استحالة التكليف باجتناب المشكوك </w:t>
      </w:r>
    </w:p>
    <w:p>
      <w:pPr>
        <w:pStyle w:val="BookText"/>
        <w:rPr/>
      </w:pPr>
      <w:r>
        <w:rPr>
          <w:rFonts w:ascii="Amiri" w:hAnsi="Amiri" w:eastAsia="Amiri" w:cs="Amiri"/>
          <w:color w:val="111111"/>
          <w:sz w:val="28"/>
          <w:sz w:val="28"/>
          <w:szCs w:val="28"/>
          <w:rtl w:val="true"/>
          <w:lang w:bidi="ar-SA"/>
        </w:rPr>
        <w:t>الذي لا طريق إلى العلم بحرمته، فالتكليف به تكليف بالمجهول، لا أنه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وجه الشيخ الأعظم</w:t>
      </w:r>
      <w:r>
        <w:rPr>
          <w:rStyle w:val="FootnoteAnchor"/>
          <w:rtl w:val="true"/>
        </w:rPr>
        <w:footnoteReference w:id="440"/>
      </w:r>
      <w:r>
        <w:rPr>
          <w:rFonts w:ascii="Amiri" w:hAnsi="Amiri" w:eastAsia="Amiri" w:cs="Amiri"/>
          <w:color w:val="111111"/>
          <w:sz w:val="28"/>
          <w:sz w:val="28"/>
          <w:szCs w:val="28"/>
          <w:rtl w:val="true"/>
          <w:lang w:bidi="ar-SA"/>
        </w:rPr>
        <w:t>ما في الغنية بأنَّ الغرض من التكليف الطاعة والامتثال، ومعناه الإتيان بالفعل بداعي الأمر، ومع الجهل بالتكليف يستحيل الامتثال بهذا المعنى، حيث لا يعلم حرمة المشكوك، فلا يمكنه اجتنابه بداعي امتثال التكليف؛ لعدم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الانبعاث عن البعث فيما لو علم به، وأما لولم يعلم فلا، فقول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المشكوك بداعي امتثال اجتنب،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التكليف مطلق صدور الفعل، ولو مع عدم قصد الامتثال، وهذا المعنى واضح في الأمور التوصلية، فإنَّ غرض المولى تحققه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الأمور التعبدية لا بد أن يكون الانبعاث عن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وارد؛ لقاعدة ما يعلم عدم ترتبه على الشيء لا يعقل أن يكون غرضاً منه</w:t>
      </w:r>
      <w:r>
        <w:rPr>
          <w:rStyle w:val="FootnoteAnchor"/>
          <w:rtl w:val="true"/>
        </w:rPr>
        <w:footnoteReference w:id="441"/>
      </w:r>
      <w:r>
        <w:rPr>
          <w:rFonts w:ascii="Amiri" w:hAnsi="Amiri" w:eastAsia="Amiri" w:cs="Amiri"/>
          <w:color w:val="111111"/>
          <w:sz w:val="28"/>
          <w:sz w:val="28"/>
          <w:szCs w:val="28"/>
          <w:rtl w:val="true"/>
          <w:lang w:bidi="ar-SA"/>
        </w:rPr>
        <w:t>، فالمولى الذي يعلم عدم ترتب الامتثال والانبعاث بداعي البعث على أمره ونهيه لا يعقل أن يكون غرضه الامتثال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بداعٍ آخر كالمضرة، فلا يكون مترتباً على أمر المولى في </w:t>
      </w:r>
    </w:p>
    <w:p>
      <w:pPr>
        <w:pStyle w:val="BookText"/>
        <w:rPr/>
      </w:pPr>
      <w:r>
        <w:rPr>
          <w:rFonts w:ascii="Amiri" w:hAnsi="Amiri" w:eastAsia="Amiri" w:cs="Amiri"/>
          <w:color w:val="111111"/>
          <w:sz w:val="28"/>
          <w:sz w:val="28"/>
          <w:szCs w:val="28"/>
          <w:rtl w:val="true"/>
          <w:lang w:bidi="ar-SA"/>
        </w:rPr>
        <w:t>اللوح المحفوظ، فلا يعقل أن يكون غرض المولى مطلق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غرض المولى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شرب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في اللوح المحفوظ اجتنابه بداعي امتثال التكليف فهو محال؛ لفرض جهالته، وإن كان غرضه الاجتناب ولو بداعي وجود المضرة فهو لا يترتب على التكليف المجهول، وإنما اجتنبه المكلف لأنه ضار، فالضرر محركه لا التكليف، وما لا يترتب على التكليف لا يعقل أن يكون غرضاً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مع الشك إتيان الفعل بداعي حصول الانقياد، فمع احتمال حرمة المشكوك يكون غرض المولى الانبعاث بداعي احتمال وجود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مندفع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عندنا دليل على لزوم الانبعاث عن احتمال التكليف؟ إن كان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الثاني يغني عن الأمر الواقعي، فيكون إثباته في اللوح المحفوظ لغواً، وإن لم يكن دليل آخر فلا تترتب المحركية على التكليف الواقعي بلا ضم هذه الضميمة؛ لفرض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فالتكليف الواقعي على كلا التقديرين لغو</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غير تام، لإمكان كون الغرض من إثبات التكليف في صقع الواقع الانبعاث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واجباً أم مستحباً عقلاً أم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احتمال حرمة المشكوك واقعاً يمكن للمكلف أن يجتنبه؛ لاحتمال المبغوضية، لكن لولم يكن تكليف واقعاً فلا يعقل الانبعاث الرجائي، حيث </w:t>
      </w:r>
      <w:bookmarkStart w:id="150" w:name="pg15608_166967"/>
    </w:p>
    <w:p>
      <w:pPr>
        <w:pStyle w:val="BookText"/>
        <w:rPr/>
      </w:pPr>
      <w:bookmarkEnd w:id="150"/>
      <w:r>
        <w:rPr>
          <w:rFonts w:ascii="Amiri" w:hAnsi="Amiri" w:eastAsia="Amiri" w:cs="Amiri"/>
          <w:color w:val="111111"/>
          <w:sz w:val="28"/>
          <w:sz w:val="28"/>
          <w:szCs w:val="28"/>
          <w:rtl w:val="true"/>
          <w:lang w:bidi="ar-SA"/>
        </w:rPr>
        <w:t>يقطع المكلف بعدم التكليف، فكيف ينبعث عن احتمال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 من لغوية التكليف مع فرض تحقق التكليف الثاني غير تام، فإنه من دون التكليف الواقعي لا يعقل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لتأخر رتبة الحكم الظاهري عن الواقعي وتفرعه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إمكان الانبعاث الرجائي غرضاً للمولى كافٍ في صدق عنوان الطاعة والامتثال، فإنَّ إضافة الفعل إلى المولى بنحو من أنحاء الإضافة كافية لذلك على فرض وجود الحكم الواقعي، كما ذكروا مثل ذلك في مباحث الوضوء أو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ما ذهب إليه ابن زهرة وما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ينتهي الكلام في البراءة العقلية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0086545_2142443653"/>
      <w:bookmarkStart w:id="152" w:name="_Toc57"/>
      <w:bookmarkEnd w:id="151"/>
      <w:r>
        <w:rPr>
          <w:rtl w:val="true"/>
        </w:rPr>
        <w:t>الاستدلال على البراءة بالاستصحاب</w:t>
      </w:r>
      <w:bookmarkEnd w:id="152"/>
    </w:p>
    <w:p>
      <w:pPr>
        <w:pStyle w:val="Heading4"/>
        <w:numPr>
          <w:ilvl w:val="3"/>
          <w:numId w:val="1"/>
        </w:numPr>
        <w:rPr/>
      </w:pPr>
      <w:bookmarkStart w:id="153" w:name="__RefHeading___Toc10086547_2142443653"/>
      <w:bookmarkStart w:id="154" w:name="_Toc58"/>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الطريق الآخر للاستدلال على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الأدلة الأربعة التي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صاحب الفصول</w:t>
      </w:r>
      <w:r>
        <w:rPr>
          <w:rStyle w:val="FootnoteAnchor"/>
          <w:rtl w:val="true"/>
        </w:rPr>
        <w:footnoteReference w:id="442"/>
      </w:r>
      <w:r>
        <w:rPr>
          <w:rFonts w:ascii="IRNazanin" w:hAnsi="IRNazanin" w:eastAsia="IRNazanin"/>
          <w:color w:val="111111"/>
          <w:sz w:val="28"/>
          <w:sz w:val="28"/>
          <w:szCs w:val="28"/>
          <w:rtl w:val="true"/>
          <w:lang w:bidi="fa-IR"/>
        </w:rPr>
        <w:t>، وهو الاستدلال بالاستصحاب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ومآله إلى إحدى الطرق المتقدمة، فلو كان الاستصحاب ثابتاً بدليل العقل فمآله إلى العقل، وإن كان ثابتاً بالأخبار فمآله إلى السنة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أنَّ الاستدلال إما مباشر وإما غير مباشر، وفي المقام السنة تدل على الاستصحاب، والاستصحاب يدل على البراءة، وهو مغاير للاستدلال على البراءة بنحو مباشر بالسنة</w:t>
      </w:r>
      <w:r>
        <w:rPr>
          <w:rFonts w:eastAsia="Amiri" w:cs="Amiri" w:ascii="Amiri" w:hAnsi="Amiri"/>
          <w:color w:val="111111"/>
          <w:sz w:val="28"/>
          <w:szCs w:val="28"/>
          <w:rtl w:val="true"/>
          <w:lang w:bidi="ar-SA"/>
        </w:rPr>
        <w:t xml:space="preserve">. </w:t>
      </w:r>
      <w:bookmarkStart w:id="155" w:name="pg15608_166969"/>
    </w:p>
    <w:p>
      <w:pPr>
        <w:pStyle w:val="BookText"/>
        <w:rPr/>
      </w:pPr>
      <w:bookmarkEnd w:id="155"/>
      <w:r>
        <w:rPr>
          <w:rFonts w:ascii="Amiri" w:hAnsi="Amiri" w:eastAsia="Amiri" w:cs="Amiri"/>
          <w:color w:val="111111"/>
          <w:sz w:val="28"/>
          <w:sz w:val="28"/>
          <w:szCs w:val="28"/>
          <w:rtl w:val="true"/>
          <w:lang w:bidi="ar-SA"/>
        </w:rPr>
        <w:t xml:space="preserve">وهذا الطريق مهم؛ لأنَّ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مورودة بأخبار الاحتياط، فإنه مع فرض تمامية تلك الأخبار يتم البيان، فتكون رافعة لموضوعها، وهكذا بعض الآيات الكريمة والأخبار الدالة على البراءة مورودة بأخبار الاحتياط،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فإنّ الغاية التبيين، وأخبار الاحتياط على فرض تماميتها تبيين، فتكون رافعة لموضوع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ولا حجب مع أخبار الاحتياط، وإن كان بعضها معارضاً، إلاّ أنّ الاستصحاب وارد أو حاكم على الاحتياط؛ لأنّ موضوعه الشبهة، ومع الاستصحاب لا شبهة، حيث لا يلزم في اندفاع الشبهة ارتفاعها واقعاً، بل يكفي ارتفاعها تعبداً، فينتفي موضوع أخبار الاحتياط، وقد ثبت في محله أنّ الاستصحاب عرش الأصول ولا أصل يقاومه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0086549_2142443653"/>
      <w:bookmarkStart w:id="157" w:name="_Toc59"/>
      <w:bookmarkEnd w:id="156"/>
      <w:r>
        <w:rPr>
          <w:rtl w:val="true"/>
        </w:rPr>
        <w:t>تقريرات الاستصحاب</w:t>
      </w:r>
      <w:bookmarkEnd w:id="157"/>
    </w:p>
    <w:p>
      <w:pPr>
        <w:pStyle w:val="BookText"/>
        <w:rPr/>
      </w:pPr>
      <w:r>
        <w:rPr>
          <w:rFonts w:ascii="Amiri" w:hAnsi="Amiri" w:eastAsia="Amiri" w:cs="Amiri"/>
          <w:color w:val="111111"/>
          <w:sz w:val="28"/>
          <w:sz w:val="28"/>
          <w:szCs w:val="28"/>
          <w:rtl w:val="true"/>
          <w:lang w:bidi="ar-SA"/>
        </w:rPr>
        <w:t>وللاستصحاب 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البراءة الثابتة حال الصغر أو الجنون، وعند البلوغ يشك في انقلاب المنع إلى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البراءة الثابتة قبل الشريعة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البراءة الثابتة أول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التكليف الثابت قبل تحقق الموضوع، أو قبل وجود قيد من قيوده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البحث في هذه التقريرات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البراءة الثابتة حال الصغر أو الجنون</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البراءة الثابتة حال الصغر أو الجنون</w:t>
      </w:r>
      <w:r>
        <w:rPr>
          <w:rStyle w:val="FootnoteAnchor"/>
          <w:rtl w:val="true"/>
        </w:rPr>
        <w:footnoteReference w:id="446"/>
      </w:r>
      <w:r>
        <w:rPr>
          <w:rFonts w:ascii="Amiri" w:hAnsi="Amiri" w:eastAsia="Amiri" w:cs="Amiri"/>
          <w:color w:val="111111"/>
          <w:sz w:val="28"/>
          <w:sz w:val="28"/>
          <w:szCs w:val="28"/>
          <w:rtl w:val="true"/>
          <w:lang w:bidi="ar-SA"/>
        </w:rPr>
        <w:t>، وربما يكون استدلال صاحب الفصول</w:t>
      </w:r>
      <w:r>
        <w:rPr>
          <w:rStyle w:val="FootnoteAnchor"/>
          <w:rtl w:val="true"/>
        </w:rPr>
        <w:footnoteReference w:id="447"/>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أشكل عليه الشيخ الأعظم</w:t>
      </w:r>
      <w:r>
        <w:rPr>
          <w:rStyle w:val="FootnoteAnchor"/>
          <w:rtl w:val="true"/>
        </w:rPr>
        <w:footnoteReference w:id="448"/>
      </w:r>
      <w:r>
        <w:rPr>
          <w:rFonts w:ascii="Amiri" w:hAnsi="Amiri" w:eastAsia="Amiri" w:cs="Amiri"/>
          <w:color w:val="111111"/>
          <w:sz w:val="28"/>
          <w:sz w:val="28"/>
          <w:szCs w:val="28"/>
          <w:rtl w:val="true"/>
          <w:lang w:bidi="ar-SA"/>
        </w:rPr>
        <w:t>وقبل توضيحه لا بد من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بأخبار الاستصحاب هو اللوازم الشرعية المجعولة المترتبة على المستصحب لا مطلق اللوازم، كاللوازم العقلية والعادية، ولا مطلق الآثار الشرعية، وإن كانت من المقارنات الاتفاقية لمجرى الاستصحاب، فلو كان لمجرى الاستصحاب مقارن 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مجعولاً شرعياً أم له أثر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في المقام القطع بعدم ترتب استحقاق العقاب على الفعل أو القطع بما لازمه عدم استحقاق العقاب، ولولم يقطع بذلك بعد </w:t>
      </w:r>
    </w:p>
    <w:p>
      <w:pPr>
        <w:pStyle w:val="BookText"/>
        <w:rPr/>
      </w:pPr>
      <w:r>
        <w:rPr>
          <w:rFonts w:ascii="Amiri" w:hAnsi="Amiri" w:eastAsia="Amiri" w:cs="Amiri"/>
          <w:color w:val="111111"/>
          <w:sz w:val="28"/>
          <w:sz w:val="28"/>
          <w:szCs w:val="28"/>
          <w:rtl w:val="true"/>
          <w:lang w:bidi="ar-SA"/>
        </w:rPr>
        <w:t xml:space="preserve">جريان الاستصحاب، وبقي الاحتمال احتاج الأمر إلى ضميمة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الاحتمال، ومعها يلغو إجراء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توضيح الإشكال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لا يخلو من أحد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براءة الذمة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عدم المنع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عدم استحقاق العقاب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والمطلوب المذكور</w:t>
      </w:r>
      <w:r>
        <w:rPr>
          <w:rStyle w:val="FootnoteAnchor"/>
          <w:rtl w:val="true"/>
        </w:rPr>
        <w:footnoteReference w:id="449"/>
      </w:r>
      <w:r>
        <w:rPr>
          <w:rFonts w:ascii="Amiri" w:hAnsi="Amiri" w:eastAsia="Amiri" w:cs="Amiri"/>
          <w:color w:val="111111"/>
          <w:sz w:val="28"/>
          <w:sz w:val="28"/>
          <w:szCs w:val="28"/>
          <w:rtl w:val="true"/>
          <w:lang w:bidi="ar-SA"/>
        </w:rPr>
        <w:t>لا يترتب على المستصحبات المذكورة؛ لأنّ استحقاق العقاب وعدمه ليس من اللوازم الشرعية المجعولة للمستصحبات المذكورة، بل هو حكم عقلي لا يقبل الرفع والوضع الشرعي</w:t>
      </w:r>
      <w:r>
        <w:rPr>
          <w:rStyle w:val="FootnoteAnchor"/>
          <w:rtl w:val="true"/>
        </w:rPr>
        <w:footnoteReference w:id="450"/>
      </w:r>
      <w:r>
        <w:rPr>
          <w:rFonts w:ascii="Amiri" w:hAnsi="Amiri" w:eastAsia="Amiri" w:cs="Amiri"/>
          <w:color w:val="111111"/>
          <w:sz w:val="28"/>
          <w:sz w:val="28"/>
          <w:szCs w:val="28"/>
          <w:rtl w:val="true"/>
          <w:lang w:bidi="ar-SA"/>
        </w:rPr>
        <w:t>، فالمستصحبات الثلاثة لا أثر شرعي لها، والثالث ليس مجعولاً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أضاف الشيخ</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في الفعل أمر مجعول قابل للجعل الشرعي، ولازمه عدم استحقاق العقاب، لكن الإذن في الفعل من المقارنات العقلية؛ لعدم المنع من الفعل</w:t>
      </w:r>
      <w:r>
        <w:rPr>
          <w:rStyle w:val="FootnoteAnchor"/>
          <w:rtl w:val="true"/>
        </w:rPr>
        <w:footnoteReference w:id="452"/>
      </w:r>
      <w:r>
        <w:rPr>
          <w:rFonts w:ascii="Amiri" w:hAnsi="Amiri" w:eastAsia="Amiri" w:cs="Amiri"/>
          <w:color w:val="111111"/>
          <w:sz w:val="28"/>
          <w:sz w:val="28"/>
          <w:szCs w:val="28"/>
          <w:rtl w:val="true"/>
          <w:lang w:bidi="ar-SA"/>
        </w:rPr>
        <w:t>فلا يثبت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وإشكال الشيخ الأعظم على صاحب الفصول 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يرد عليه إشكالات</w:t>
      </w:r>
    </w:p>
    <w:p>
      <w:pPr>
        <w:pStyle w:val="BookText"/>
        <w:rPr/>
      </w:pPr>
      <w:r>
        <w:rPr>
          <w:rFonts w:ascii="Amiri" w:hAnsi="Amiri" w:eastAsia="Amiri" w:cs="Amiri"/>
          <w:color w:val="111111"/>
          <w:sz w:val="28"/>
          <w:sz w:val="28"/>
          <w:szCs w:val="28"/>
          <w:rtl w:val="true"/>
          <w:lang w:bidi="ar-SA"/>
        </w:rPr>
        <w:t>الإشكال الأول لصاحب الكفاية</w:t>
      </w:r>
    </w:p>
    <w:p>
      <w:pPr>
        <w:pStyle w:val="BookText"/>
        <w:rPr/>
      </w:pPr>
      <w:r>
        <w:rPr>
          <w:rFonts w:ascii="Amiri" w:hAnsi="Amiri" w:eastAsia="Amiri" w:cs="Amiri"/>
          <w:color w:val="111111"/>
          <w:sz w:val="28"/>
          <w:sz w:val="28"/>
          <w:szCs w:val="28"/>
          <w:rtl w:val="true"/>
          <w:lang w:bidi="ar-SA"/>
        </w:rPr>
        <w:t>حيث لم يرتضه في الدرر</w:t>
      </w:r>
      <w:r>
        <w:rPr>
          <w:rStyle w:val="FootnoteAnchor"/>
          <w:rtl w:val="true"/>
        </w:rPr>
        <w:footnoteReference w:id="453"/>
      </w:r>
      <w:r>
        <w:rPr>
          <w:rFonts w:ascii="Amiri" w:hAnsi="Amiri" w:eastAsia="Amiri" w:cs="Amiri"/>
          <w:color w:val="111111"/>
          <w:sz w:val="28"/>
          <w:sz w:val="28"/>
          <w:szCs w:val="28"/>
          <w:rtl w:val="true"/>
          <w:lang w:bidi="ar-SA"/>
        </w:rPr>
        <w:t>مشكلاً عليه بأنَّ الغرض من الاستصحاب إثبات اللوازم الشرعية للمجعول، إن لم يكن المستصحب بنفسه مجعولاً، وأما لو كان المستصحب مجعولاً فلا يلزم أن يكون له أثر شرعي مجعول، والحرمة وعدمها مجعولة شرعاً، فلا يحتاج إجراء الاستصحاب فيهما إلى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نحو الكبرى الكلية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المنع عن الفعل كالمنع عنه جعلي شرعي، لأنّ التكليف إثباتاً ونفياً بيد الشارع، وكما أنَّ للشارع أن يثبت التكليف كذلك يمكنه نفيه، وبمقتضى أخبار الاستصحاب في المقام يثبت عدم منع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ارتكاب المشكوك، ويترتب على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الآثار، سواء كانت عقلية أم شرعية، فإنَّ المجعول الشرعي لو كانت له آثار عقلية فمع استصحاب المجعول الشرعي تترتب عليه تلك الآثار</w:t>
      </w:r>
      <w:r>
        <w:rPr>
          <w:rStyle w:val="FootnoteAnchor"/>
          <w:rtl w:val="true"/>
        </w:rPr>
        <w:footnoteReference w:id="454"/>
      </w:r>
      <w:r>
        <w:rPr>
          <w:rFonts w:ascii="Amiri" w:hAnsi="Amiri" w:eastAsia="Amiri" w:cs="Amiri"/>
          <w:color w:val="111111"/>
          <w:sz w:val="28"/>
          <w:sz w:val="28"/>
          <w:szCs w:val="28"/>
          <w:rtl w:val="true"/>
          <w:lang w:bidi="ar-SA"/>
        </w:rPr>
        <w:t>، وعدم استحقاق العقاب لازم عقلي لعدم المنع الشرعي، سواء كان عدم المنع واقعياً أم ظاهرياً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وعدمه بيد الشارع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بيد الشارع يمكن استصحابه وإبقاؤه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جريان الاستصحاب يترتب على المستصحب جميع الآثار العقلية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نحتاج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موضوعها بالبيان، فإنَّ بيان التكليف وبيان عدم التكليف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المنع كالمنع مما يكون بيد الشارع، وما كان كذلك يمكن استصحابه وإن لم يكن له أثر شرعي، واللازم العقلي لاستصحاب 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أو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العقاب، ومعه لا نحتاج إلى قاعدة قبح العقاب؛ لانتفاء موضوعه ببيان المنع أو عدم المنع، وعليه لا إشكال في جريان استصحاب عدم المنع، ويتم كلام صاحب الفصول ولا يرد عليه إشكال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السيد الروحاني على صاحب الكفاية</w:t>
      </w:r>
    </w:p>
    <w:p>
      <w:pPr>
        <w:pStyle w:val="BookText"/>
        <w:rPr/>
      </w:pPr>
      <w:r>
        <w:rPr>
          <w:rFonts w:ascii="Amiri" w:hAnsi="Amiri" w:eastAsia="Amiri" w:cs="Amiri"/>
          <w:color w:val="111111"/>
          <w:sz w:val="28"/>
          <w:sz w:val="28"/>
          <w:szCs w:val="28"/>
          <w:rtl w:val="true"/>
          <w:lang w:bidi="ar-SA"/>
        </w:rPr>
        <w:t>ولكن أورد السيد الروحاني على الدرر بإشكالين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المنع من الفعل ليس مجعولاً شرعياً، فلا يمكن استصحابه، فالمستصحب بنفسه ليس مجعولاً شرعياً، ولا أثر شرعي له، فلا يجري الاستصحاب، فما ذكره الشيخ الأعظم تام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المنتقى</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التكليف غير قابل للجعل الشرعي؛ لأجل أنّ </w:t>
      </w:r>
    </w:p>
    <w:p>
      <w:pPr>
        <w:pStyle w:val="BookText"/>
        <w:rPr/>
      </w:pPr>
      <w:r>
        <w:rPr>
          <w:rFonts w:ascii="Amiri" w:hAnsi="Amiri" w:eastAsia="Amiri" w:cs="Amiri"/>
          <w:color w:val="111111"/>
          <w:sz w:val="28"/>
          <w:sz w:val="28"/>
          <w:szCs w:val="28"/>
          <w:rtl w:val="true"/>
          <w:lang w:bidi="ar-SA"/>
        </w:rPr>
        <w:t>العدم يتحقق بعدم جعل الوجود؛ إذ هو لا يحتاج إلى علة، بل هو يتحقق بعدم تحقق علة الوجود، فلا معنى لتعلق الجعل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العدم ليس قابلاً للجعل ولا علة له؛ لأنّ العلية بمعنى التوليد أو التأثير، وثبوت شيء لشيء فرع ثبوت المثبت له، فمع كون العدم هالك الذات وباطل الذات ولا شيئية محضة، فكيف يمكن أن يكون مؤثراً أو مولداً، فإنّ ثبوت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ثبوت الموضوع، ومع عدمه لا يعقل أن يكون وجود محمول في المقام، وبناء عليه فالعبارات التي ظاهرها عليّة العدم هي في الواقع مسامحة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تنبت الأرض؟ فأجيب لعدم نزول المطر، فالعبارة مسامحة عرفية، فإنّ العدم لا يكون علّة للعدم، وواقع الأمر انتفاء علقة العلية بين الوجودين</w:t>
      </w:r>
      <w:r>
        <w:rPr>
          <w:rStyle w:val="FootnoteAnchor"/>
          <w:rtl w:val="true"/>
        </w:rPr>
        <w:footnoteReference w:id="457"/>
      </w:r>
      <w:r>
        <w:rPr>
          <w:rFonts w:ascii="Amiri" w:hAnsi="Amiri" w:eastAsia="Amiri" w:cs="Amiri"/>
          <w:color w:val="111111"/>
          <w:sz w:val="28"/>
          <w:sz w:val="28"/>
          <w:szCs w:val="28"/>
          <w:rtl w:val="true"/>
          <w:lang w:bidi="ar-SA"/>
        </w:rPr>
        <w:t>، لا ثبوت علقة العلية بين العدمين</w:t>
      </w:r>
      <w:r>
        <w:rPr>
          <w:rStyle w:val="FootnoteAnchor"/>
          <w:rtl w:val="true"/>
        </w:rPr>
        <w:footnoteReference w:id="458"/>
      </w:r>
      <w:r>
        <w:rPr>
          <w:rFonts w:ascii="Amiri" w:hAnsi="Amiri" w:eastAsia="Amiri" w:cs="Amiri"/>
          <w:color w:val="111111"/>
          <w:sz w:val="28"/>
          <w:sz w:val="28"/>
          <w:szCs w:val="28"/>
          <w:rtl w:val="true"/>
          <w:lang w:bidi="ar-SA"/>
        </w:rPr>
        <w:t>، وعليه فالعدم لا يعقل أن يكون معلولاً ومجعولاً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أنّ العدم يتحقق بعدم جعل الوجود</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أيضاً مجاز، 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وهو في واقعه عدم تحقق علقة العلية بين الوجودين، ومعها لم يجعل تكليف، لا أنه جعل عدم التكليف، فالعدم لا يحتاج إلى علة، بل لا يعقل أن يكون له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التكليف ليس مجعولاً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تمامية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التكليف أو عدم المنع ليس مجعولاً شرعا</w:t>
      </w:r>
      <w:r>
        <w:rPr>
          <w:rStyle w:val="FootnoteAnchor"/>
          <w:rtl w:val="true"/>
        </w:rPr>
        <w:footnoteReference w:id="460"/>
      </w:r>
      <w:r>
        <w:rPr>
          <w:rFonts w:ascii="Amiri" w:hAnsi="Amiri" w:eastAsia="Amiri" w:cs="Amiri"/>
          <w:color w:val="111111"/>
          <w:sz w:val="28"/>
          <w:sz w:val="28"/>
          <w:szCs w:val="28"/>
          <w:rtl w:val="true"/>
          <w:lang w:bidi="ar-SA"/>
        </w:rPr>
        <w:t>، ولا أثر شرعي له، فكيف يجري الاستصحاب فيه؟</w:t>
      </w:r>
    </w:p>
    <w:p>
      <w:pPr>
        <w:pStyle w:val="BookText"/>
        <w:rPr/>
      </w:pPr>
      <w:r>
        <w:rPr>
          <w:rFonts w:ascii="Amiri" w:hAnsi="Amiri" w:eastAsia="Amiri" w:cs="Amiri"/>
          <w:color w:val="111111"/>
          <w:sz w:val="28"/>
          <w:sz w:val="28"/>
          <w:szCs w:val="28"/>
          <w:rtl w:val="true"/>
          <w:lang w:bidi="ar-SA"/>
        </w:rPr>
        <w:t>لكنه محل تأمل كلياً، وفي خصوص المقام، فإنّ العدم التكويني غير قابل للجعل، وأما التشريعي فيختلف عنه، فالمحال التكويني قد يكون ممكناً تشريعاً، فإنّ عالم التشريع اعتبار، وهو عالم الفرض، فيكون خارجاً عن عالم الخارج والذهن، وفي الحقيقة هو فرض عالم، وإلا فلا عالم وراء عالم العين والذهن، وكما يمكن للمولى عدم جعل الوجود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أجعل الحرمة، يمكنه جعل عدم الوجود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جعلت عدم الحرمة، ولا محذور عقلي في هذا الاعتبار، بل ذكر في محله أنه لا إشكال في اجتماع النقيضين والضدين في عالم الاعتبار</w:t>
      </w:r>
      <w:r>
        <w:rPr>
          <w:rStyle w:val="FootnoteAnchor"/>
          <w:rtl w:val="true"/>
        </w:rPr>
        <w:footnoteReference w:id="461"/>
      </w:r>
      <w:r>
        <w:rPr>
          <w:rFonts w:ascii="Amiri" w:hAnsi="Amiri" w:eastAsia="Amiri" w:cs="Amiri"/>
          <w:color w:val="111111"/>
          <w:sz w:val="28"/>
          <w:sz w:val="28"/>
          <w:szCs w:val="28"/>
          <w:rtl w:val="true"/>
          <w:lang w:bidi="ar-SA"/>
        </w:rPr>
        <w:t>في حد ذاته، بغض النظر عن سائر المحاذير كاللغوية، فليس ذلك ممتنعاً بالامتناع الذاتي عقلاً، وإن كان لغواً فهو محال بالغير، لكنه غير ممتنع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نرى في بادئ النظر إشكالاً في جعل العدم في عالم التشريع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أنّ العدم مطلقاً غير قابل للجعل تكويناً وتشريعاً، لا العدم المطلق ولا المضاف، إلاّ أنّ الكلام ليس في جعل العدم، بل في البقاء الاعتباري للعدم غير المجعول، فعدم التكليف غير المجعول في حالة الصغر هل هو باق اعتباراً في حالة البلوغ؟ ولا شك أنّ البقاء الاعتباري مجعول شرعي ويحتاج إلى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للتقريب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حياة زيد ليست مجعولة شرعاً، لكنّ بقاءها الاعتباري في ظرف الشك مجعول شرعاً قطعاً، فيكون المستصحب أمراً مجعولاً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هنالك فرق بين حياة زيد وعدم التكليف، وهو أنّ البقاء الاعتباري لزيد يحتاج إلى الأثر الشرعي كحرمة زوجته، وأما فرض بقاء عدم التكليف فلا يحتاج إلى الأثر الشرعي؛ لأنه بنفسه أثر، كما أنّ استصحاب الوجوب لا يحتاج إلى أثر، فهو بنفسه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التعبدي يحتاج إلى مصحح عقلائي، ولا مصحح في اعتبار بقاء حياة زيد لولم يكن له أثر شرعاً، أما فرض بقاء عدم التكليف فهو بنفسه مصحح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يبدو في بادئ النظر أنّ ما ذكره في الدرر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إن الاستصحاب يتكفل جعل العدم ظاهراً وهو لا ينفي احتمال وجود التكليف واقعاً، و معه يحتمل العقاب على المخالفة، فلا بد من ضم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ومعها فالتمسك بالاستصحاب لغو، على ما مرّ توضيحه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لأنّ جعل عدم المنع ظاهراً مساوق لجعل الإباحة ظاهراً، ومع جعل الإباحة ظاهراً لا احتمال للعقاب كما يعترف هو بذلك، فلا يلزم التمسك بقاعدة قبح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العقاب كما ينتفي بتصريح الشارع بالترخيص ظاهراً، كذلك ينتفي بتصريح الشارع بجعل عدم المنع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فارق في بادئ النظر بين الجعل بالعموم والجعل بالخصوص،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الترخيص جعل بالخصوص لموارد الشبهة التحريمية، وهو ينافي احتمال العقاب، وأما جعل الاستصحاب جعل عام، وما نحن فيه فرد من أفراده، ولا ينافي احتمال العقاب، فإنّ التفريق ليس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p>
    <w:p>
      <w:pPr>
        <w:pStyle w:val="BookText"/>
        <w:rPr/>
      </w:pPr>
      <w:r>
        <w:rPr>
          <w:rFonts w:ascii="Amiri" w:hAnsi="Amiri" w:eastAsia="Amiri" w:cs="Amiri"/>
          <w:color w:val="111111"/>
          <w:sz w:val="28"/>
          <w:sz w:val="28"/>
          <w:szCs w:val="28"/>
          <w:rtl w:val="true"/>
          <w:lang w:bidi="ar-SA"/>
        </w:rPr>
        <w:t>على ما ذكره الشيخ</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في المقام هو الإباحة الشرعية، ولا شك أنها من المجعولات الشرعية، فما ذكر من أنّ المستصحب ليس مجعولاً شرعياً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بيان الإشكال في 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الواجبات والمحرمات قيدت بدليل رفع القلم بالنسبة إلى الصبي، لكن لا موجب لتقييد أدلة المباحات الواقعية بالدليل المذكور بالنسبة إليه، وعليه تكون أدلة المباحات مطلقة تشمل البالغ وغير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الإباحة الثابتة للصبي اقتضائية، وللبالغ لا اقتضائية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فيختل الاستصحاب في أحد ركنيه، أما بالمعنى الأول للإباحة فيختل الركن الثاني؛ لأنه مقطوع الارتفاع في البالغ، وأما بالمعنى الثاني فيختل الركن الأول؛ لعدم القطع بحدوثها له، إلاّ أنّ الأركان تامة في الجامع بين </w:t>
      </w:r>
    </w:p>
    <w:p>
      <w:pPr>
        <w:pStyle w:val="BookText"/>
        <w:rPr/>
      </w:pPr>
      <w:r>
        <w:rPr>
          <w:rFonts w:ascii="Amiri" w:hAnsi="Amiri" w:eastAsia="Amiri" w:cs="Amiri"/>
          <w:color w:val="111111"/>
          <w:sz w:val="28"/>
          <w:sz w:val="28"/>
          <w:szCs w:val="28"/>
          <w:rtl w:val="true"/>
          <w:lang w:bidi="ar-SA"/>
        </w:rPr>
        <w:t>الإباحتين، فيكون من قبيل القسم الثاني من الاستصحاب الكلي، وعليه يصح استصحاب الإباحة الثابتة في حال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القلم كما يرفع الواجبات والمحرمات يرفع المباحات أيضاً</w:t>
      </w:r>
      <w:r>
        <w:rPr>
          <w:rStyle w:val="FootnoteAnchor"/>
          <w:rtl w:val="true"/>
        </w:rPr>
        <w:footnoteReference w:id="4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موجب للقول باختصاص القلم بقلم التكليف، بل مطلق القلم إيجاباً وتحريماً وإباحة، فالصبي كالمجنون ليس طرفاً لخطاب الشارع بأي نحو من أنحاء الخطاب،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موجب لتقييد أدلة المباحات بالنسبة إلى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إلاّ أنْ يدعى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يتأمل في استصحاب كلي الإباحة؛ لأنه من التمسك بالعام في الشبهة المصداقية، فلو ثبتت إباحة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إباحته للصبي بإطلاق دليله، فلو شك في ثبوت الإباحة أو ارتفاعها للبالغ كان مجرى الاستصحاب، لكن البحث في المقام أنّ الشيء مشكوك الإباحة فتحتمل حرمته ثبوتاً، فكيف يمكن استصحاب الإباحة مع اختلال الركن الأول حيث لا يقين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يتضح لنا ما ذكر في بادئ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اتحاد الموضوع يخل بالاستصحاب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جريان الاستصحاب من اتحاد القضيتين </w:t>
      </w:r>
    </w:p>
    <w:p>
      <w:pPr>
        <w:pStyle w:val="BookText"/>
        <w:rPr/>
      </w:pPr>
      <w:r>
        <w:rPr>
          <w:rFonts w:ascii="Amiri" w:hAnsi="Amiri" w:eastAsia="Amiri" w:cs="Amiri"/>
          <w:color w:val="111111"/>
          <w:sz w:val="28"/>
          <w:sz w:val="28"/>
          <w:szCs w:val="28"/>
          <w:rtl w:val="true"/>
          <w:lang w:bidi="ar-SA"/>
        </w:rPr>
        <w:t>المشكوكة والمتيقنة، لينطبق صدق عنوان النقض، وليكون مشمولاً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ركن ثالث، أما لو كانت القضية المشكوكة والمتيقنة متعددة، لم يكن عدم بقاء الحكم نقضاً لليقين بالشك حتى يكون منهياً عنه، ويكون إسراء الحكم من موضوع إلى موضوع آخر، وهو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عدم التكليف ثابت لعنوان الصبي، ومع البلوغ يتغير العنوان إلى عنوان آخر، فلا يجري استصحاب 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في اتحاد القضيتين نظر العرف، لا حكم العقل ولا لسان الدليل، ولو استصحب عدم التكليف الثابت في حال عدم التمييز أمكن أن يكون الموضوع متعدداً في نظر العرف، وأما استصحاب عدم التكليف الثابت في حال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كقبل البلوغ بدقائق وهو في كمال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جار، فإن الموضوع واحد في نظر العرف لتغير حالاته لا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الشك في الوحدة العرفية لا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من أنّ الأثر مترتب على نفس الشك، فموضوعه محرز بالوجدان، فيكون الحكم محرزاً كذلك، فيرجع إحرازه بالتعبد الاستصحابي إلى تحصيل الحاصل، بل إلى أردأ أقسامه، وهو تحصيل المحرز الوجداني بالأصل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يجري الاستصحاب إذا كان الأثر أثر الواقع</w:t>
      </w:r>
      <w:r>
        <w:rPr>
          <w:rStyle w:val="FootnoteAnchor"/>
          <w:rtl w:val="true"/>
        </w:rPr>
        <w:footnoteReference w:id="4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لو كان الأثر مترتباً على صرف الشك في الواقع فلا حاجة إلى الاستصحاب؛ لترتبه بمجرد الشك، وبما أنّ الشك محرز بالوجدان</w:t>
      </w:r>
      <w:r>
        <w:rPr>
          <w:rStyle w:val="FootnoteAnchor"/>
          <w:rtl w:val="true"/>
        </w:rPr>
        <w:footnoteReference w:id="467"/>
      </w:r>
      <w:r>
        <w:rPr>
          <w:rFonts w:ascii="Amiri" w:hAnsi="Amiri" w:eastAsia="Amiri" w:cs="Amiri"/>
          <w:color w:val="111111"/>
          <w:sz w:val="28"/>
          <w:sz w:val="28"/>
          <w:szCs w:val="28"/>
          <w:rtl w:val="true"/>
          <w:lang w:bidi="ar-SA"/>
        </w:rPr>
        <w:t>فيكون حكمه محرزاً بالوجدان كذلك، فإنّ الشك في الإتيان موضوع الحكم بوجوب الإتيان عقلاً، فالموضوع والحكم كلاهما وجدانيان، فلا حاجة إلى استصحاب عدم الإتيان، بل هو تحصيل الحاصل؛ لوجوب الإتيان بصرف الشك فيه، فلو أريد إثبات وجوب الإتيان بالاستصحاب لكان تحصيلاً للحاصل، بل أردأ أنواعه؛ لإرادة إثبات الشيء الثابت بالوجدان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الإتيان ثابت بالوجدان؛ لأنّ موضوعه وجداني، فيكون محموله كذلك، فإرادة إثبات الأثر المحرز بالوجدان بالتعبد الاستصحابي أردأ أنواع تحصيل الحاصل، كما لو كان الوقت نهاراً بالوجدان فيراد إثباته بتلمس خبر الثقة بجهد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فالعقل حاكم بقبح العقاب بلا بيان بمجرد الشك، وهو مؤمّن وجداني وعقلي، فلا حاجة إلى الاستصحاب الذي هو مؤمّن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مناقشته موكول إلى غير المقام، ولكن إجمالاً يرد عليه أمور ثلاثة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بالأمارات النافية للتكليف، فلو أخبر الثقة بعدم وجوب الدعاء عند رؤية الهلال كان لغواً؛ لإحراز عدم الوجوب بالوجدان؛ لقبح العقاب بلا بيان، فيكون التمسك بها من أردأ أنواع تحصيل الحاصل، فيلزم </w:t>
      </w:r>
    </w:p>
    <w:p>
      <w:pPr>
        <w:pStyle w:val="BookText"/>
        <w:rPr/>
      </w:pPr>
      <w:r>
        <w:rPr>
          <w:rFonts w:ascii="Amiri" w:hAnsi="Amiri" w:eastAsia="Amiri" w:cs="Amiri"/>
          <w:color w:val="111111"/>
          <w:sz w:val="28"/>
          <w:sz w:val="28"/>
          <w:szCs w:val="28"/>
          <w:rtl w:val="true"/>
          <w:lang w:bidi="ar-SA"/>
        </w:rPr>
        <w:t>ترك جميع الروايات والأمارات النافية، وهل يمكن الالتزام بذلك؟ فما يقال فيها نقول به في الاستصحاب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يتحقق تحصيل الحاصل إذا كان الأثر المترتب على الاستصحاب مسانخاً مع الأثر المترتب على صرف الشك، مع أنّ سنخ الأثر في المقام مختلف، فأثر الاستصحاب ثبوت عدم التكليف، ولو بالثبوت التعبدي، وأثر الشك عدم ثبوت التكليف، وبينهما فرق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 الشك عدم قابلية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للمنجزية، وأثر الاستصحاب عدم وجود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إجراء الاستصحاب تحصيل الحاصل، فهو محال في دائرة التكوين، وأما في دائرة التشريع فليس محالاً، وذلك لما مرّ من اختلاف مزاج عالم التكوين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المقام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ذلك تحصيلاً للحاصل إلاّ أنّ التعبد الاستصحابي لغو مع وجود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لغوية مع وجود المصحح العقلائي، وهو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الاستصحابي كاف لدفع الشك، مع الشك في القاعدة أو إنكارها، كما أنكرها جمع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التأكيد كما هو الحال في جميع الأوامر الإرشادية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فائدة التعبد الاستصحابي التخلص من محذور ورود أدلة الاحتياط، فإنها على فرض تماميتها واردة على القاعدة؛ لأنها بيان، وأما </w:t>
      </w:r>
    </w:p>
    <w:p>
      <w:pPr>
        <w:pStyle w:val="BookText"/>
        <w:rPr/>
      </w:pPr>
      <w:r>
        <w:rPr>
          <w:rFonts w:ascii="Amiri" w:hAnsi="Amiri" w:eastAsia="Amiri" w:cs="Amiri"/>
          <w:color w:val="111111"/>
          <w:sz w:val="28"/>
          <w:sz w:val="28"/>
          <w:szCs w:val="28"/>
          <w:rtl w:val="true"/>
          <w:lang w:bidi="ar-SA"/>
        </w:rPr>
        <w:t>مع وجود التعبد الاستصحابي فهو حاكم، أو وارد على أدلة الاحتياط، ومع عدم ارتضائه فلا أقل من التعارض، حيث إنّ مقتضى أدلة الاحتياط التوقف، ومقتضى الاستصحاب جواز الاقتحام، فلا بد من التمسك بالمرجحات، كالكتاب أو السنة المتواترة، حيث يرجحان الاستصحاب،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أو يتساقطان مع فرض عدم وجود المرجح، فينفتح المجال لقاعدة قبح العقاب بلا بيان، فلا يمكن القول بلغوية التعبد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تحصيل الحاصل في الأمور الاعتبارية، ولا لغوية مع وجود المصحح العقلائي بأحد الأنواع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المحقق النائيني</w:t>
      </w:r>
      <w:r>
        <w:rPr>
          <w:rStyle w:val="FootnoteAnchor"/>
          <w:rtl w:val="true"/>
        </w:rPr>
        <w:footnoteReference w:id="470"/>
      </w:r>
      <w:r>
        <w:rPr>
          <w:rFonts w:ascii="Amiri" w:hAnsi="Amiri" w:eastAsia="Amiri" w:cs="Amiri"/>
          <w:color w:val="111111"/>
          <w:sz w:val="28"/>
          <w:sz w:val="28"/>
          <w:szCs w:val="28"/>
          <w:rtl w:val="true"/>
          <w:lang w:bidi="ar-SA"/>
        </w:rPr>
        <w:t>لا يخلو من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البراءة الثابتة قبل الشريعة أو أول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عدم التكليف الثابت قبل الشريعة أو أول الشريعة، حيث لم تجعل الحرمة للمشكوك، فيشك في جعلها، فمقتضى الاستصحاب بقاء 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المحقق النائيني على التقريرين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مضافاً إلى الإشكالات المتقدمة، أورد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عدم الجعل غير جارٍ، وكذلك استصحاب الجعل، </w:t>
      </w:r>
    </w:p>
    <w:p>
      <w:pPr>
        <w:pStyle w:val="BookText"/>
        <w:rPr/>
      </w:pPr>
      <w:r>
        <w:rPr>
          <w:rFonts w:ascii="Amiri" w:hAnsi="Amiri" w:eastAsia="Amiri" w:cs="Amiri"/>
          <w:color w:val="111111"/>
          <w:sz w:val="28"/>
          <w:sz w:val="28"/>
          <w:szCs w:val="28"/>
          <w:rtl w:val="true"/>
          <w:lang w:bidi="ar-SA"/>
        </w:rPr>
        <w:t>لا في طرف الاثبات ولا في طرف النفي؛ لأنه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الآثار الشرعية، بل العقلية مترتبة على المجعول لا على الجعل، فإنّ الجعل لا أثر شرعي وعقلي له إلاّ باعتبار استتباعه للمجعول، وبناءً عليه يكون استصحاب عدم الجعل لترتيب آثار عدم المجعول أصلاً مثبتاً</w:t>
      </w:r>
      <w:r>
        <w:rPr>
          <w:rStyle w:val="FootnoteAnchor"/>
          <w:rtl w:val="true"/>
        </w:rPr>
        <w:footnoteReference w:id="472"/>
      </w:r>
      <w:r>
        <w:rPr>
          <w:rFonts w:ascii="Amiri" w:hAnsi="Amiri" w:eastAsia="Amiri" w:cs="Amiri"/>
          <w:color w:val="111111"/>
          <w:sz w:val="28"/>
          <w:sz w:val="28"/>
          <w:szCs w:val="28"/>
          <w:rtl w:val="true"/>
          <w:lang w:bidi="ar-SA"/>
        </w:rPr>
        <w:t>، وقد صرح في موارد متعددة بعدم جريان استصحاب الجعل وعدمه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w:t>
      </w:r>
      <w:r>
        <w:rPr>
          <w:rStyle w:val="FootnoteAnchor"/>
          <w:rtl w:val="true"/>
        </w:rPr>
        <w:footnoteReference w:id="473"/>
      </w:r>
      <w:r>
        <w:rPr>
          <w:rFonts w:ascii="Amiri" w:hAnsi="Amiri" w:eastAsia="Amiri" w:cs="Amiri"/>
          <w:color w:val="111111"/>
          <w:sz w:val="28"/>
          <w:sz w:val="28"/>
          <w:szCs w:val="28"/>
          <w:rtl w:val="true"/>
          <w:lang w:bidi="ar-SA"/>
        </w:rPr>
        <w:t>عليه بوجوه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المتأخرين</w:t>
      </w:r>
      <w:r>
        <w:rPr>
          <w:rStyle w:val="FootnoteAnchor"/>
          <w:rtl w:val="true"/>
        </w:rPr>
        <w:footnoteReference w:id="474"/>
      </w:r>
      <w:r>
        <w:rPr>
          <w:rFonts w:ascii="Amiri" w:hAnsi="Amiri" w:eastAsia="Amiri" w:cs="Amiri"/>
          <w:color w:val="111111"/>
          <w:sz w:val="28"/>
          <w:sz w:val="28"/>
          <w:szCs w:val="28"/>
          <w:rtl w:val="true"/>
          <w:lang w:bidi="ar-SA"/>
        </w:rPr>
        <w:t>من أنّ المجعول ليس شيئاً وراء الجعل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نظره إلى أنهما متحدان بالذات، وإن كانا مختلفين بالاعتبار، كالكسر والانكسار، فليسا حقيقتين في الخارج، بل هما حقيقة واحدة، كما ذكر مثله المتكلمون</w:t>
      </w:r>
      <w:r>
        <w:rPr>
          <w:rStyle w:val="FootnoteAnchor"/>
          <w:rtl w:val="true"/>
        </w:rPr>
        <w:footnoteReference w:id="475"/>
      </w:r>
      <w:r>
        <w:rPr>
          <w:rFonts w:ascii="Amiri" w:hAnsi="Amiri" w:eastAsia="Amiri" w:cs="Amiri"/>
          <w:color w:val="111111"/>
          <w:sz w:val="28"/>
          <w:sz w:val="28"/>
          <w:szCs w:val="28"/>
          <w:rtl w:val="true"/>
          <w:lang w:bidi="ar-SA"/>
        </w:rPr>
        <w:t>في باب الإيجاد والوجود، فلو لوحظ انتساب الحقيقة إلى الجاعل سمي إيجاداً، ومع قطع النظر عن ذلك سمي وجوداً، وهكذا في الكسر والانكسار،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آثار المجعول مترتبة على ذات الجعل، وجميع آثار عدم المجعول مترتبة على عدم الجعل، ومع تحقق الوحدة الذاتية لا يكون الأصل مثبتاً؛ لعدم وجود واسطة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محل تأمل؛ لأنّ الظاهر أنّ الجعل والمجعول يطلقان على معنيين، وقد وقع الخلط بينهما، فالجعل بمعنى الاعتبار، والمجعول بمعنى المعتبر، وهما لا ينفكان، ويمكن دعوى كونهما أمرين متحدين بالذات، متغايرين بالاعتبار، حيث لا يعقل الاعتبار بلا معتبر وبالعكس، بل هما حقيقة واحدة، وكأنّ المستشكل نظر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بمعنى ثبوت الحكم في الشريعة و المجعول بمعنى ثبوت الحكم في ذمة المكلف ولا إشكال في تغايرهما حقيقة وإمكان انفكاك أحدهما عن الآخر، كما لو شرع حد السارق فمع الجعل يثبت الحكم في الشريعة ويكون أحد الأحكام الشرعية بشروطها التي تتجاوز الأربعين شرطاً، لكن لولم يكن هنالك سارق في الخارج لم يثبت الحكم في ذمة المكلف، وأما لو تحققت الشرائط تحقق المجعول بمعنى وجوب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لو شرع الزكاة في الأربعين شاة، فمن لا يملك النصاب فوجود الحكم في حقه كالعدم لا أثر له، فالأثر الشرعي، كالحكم بالفسق والعدالة، مترتب على المجعول، فلو ثبت الحكم في ذمة المكلف فلم يمتثل فهو فاسق، و هكذا الآثار العقلية، كوجوب الطاعة وحرمة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أنّ جميع الآثار الشرعية والعقلية مترتبة على المجعول بالمعنى الثاني، وإلاّ فثبوت الحكم في الشريعة لا أثر له للمكلف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الجعل لا أثر له؛ لأنّ الأثر أثر المجعول وعدمه، فالوجه الأول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المطلوب في المقام أعم من الاثنين، حيث إنه مترتب على كل من عدم الجعل وعدم المجعول، وهو إطلاق العنان واللاحرجية العقلية، وهو كافٍ في صحة التعبد الاستصحابي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وارد؛ لأنّ الأثر أثر عدم المجعول بالدقة لا أثر عدم الجعل، كما اتضح في 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الأثر أثر عدم المجعول، وأنّ هنالك واسطة عقلية لكنها خفية، فلو لم يجعل الشارع الحرمة للمشكوك حكم العرف بإطلاق العنان واللاحرجية عقلاً باقتحامه، ففي الواقع اللاحرجية العقلية مبتنية على عدم المجعول لكنها واسطة خفية، والشاهد على ذلك أنه لو كان الجعل ولم يكن المجعول لحكم العقل بإطلاق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مباحث الاستصحاب أنّ خفاء الواسطة يخرج الأصل عن كونه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باستصحاب عدم النسخ، وهو من المسلمات، فلو شك في حلية الزواج الموقت جرت أصالة عدم نسخه، فما هو أثره، مع كون الآثار آثار المجعول؟</w:t>
      </w:r>
    </w:p>
    <w:p>
      <w:pPr>
        <w:pStyle w:val="BookText"/>
        <w:rPr/>
      </w:pPr>
      <w:r>
        <w:rPr>
          <w:rFonts w:ascii="Amiri" w:hAnsi="Amiri" w:eastAsia="Amiri" w:cs="Amiri"/>
          <w:color w:val="111111"/>
          <w:sz w:val="28"/>
          <w:sz w:val="28"/>
          <w:szCs w:val="28"/>
          <w:rtl w:val="true"/>
          <w:lang w:bidi="ar-SA"/>
        </w:rPr>
        <w:t xml:space="preserve">لكنه قابل للدفع بأنّ مرجع استصحاب عدم النسخ إلى إطلاق الدليل، فلا استصحاب في الواقع، بل يحكم 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 جميع الأجوبة المتقدمة فنستصحب عدم المجعول، فقبل الشريعة وفي أولها لم تكن هنالك حرمة، فنستصحب عدم </w:t>
      </w:r>
      <w:bookmarkStart w:id="158" w:name="pg15608_167003"/>
    </w:p>
    <w:p>
      <w:pPr>
        <w:pStyle w:val="BookText"/>
        <w:rPr/>
      </w:pPr>
      <w:bookmarkEnd w:id="158"/>
      <w:r>
        <w:rPr>
          <w:rFonts w:ascii="Amiri" w:hAnsi="Amiri" w:eastAsia="Amiri" w:cs="Amiri"/>
          <w:color w:val="111111"/>
          <w:sz w:val="28"/>
          <w:sz w:val="28"/>
          <w:szCs w:val="28"/>
          <w:rtl w:val="true"/>
          <w:lang w:bidi="ar-SA"/>
        </w:rPr>
        <w:t>المجعول، وبذلك نتخلص من محذور 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عدم التكليف الثابت قبل تحقق الموضوع</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التكليف الثابت قبل تحقق الموضوع للتكليف المشكوك، أو قبل تحقق قيوده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مشروط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القضيتين المتيقنة والمشكوكة، فمع تبدل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حالاته و طوارئه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لاختلال الركن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المبنى الوجوب المعلق، وأما عليه، كما هو مبنى الشيخ في مطارح الأنظار</w:t>
      </w:r>
      <w:r>
        <w:rPr>
          <w:rStyle w:val="FootnoteAnchor"/>
          <w:rtl w:val="true"/>
        </w:rPr>
        <w:footnoteReference w:id="478"/>
      </w:r>
      <w:r>
        <w:rPr>
          <w:rFonts w:ascii="IRNazanin" w:hAnsi="IRNazanin" w:eastAsia="IRNazanin"/>
          <w:color w:val="111111"/>
          <w:sz w:val="28"/>
          <w:sz w:val="28"/>
          <w:szCs w:val="28"/>
          <w:rtl w:val="true"/>
          <w:lang w:bidi="fa-IR"/>
        </w:rPr>
        <w:t>خلافاً للآخوند</w:t>
      </w:r>
      <w:r>
        <w:rPr>
          <w:rStyle w:val="FootnoteAnchor"/>
          <w:rtl w:val="true"/>
        </w:rPr>
        <w:footnoteReference w:id="479"/>
      </w:r>
      <w:r>
        <w:rPr>
          <w:rFonts w:ascii="Amiri" w:hAnsi="Amiri" w:eastAsia="Amiri" w:cs="Amiri"/>
          <w:color w:val="111111"/>
          <w:sz w:val="28"/>
          <w:sz w:val="28"/>
          <w:szCs w:val="28"/>
          <w:rtl w:val="true"/>
          <w:lang w:bidi="ar-SA"/>
        </w:rPr>
        <w:t>، فإنّ العدم لا حالة سابقة متيقنة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الإشكال عليه و الجواب مما تقدم</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0086551_2142443653"/>
      <w:bookmarkStart w:id="160" w:name="_Toc60"/>
      <w:bookmarkEnd w:id="159"/>
      <w:r>
        <w:rPr>
          <w:rtl w:val="true"/>
        </w:rPr>
        <w:t>تنبيهات</w:t>
      </w:r>
      <w:bookmarkEnd w:id="160"/>
    </w:p>
    <w:p>
      <w:pPr>
        <w:pStyle w:val="Heading4"/>
        <w:numPr>
          <w:ilvl w:val="3"/>
          <w:numId w:val="1"/>
        </w:numPr>
        <w:rPr/>
      </w:pPr>
      <w:bookmarkStart w:id="161" w:name="__RefHeading___Toc10086553_2142443653"/>
      <w:bookmarkStart w:id="162" w:name="_Toc61"/>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يبقى الكلام في تنبيهات</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0086555_2142443653"/>
      <w:bookmarkStart w:id="164" w:name="_Toc62"/>
      <w:bookmarkEnd w:id="163"/>
      <w:r>
        <w:rPr>
          <w:rtl w:val="true"/>
        </w:rPr>
        <w:t>التنبيه الأول</w:t>
      </w:r>
      <w:r>
        <w:rPr>
          <w:rtl w:val="true"/>
        </w:rPr>
        <w:t xml:space="preserve">: </w:t>
      </w:r>
      <w:r>
        <w:rPr>
          <w:rtl w:val="true"/>
        </w:rPr>
        <w:t>لغوية دليل البراءة مع جريان استصحاب عدم التكليف</w:t>
      </w:r>
      <w:bookmarkEnd w:id="16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يشكل في المقام بأنّ جريان استصحاب عدم التكليف، بأي نحو من الأنحاء، رافع لموضوع البراءة تعبداً؛ لأنه حاكم عليها، بل على جميع الأصول العملية، وبما أنه جارٍ في جميع الشبهات الحكمية، فيستلزم لغوية </w:t>
      </w:r>
    </w:p>
    <w:p>
      <w:pPr>
        <w:pStyle w:val="BookText"/>
        <w:rPr/>
      </w:pPr>
      <w:r>
        <w:rPr>
          <w:rFonts w:ascii="Amiri" w:hAnsi="Amiri" w:eastAsia="Amiri" w:cs="Amiri"/>
          <w:color w:val="111111"/>
          <w:sz w:val="28"/>
          <w:sz w:val="28"/>
          <w:szCs w:val="28"/>
          <w:rtl w:val="true"/>
          <w:lang w:bidi="ar-SA"/>
        </w:rPr>
        <w:t>دليل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دليل البراءة لا يدل على أزيد من التأمين في الشبهات، فلعله بنكتة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 المستفتي عن حكم ماء يشك في ملاقاته للنجاسة، أمكن للمفتي أن يجيبه باستصحاب عدم الملاقاة أو الحكم بالطهارة، والثاني لا يتعين كونه إعمالاً لأصالة الطهارة، بل قد يكون حكماً بالطهارة بنكتة الاستصحاب،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يلاحظ نفس الاستصحاب، وتارة يلاحظ مسببه، وهو الحكم بالطهارة، ويصح التعبير بكليهما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يوجب إلغاء البراءة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يوجب إلغاء دليلها، نعم يستلزم إلغاء البراءة المصطلحة في الكتب الأصولية، فالمولى يعبر عن الاستصحاب بنتيجته، وهي عدم التكليف و إطلاق العنان واللاحرجية الشرعية، وجواز الاقتحام، فيكون تعبيراً آخر عن استصحاب عدم التكليف في جميع أدلة البراءة الشرعية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خلاف ظاهر أدلة البراءة، فإنّ ظاهرها أنّ التأمين بملاك الشك وعدم العلم بالتكليف، لا بملاك سبق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بعدم ظهور أدلة البراءة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ونظيره رواية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فهذا المورد ليس من موارد أصالة الحل؛ لوجود الحاكم عليه، وهو قاعدة اليد، والتي تعتبر من الأمارات، فلا تدع مجالاً للأصول العملية، فكيف يكون مثالاً لأصالة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والمملوك عندك لعله حر قد باع نفسه أو خدع فبيع قهراً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وهذا أيضاً ليس مورداً لأصالة الحل، بل قاعدة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امرأة تحتك وهي أختك أو رضيعتك</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 ليس هذا أيضاً مجرى أصالة الحل، بل مجرى العدم الأزلي في الأول والنعتي في الثاني، فالجواب عن ذلك أنه ليس المراد من الرواية أصالة الحل، بل الحكم بالحلية، وهوقد يبنى على قاعدة اليد أو استصحاب العدم الأزلي أو النعتي، أو قاعدة الغلبة العقلائية أو أصالة الحل، فقد بين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النتيجة ولم يبين ملاك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أدلة البراءة كذلك، فلا تلغى، وإنما لا يكون هنالك أصل بعنوان أصالة البراءة، ولا توحشنا هذه النتيجة، حيث لا يترتب عليها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مبني على مبنيين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الحكومة هي ملاك تقديم الاستصحاب على البراءة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جريان الدليل الحاكم مانع من ثبوت الدليل المحكوم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وهما ممنوعان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ملاك التقديم الأظهرية أو التوفيق العرفي، لا الحكومة ومجراهما في الدليلين المتكاذبين، لكن لو لم يكن تكاذب بين الدليلين فلا مانع من إعمال الدليلين معاً في عرض الآخر، فلا مانع من إعمال أصالة البراءة في عرض استصحاب 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ملاك التقديم هو الحكومة، وهي في الواقع تخصيص بلسان رفع الموضوع</w:t>
      </w:r>
      <w:r>
        <w:rPr>
          <w:rStyle w:val="FootnoteAnchor"/>
          <w:rtl w:val="true"/>
        </w:rPr>
        <w:footnoteReference w:id="484"/>
      </w:r>
      <w:r>
        <w:rPr>
          <w:rFonts w:ascii="Amiri" w:hAnsi="Amiri" w:eastAsia="Amiri" w:cs="Amiri"/>
          <w:color w:val="111111"/>
          <w:sz w:val="28"/>
          <w:sz w:val="28"/>
          <w:szCs w:val="28"/>
          <w:rtl w:val="true"/>
          <w:lang w:bidi="ar-SA"/>
        </w:rPr>
        <w:t>، وهو فرع التنافي بين الدليلين أو المدلولين، ولا تنافي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الاستصحاب والبراءة واحد، ولا تنافي بينهما، ولا مانع من جريانهما معاً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المبنى والبناء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إشكال واحد، وهو لغوية دليل البراءة مع فرض توافق المفادين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للدفع بالتأكيد، فمفاد البراءة مؤكد لمفاد الاستصحاب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عدم التسليم به فلابد من الالتزام بلغوية الأمارات وجميع الأصول المتوافقة، كما لو وافقت السنة المطهرة القرآن الكريم، أو وافق الدليل الشرعي الدليل العقلي، أو وافق الاستصحاب مثله، كاستصحاب عدم التكليف أول الشرع الموافق لاستصحاب عدم التكليف قبل البلوغ، ولا </w:t>
      </w:r>
    </w:p>
    <w:p>
      <w:pPr>
        <w:pStyle w:val="BookText"/>
        <w:rPr/>
      </w:pPr>
      <w:r>
        <w:rPr>
          <w:rFonts w:ascii="Amiri" w:hAnsi="Amiri" w:eastAsia="Amiri" w:cs="Amiri"/>
          <w:color w:val="111111"/>
          <w:sz w:val="28"/>
          <w:sz w:val="28"/>
          <w:szCs w:val="28"/>
          <w:rtl w:val="true"/>
          <w:lang w:bidi="ar-SA"/>
        </w:rPr>
        <w:t>يمكن ذلك، بل هو تأكيد</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وما من التوكيد لفظي 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مكرراً كقولك ادرجي ادرجي</w:t>
      </w:r>
    </w:p>
    <w:p>
      <w:pPr>
        <w:pStyle w:val="BookText"/>
        <w:rPr/>
      </w:pPr>
      <w:r>
        <w:rPr>
          <w:rFonts w:ascii="Amiri" w:hAnsi="Amiri" w:eastAsia="Amiri" w:cs="Amiri"/>
          <w:color w:val="111111"/>
          <w:sz w:val="28"/>
          <w:sz w:val="28"/>
          <w:szCs w:val="28"/>
          <w:rtl w:val="true"/>
          <w:lang w:bidi="ar-SA"/>
        </w:rPr>
        <w:t xml:space="preserve">شرح ابن عقيل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الحكم باللغوية موقوف على نفي جميع الفوائد، ولا يمكن نفي جميع فوائد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كان من آثاره إجراء جميع الأصول العملية في عرض الأمارات مع توافقهما، كما كان دأب المتقدمين، حيث كانوا يستدلون بالأمارات والأصول العملية في عرض واحد، بما أشكل عليهم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إلا أنَّ البراءة جارية فيما لولم يجرِ استصحاب عدم التكليف، و ذلك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تعاقب الحالتين المتضادتين في الشبهات الموضوعية، كتوارد الطهارة والنجاسة مع الجهل بالمتقدم منهما والمتأخر، حيث لا يجري الاستصحاب، للتعارض أو لعدم إحراز اتصال زمان المشكوك بزمان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جريانها في الشبهات الحكمية، كما لو تعاقب التحليل والتحريم</w:t>
      </w:r>
    </w:p>
    <w:p>
      <w:pPr>
        <w:pStyle w:val="BookText"/>
        <w:rPr/>
      </w:pPr>
      <w:r>
        <w:rPr>
          <w:rFonts w:ascii="Amiri" w:hAnsi="Amiri" w:eastAsia="Amiri" w:cs="Amiri"/>
          <w:color w:val="111111"/>
          <w:sz w:val="28"/>
          <w:sz w:val="28"/>
          <w:szCs w:val="28"/>
          <w:rtl w:val="true"/>
          <w:lang w:bidi="ar-SA"/>
        </w:rPr>
        <w:t xml:space="preserve">على الشيء، وجهل المتقدم والمتأخر فيسقط الاستصحابان، فتصل النوبة إلى أصالة البراءة، كما في لحوم الحمر الأهلية، حيث ورد في بعض الروايات أنها حللت وحرمت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الموضوع متغيراً، بحيث لم يجر الاستصحاب، أو </w:t>
      </w:r>
      <w:bookmarkStart w:id="165" w:name="pg15608_167012"/>
    </w:p>
    <w:p>
      <w:pPr>
        <w:pStyle w:val="BookText"/>
        <w:rPr/>
      </w:pPr>
      <w:bookmarkEnd w:id="165"/>
      <w:r>
        <w:rPr>
          <w:rFonts w:ascii="Amiri" w:hAnsi="Amiri" w:eastAsia="Amiri" w:cs="Amiri"/>
          <w:color w:val="111111"/>
          <w:sz w:val="28"/>
          <w:sz w:val="28"/>
          <w:szCs w:val="28"/>
          <w:rtl w:val="true"/>
          <w:lang w:bidi="ar-SA"/>
        </w:rPr>
        <w:t>شكك في وحدة القضيتين المتيقنة والمشكوكة، كتبخر ثلاثة أرباع ماء الحوض، فلا يمكن استصحاب كريته، لتبدل الموضوع أو للشك في أنه عين الموضوع السابق أو لا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وموارد أخرى إذا لم يكن للاستصحاب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الموارد نادرة جداً ويبعد أن تكون الأدلة الكثيرة الدالة على البراءة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قد يتم بالنسبة إلى المورد الأول، لكنه ليس كذلك 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بلغوية البراءة مع جريان استصحاب عدم التكليف محل تأمل</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0086557_2142443653"/>
      <w:bookmarkStart w:id="167" w:name="_Toc63"/>
      <w:bookmarkEnd w:id="166"/>
      <w:r>
        <w:rPr>
          <w:rtl w:val="true"/>
        </w:rPr>
        <w:t>التنبيه الثاني</w:t>
      </w:r>
      <w:r>
        <w:rPr>
          <w:rtl w:val="true"/>
        </w:rPr>
        <w:t xml:space="preserve">: </w:t>
      </w:r>
      <w:r>
        <w:rPr>
          <w:rtl w:val="true"/>
        </w:rPr>
        <w:t>تعارض استصحاب عدم الإلزام مع استصحاب عدم الترخيص</w:t>
      </w:r>
      <w:bookmarkEnd w:id="167"/>
    </w:p>
    <w:p>
      <w:pPr>
        <w:pStyle w:val="BookText"/>
        <w:rPr/>
      </w:pPr>
      <w:r>
        <w:rPr>
          <w:rFonts w:ascii="Amiri" w:hAnsi="Amiri" w:eastAsia="Amiri" w:cs="Amiri"/>
          <w:color w:val="111111"/>
          <w:sz w:val="28"/>
          <w:sz w:val="28"/>
          <w:szCs w:val="28"/>
          <w:rtl w:val="true"/>
          <w:lang w:bidi="ar-SA"/>
        </w:rPr>
        <w:t>الإشكال الآخر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تعارض استصحاب عدم التكليف والإلزام في الصغر، أو قبل الشريعة أو أول الشريعة مع استصحاب عدم جعل الترخيص، فإنّ الإلزام والترخيص حادثان والأصل عدمهما، ومع جريان الاستصحابين وتعارضهما يتساقطان، فتصل النوبة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المصباح بجوابين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توضيحه على بيان أمرين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الشرعية أنّ الترخيص ثابت في كل مورد لم يجعل فيه الإلزام، فكل ما لم يجعل فيه إلزام فهو مرخص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واستدل له بقوله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فما سكت اللّه عنه ولم يجعل فيه الوجوب والتحريم فالعباد مرخصون في فعله أو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استدل السيد الخوئي لذلك بالروايات الكثيرة التي ورد الردع فيها عن كثرة السؤال،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بني اسرائيل شددوا على أنفسهم فشدد اللّه عليهم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استدل في الدراسات</w:t>
      </w:r>
      <w:r>
        <w:rPr>
          <w:rStyle w:val="FootnoteAnchor"/>
          <w:rtl w:val="true"/>
        </w:rPr>
        <w:footnoteReference w:id="491"/>
      </w:r>
      <w:r>
        <w:rPr>
          <w:rFonts w:ascii="IRNazanin" w:hAnsi="IRNazanin" w:eastAsia="IRNazanin"/>
          <w:color w:val="111111"/>
          <w:sz w:val="28"/>
          <w:sz w:val="28"/>
          <w:szCs w:val="28"/>
          <w:rtl w:val="true"/>
          <w:lang w:bidi="fa-IR"/>
        </w:rPr>
        <w:t xml:space="preserve">على ما حكي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أمرتكم بشيء فأتوا منه ما استطعتم</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ناظر إلى الإتيان بأجزاء الكل، أو أفراد الكلي، ومفاده اشتراط التكليف بالقدرة، فلا ربط له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الظاهر أنّ نظر المستدل إلى صدر الحديث،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فرض عليكم الحج، فقام سراقة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عام أو في هذا العام، فسكت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يؤمنك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لوجب عليكم، ولو وجب عليكم ما استطعتم</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الطبيعي يمتثل بالمرة، ولا يعتنى باحتمال الإلزام في صورة السؤال عن وجوبه في كل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بألسنة متعددة تفيد الكبرى الكلية، وهي أنّ كل ما لم يثبت فيه الإلزام فقد ثبت فيه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هنالك أصلان، أحدهما في رتبة الموضوع، والآخر في رتبة المحمول، فالأصل الأول حاكم على الثاني؛ لأنّ الشك في المحمول فرع الشك في الموضوع، ومع وجود أصل يعالج الموضوع لا يبقى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المحمول، فلا تصل النوبة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الشك في كرية ماء وقع فيه الدم فإنّ استصحاب الكرية حاكم على استصحاب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فإنّ استصحاب عدم الإلزام في رتبة الموضوع، واستصحاب عدم الترخيص في رتبة المحمول، ومع جريان الأول لا يبقى مجال للثاني؛ لحكومته عليه، فالقول بتعارضهما غير تام، بل الجاري في المقام أصالة عدم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بعض المحققين</w:t>
      </w:r>
      <w:r>
        <w:rPr>
          <w:rStyle w:val="FootnoteAnchor"/>
          <w:rtl w:val="true"/>
        </w:rPr>
        <w:footnoteReference w:id="495"/>
      </w:r>
      <w:r>
        <w:rPr>
          <w:rFonts w:ascii="Amiri" w:hAnsi="Amiri" w:eastAsia="Amiri" w:cs="Amiri"/>
          <w:color w:val="111111"/>
          <w:sz w:val="28"/>
          <w:sz w:val="28"/>
          <w:szCs w:val="28"/>
          <w:rtl w:val="true"/>
          <w:lang w:bidi="ar-SA"/>
        </w:rPr>
        <w:t>بأنه من قبيل أخذ عدم أحد الضدين في موضوع الضد الآخر، وهو مما لا يرتضيه السيد الخوئي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حديث 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لو كان معنى الإطلاق الإباحة الواقعية، ومعنى الورود الصدور، أي كل شيء مباح واقعاً حتى يصدر فيه نهي، 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المعنى من الوضوح بمكان كان بيانه لغواً لا يصدر من الإمام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فإنه من جعل أحد الضدين غاية </w:t>
      </w:r>
    </w:p>
    <w:p>
      <w:pPr>
        <w:pStyle w:val="BookText"/>
        <w:rPr/>
      </w:pPr>
      <w:r>
        <w:rPr>
          <w:rFonts w:ascii="Amiri" w:hAnsi="Amiri" w:eastAsia="Amiri" w:cs="Amiri"/>
          <w:color w:val="111111"/>
          <w:sz w:val="28"/>
          <w:sz w:val="28"/>
          <w:szCs w:val="28"/>
          <w:rtl w:val="true"/>
          <w:lang w:bidi="ar-SA"/>
        </w:rPr>
        <w:t>للآخر، ويكون من قبيل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جسم ساكن حتى يتحرك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وارد، فاللغوية أنما تتحقق في الضدين اللذين لا ثالث لهما كالحركة والسكون</w:t>
      </w:r>
      <w:r>
        <w:rPr>
          <w:rStyle w:val="FootnoteAnchor"/>
          <w:rtl w:val="true"/>
        </w:rPr>
        <w:footnoteReference w:id="498"/>
      </w:r>
      <w:r>
        <w:rPr>
          <w:rFonts w:ascii="Amiri" w:hAnsi="Amiri" w:eastAsia="Amiri" w:cs="Amiri"/>
          <w:color w:val="111111"/>
          <w:sz w:val="28"/>
          <w:sz w:val="28"/>
          <w:szCs w:val="28"/>
          <w:rtl w:val="true"/>
          <w:lang w:bidi="ar-SA"/>
        </w:rPr>
        <w:t>، أما لو كان هنالك ضد ثالث فلا يكون أخذ أحد الضدين غاية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نحن فيه، فإنّ جعل الإلزام والترخيص لهما ثالث، وهو سكوت المولى، حيث لم يجعل الإلزام ولا الترخيص، وهو متصور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 فإنّ الشارع سكت عنها، فهي ليست واجبة ولا محرمة ولا مباحة، وإنما العقل يحكم بوجوبها، وكذلك الضد العام أو الخاص للواجب، كاستدبار الشمال في مَنْ قبلته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مع إمكان الضد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جعل أحد الضدين غاية للآخر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الكلام في تمامية الكبرى الأولى، فهل يستفاد من الأدلة أنّ كلَّ ما لم يجعل فيه إلزام فهو مرخص فيه، بمعنى أنه مباح؟</w:t>
      </w:r>
    </w:p>
    <w:p>
      <w:pPr>
        <w:pStyle w:val="BookText"/>
        <w:rPr/>
      </w:pPr>
      <w:r>
        <w:rPr>
          <w:rFonts w:ascii="Amiri" w:hAnsi="Amiri" w:eastAsia="Amiri" w:cs="Amiri"/>
          <w:color w:val="111111"/>
          <w:sz w:val="28"/>
          <w:sz w:val="28"/>
          <w:szCs w:val="28"/>
          <w:rtl w:val="true"/>
          <w:lang w:bidi="ar-SA"/>
        </w:rPr>
        <w:t>كما أنّ ما ذكره من حكومة الأصل الموضوعي على الحكمي أنما يتم فيما لم تكن أمارة في البين، وأما مع وجودها فهي الحاكمة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هنالك دليل على أنّ كلَّ ما لم يجعل فيه إلزام فهو مرخص فيه اندفعت أصالة عدم الترخيص بالدليل، فلا يكون شك معه في الترخيص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والفارق بينهما من الناحية الفنية في كيفية البيان، فتارة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وجود الأمارة لا مجال للأصل الحكمي، وتارة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الموضوعي حاكم، ولا بد من التعبير فنياً بالأول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لأصالة عدم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جريان كلا الاستصحابين، حيث لا يلزم من ذلك مخالفة عملية قطعية، وهو كافٍ لنفي استحقاق العقاب؛ لأنه مترتب على ثبوت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اقتحام المشكوك لا يقطع المكلف بالمخالفة العملية للتكليف الواقعي، وإنما المتحقق المخالفة الاحتمالية العملية، والمخالفة القطعية العلمية، والثاني لا يشكل محذوراً، والأول مؤمَّن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فليس المحذور مجرد المخالفة العملية القطعية، بل الأعم من العملية والعلمية، كما هو مبنى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يرى المحذور في المخالفة العلمية أيضاً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سقط الدم في أحد الإناءين، فإنّ استصحاب طهارتهما يؤدي إلى المخالفة العملية القطعية للتكليف المعلوم بالإجمال، فلا يجري الأصلان، لكن لو كان الإناءان نجسين، وعلم بطرو التطهير على أحدهما، فعلى مبنى السيد الخوئي لا إشكال في استصحاب نجاستهما معاً؛ لأنّ الأثر وجوب الاجتناب عن كليهما، ولا مخالفة عملية في ذلك للتكليف الواقعي </w:t>
      </w:r>
    </w:p>
    <w:p>
      <w:pPr>
        <w:pStyle w:val="BookText"/>
        <w:rPr/>
      </w:pPr>
      <w:r>
        <w:rPr>
          <w:rFonts w:ascii="Amiri" w:hAnsi="Amiri" w:eastAsia="Amiri" w:cs="Amiri"/>
          <w:color w:val="111111"/>
          <w:sz w:val="28"/>
          <w:sz w:val="28"/>
          <w:szCs w:val="28"/>
          <w:rtl w:val="true"/>
          <w:lang w:bidi="ar-SA"/>
        </w:rPr>
        <w:t>عادة، لكن مبنى السيد الوالد عدم صحة ذلك؛ للعلم ببطلان أحد الاستصحابين، فإنّ نفس المخالفة العلمية مانعة عن ذلك، والبحث مبنائي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بعض المحققين، حيث أشكل عليه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لاستصحاب عدم الترخيص فلا يجري، لا أنه يجري ولا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موضوع التأمين، باعتراف السيد الخوئي الترخيص، بل موضوعه عدم الإلزام المولوي، فلا يمكن استصحاب عدم الترخيص لنفي التأمين؛ لأنّ التأمين لم يترتب على الترخيص حتى ينفى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من استصحاب عدم الترخيص إثبات الإلزام ليثبت التنجيز، فهو أصل مثبت لإثبات لأحد الضدين بنفي الضد الآخر، بأصالة عدم الترخيص لا يثبت الإلزام حتى يثبت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الغرض من استصحاب عدم الترخيص نفي أثر الترخيص فهو بلا أثر، ولو كان الغرض إثبات أثر الإلزام فهو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إشكال فني، وسيأتي دفعه في الجواب الثالث لو كان تاماً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جريان الاستصحابين تترتب المخالفة العملية القطعية لا العلمية فحسب، حتى يقال بعدم المحذور، وذلك لترتب الإسناد إلى المولى على العلم،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 وقال</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قاض قضى بالحق وهو يعلم فهو في الجنة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ارتضاه في المصباح</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الأمارات والأصول العملية المحرزة قائمة مقام القطع الموضوعي، فكما يكفي في جواز الإسناد إلى المولى العلم الوجداني، يكفي العلم التعبدي الحاصل بالأمارات أو الأصول العملية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مع جريان الاستصحابين يمكن إسناد كلا الحكمين إلى المولى، مع العلم بكذب أحدهما، وهو مخالفة عملية للتكليف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القطع بالمخالفة العملية يتوقف على كون المقام من قبيل الضدين اللذين لا ثالث لهما، وقد مرّ وجود الثالث، وهو السكوت، فمع استصحاب عدم جعل المولى للترخيص والإلزام لا يقطع بالكذب، فلا قطع بالمخالفة العملية، بل مجرد المخالفة الاحتمالية، وهو مما لا محذور فيه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التأمين ليس أثر عدم الإلزام، بل هو أثر ثبوت الترخيص، فلو لم يحرم المولى العرفي على عبده دخول غرفته، فهل يكفي ذلك لاقتحامه أم يحتاج إلى ثبوت الترخيص المولوي؟ ولو لم ينه الأب ابنه عن بيع أملاكه</w:t>
      </w:r>
      <w:r>
        <w:rPr>
          <w:rStyle w:val="FootnoteAnchor"/>
          <w:rtl w:val="true"/>
        </w:rPr>
        <w:footnoteReference w:id="504"/>
      </w:r>
      <w:r>
        <w:rPr>
          <w:rFonts w:ascii="Amiri" w:hAnsi="Amiri" w:eastAsia="Amiri" w:cs="Amiri"/>
          <w:color w:val="111111"/>
          <w:sz w:val="28"/>
          <w:sz w:val="28"/>
          <w:szCs w:val="28"/>
          <w:rtl w:val="true"/>
          <w:lang w:bidi="ar-SA"/>
        </w:rPr>
        <w:t xml:space="preserve">، فهل يكفي في التأمين وجواز الاقتحام أم أنه موقوف على الترخيص؟ </w:t>
      </w:r>
      <w:bookmarkStart w:id="168" w:name="pg15608_167026"/>
    </w:p>
    <w:p>
      <w:pPr>
        <w:pStyle w:val="BookText"/>
        <w:rPr/>
      </w:pPr>
      <w:bookmarkEnd w:id="168"/>
      <w:r>
        <w:rPr>
          <w:rFonts w:ascii="Amiri" w:hAnsi="Amiri" w:eastAsia="Amiri" w:cs="Amiri"/>
          <w:color w:val="111111"/>
          <w:sz w:val="28"/>
          <w:sz w:val="28"/>
          <w:szCs w:val="28"/>
          <w:rtl w:val="true"/>
          <w:lang w:bidi="ar-SA"/>
        </w:rPr>
        <w:t>وعليه لا يكفي عدم ثبوت التحريم، بل يلزم ثبوت الترخيص ولم يثبت؛ لأنّ أصالة عدم الترخيص معارضة بأصالة عدم الإلزام، وفيما نحن فيه كل ما يفعله المكلف يعتبر تصرفاً في ملك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في المصباح</w:t>
      </w:r>
      <w:r>
        <w:rPr>
          <w:rStyle w:val="FootnoteAnchor"/>
          <w:rtl w:val="true"/>
        </w:rPr>
        <w:footnoteReference w:id="505"/>
      </w:r>
      <w:r>
        <w:rPr>
          <w:rFonts w:ascii="Amiri" w:hAnsi="Amiri" w:eastAsia="Amiri" w:cs="Amiri"/>
          <w:color w:val="111111"/>
          <w:sz w:val="28"/>
          <w:sz w:val="28"/>
          <w:szCs w:val="28"/>
          <w:rtl w:val="true"/>
          <w:lang w:bidi="ar-SA"/>
        </w:rPr>
        <w:t>من أنّ التأمين أثر عدم الإلزام، وما ذكر في الإشكال الأول من عدم جريان أصالة عدم الترخيص لعدم الأثر محل تأمل</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0086559_2142443653"/>
      <w:bookmarkStart w:id="170" w:name="_Toc64"/>
      <w:bookmarkEnd w:id="169"/>
      <w:r>
        <w:rPr>
          <w:rtl w:val="true"/>
        </w:rPr>
        <w:t>التنبيه الثالث</w:t>
      </w:r>
      <w:r>
        <w:rPr>
          <w:rtl w:val="true"/>
        </w:rPr>
        <w:t xml:space="preserve">: </w:t>
      </w:r>
      <w:r>
        <w:rPr>
          <w:rtl w:val="true"/>
        </w:rPr>
        <w:t>استصحاب عدم جعل التكليف في الشبهات الموضوعية</w:t>
      </w:r>
      <w:bookmarkEnd w:id="170"/>
    </w:p>
    <w:p>
      <w:pPr>
        <w:pStyle w:val="BookText"/>
        <w:rPr/>
      </w:pPr>
      <w:r>
        <w:rPr>
          <w:rFonts w:ascii="Amiri" w:hAnsi="Amiri" w:eastAsia="Amiri" w:cs="Amiri"/>
          <w:color w:val="111111"/>
          <w:sz w:val="28"/>
          <w:sz w:val="28"/>
          <w:szCs w:val="28"/>
          <w:rtl w:val="true"/>
          <w:lang w:bidi="ar-SA"/>
        </w:rPr>
        <w:t>وهو في جريان استصحاب عدم جعل التكليف في الشبهات الموضوعية، كما يجري في الشبهات الحكمية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المذكورة في المقام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لم يجعل لمورد الشبهة الموضوعية بشخصه يقيناً، وأما الطبيعي الذي يشك في انطباقه على المورد فقد جعل له الحكم يقيناً، فلا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المقام حصة وطبيعي، أما الحصة فلم يتعلق بها جعل يقيناً، فلا شك حتى يجري الاستصحاب فيها، وأما الطبيعي فالحكم مجعول له يقيناً فلا شك أيضاً، فيختل الركن الثاني للاستصحاب، وهو الشك اللاحق في الحصة والطبيعي معاً، فلا مورد للاستصحاب أصلاً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في المصباح</w:t>
      </w:r>
      <w:r>
        <w:rPr>
          <w:rStyle w:val="FootnoteAnchor"/>
          <w:rtl w:val="true"/>
        </w:rPr>
        <w:footnoteReference w:id="506"/>
      </w:r>
      <w:r>
        <w:rPr>
          <w:rFonts w:ascii="Amiri" w:hAnsi="Amiri" w:eastAsia="Amiri" w:cs="Amiri"/>
          <w:color w:val="111111"/>
          <w:sz w:val="28"/>
          <w:sz w:val="28"/>
          <w:szCs w:val="28"/>
          <w:rtl w:val="true"/>
          <w:lang w:bidi="ar-SA"/>
        </w:rPr>
        <w:t xml:space="preserve">بأنّ الأحكام المجعولة على نحو القضايا الحقيقية أحكام انحلالية، وتتكثر بتكثر أفراد الموضوعات، فالشك في </w:t>
      </w:r>
    </w:p>
    <w:p>
      <w:pPr>
        <w:pStyle w:val="BookText"/>
        <w:rPr/>
      </w:pPr>
      <w:r>
        <w:rPr>
          <w:rFonts w:ascii="Amiri" w:hAnsi="Amiri" w:eastAsia="Amiri" w:cs="Amiri"/>
          <w:color w:val="111111"/>
          <w:sz w:val="28"/>
          <w:sz w:val="28"/>
          <w:szCs w:val="28"/>
          <w:rtl w:val="true"/>
          <w:lang w:bidi="ar-SA"/>
        </w:rPr>
        <w:t>الموضوع الخارجي ملازم للشك في جعل التكليف له، فيعود الأمر إلى استصحاب عدم جعل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جريان البراءة في الشبهات الموضوعية، وذلك للشك في جعل الحكم الانحلالي على الموضوع الخارجي، فالحكم المشكوك ثبوته في الموضوع الجزئي الخارجي مرفوع بدليل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كذلك، فإنّ عدم الحكم المشكوك البقاء يحكم عليه بالبقاء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وجوه ثلاثة سيق بعضها على 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المذكور محكوم بالاستصحاب الموضوعي فلا مجال له، وإنّ كانت النتيجة متوافقة على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جعل الحرمة لمائع، فإنّ استصحاب عدم جعلها لخصوص هذا المائع محكوم باستصحاب عدم خمريته، وهو متقدم رتبة، ولا إشكال في أنّ الأصل الذي يعالج الشبهة في مرتبة الموضوع مقدم على الأصل الذي يعالج الشبهة في مرتبة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المبنى عدم المنع من جريان الأصل الحاكم والمحكوم في عرض واحد، فيما لو كانت النتيجة واحدة، فلا مانع من جريان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استصحاب العدم الأزلي، ومثله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عدماً نعتياً، كما لو كان خلاً فشك في انقلابه خمراً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الخوئي</w:t>
      </w:r>
      <w:r>
        <w:rPr>
          <w:rStyle w:val="FootnoteAnchor"/>
          <w:rtl w:val="true"/>
        </w:rPr>
        <w:footnoteReference w:id="507"/>
      </w:r>
      <w:r>
        <w:rPr>
          <w:rFonts w:ascii="Amiri" w:hAnsi="Amiri" w:eastAsia="Amiri" w:cs="Amiri"/>
          <w:color w:val="111111"/>
          <w:sz w:val="28"/>
          <w:sz w:val="28"/>
          <w:szCs w:val="28"/>
          <w:rtl w:val="true"/>
          <w:lang w:bidi="ar-SA"/>
        </w:rPr>
        <w:t>يرى جريان استصحاب العدم الأزلي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ذكره ثبوت شبهة المعارضة بين عدم جعل الزائد وبقاء المجعول، حيث ينحل الجعل الكلي بعدد أفراد الموضوعات الجزئية الخارجية، وقد حصر جريانها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شبهة المعارضة تجري في مورد الروايات الصحيحة للاستصحاب، فالمكلف المتطهر يشك في بقاء الطهارة مع الخفقة، وطهارة هذا المكلف الخاص مجعول شرعي؛ لأنّ الشارع كما جعل الطهارة الكلية جعل الطهارة الجزئية بالانحلال، فيستصحب الطهارة، لكنه يتعارض مع استصحاب عدم جعل الشارع للطهارة بعد الخفقة، حيث إنّ الشك في سعة الجعل وضيقه، والأصل عدم الجعل الزائد، فيتعارض الجعل والمجعول، فلا يمكن الحكم بالطهارة، وهو نقيض مفاد الروايات الصحيحة للاستصحاب، ولا يمكن الالتزام بهذا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تخصيصه التعارض بالشبهات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التزامه بوجود الجعل في الشبهات الموضوعية، وإلا لتعارضت أصالة عدم الجعل الزائد، وبقاء المجعول لمرحلة ما بعد الشك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النقض وارد، لكن هنا مطلب خارج عن المقام، وهو أنه يمكن فرض تعارض الجعل والمجعول في بعض الشبهات الموضوعية، وإن كان نادراً، فما ذكر من اختصاص التعارض بالشبهات الحكمية وعدم </w:t>
      </w:r>
    </w:p>
    <w:p>
      <w:pPr>
        <w:pStyle w:val="BookText"/>
        <w:rPr/>
      </w:pPr>
      <w:r>
        <w:rPr>
          <w:rFonts w:ascii="Amiri" w:hAnsi="Amiri" w:eastAsia="Amiri" w:cs="Amiri"/>
          <w:color w:val="111111"/>
          <w:sz w:val="28"/>
          <w:sz w:val="28"/>
          <w:szCs w:val="28"/>
          <w:rtl w:val="true"/>
          <w:lang w:bidi="ar-SA"/>
        </w:rPr>
        <w:t>جريانه في الشبهات الموضوعية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عقد امرأة بالعقد المنقطع إلى الأجل المعلوم، فشك أنه شهر أو شهران، فيتعارض المجعول والجعل في الشبهة الموضوعية، ومقتضى الأول استصحاب بقاء العلقة الزوجية، ومقتضى الثاني عدمه؛ للشك في جعل الزائد على الشهر، والأصل عدمه، فيتعارض بقاء المجعول مع عدم الجعل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استأجر داراً وشك أنه استأجرها سنة أوسنتين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وهو حلّي،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التعدد الحاصل بتعدد الموضوع أنما هو في عالم المجعول، وأما الجعل الثابت على الموضوع الكلي فهو شيء واحد عرفاً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توضيحه ببيان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الجعل، أي ثبوت الحكم في الشريعة، كأن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على المستطيع، فيثبت الحكم وإن لم يوجد المستطيع، وهذه المرحلة مرحلة الوحدة لا تكثر فيها، فإنّ الموضوع واحد وهو المستطيع، والحكم واحد وهو الوجوب، فلا تكثر لا عقلاً ولا عرفاً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يبين المحقق المذكور وجه عدم التكثر، لكن الظاهر أنه تام عرفاً، فهو حكم واحد، وأما عقلاً فربما يوجه بأنّ الموضوع والمحمول متكافئان بالقوة والفعل، ولا يمكن أن يكون الموضوع بالفعل والمحمول بالقوة، فإنّ الموضوع الذي يوجد الآن في أفق الاعتبار محموله موجود بالفعل في أفق </w:t>
      </w:r>
    </w:p>
    <w:p>
      <w:pPr>
        <w:pStyle w:val="BookText"/>
        <w:rPr/>
      </w:pPr>
      <w:r>
        <w:rPr>
          <w:rFonts w:ascii="Amiri" w:hAnsi="Amiri" w:eastAsia="Amiri" w:cs="Amiri"/>
          <w:color w:val="111111"/>
          <w:sz w:val="28"/>
          <w:sz w:val="28"/>
          <w:szCs w:val="28"/>
          <w:rtl w:val="true"/>
          <w:lang w:bidi="ar-SA"/>
        </w:rPr>
        <w:t>الاعتبار، ولا يمكن أن يتعلق المعدوم بالموجود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المصباح أنّ الحكم الانحلالي حكم معدوم؛ لفرض عدم وجود المستطيع في الخارج، وإلا لزم تعلق المعدوم بالموجود، فلا تكثر عقلاً كما لا تكثر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المجعول، أو المجعول بالعرض</w:t>
      </w:r>
      <w:r>
        <w:rPr>
          <w:rStyle w:val="FootnoteAnchor"/>
          <w:rtl w:val="true"/>
        </w:rPr>
        <w:footnoteReference w:id="510"/>
      </w:r>
      <w:r>
        <w:rPr>
          <w:rFonts w:ascii="Amiri" w:hAnsi="Amiri" w:eastAsia="Amiri" w:cs="Amiri"/>
          <w:color w:val="111111"/>
          <w:sz w:val="28"/>
          <w:sz w:val="28"/>
          <w:szCs w:val="28"/>
          <w:rtl w:val="true"/>
          <w:lang w:bidi="ar-SA"/>
        </w:rPr>
        <w:t>، وبتكثر الموضوعات الخارجية تتكثر المجعولات، أي يجب الحج على هذا المستطيع وذاك و هكذا، وهذه الوجوبات الجزئية ليست مجعولة للمولى، وإنما انطباق للمجعول الكلي على مصاديقه، ولم يتعلق به الجعل بالذات، بل الجعل بالعرض، حيث تمَّ ما أراده المولى بالجعل الأول، فلا حالة انتظارية له، بل الحالة الانتظارية للمجعول، بل قد يكون المولى العرفي غافلاً عن 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جعل على الموضوع الجزئي الخارجي، وإنما الجعل على الموضوع الكلي، فكيف يقال باستصحاب عدم جعل الحرمة على المشكوك مع أنه ليس محلاً لجعل المولى، وجعل المولى خاص بالكلي، والماهية المتصورة في أفق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معنى لاستصحاب عدم جعل التحريم للمشكوك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المطلب دقيق موكول إلى محل بحثه في باب اجتماع الأمر والنهي في أنّ الجعل الشرعي متعلق بالماهيات الكلية أو الموضوعات الجزئية الخارجية؟ وهل الماهيات الكلية قابلة لجعل الحكم لها أو لا؟ وإن كانت قابلة فبأيّ معنى يجعل الحكم للماهية الكلية؟ </w:t>
      </w:r>
      <w:bookmarkStart w:id="171" w:name="pg15608_167036"/>
    </w:p>
    <w:p>
      <w:pPr>
        <w:pStyle w:val="BookText"/>
        <w:rPr/>
      </w:pPr>
      <w:bookmarkEnd w:id="171"/>
      <w:r>
        <w:rPr>
          <w:rFonts w:ascii="Amiri" w:hAnsi="Amiri" w:eastAsia="Amiri" w:cs="Amiri"/>
          <w:color w:val="111111"/>
          <w:sz w:val="28"/>
          <w:sz w:val="28"/>
          <w:szCs w:val="28"/>
          <w:rtl w:val="true"/>
          <w:lang w:bidi="ar-SA"/>
        </w:rPr>
        <w:t>أحد اللوازم الاحتمالية لما ذكره في المصباح</w:t>
      </w:r>
      <w:r>
        <w:rPr>
          <w:rStyle w:val="FootnoteAnchor"/>
          <w:rtl w:val="true"/>
        </w:rPr>
        <w:footnoteReference w:id="511"/>
      </w:r>
      <w:r>
        <w:rPr>
          <w:rFonts w:ascii="Amiri" w:hAnsi="Amiri" w:eastAsia="Amiri" w:cs="Amiri"/>
          <w:color w:val="111111"/>
          <w:sz w:val="28"/>
          <w:sz w:val="28"/>
          <w:szCs w:val="28"/>
          <w:rtl w:val="true"/>
          <w:lang w:bidi="ar-SA"/>
        </w:rPr>
        <w:t>نفي التخيير العقلي</w:t>
      </w:r>
      <w:r>
        <w:rPr>
          <w:rStyle w:val="FootnoteAnchor"/>
          <w:rtl w:val="true"/>
        </w:rPr>
        <w:footnoteReference w:id="512"/>
      </w:r>
      <w:r>
        <w:rPr>
          <w:rFonts w:ascii="Amiri" w:hAnsi="Amiri" w:eastAsia="Amiri" w:cs="Amiri"/>
          <w:color w:val="111111"/>
          <w:sz w:val="28"/>
          <w:sz w:val="28"/>
          <w:szCs w:val="28"/>
          <w:rtl w:val="true"/>
          <w:lang w:bidi="ar-SA"/>
        </w:rPr>
        <w:t>، وانحصار التخيير في الشرعي فحسب، حيث إنّ الحكم ثابت للماهية الكلية، فلو كان انحلالياً ثبت الجعل الشرعي للجزئيات الخارجية، وكأن الشارع أشار إلى الأفراد الخارجية وحمل المحمول التخييري عليها، فيكون تخييراً شرعياً لا عقلياً،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أدلة الأصوليين على البراءة</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10086561_2142443653"/>
      <w:bookmarkStart w:id="173" w:name="_Toc65"/>
      <w:bookmarkEnd w:id="172"/>
      <w:r>
        <w:rPr>
          <w:rtl w:val="true"/>
        </w:rPr>
        <w:t>أدلة الأخباريين على الاحتياط</w:t>
      </w:r>
      <w:bookmarkEnd w:id="173"/>
    </w:p>
    <w:p>
      <w:pPr>
        <w:pStyle w:val="Heading3"/>
        <w:numPr>
          <w:ilvl w:val="2"/>
          <w:numId w:val="1"/>
        </w:numPr>
        <w:rPr/>
      </w:pPr>
      <w:bookmarkStart w:id="174" w:name="__RefHeading___Toc10086563_2142443653"/>
      <w:bookmarkStart w:id="175" w:name="_Toc66"/>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يقع الكلام في أدلة الأخباريين على الاحتياط، حيث استدلوا على وجوب الاحتياط في الشبهات الحكمية التحريمية، أو مطلق الشبهات الحكمية 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والعقل</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0086565_2142443653"/>
      <w:bookmarkStart w:id="177" w:name="_Toc67"/>
      <w:bookmarkEnd w:id="176"/>
      <w:r>
        <w:rPr>
          <w:rtl w:val="true"/>
        </w:rPr>
        <w:t>الدليل الأول</w:t>
      </w:r>
      <w:r>
        <w:rPr>
          <w:rtl w:val="true"/>
        </w:rPr>
        <w:t xml:space="preserve">: </w:t>
      </w:r>
      <w:r>
        <w:rPr>
          <w:rtl w:val="true"/>
        </w:rPr>
        <w:t>الاستدلال بالكتاب الكريم</w:t>
      </w:r>
      <w:bookmarkEnd w:id="177"/>
    </w:p>
    <w:p>
      <w:pPr>
        <w:pStyle w:val="Heading4"/>
        <w:numPr>
          <w:ilvl w:val="3"/>
          <w:numId w:val="1"/>
        </w:numPr>
        <w:rPr/>
      </w:pPr>
      <w:bookmarkStart w:id="178" w:name="__RefHeading___Toc10086567_2142443653"/>
      <w:bookmarkStart w:id="179" w:name="_Toc68"/>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أما الكتاب فطوائف</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0086569_2142443653"/>
      <w:bookmarkStart w:id="181" w:name="_Toc69"/>
      <w:bookmarkEnd w:id="180"/>
      <w:r>
        <w:rPr>
          <w:rtl w:val="true"/>
        </w:rPr>
        <w:t>الطائفة الأولى</w:t>
      </w:r>
      <w:bookmarkEnd w:id="18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نهي فيها عن القول بغير العلم،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وآيات </w:t>
      </w:r>
    </w:p>
    <w:p>
      <w:pPr>
        <w:pStyle w:val="BookText"/>
        <w:rPr/>
      </w:pPr>
      <w:r>
        <w:rPr>
          <w:rFonts w:ascii="Amiri" w:hAnsi="Amiri" w:eastAsia="Amiri" w:cs="Amiri"/>
          <w:color w:val="111111"/>
          <w:sz w:val="28"/>
          <w:sz w:val="28"/>
          <w:szCs w:val="28"/>
          <w:rtl w:val="true"/>
          <w:lang w:bidi="ar-SA"/>
        </w:rPr>
        <w:t>أخرى تفيد 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بالترخيص الشرعي قول بغير علم، وهو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بالقول بالاحتياط، فإنه أيضاً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الأخباري لا يفتي بالاحتياط، بل يلتزم بترك المشكوك، والترك لا يستلزم إسناد شيء إلى الشارع، وهو بخلاف الارتكاب على القول بالبراءة، فإنه يستلزم إسناد الترخيص وعدم المنع إلى الشارع</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واضح، فلو كان عمل الأخباري مجرد الترك لم يكن النقض وارداً، لكنه يترك و يردع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الجواب عن النقض</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مقولتين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بالاحتياط، والاحتياط في الفتوى، فلو كان الأخباري يفتي بالاحتياط لكان النقض وارداً، لكن لو احتاط في الفتوى لعدم المؤمن في الاقتحام مع احتمال التحريم، فلا يستلزم إسناد شيء إلى الشارع، حتى ينطبق عليه القول بغير علم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أنّ غرض الأصولي الارتكاب، وهو متوقف على الترخيص بالارتكاب، لكن غرض الأخباري الترك، والترك ليس متوقفاً على ثبوت </w:t>
      </w:r>
    </w:p>
    <w:p>
      <w:pPr>
        <w:pStyle w:val="BookText"/>
        <w:rPr/>
      </w:pPr>
      <w:r>
        <w:rPr>
          <w:rFonts w:ascii="Amiri" w:hAnsi="Amiri" w:eastAsia="Amiri" w:cs="Amiri"/>
          <w:color w:val="111111"/>
          <w:sz w:val="28"/>
          <w:sz w:val="28"/>
          <w:szCs w:val="28"/>
          <w:rtl w:val="true"/>
          <w:lang w:bidi="ar-SA"/>
        </w:rPr>
        <w:t>التحريم، بل يكفي فيه عدم وجود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أدلة البراءة علم تنزيلي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وجداني وتعبدي، وأدلة البراءة علم تعبدي بالحلية الظاهرية، فالقول بالبراءة قول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مبني على استظهار المعنى الأعم من كلمة العلم، أو مبني على قيام الأمارات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مفاد أدلة البراءة العلم الوجداني لا الأعم، فإنّ القول بمؤداها قول بالعلم كالبراءة العقلية، حيث إنها قول بالعلم؛ لإفادتها العلم الوجداني بعدم استحقاق العقاب؛ لأنّ القواعد العقلية قطعية تورث العلم، فقول الأصولي بعدم العقاب قول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دعوى إفادة أدلة البراءة العلم الوجداني لتواترها مثلاً فالقول بها قول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البراءة ليست علماً، ولا تفيد 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تنتهي إلى العلم؛ لأنّ كل ما بالعرض ينتهي إلى ما بالذات، وأدلة البراءة وإن كانت ظنية لكنها تنتهي إلى العلم، ومعه يكون القول بها قولاً بالعلم الوجداني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نظير ما يذكر في الاجتهاد والتقليد، فيما لو أفتى الحي بالبقاء على الميت، فإنه في الواقع تقليد للحي، وهكذا لو أفتى الأعلم بجواز تقليد غير </w:t>
      </w:r>
      <w:bookmarkStart w:id="182" w:name="pg15608_167042"/>
    </w:p>
    <w:p>
      <w:pPr>
        <w:pStyle w:val="BookText"/>
        <w:rPr/>
      </w:pPr>
      <w:bookmarkEnd w:id="182"/>
      <w:r>
        <w:rPr>
          <w:rFonts w:ascii="Amiri" w:hAnsi="Amiri" w:eastAsia="Amiri" w:cs="Amiri"/>
          <w:color w:val="111111"/>
          <w:sz w:val="28"/>
          <w:sz w:val="28"/>
          <w:szCs w:val="28"/>
          <w:rtl w:val="true"/>
          <w:lang w:bidi="ar-SA"/>
        </w:rPr>
        <w:t xml:space="preserve">الأعلم، وقلنا بحجية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لصاحب العروة، حيث يرى 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تقليد للأعلم في الواقع؛ لضمانه الطريق، فالسير فيه مبتنٍ على فتوى الحي أو الأعلم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دلّ على حجية أدلة البراءة الظنية من السنة، قطعية أو منتهية إلى القطع بالمآل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الأصولي بالحلية الظاهرية قول بالعلم، فيمكنه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المشكوك حلال ظاهراً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يمكنه أن يحكم بطهارة الماء المشكوك ظاهراً قطعاً، أي قطعاً حَكَمَ الشارع بطهارته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أدلة البراءة واردة على وجوب دفع الضرر المحتمل، حيث ينتفي الموضوع فلا يحتمل الضرر، كذلك بأدلة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علمية أو منتهية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موضوع الآيات الكريمة، حيث إنّ موضوعها القول بغير العلم</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0086571_2142443653"/>
      <w:bookmarkStart w:id="184" w:name="_Toc70"/>
      <w:bookmarkEnd w:id="183"/>
      <w:r>
        <w:rPr>
          <w:rtl w:val="true"/>
        </w:rPr>
        <w:t>الطائفة الثانية</w:t>
      </w:r>
      <w:bookmarkEnd w:id="184"/>
    </w:p>
    <w:p>
      <w:pPr>
        <w:pStyle w:val="BookText"/>
        <w:rPr/>
      </w:pPr>
      <w:r>
        <w:rPr>
          <w:rFonts w:ascii="Amiri" w:hAnsi="Amiri" w:eastAsia="Amiri" w:cs="Amiri"/>
          <w:color w:val="111111"/>
          <w:sz w:val="28"/>
          <w:sz w:val="28"/>
          <w:szCs w:val="28"/>
          <w:rtl w:val="true"/>
          <w:lang w:bidi="ar-SA"/>
        </w:rPr>
        <w:t>ما نهي فيه عن إلقاء النفس في التهلكة،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التهلكة الدنيوية، وإما العقوبة </w:t>
      </w:r>
    </w:p>
    <w:p>
      <w:pPr>
        <w:pStyle w:val="BookText"/>
        <w:rPr/>
      </w:pPr>
      <w:r>
        <w:rPr>
          <w:rFonts w:ascii="Amiri" w:hAnsi="Amiri" w:eastAsia="Amiri" w:cs="Amiri"/>
          <w:color w:val="111111"/>
          <w:sz w:val="28"/>
          <w:sz w:val="28"/>
          <w:szCs w:val="28"/>
          <w:rtl w:val="true"/>
          <w:lang w:bidi="ar-SA"/>
        </w:rPr>
        <w:t>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التهلكة الدنيوية، فقد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يسمى تهلكة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تطلق التهلكة على كل ضرر، فإنّ معناها الموت أو ما يقرب منه، ولا احتمال لهما في ارتكاب المشتبهات، بل الكثير من المقطوعات، كما لو شرب الماء المتنجس بملامسة الكافر الكتابي له، حيث يحرم شربه قطعاً، لكن لا يحتمل فيه التهلكة وجداناً، إلاّ على قول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ومسنونة زرق كأنياب أغوال</w:t>
      </w:r>
      <w:r>
        <w:rPr>
          <w:rStyle w:val="FootnoteAnchor"/>
          <w:rtl w:val="true"/>
        </w:rPr>
        <w:footnoteReference w:id="519"/>
      </w:r>
      <w:r>
        <w:rPr>
          <w:rFonts w:ascii="Amiri" w:hAnsi="Amiri" w:eastAsia="Amiri" w:cs="Amiri"/>
          <w:color w:val="111111"/>
          <w:sz w:val="28"/>
          <w:sz w:val="28"/>
          <w:szCs w:val="28"/>
          <w:rtl w:val="true"/>
          <w:lang w:bidi="ar-SA"/>
        </w:rPr>
        <w:t xml:space="preserve">، فكيف بارتكاب المشتبهات، كأكل مقدار أنملة من الطعام المحترق مع الشك في حرمة أكل المحترق نعم، قد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التهلكة في بعض المشتبهات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بالتهلكة العقاب الأخروي فيقطع بعدمه؛ لوجود المؤمّن، وهو أدلة البراءة،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xml:space="preserve">إلى آخرها، </w:t>
      </w:r>
    </w:p>
    <w:p>
      <w:pPr>
        <w:pStyle w:val="BookText"/>
        <w:rPr/>
      </w:pPr>
      <w:r>
        <w:rPr>
          <w:rFonts w:ascii="Amiri" w:hAnsi="Amiri" w:eastAsia="Amiri" w:cs="Amiri"/>
          <w:color w:val="111111"/>
          <w:sz w:val="28"/>
          <w:sz w:val="28"/>
          <w:szCs w:val="28"/>
          <w:rtl w:val="true"/>
          <w:lang w:bidi="ar-SA"/>
        </w:rPr>
        <w:t>فلا احتمال للعقاب مع التأمين الشرعي، والأصولي قاطع بعدمه مع ارتكاب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 ما ذكره بعض المتأخرين</w:t>
      </w:r>
      <w:r>
        <w:rPr>
          <w:rStyle w:val="FootnoteAnchor"/>
          <w:rtl w:val="true"/>
        </w:rPr>
        <w:footnoteReference w:id="5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مجملة؛ لاحتمال 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تسرفوا في الإنفاق كي لا يكون إلقاءً للنفس في التهلكة، وأحسنوا واقتصدوا في ذلك، 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،كما أنّ بعض الروايات الواردة في تفسير البرهان</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ونور الثقلين</w:t>
      </w:r>
      <w:r>
        <w:rPr>
          <w:rStyle w:val="FootnoteAnchor"/>
          <w:rtl w:val="true"/>
        </w:rPr>
        <w:footnoteReference w:id="526"/>
      </w:r>
      <w:r>
        <w:rPr>
          <w:rFonts w:ascii="Amiri" w:hAnsi="Amiri" w:eastAsia="Amiri" w:cs="Amiri"/>
          <w:color w:val="111111"/>
          <w:sz w:val="28"/>
          <w:sz w:val="28"/>
          <w:szCs w:val="28"/>
          <w:rtl w:val="true"/>
          <w:lang w:bidi="ar-SA"/>
        </w:rPr>
        <w:t>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الجملة تأكيداً لمضمون الجملة 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 في سبيل اللّه ولا تبخلوا وتمتنعوا، كيلا يكون إلقاءً للنفس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استظهر أحد الاحتمالين فلا بحث، وإلاّ فهي مجملة وتكون الآية أجنبية، أو يحتمل أن تكون أجنبية عن الاقتحام في الشبهات الحكمية، ولا تنهض دليلاً للأخباري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 المورد لا يخصص الوارد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المتعددة التي استدل بها على حرمة الإلقاء في التهلكة، </w:t>
      </w:r>
      <w:bookmarkStart w:id="185" w:name="pg15608_167048"/>
    </w:p>
    <w:p>
      <w:pPr>
        <w:pStyle w:val="BookText"/>
        <w:rPr/>
      </w:pPr>
      <w:bookmarkEnd w:id="185"/>
      <w:r>
        <w:rPr>
          <w:rFonts w:ascii="Amiri" w:hAnsi="Amiri" w:eastAsia="Amiri" w:cs="Amiri"/>
          <w:color w:val="111111"/>
          <w:sz w:val="28"/>
          <w:sz w:val="28"/>
          <w:szCs w:val="28"/>
          <w:rtl w:val="true"/>
          <w:lang w:bidi="ar-SA"/>
        </w:rPr>
        <w:t>وقد وردت في البرهان ونور الثقلين</w:t>
      </w:r>
      <w:r>
        <w:rPr>
          <w:rStyle w:val="FootnoteAnchor"/>
          <w:rtl w:val="true"/>
        </w:rPr>
        <w:footnoteReference w:id="5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ومنها رواية الإمام الرضا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قبول ولاية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نهاني اللّه عزّ وجل أن ألقي بنفسي في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معنى الآية بقرينة تلك الروايات الأعم من الاحتمالين المذكورين، والإسراف في الإنفاق، والامتناع عنه من مصاديق ذلك المعنى العام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0086573_2142443653"/>
      <w:bookmarkStart w:id="187" w:name="_Toc71"/>
      <w:bookmarkEnd w:id="186"/>
      <w:r>
        <w:rPr>
          <w:rtl w:val="true"/>
        </w:rPr>
        <w:t>الطائفة الثالثة</w:t>
      </w:r>
      <w:bookmarkEnd w:id="187"/>
    </w:p>
    <w:p>
      <w:pPr>
        <w:pStyle w:val="BookText"/>
        <w:rPr/>
      </w:pPr>
      <w:r>
        <w:rPr>
          <w:rFonts w:ascii="Amiri" w:hAnsi="Amiri" w:eastAsia="Amiri" w:cs="Amiri"/>
          <w:color w:val="111111"/>
          <w:sz w:val="28"/>
          <w:sz w:val="28"/>
          <w:szCs w:val="28"/>
          <w:rtl w:val="true"/>
          <w:lang w:bidi="ar-SA"/>
        </w:rPr>
        <w:t>الآيات الدالة على لزوم التقوى والجهاد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وسائر الآيات الواردة بهذا المضمون، وارتكاب المشتبهات منافٍ للتقوى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العمل على طبق البراءة بعد تمامية دليلها لا يعد منافياً للتقوى وجهاد النفس</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لعدم كون المأمور به في الآيات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واقتحام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تمامية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لهذا المعنى، فإنذ للتقوى عرضاً عريضاً، خاصة مع 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فمرتبة منها فعل الواجبات وترك المحرمات، ومرتبة أخرى فعل المستحبات وترك المكروهات، ومرتبة ثالثة ترك الشبهات، ولا </w:t>
      </w:r>
    </w:p>
    <w:p>
      <w:pPr>
        <w:pStyle w:val="BookText"/>
        <w:rPr/>
      </w:pPr>
      <w:r>
        <w:rPr>
          <w:rFonts w:ascii="Amiri" w:hAnsi="Amiri" w:eastAsia="Amiri" w:cs="Amiri"/>
          <w:color w:val="111111"/>
          <w:sz w:val="28"/>
          <w:sz w:val="28"/>
          <w:szCs w:val="28"/>
          <w:rtl w:val="true"/>
          <w:lang w:bidi="ar-SA"/>
        </w:rPr>
        <w:t xml:space="preserve">إشكال أنّ اقتحام الشبهات وترك المستحبات وارتكاب المكروهات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حق تقاته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العرفي شاهد لذلك، فلو أمر الأب ابنه لا على نحو الوجوب، فلم يطعه لم يكن قد أطاعه حق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الجواب بأحد 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التصرف في ظهور الهيئة أو ظهور المادة، فإن العرف محكم في تقديم أقوى الظهورين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نحن فيه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الوجوب، لكن خصوصية المادة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لها ظهور مخالف، فهي ظاهرة في مطلق الرجحان؛ لعدم وجوبها بما لها من العرض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دائر بين التصرف في المادة وإبقاء الهيئة على الوجوب، فيكون المراد من المادة التقوى في خصوص الواجبات والمحرمات، وبين التصرف في ظهور الهيئة في الوجوب وإبقاء ظهور المادة في العموم، فيكون المراد من الهيئة مطلق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في نظر العرف أولوية التصرف في ظهور الهيئة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حيث إنّ الهيئة ظاهرة في الوجوب، والمادة ظاهرة في الاستحباب؛ لعدم وجوب الاستباق في المستحبات قطعاً، فيدور الأمر بين التصرف في أحد الظهورين، وقد يدّعى </w:t>
      </w:r>
      <w:bookmarkStart w:id="188" w:name="pg15608_167052"/>
    </w:p>
    <w:p>
      <w:pPr>
        <w:pStyle w:val="BookText"/>
        <w:rPr/>
      </w:pPr>
      <w:bookmarkEnd w:id="188"/>
      <w:r>
        <w:rPr>
          <w:rFonts w:ascii="Amiri" w:hAnsi="Amiri" w:eastAsia="Amiri" w:cs="Amiri"/>
          <w:color w:val="111111"/>
          <w:sz w:val="28"/>
          <w:sz w:val="28"/>
          <w:szCs w:val="28"/>
          <w:rtl w:val="true"/>
          <w:lang w:bidi="ar-SA"/>
        </w:rPr>
        <w:t>أنّ التصرف في ظهور الهيئة أولى في نظر العرف، فنحملها على مطلق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بالتقوى إما مولوي وإما إرشادي، ولا مصير إلى الأول، وإلا لزم تعدد العقوبة في مورد المخالفة، فمن اغتاب عوقب مرتين لمخالفته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ولمخالفته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سبيل للالتزام به، وقد ثبت في محله أنّ أوامر الطاعة والمعصية إرشادية، والقاعدة العامة في جميعها أنها تابعة في اللزوم وعدمه للمرشد إليه، فلو كان واجباً وجب وإلا فلا، كأوامر الطبيب، حيث لا يترتب على الهيئة شيء، ولا بد من ملاحظة الملاك الموجود في المادة، هل هو لازم التحصيل أم لا؟</w:t>
      </w:r>
    </w:p>
    <w:p>
      <w:pPr>
        <w:pStyle w:val="BookText"/>
        <w:rPr/>
      </w:pPr>
      <w:r>
        <w:rPr>
          <w:rFonts w:ascii="Amiri" w:hAnsi="Amiri" w:eastAsia="Amiri" w:cs="Amiri"/>
          <w:color w:val="111111"/>
          <w:sz w:val="28"/>
          <w:sz w:val="28"/>
          <w:szCs w:val="28"/>
          <w:rtl w:val="true"/>
          <w:lang w:bidi="ar-SA"/>
        </w:rPr>
        <w:t>وعليه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إرشادي، ولا يدل على الوجوب بأي نحو من الأنحاء، بل لا بد من ملاحظة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حق التقاة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أم لا، وأنّ الملاك لازم التحصيل أم لا؟ والحكم لا يتكفل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الثالثة لا تدل على وجوب الاحتياط في الشبهات الحكمية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0086575_2142443653"/>
      <w:bookmarkStart w:id="190" w:name="_Toc72"/>
      <w:bookmarkEnd w:id="189"/>
      <w:r>
        <w:rPr>
          <w:rtl w:val="true"/>
        </w:rPr>
        <w:t>الطائفة الرابعة</w:t>
      </w:r>
      <w:bookmarkEnd w:id="19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دل على الرد إلى اللّه والرسول،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191" w:name="pg15608_167054"/>
    </w:p>
    <w:p>
      <w:pPr>
        <w:pStyle w:val="BookText"/>
        <w:rPr/>
      </w:pPr>
      <w:bookmarkEnd w:id="191"/>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الآية النزاع والخصام، وموضوع محل البحث الشك، ولا 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للخدشة، فإنه وإن كان موضوع البحث في المقام الشك لكنه شك انتهى إلى النزاع والخصام بين الأصوليين والأخباريين، فيكون مشمولاً للآية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فالأولى في الجواب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الرد إلى اللّه والرسول من قبل الأصوليين حاصل، وقد عملوا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وقوله</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إلى آخر الأدلة الدالة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الدليل الأول</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086577_2142443653"/>
      <w:bookmarkStart w:id="193" w:name="_Toc73"/>
      <w:bookmarkEnd w:id="192"/>
      <w:r>
        <w:rPr>
          <w:rtl w:val="true"/>
        </w:rPr>
        <w:t>الدليل الثاني</w:t>
      </w:r>
      <w:r>
        <w:rPr>
          <w:rtl w:val="true"/>
        </w:rPr>
        <w:t xml:space="preserve">: </w:t>
      </w:r>
      <w:r>
        <w:rPr>
          <w:rtl w:val="true"/>
        </w:rPr>
        <w:t>الاستدلال بالسنة المطهرة</w:t>
      </w:r>
      <w:bookmarkEnd w:id="193"/>
    </w:p>
    <w:p>
      <w:pPr>
        <w:pStyle w:val="Heading4"/>
        <w:numPr>
          <w:ilvl w:val="3"/>
          <w:numId w:val="1"/>
        </w:numPr>
        <w:rPr/>
      </w:pPr>
      <w:bookmarkStart w:id="194" w:name="__RefHeading___Toc10086579_2142443653"/>
      <w:bookmarkStart w:id="195" w:name="_Toc7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وأما الدليل الثاني، فقد استدل الأخباريون بالسنة الشريفة على وجوب الاحتياط، وهي تتنوع إلى طوائف</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0086581_2142443653"/>
      <w:bookmarkStart w:id="197" w:name="_Toc75"/>
      <w:bookmarkEnd w:id="196"/>
      <w:r>
        <w:rPr>
          <w:rtl w:val="true"/>
        </w:rPr>
        <w:t>الطائفة الأولى</w:t>
      </w:r>
      <w:r>
        <w:rPr>
          <w:rtl w:val="true"/>
        </w:rPr>
        <w:t xml:space="preserve">: </w:t>
      </w:r>
      <w:r>
        <w:rPr>
          <w:rtl w:val="true"/>
        </w:rPr>
        <w:t>ما أمر فيه بالوقوف عند الشبهة</w:t>
      </w:r>
      <w:bookmarkEnd w:id="197"/>
    </w:p>
    <w:p>
      <w:pPr>
        <w:pStyle w:val="Heading5"/>
        <w:numPr>
          <w:ilvl w:val="4"/>
          <w:numId w:val="1"/>
        </w:numPr>
        <w:rPr/>
      </w:pPr>
      <w:bookmarkStart w:id="198" w:name="__RefHeading___Toc10086583_2142443653"/>
      <w:bookmarkStart w:id="199" w:name="_Toc76"/>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وفيها بحثان سندي ودلالي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فقد قال في المنتقى</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عدم تواترها، بل عدم بلوغها حدَّ الاستفاضة، فضلاً عن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خمس 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عن أبي عبد اللّه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 بن زياد، عن الصادق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تجامعوا في النكاح على الشبهة، وقفوا عند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الوقوف عند الشبهة خير من الاقتحام في الهلكة</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سعيد الزهري، عن أبي جعفر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داوود بن فرقد، عن أبي شيبة،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عن الصادق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عن علي</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الوقوف عند الشبهة خير من الاقتحام في التهلكة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من وجوه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كفاية هذا المقدار في حصول التواتر، فالإخبارات المتكررة والمتكثرة التي تفيد العلم يصطلح عليها بالمتواترة، وهل يحتمل أنّ هذه الأخبار الخمسة مجعولة؟ نعم، قد يكون الخبر محاطاً </w:t>
      </w:r>
    </w:p>
    <w:p>
      <w:pPr>
        <w:pStyle w:val="BookText"/>
        <w:rPr/>
      </w:pPr>
      <w:r>
        <w:rPr>
          <w:rFonts w:ascii="Amiri" w:hAnsi="Amiri" w:eastAsia="Amiri" w:cs="Amiri"/>
          <w:color w:val="111111"/>
          <w:sz w:val="28"/>
          <w:sz w:val="28"/>
          <w:szCs w:val="28"/>
          <w:rtl w:val="true"/>
          <w:lang w:bidi="ar-SA"/>
        </w:rPr>
        <w:t>بما يسلب العلم؛ لاحتمال التواطؤ على الكذب أو الاشتباه في الحس، كما في رؤية الهلال، لكن لا احتمال للخلاف فيما لم يكن محاطاً بقرائن مضادة،كما لو أخبر خمسة بمجيء زيد من السفر حيث يفيد العلم، بل قد يحصل القطع بخبر واحد مع عدم وجود داع للجعل والكذب، وإن لم يصطلح عليه بالمتواتر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الأخبار المتضمنة للوقوف عند الشبهات فيما ذكر، بل يمكن دعوى بلوغها العشرات إن كان القول بالمئات مبالغة،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 مَن صرحت له العبر عما بين يديه من المثلات حجزته التقوى عن تقحم الشبهات</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فيا عجبي و ما لي لا أعجب، من خطأ هذه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في الشبهات ويسيرون في الشهوات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فليكن طلبك ذلك بتفهم وتعلم، لا بتورط الشبهات</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وإذا لم يتق الشبهات وقع في الحرام وهو لا يعرفه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اتقى الشبهات فقد استبرأ لدينه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فإنّ الشبهة مظنة الخطيئة، والخطيئة مجلبة العقوبة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فاحذر الشبهة</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واحذروا الشبهة فإنها وضعت للفتنة</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ورود مرادفات في الروايات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نفس المعنى، وقد وردت بالألفاظ الآتية أمراً أو نهياً أو ترغيباً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التثبت</w:t>
      </w:r>
      <w:r>
        <w:rPr>
          <w:rFonts w:eastAsia="IRNazanin" w:cs="IRNazanin"/>
          <w:color w:val="111111"/>
          <w:sz w:val="28"/>
          <w:szCs w:val="28"/>
          <w:rtl w:val="true"/>
          <w:lang w:bidi="fa-IR"/>
        </w:rPr>
        <w:t>)</w:t>
      </w:r>
      <w:r>
        <w:rPr>
          <w:rStyle w:val="FootnoteAnchor"/>
          <w:rtl w:val="true"/>
        </w:rPr>
        <w:footnoteReference w:id="55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الثبات عن التوغل فيما لا يعلم</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فما اشتبه عليك أمره فالفظه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كل شائبة أولجتك في شبهة</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 ورد العلم إلى اللّه</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200" w:name="pg15608_167062"/>
    </w:p>
    <w:p>
      <w:pPr>
        <w:pStyle w:val="BookText"/>
        <w:rPr/>
      </w:pPr>
      <w:bookmarkEnd w:id="200"/>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جاءت بهذه الألفاظ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متواترة ولا مستفيضة، إلا أنّ الاستدلال لا يتوقف عليه، بل يكفي الاعتبار، وفيما ذكر في المنتقى روايات معتبرة كالرواية الأولى، أي مقبولة عمر بن حنظلة، والرواية الثانية التي رواها الشيخ الطوسي بإسناده عن محمد بن أحمد بن يحيى</w:t>
      </w:r>
      <w:r>
        <w:rPr>
          <w:rStyle w:val="FootnoteAnchor"/>
          <w:rtl w:val="true"/>
        </w:rPr>
        <w:footnoteReference w:id="5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هارون بن مسلم</w:t>
      </w:r>
      <w:r>
        <w:rPr>
          <w:rStyle w:val="FootnoteAnchor"/>
          <w:rtl w:val="true"/>
        </w:rPr>
        <w:footnoteReference w:id="557"/>
      </w:r>
      <w:r>
        <w:rPr>
          <w:rFonts w:ascii="Amiri" w:hAnsi="Amiri" w:eastAsia="Amiri" w:cs="Amiri"/>
          <w:color w:val="111111"/>
          <w:sz w:val="28"/>
          <w:sz w:val="28"/>
          <w:szCs w:val="28"/>
          <w:rtl w:val="true"/>
          <w:lang w:bidi="ar-SA"/>
        </w:rPr>
        <w:t>، عن مسعدة بن زياد</w:t>
      </w:r>
      <w:r>
        <w:rPr>
          <w:rStyle w:val="FootnoteAnchor"/>
          <w:rtl w:val="true"/>
        </w:rPr>
        <w:footnoteReference w:id="558"/>
      </w:r>
      <w:r>
        <w:rPr>
          <w:rFonts w:ascii="IRNazanin" w:hAnsi="IRNazanin" w:eastAsia="IRNazanin"/>
          <w:color w:val="111111"/>
          <w:sz w:val="28"/>
          <w:sz w:val="28"/>
          <w:szCs w:val="28"/>
          <w:rtl w:val="true"/>
          <w:lang w:bidi="fa-IR"/>
        </w:rPr>
        <w:t>، عن الصادق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تجامعوا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 إشكال في سند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وجوب الاحتياط</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0086585_2142443653"/>
      <w:bookmarkStart w:id="202" w:name="_Toc77"/>
      <w:bookmarkEnd w:id="201"/>
      <w:r>
        <w:rPr>
          <w:rtl w:val="true"/>
        </w:rPr>
        <w:t>فقد أشكل عليها بإشكالات</w:t>
      </w:r>
      <w:bookmarkEnd w:id="202"/>
    </w:p>
    <w:p>
      <w:pPr>
        <w:pStyle w:val="Heading6"/>
        <w:numPr>
          <w:ilvl w:val="5"/>
          <w:numId w:val="1"/>
        </w:numPr>
        <w:rPr/>
      </w:pPr>
      <w:bookmarkStart w:id="203" w:name="__RefHeading___Toc10086587_2142443653"/>
      <w:bookmarkStart w:id="204" w:name="_Toc78"/>
      <w:bookmarkEnd w:id="203"/>
      <w:r>
        <w:rPr>
          <w:rtl w:val="true"/>
        </w:rPr>
        <w:t>الإشكال الأول</w:t>
      </w:r>
      <w:bookmarkEnd w:id="204"/>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وهو ظاهر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لجهتين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بمعنى الأخير، وهو دال على الرجحان والاستحباب لا على التعين والوجوب، لكن قد تنسلخ صيغة أفعل التفضيل عن معناها، فتدل على الوجوب أو التعين، ولذلك شواهد في القرآن والروايات واللغة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القرآن،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خَيْرٌ أَمَّا يُشْرِكُونَ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حيث انسلخ عن الترجيح، ولا يدل على الأخير، والذي يلازمه وجود الخير في مقابله، بل يدل على الخير المطلق، والذي يقابله الشر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أَذَلِكَ خَيْرٌ نُّزُلًا أَمْ شَجَرَةُ الزَّقُّومِ</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يُلْقَى فِي النَّارِ خَيْرٌ أَم مَّن يَأْتِي آمِنًا يَوْمَ الْقِيَامَةِ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آيات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لئن أفطر يوماً من شهر رمضان فأقضيه أحب إليّ من أن يضرب عنقي</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لئن أصلي بعد الوقت أحبّ إلى من أن أصلي قبل الوقت</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اللغة استشهد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الناقص والأشج أعدلا بني مروان</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فبزعم القائل أنهما عادلا بني مروان لا أنهما الأعدل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نحو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المعين في المقام للانسلاخ فقرينتان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المفضل عليه، فإنّ 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الاقتحام في </w:t>
      </w:r>
      <w:bookmarkStart w:id="205" w:name="pg15608_167066"/>
    </w:p>
    <w:p>
      <w:pPr>
        <w:pStyle w:val="BookText"/>
        <w:rPr/>
      </w:pPr>
      <w:bookmarkEnd w:id="205"/>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فالوقوف عند الشبهة خير يقابله الشر، لا أنه الأفضل ويقابله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المقبولة، فإنّ مناسبة العلية والمعلولية تقتضي تعليل الوجوب بالوجوب، ولا يعقل عرفاً تعليله بالاستحباب، وقد علل في المقبولة وجوب الإرجاء</w:t>
      </w:r>
      <w:r>
        <w:rPr>
          <w:rStyle w:val="FootnoteAnchor"/>
          <w:rtl w:val="true"/>
        </w:rPr>
        <w:footnoteReference w:id="565"/>
      </w:r>
      <w:r>
        <w:rPr>
          <w:rFonts w:ascii="Amiri" w:hAnsi="Amiri" w:eastAsia="Amiri" w:cs="Amiri"/>
          <w:color w:val="111111"/>
          <w:sz w:val="28"/>
          <w:sz w:val="28"/>
          <w:szCs w:val="28"/>
          <w:rtl w:val="true"/>
          <w:lang w:bidi="ar-SA"/>
        </w:rPr>
        <w:t>بأنّ الوقوف في الشبهة خير من الاقتحام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 دال على الوجوب والتعين للقرينتين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انحصار الروايات في ما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الأمر بذلك، كقوله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فاحذر الشبهة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وهو دال على الوجوب، وهكذا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وإذا لم يتق الشبهات وقع في الحرام</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 وقوله</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حجزته التقوى عن تقحم الشبهات</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إلى أخر الروايات التي مرت</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0086589_2142443653"/>
      <w:bookmarkStart w:id="207" w:name="_Toc79"/>
      <w:bookmarkEnd w:id="206"/>
      <w:r>
        <w:rPr>
          <w:rtl w:val="true"/>
        </w:rPr>
        <w:t>الإشكال الثاني</w:t>
      </w:r>
      <w:bookmarkEnd w:id="20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بعض المتأخرين</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دائر بين حمل الأمر</w:t>
      </w:r>
      <w:r>
        <w:rPr>
          <w:rStyle w:val="FootnoteAnchor"/>
          <w:rtl w:val="true"/>
        </w:rPr>
        <w:footnoteReference w:id="570"/>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الاستحباب، أو تخصيص الروايات بالشبهات الموضوعية، ولا سبيل إلى الثاني لإباء الكبرى المذكورة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الروايات المذكورة تنحل إلى قضيتين مطويتين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اقتحام الشبهة معرضية الوقوع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معرضية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والتخصيص في القضية الثانية غير ممكن، فلا يمكن القول بأنّ الوقوف في الشبهة خير من الاقتحام في الهلكة إلا في الشبهات الموضوعية، والشبهات الحكمية الوجوبية</w:t>
      </w:r>
      <w:r>
        <w:rPr>
          <w:rStyle w:val="FootnoteAnchor"/>
          <w:rtl w:val="true"/>
        </w:rPr>
        <w:footnoteReference w:id="571"/>
      </w:r>
      <w:r>
        <w:rPr>
          <w:rFonts w:ascii="Amiri" w:hAnsi="Amiri" w:eastAsia="Amiri" w:cs="Amiri"/>
          <w:color w:val="111111"/>
          <w:sz w:val="28"/>
          <w:sz w:val="28"/>
          <w:szCs w:val="28"/>
          <w:rtl w:val="true"/>
          <w:lang w:bidi="ar-SA"/>
        </w:rPr>
        <w:t>، لكنه ممكن في القضية الأولى، فالاقتحام في الشبهة فيه معرضية الوقوع في الهلكة إلاّ في الموردين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تخصيصهما أنما هو عن القضية الأولى لا الثانية، فليس التخصيص بمعنى عدم المحذور في اقتحام الهلكة في الموردين، فإنه غير معقول، وإنما بمعنى عدم كونهما في معرضية الهلكة، فإنّ الشارع يعلم أنّ في الشبهات الموضوعية لا معرضية للعقوبة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من الإباء عن التخصيص محل نظر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الحمل على الاستحباب فهو خلاف الظاهر جداً، إلا على التخريج الذي سيأتي في معنى الهلكة</w:t>
      </w:r>
      <w:r>
        <w:rPr>
          <w:rFonts w:eastAsia="Amiri" w:cs="Amiri" w:ascii="Amiri" w:hAnsi="Amiri"/>
          <w:color w:val="111111"/>
          <w:sz w:val="28"/>
          <w:szCs w:val="28"/>
          <w:rtl w:val="true"/>
          <w:lang w:bidi="ar-SA"/>
        </w:rPr>
        <w:t xml:space="preserve">. </w:t>
      </w:r>
      <w:bookmarkStart w:id="208" w:name="pg15608_167069"/>
    </w:p>
    <w:p>
      <w:pPr>
        <w:pStyle w:val="Heading6"/>
        <w:numPr>
          <w:ilvl w:val="5"/>
          <w:numId w:val="1"/>
        </w:numPr>
        <w:rPr/>
      </w:pPr>
      <w:bookmarkStart w:id="209" w:name="__RefHeading___Toc10086591_2142443653"/>
      <w:bookmarkStart w:id="210" w:name="_Toc80"/>
      <w:bookmarkEnd w:id="208"/>
      <w:bookmarkEnd w:id="209"/>
      <w:r>
        <w:rPr>
          <w:rtl w:val="true"/>
        </w:rPr>
        <w:t>الإشكال الثالث</w:t>
      </w:r>
      <w:bookmarkEnd w:id="210"/>
    </w:p>
    <w:p>
      <w:pPr>
        <w:pStyle w:val="BookText"/>
        <w:rPr/>
      </w:pPr>
      <w:r>
        <w:rPr>
          <w:rFonts w:ascii="Amiri" w:hAnsi="Amiri" w:eastAsia="Amiri" w:cs="Amiri"/>
          <w:color w:val="111111"/>
          <w:sz w:val="28"/>
          <w:sz w:val="28"/>
          <w:szCs w:val="28"/>
          <w:rtl w:val="true"/>
          <w:lang w:bidi="ar-SA"/>
        </w:rPr>
        <w:t>ما ذكره في المصباح</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فيما يكون الأمر فيه ملتبساً بقول مطلق، ولا شبهة مع الترخيص الظاهري، حيث يكون المورد معلوم الحلية ويخرج موضوعاً عن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ذكر في نظيره في باب القرعة، حيث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والمراد منها ما يكون كذلك بقول مطلق، أي لا طريق إلى معرفة حكمه، لا واقعاً ولا ظاهراً، ومع وجود الطريق الظاهري يخرج الموضوع عن كونه مشكلاً و مجهولاً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متين و لكن كأنه ينافيه مورد بعض الروايات، حيث أطلقت الشبهة فيها مع وجود الطريق الظاهري لحلّها، كقوله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لا تجامعوا في النكاح على الشبهة</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فأمر بالوقوف عند الشبهة مع وجود الأصل الظاهري الرافع للاشتباه، وهو استصحاب العدم النعتي، حيث لم تكن حين الولادة أختاً رضاعية فيستصحب</w:t>
      </w:r>
      <w:r>
        <w:rPr>
          <w:rFonts w:eastAsia="Amiri" w:cs="Amiri" w:ascii="Amiri" w:hAnsi="Amiri"/>
          <w:color w:val="111111"/>
          <w:sz w:val="28"/>
          <w:szCs w:val="28"/>
          <w:rtl w:val="true"/>
          <w:lang w:bidi="ar-SA"/>
        </w:rPr>
        <w:t xml:space="preserve">. </w:t>
      </w:r>
      <w:bookmarkStart w:id="211" w:name="pg15608_167071"/>
    </w:p>
    <w:p>
      <w:pPr>
        <w:pStyle w:val="Heading6"/>
        <w:numPr>
          <w:ilvl w:val="5"/>
          <w:numId w:val="1"/>
        </w:numPr>
        <w:rPr/>
      </w:pPr>
      <w:bookmarkStart w:id="212" w:name="__RefHeading___Toc10086593_2142443653"/>
      <w:bookmarkStart w:id="213" w:name="_Toc81"/>
      <w:bookmarkEnd w:id="211"/>
      <w:bookmarkEnd w:id="212"/>
      <w:r>
        <w:rPr>
          <w:rtl w:val="true"/>
        </w:rPr>
        <w:t>الإشكال الرابع</w:t>
      </w:r>
      <w:bookmarkEnd w:id="213"/>
    </w:p>
    <w:p>
      <w:pPr>
        <w:pStyle w:val="BookText"/>
        <w:rPr/>
      </w:pPr>
      <w:r>
        <w:rPr>
          <w:rFonts w:ascii="Amiri" w:hAnsi="Amiri" w:eastAsia="Amiri" w:cs="Amiri"/>
          <w:color w:val="111111"/>
          <w:sz w:val="28"/>
          <w:sz w:val="28"/>
          <w:szCs w:val="28"/>
          <w:rtl w:val="true"/>
          <w:lang w:bidi="ar-SA"/>
        </w:rPr>
        <w:t>ما ذكره المحقق العراقي، 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التعليل تقدم الهلكة على الأمر بالوقوف، فلا يعقل أن تكون الهلكة مترتبة على الأمر بالوقوف، فإنه يستلزم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التعليل</w:t>
      </w:r>
      <w:r>
        <w:rPr>
          <w:rStyle w:val="FootnoteAnchor"/>
          <w:rtl w:val="true"/>
        </w:rPr>
        <w:footnoteReference w:id="576"/>
      </w:r>
      <w:r>
        <w:rPr>
          <w:rFonts w:ascii="Amiri" w:hAnsi="Amiri" w:eastAsia="Amiri" w:cs="Amiri"/>
          <w:color w:val="111111"/>
          <w:sz w:val="28"/>
          <w:sz w:val="28"/>
          <w:szCs w:val="28"/>
          <w:rtl w:val="true"/>
          <w:lang w:bidi="ar-SA"/>
        </w:rPr>
        <w:t>هو كون الهلكة المترتبة على الاقتحام مفروضة الوجود، والتحقق، مع قطع النظر عن الأمر بالتوقف، وأنها هي العلة للأمر بالوقوف، ولا يمكن فرض وجود الهلكة إلا بفرض منشأ آخر لها في الرتبة السابقة عن الأمر بالتوقف، من علم إجمالي ونحوه يكون هو المنجز للتكليف، والرافع لقبح العقاب بلا بيان، وإلا فيستحيل ترتب الهلكة المفروضة على نفس هذه الأوامر المتأخرة عنها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تفرض الهلكة في موارد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قبل الأمر بقف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عنه، وذلك لتحقق العلم الإجمالي والاقتحام في أطرافه اقتحام في الهلكة، فيحكم العقل بوجوب الوقوف، فيكون الأمر الشرعي إرشادياً ومعللاً بالوقوع في الهلكة أو معرضيته، ومن الطبيعي تقدم كل علة على معلولها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الشبهات البدوية فمقصود الأخباري ترتّب الهلكة على الأمر، وهي متقدمة عليه بمقتضى التعليل، فلا يمكن أن تكون مترتبةً عليه، فلا بد من فرض الهلكة حتى يعلل بالأمر، ولا هلكة لقبح العقاب، وهذا هو تقدم </w:t>
      </w:r>
    </w:p>
    <w:p>
      <w:pPr>
        <w:pStyle w:val="BookText"/>
        <w:rPr/>
      </w:pPr>
      <w:r>
        <w:rPr>
          <w:rFonts w:ascii="Amiri" w:hAnsi="Amiri" w:eastAsia="Amiri" w:cs="Amiri"/>
          <w:color w:val="111111"/>
          <w:sz w:val="28"/>
          <w:sz w:val="28"/>
          <w:szCs w:val="28"/>
          <w:rtl w:val="true"/>
          <w:lang w:bidi="ar-SA"/>
        </w:rPr>
        <w:t>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من نظر في بادئ النظر، فإنّ الهلكة غير مترتبة على الأمر، بل مكشوفة به، فيندفع إشكال التقدم والتأخر، كجميع الأدلة الإنية التي ينتقل فيها من المعلول إلى العلة، فالنار والدخان كلاهما متقدمان، الأول في الوجود الخارجي، والثاني في الوجود العلمي، أي الكشف ولا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ترتب الهلكة المفروضة على نفس هذه الأوامر المتأخرة عنها</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محل تأمل، حيث لا نقول بأنّ الهلكة مترتبة على الأوامر، بل مشكوفة بها، فالعلة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على الأمر وعلة له، ويكشف عنها به، فالهلكة في رتبة متقدمة عن الأمر وعلة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بالوقوف عند الشبهة مطلق يشمل موارد العلم الإجمالي والشبهة الحكمية قبل الفحص وبعده، فيكشف به عن وجود الهلكة في اقتحام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المولى ينهى ابتداءً عن شرب التتن لوجود الهلكة فيه، فيدل على التحريم، ولا يرد الإشكال بأنّ الهلكة متقدمة، فلا يعقل أن تكون متأخرة؛ وذلك لأنّ الهلكة علة الأمر وهي متقدمة عليه، والأمر كاشف عن وجودها المتقدم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أن يبين المولى هذا المعنى بالعموم أو بالخصوص، وإن كان الأمر بحاجة إلى تأمل أكثر</w:t>
      </w:r>
      <w:r>
        <w:rPr>
          <w:rFonts w:eastAsia="Amiri" w:cs="Amiri" w:ascii="Amiri" w:hAnsi="Amiri"/>
          <w:color w:val="111111"/>
          <w:sz w:val="28"/>
          <w:szCs w:val="28"/>
          <w:rtl w:val="true"/>
          <w:lang w:bidi="ar-SA"/>
        </w:rPr>
        <w:t xml:space="preserve">. </w:t>
      </w:r>
      <w:bookmarkStart w:id="214" w:name="pg15608_167075"/>
    </w:p>
    <w:p>
      <w:pPr>
        <w:pStyle w:val="Heading6"/>
        <w:numPr>
          <w:ilvl w:val="5"/>
          <w:numId w:val="1"/>
        </w:numPr>
        <w:rPr/>
      </w:pPr>
      <w:bookmarkStart w:id="215" w:name="__RefHeading___Toc10086595_2142443653"/>
      <w:bookmarkStart w:id="216" w:name="_Toc82"/>
      <w:bookmarkEnd w:id="214"/>
      <w:bookmarkEnd w:id="215"/>
      <w:r>
        <w:rPr>
          <w:rtl w:val="true"/>
        </w:rPr>
        <w:t>الإشكال الخامس</w:t>
      </w:r>
      <w:bookmarkEnd w:id="216"/>
    </w:p>
    <w:p>
      <w:pPr>
        <w:pStyle w:val="BookText"/>
        <w:rPr/>
      </w:pPr>
      <w:r>
        <w:rPr>
          <w:rFonts w:ascii="Amiri" w:hAnsi="Amiri" w:eastAsia="Amiri" w:cs="Amiri"/>
          <w:color w:val="111111"/>
          <w:sz w:val="28"/>
          <w:sz w:val="28"/>
          <w:szCs w:val="28"/>
          <w:rtl w:val="true"/>
          <w:lang w:bidi="ar-SA"/>
        </w:rPr>
        <w:t>ما حكي عن المحقق النراقي</w:t>
      </w:r>
      <w:r>
        <w:rPr>
          <w:rStyle w:val="FootnoteAnchor"/>
          <w:rtl w:val="true"/>
        </w:rPr>
        <w:footnoteReference w:id="579"/>
      </w:r>
      <w:r>
        <w:rPr>
          <w:rFonts w:ascii="Amiri" w:hAnsi="Amiri" w:eastAsia="Amiri" w:cs="Amiri"/>
          <w:color w:val="111111"/>
          <w:sz w:val="28"/>
          <w:sz w:val="28"/>
          <w:szCs w:val="28"/>
          <w:rtl w:val="true"/>
          <w:lang w:bidi="ar-SA"/>
        </w:rPr>
        <w:t>من أنّ التوقف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توقف في الحكم الواقعي، وهو موجود لدى الفريقين لجهالة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توقف في الحكم الظاهري، وهو مفقود لدى الفريقين، فإنّ الأصولي يفتي بالحلية، والأخباري يفتي بالحرمة، فما هو الوجه في تسمية الثاني بالمتوقف دون الأول؟</w:t>
      </w:r>
    </w:p>
    <w:p>
      <w:pPr>
        <w:pStyle w:val="BookText"/>
        <w:rPr/>
      </w:pPr>
      <w:r>
        <w:rPr>
          <w:rFonts w:ascii="Amiri" w:hAnsi="Amiri" w:eastAsia="Amiri" w:cs="Amiri"/>
          <w:color w:val="111111"/>
          <w:sz w:val="28"/>
          <w:sz w:val="28"/>
          <w:szCs w:val="28"/>
          <w:rtl w:val="true"/>
          <w:lang w:bidi="ar-SA"/>
        </w:rPr>
        <w:t>لكنه غير وارد؛ لأنّ حصره غير حاصر؛ لوجود شق ثالث، وهو التوقف في مقام العمل في قبال الاقتحام، والأخباري متوقف في مقام العمل بعكس الأصولي، فيكون عمله مردوعاً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توقفا في الإفتاء بالحكم الواقعي، واقتحما في الإفتاء بالحكم الظاهري</w:t>
      </w:r>
      <w:r>
        <w:rPr>
          <w:rStyle w:val="FootnoteAnchor"/>
          <w:rtl w:val="true"/>
        </w:rPr>
        <w:footnoteReference w:id="580"/>
      </w:r>
      <w:r>
        <w:rPr>
          <w:rFonts w:ascii="Amiri" w:hAnsi="Amiri" w:eastAsia="Amiri" w:cs="Amiri"/>
          <w:color w:val="111111"/>
          <w:sz w:val="28"/>
          <w:sz w:val="28"/>
          <w:szCs w:val="28"/>
          <w:rtl w:val="true"/>
          <w:lang w:bidi="ar-SA"/>
        </w:rPr>
        <w:t>، فلا يختلفان في مقام الفتوى، لا بلحاظ الواقع ولا بلحاظ الظاهر، وإنما الاختلاف في مقام العمل، وهو ظاهر الروايات لوقوعها في قبال الاقتحام</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10086597_2142443653"/>
      <w:bookmarkStart w:id="218" w:name="_Toc83"/>
      <w:bookmarkEnd w:id="217"/>
      <w:r>
        <w:rPr>
          <w:rtl w:val="true"/>
        </w:rPr>
        <w:t>الإشكال السادس</w:t>
      </w:r>
      <w:bookmarkEnd w:id="218"/>
    </w:p>
    <w:p>
      <w:pPr>
        <w:pStyle w:val="BookText"/>
        <w:rPr/>
      </w:pPr>
      <w:r>
        <w:rPr>
          <w:rFonts w:ascii="Amiri" w:hAnsi="Amiri" w:eastAsia="Amiri" w:cs="Amiri"/>
          <w:color w:val="111111"/>
          <w:sz w:val="28"/>
          <w:sz w:val="28"/>
          <w:szCs w:val="28"/>
          <w:rtl w:val="true"/>
          <w:lang w:bidi="ar-SA"/>
        </w:rPr>
        <w:t xml:space="preserve">إنّ دلالة روايات التوقف موقوفة على أنّ المراد من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عرفاً وشرعاً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عرفاً، فإنّ الهلكة تستخدم في الأعم من ذلك، فهي ربما تكون مرادفة للمفسدة أو المشقة العظيمة، كما يقول القائل بعد طي طريق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w:t>
      </w:r>
    </w:p>
    <w:p>
      <w:pPr>
        <w:pStyle w:val="BookText"/>
        <w:rPr/>
      </w:pPr>
      <w:r>
        <w:rPr>
          <w:rFonts w:ascii="Amiri" w:hAnsi="Amiri" w:eastAsia="Amiri" w:cs="Amiri"/>
          <w:color w:val="111111"/>
          <w:sz w:val="28"/>
          <w:sz w:val="28"/>
          <w:szCs w:val="28"/>
          <w:rtl w:val="true"/>
          <w:lang w:bidi="ar-SA"/>
        </w:rPr>
        <w:t xml:space="preserve">وهو متداول في الاستخدامات العرفية، وحتى في اللغة لم نجد الهلكة بمعنى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الفحص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معنى أعم تكون العقوبة إحدى مصاديقه</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وأما ما يقال بعد طي طريق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فهو مجاز، و بما أن الروايات لا تتحدث عن الهلكة الدنيوية فلا يكون المقصود إلا الهلكة الأخروية وهي العقاب والعذاب؛ ولو كان المراد الأعم من الهلكة الدنيوية والأخروية ثبت المطلوب أيضاً؛ للزوم التحرز عما يسبب الهلكة بمعنى الموت أو ما يقاربه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شرعاً، ففي نفس روايات الباب ما يدل على أنّ المراد من الهلكة الأعم من العقوبة، ففي معتبرة مسعدة بن زياد، عن أبي عبد اللّه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تجامعوا في النكاح على الشبهة، </w:t>
      </w:r>
    </w:p>
    <w:p>
      <w:pPr>
        <w:pStyle w:val="BookText"/>
        <w:rPr/>
      </w:pPr>
      <w:r>
        <w:rPr>
          <w:rFonts w:ascii="Amiri" w:hAnsi="Amiri" w:eastAsia="Amiri" w:cs="Amiri"/>
          <w:color w:val="111111"/>
          <w:sz w:val="28"/>
          <w:sz w:val="28"/>
          <w:szCs w:val="28"/>
          <w:rtl w:val="true"/>
          <w:lang w:bidi="ar-SA"/>
        </w:rPr>
        <w:t>قفوا عند الشبهة يقول</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أنك قد رضعت من لبنها وأنها لك محرم وما أشبه ذلك، فإنّ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يحتمل في المقام أن تكون العقوبة أخروية؛ لأنّ الشبهة موضوعية يجوز الاقتحام فيها حتى عند الأخباري</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موثقة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وقد مثل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امرأة تحتك وهي أختك أو رضيعتك</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فمع قيام الاحتمال حكم بالحلية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الأصول الموضوعية والحكمية في المقام حاكمة بجواز الاقتحام، كاستصحاب عدم كونها أختاً رضاعية، واستصحاب الحلية، ولا شك أنه حاكم على البراءة والاحتياط في المقام، فلا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العقوبة الأخروية، وإنما المفسدة أو المشقة العظيمة، كأن ينكشف في المستقبل أنها أخته من الرضاعة، فيترتب على ذلك انهدام العائلة، </w:t>
      </w:r>
      <w:bookmarkStart w:id="219" w:name="pg15608_167081"/>
    </w:p>
    <w:p>
      <w:pPr>
        <w:pStyle w:val="BookText"/>
        <w:rPr/>
      </w:pPr>
      <w:bookmarkEnd w:id="219"/>
      <w:r>
        <w:rPr>
          <w:rFonts w:ascii="Amiri" w:hAnsi="Amiri" w:eastAsia="Amiri" w:cs="Amiri"/>
          <w:color w:val="111111"/>
          <w:sz w:val="28"/>
          <w:sz w:val="28"/>
          <w:szCs w:val="28"/>
          <w:rtl w:val="true"/>
          <w:lang w:bidi="ar-SA"/>
        </w:rPr>
        <w:t>وتشرد الأطفال و مشاكل اجتماعية عظمية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الهلكة عرفاً ولغة و شرعاً أعم من العقوبة الأخروية، فإنّ الوقوف عند الشبهة خير من الاقتحام في المفسدة أو المشقة العظيمة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الاقتحام في ذلك فتختلف باختلاف الموارد، فلا بد من ملاحظة الدليل الخارجي على حرمة تلك المفسدة العظمية، وأنه هل يلزم التحرز عن خصوص هذه الهلكة أو لا؟</w:t>
      </w:r>
    </w:p>
    <w:p>
      <w:pPr>
        <w:pStyle w:val="BookText"/>
        <w:rPr/>
      </w:pPr>
      <w:r>
        <w:rPr>
          <w:rFonts w:ascii="Amiri" w:hAnsi="Amiri" w:eastAsia="Amiri" w:cs="Amiri"/>
          <w:color w:val="111111"/>
          <w:sz w:val="28"/>
          <w:sz w:val="28"/>
          <w:szCs w:val="28"/>
          <w:rtl w:val="true"/>
          <w:lang w:bidi="ar-SA"/>
        </w:rPr>
        <w:t>فلا تدل الرواية على تحريم الاقتحام ووجوب الوقوف، نعم، تدل على مطلق الرجحان</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0086599_2142443653"/>
      <w:bookmarkStart w:id="221" w:name="_Toc84"/>
      <w:bookmarkEnd w:id="220"/>
      <w:r>
        <w:rPr>
          <w:rtl w:val="true"/>
        </w:rPr>
        <w:t>الإشكال السابع</w:t>
      </w:r>
      <w:bookmarkEnd w:id="221"/>
    </w:p>
    <w:p>
      <w:pPr>
        <w:pStyle w:val="BookText"/>
        <w:rPr/>
      </w:pPr>
      <w:r>
        <w:rPr>
          <w:rFonts w:ascii="Amiri" w:hAnsi="Amiri" w:eastAsia="Amiri" w:cs="Amiri"/>
          <w:color w:val="111111"/>
          <w:sz w:val="28"/>
          <w:sz w:val="28"/>
          <w:szCs w:val="28"/>
          <w:rtl w:val="true"/>
          <w:lang w:bidi="ar-SA"/>
        </w:rPr>
        <w:t>ما ذكره الشيخ الأعظم</w:t>
      </w:r>
      <w:r>
        <w:rPr>
          <w:rStyle w:val="FootnoteAnchor"/>
          <w:rtl w:val="true"/>
        </w:rPr>
        <w:footnoteReference w:id="587"/>
      </w:r>
      <w:r>
        <w:rPr>
          <w:rFonts w:ascii="Amiri" w:hAnsi="Amiri" w:eastAsia="Amiri" w:cs="Amiri"/>
          <w:color w:val="111111"/>
          <w:sz w:val="28"/>
          <w:sz w:val="28"/>
          <w:szCs w:val="28"/>
          <w:rtl w:val="true"/>
          <w:lang w:bidi="ar-SA"/>
        </w:rPr>
        <w:t>وقد كثر فيه البحث والنقض والإبرام، نذكره مع الإشكالات الواردة عليه في ضمن اثنتي عشرة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روايات التوقف إرشادي وتوضيحه مع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بالوقوف في هذه الروايات إرشادي لا مولوي، ويدل عليه التعليل فإنه ظاهر في الإرشادية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الأوامر الإرشادية وإن كان ظاهرها الإنشاء لكن واقعها الإخبار، فلا يترتب عليه إلزام، بل لا بد من ملاحظة المخبر به والمرشد </w:t>
      </w:r>
    </w:p>
    <w:p>
      <w:pPr>
        <w:pStyle w:val="BookText"/>
        <w:rPr/>
      </w:pPr>
      <w:r>
        <w:rPr>
          <w:rFonts w:ascii="Amiri" w:hAnsi="Amiri" w:eastAsia="Amiri" w:cs="Amiri"/>
          <w:color w:val="111111"/>
          <w:sz w:val="28"/>
          <w:sz w:val="28"/>
          <w:szCs w:val="28"/>
          <w:rtl w:val="true"/>
          <w:lang w:bidi="ar-SA"/>
        </w:rPr>
        <w:t>إليه، فإن كان فيه أمر يجب التحرز عنه لزم موافقة الأمر الإرشادي،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الطبيب بشرب الدواء، لأنّ في تركه الموت المحتم لزمت الموافقة العملية لأمره؛ للزوم الاجتناب عن الموت المحتم أو المحتمل، وأما لو أمر بشرب الدواء لزيادة الوزن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 الموافقة وعدمه متوقف على وجود الإلزام في المرشد إليه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لا بد من ملاحظة مورد الشبهة، هل فيه احتمال العقوبة 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أوامر الوقوف لفرض كونها إرشادية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وهذه الموارد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العلم الإجمالي، حيث يحتمل فيها الهلاك الأخروي، فيلزم الاجتناب وتجب موافقة أوامر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الشبهات الحكمية قبل الفحص، وهي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نهى الشارع فيها عن التدين بالاستحسانات العقلية والظنون الارتجالية، كغوامض المسائل الاعتقادية، مثل قدم العالم وحدوثه، أو أنّ بسيط الحقيقة كل الأشياء أو ليس بشيء منها، فالعقل يحتمل فيها الهلاك، فيلزم مطابقة أوامر الوقوف؛ لأنّ الاقتحام فيها بغير علم تعريض للنفس إلى الهلاك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الحكمية بعد الفحص كشرب التتن، فهل يحتمل فيها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أوامر 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ولمعرفة الجواب لا بد من ملاحظة منشأ الاحتمال، فهو إما لمخالفة أمر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أولمخالفة التحريم الواقعي المثبت في اللوح المحفوظ، وكلاهما لا يصلحان للمنشئية،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أنه إرشادي، ولا يترتب على مخالفته بما هوهو عقوبة أو احتمالها أو استحقاقها، وأما الثاني، فلأنه مجهول والأخباري بنفسه يعترف بقبح العقاب على المجهول، فلا منشأ لاحتمال العقوبة، فتكون النتيجة عدم الهلكة في اقتحام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اعتمد عليه الشيخ الأعظم قائلاً، إنه العمدة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التحريم ببيان الهلكة</w:t>
      </w:r>
    </w:p>
    <w:p>
      <w:pPr>
        <w:pStyle w:val="BookText"/>
        <w:rPr/>
      </w:pPr>
      <w:r>
        <w:rPr>
          <w:rFonts w:ascii="Amiri" w:hAnsi="Amiri" w:eastAsia="Amiri" w:cs="Amiri"/>
          <w:color w:val="111111"/>
          <w:sz w:val="28"/>
          <w:sz w:val="28"/>
          <w:szCs w:val="28"/>
          <w:rtl w:val="true"/>
          <w:lang w:bidi="ar-SA"/>
        </w:rPr>
        <w:t>لكن أشكل عليه الآشتياني</w:t>
      </w:r>
      <w:r>
        <w:rPr>
          <w:rStyle w:val="FootnoteAnchor"/>
          <w:rtl w:val="true"/>
        </w:rPr>
        <w:footnoteReference w:id="589"/>
      </w:r>
      <w:r>
        <w:rPr>
          <w:rFonts w:ascii="Amiri" w:hAnsi="Amiri" w:eastAsia="Amiri" w:cs="Amiri"/>
          <w:color w:val="111111"/>
          <w:sz w:val="28"/>
          <w:sz w:val="28"/>
          <w:szCs w:val="28"/>
          <w:rtl w:val="true"/>
          <w:lang w:bidi="ar-SA"/>
        </w:rPr>
        <w:t>بأنّ الوجوب والتحريم قد يتحقق بالأمر والنهي، وقد يتحقق ببيان ما يترتب على الواجب والحرام من المثوبة والعقوبة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فَجَزَآؤُهُ جَهَنَّمُ خَالِدًا فِيهَا</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فهو وإن لم يشتمل على النهي لكن يستفاد منه ذلك، لاشتماله على بيان لازم التحريم وهو استحقاق العقوبة الأخروية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علم البلاغة</w:t>
      </w:r>
      <w:r>
        <w:rPr>
          <w:rStyle w:val="FootnoteAnchor"/>
          <w:rtl w:val="true"/>
        </w:rPr>
        <w:footnoteReference w:id="591"/>
      </w:r>
      <w:r>
        <w:rPr>
          <w:rFonts w:ascii="Amiri" w:hAnsi="Amiri" w:eastAsia="Amiri" w:cs="Amiri"/>
          <w:color w:val="111111"/>
          <w:sz w:val="28"/>
          <w:sz w:val="28"/>
          <w:szCs w:val="28"/>
          <w:rtl w:val="true"/>
          <w:lang w:bidi="ar-SA"/>
        </w:rPr>
        <w:t>في بحث الكناية، صحة بيان الملزوم ببيان لازمه،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كثير الرماد، فيعبر عن الملزوم، وهو الكرم ببيان اللازم وهو كثرة الرماد، وكذا زيد مهزول الفصيل وجبان الكلب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وفيما نحن فيه، فإنّ الروايات المذكورة وإن لم تبين التحريم لكنها بينت لازمه وهو الهلكة، فيكون بياناً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 إليه إطلاق الروايات، فإنه يشمل موارد العلم الإجمالي والشبهات البدوية، فتثب معرضية الهلكة في اقتحام المشكوك، وبيان هذا اللازم كاشف عن جعل الشارع وجوب الاحتياط في الشبهات البدوية،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العقاب ناشئ عن مخالفة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المكشوف وجوده ببيان لازمه،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 في شرب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يحتط استحق العقاب على تقدير حرمته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غيري أو نفسي وأجاب عنه الشيخ الأعظم</w:t>
      </w:r>
      <w:r>
        <w:rPr>
          <w:rStyle w:val="FootnoteAnchor"/>
          <w:rtl w:val="true"/>
        </w:rPr>
        <w:footnoteReference w:id="592"/>
      </w:r>
      <w:r>
        <w:rPr>
          <w:rFonts w:ascii="Amiri" w:hAnsi="Amiri" w:eastAsia="Amiri" w:cs="Amiri"/>
          <w:color w:val="111111"/>
          <w:sz w:val="28"/>
          <w:sz w:val="28"/>
          <w:szCs w:val="28"/>
          <w:rtl w:val="true"/>
          <w:lang w:bidi="ar-SA"/>
        </w:rPr>
        <w:t xml:space="preserve">بأنّ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المكشوف ببيان لازمه إما أمر غيري</w:t>
      </w:r>
      <w:r>
        <w:rPr>
          <w:rStyle w:val="FootnoteAnchor"/>
          <w:rtl w:val="true"/>
        </w:rPr>
        <w:footnoteReference w:id="593"/>
      </w:r>
      <w:r>
        <w:rPr>
          <w:rFonts w:ascii="Amiri" w:hAnsi="Amiri" w:eastAsia="Amiri" w:cs="Amiri"/>
          <w:color w:val="111111"/>
          <w:sz w:val="28"/>
          <w:sz w:val="28"/>
          <w:szCs w:val="28"/>
          <w:rtl w:val="true"/>
          <w:lang w:bidi="ar-SA"/>
        </w:rPr>
        <w:t>فلا عقوبة عليه، وإما نفسي وهو غير متحقق في المقام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مزيجاً بما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إيجاب الاحتياط إن كان مقدمة للتحرز عن العقاب الواقعي، فهو مستلزم لترتب العقاب على التكليف المجهول، وهو قبيح، فإنّ الأمر الغيري لا عقاب فيه، والأمر الواقعي مجهول لا ينقلب </w:t>
      </w:r>
    </w:p>
    <w:p>
      <w:pPr>
        <w:pStyle w:val="BookText"/>
        <w:rPr/>
      </w:pPr>
      <w:r>
        <w:rPr>
          <w:rFonts w:ascii="Amiri" w:hAnsi="Amiri" w:eastAsia="Amiri" w:cs="Amiri"/>
          <w:color w:val="111111"/>
          <w:sz w:val="28"/>
          <w:sz w:val="28"/>
          <w:szCs w:val="28"/>
          <w:rtl w:val="true"/>
          <w:lang w:bidi="ar-SA"/>
        </w:rPr>
        <w:t>معلوماً مع وجود الأمر الغيري، ولا عقاب فيه أيضاً حتى عند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المكشوف بذكر لازمه حكماً نفسياً، فالهلكة الأخروية مترتبة على مخالفته لا مخالفة الواقع؛ لاستحقاق العقوبة على مخالفة كل أمر نفسي، مع أنّ صريح الأخبار إرادة الهلكة الموجودة في الواقع على تقدير الحرمة الواقعية لا الهلكة على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غيرياً فلا عقاب عليه ولا على مخالفة الواقع؛ لفرض جهالته، ولو كان نفسياً فإنه وإن أوجب مخالفته استحقاق العقاب على نفسه، لكنه خلاف ظاهر الأخبار، فإنّ ظاهرها استحقاق العقوبة على مخالفة الواقع لو اتفق تحققها لا على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باعتراف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عليه أنه لو لم يكن حراماً واقعاً لم يستحق العقوبة، وإن خالف أمر احتط، إلا على حرمة التجري واستحقاق العقوبة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طريقي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أشكل عليه صاحب الكفاية</w:t>
      </w:r>
      <w:r>
        <w:rPr>
          <w:rStyle w:val="FootnoteAnchor"/>
          <w:rtl w:val="true"/>
        </w:rPr>
        <w:footnoteReference w:id="594"/>
      </w:r>
      <w:r>
        <w:rPr>
          <w:rFonts w:ascii="Amiri" w:hAnsi="Amiri" w:eastAsia="Amiri" w:cs="Amiri"/>
          <w:color w:val="111111"/>
          <w:sz w:val="28"/>
          <w:sz w:val="28"/>
          <w:szCs w:val="28"/>
          <w:rtl w:val="true"/>
          <w:lang w:bidi="ar-SA"/>
        </w:rPr>
        <w:t xml:space="preserve">بأنَّ الحصر غير حاصر؛ لوجود قسم ثالث؛ لأنَّ الأمر إما نفسي أو غيري أو طريقي، وهو طور ثالث من أطوار الأمر، وهو ما جعل بداعي تنجيز الواقع أو التعذير عنه، و في المقام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المكشوف طريقي، كما هو الحال بالنسبة إلى الأمر في الأمارات كصدق العادل، حيث إنه ليس نفسياً ولا غيرياً، بل طريقي، فإن طابق الواقع </w:t>
      </w:r>
    </w:p>
    <w:p>
      <w:pPr>
        <w:pStyle w:val="BookText"/>
        <w:rPr/>
      </w:pPr>
      <w:r>
        <w:rPr>
          <w:rFonts w:ascii="Amiri" w:hAnsi="Amiri" w:eastAsia="Amiri" w:cs="Amiri"/>
          <w:color w:val="111111"/>
          <w:sz w:val="28"/>
          <w:sz w:val="28"/>
          <w:szCs w:val="28"/>
          <w:rtl w:val="true"/>
          <w:lang w:bidi="ar-SA"/>
        </w:rPr>
        <w:t>كان منجزاً للواقع في ذمة المكلف، وإلا كان عذراً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 الأمر الطريقي أنّ مخالفته تستتبع صحة المؤاخذه على الحرام الواقعي لو اتفق؛ لتنجزه بالأمر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الطريقي غير معقول</w:t>
      </w:r>
    </w:p>
    <w:p>
      <w:pPr>
        <w:pStyle w:val="BookText"/>
        <w:rPr/>
      </w:pPr>
      <w:r>
        <w:rPr>
          <w:rFonts w:ascii="Amiri" w:hAnsi="Amiri" w:eastAsia="Amiri" w:cs="Amiri"/>
          <w:color w:val="111111"/>
          <w:sz w:val="28"/>
          <w:sz w:val="28"/>
          <w:szCs w:val="28"/>
          <w:rtl w:val="true"/>
          <w:lang w:bidi="ar-SA"/>
        </w:rPr>
        <w:t>وأجاب عنه في المنتقى</w:t>
      </w:r>
      <w:r>
        <w:rPr>
          <w:rStyle w:val="FootnoteAnchor"/>
          <w:rtl w:val="true"/>
        </w:rPr>
        <w:footnoteReference w:id="595"/>
      </w:r>
      <w:r>
        <w:rPr>
          <w:rFonts w:ascii="Amiri" w:hAnsi="Amiri" w:eastAsia="Amiri" w:cs="Amiri"/>
          <w:color w:val="111111"/>
          <w:sz w:val="28"/>
          <w:sz w:val="28"/>
          <w:szCs w:val="28"/>
          <w:rtl w:val="true"/>
          <w:lang w:bidi="ar-SA"/>
        </w:rPr>
        <w:t>بأنَّ الأمر الطريقي غير معقول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بذكر لازمه لا يمكن أن يكون طريقياً؛ لأنه يوجب تقدم الشيء على نفسه، والغيري لا عقوبة عليه، والنفسي خلاف ظاهر روايات المقام، فلا عقوبة على مخالفته، فما ذكره الشيخ الأعظم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المصحح للعقوبة على مخالفة الواقع</w:t>
      </w:r>
      <w:r>
        <w:rPr>
          <w:rStyle w:val="FootnoteAnchor"/>
          <w:rtl w:val="true"/>
        </w:rPr>
        <w:footnoteReference w:id="596"/>
      </w:r>
      <w:r>
        <w:rPr>
          <w:rFonts w:ascii="Amiri" w:hAnsi="Amiri" w:eastAsia="Amiri" w:cs="Amiri"/>
          <w:color w:val="111111"/>
          <w:sz w:val="28"/>
          <w:sz w:val="28"/>
          <w:szCs w:val="28"/>
          <w:rtl w:val="true"/>
          <w:lang w:bidi="ar-SA"/>
        </w:rPr>
        <w:t>إذا كان هو الأمر الطريقي فلا محالة تكون العقوبة في طول الأمر الطريقي، ومترتبة عليه</w:t>
      </w:r>
      <w:r>
        <w:rPr>
          <w:rStyle w:val="FootnoteAnchor"/>
          <w:rtl w:val="true"/>
        </w:rPr>
        <w:footnoteReference w:id="597"/>
      </w:r>
      <w:r>
        <w:rPr>
          <w:rFonts w:ascii="Amiri" w:hAnsi="Amiri" w:eastAsia="Amiri" w:cs="Amiri"/>
          <w:color w:val="111111"/>
          <w:sz w:val="28"/>
          <w:sz w:val="28"/>
          <w:szCs w:val="28"/>
          <w:rtl w:val="true"/>
          <w:lang w:bidi="ar-SA"/>
        </w:rPr>
        <w:t>، ولا يعقل أن يكون الأمر الطريقي في طولها ومترتباً عليها، مع أنّ المفروض في الروايات أنما هي العقوبة في مرتبة سابقة على الأمر بالاحتياط</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العلية، فيكون الاقتحام في الهلكة ومعرضيتها علة للأمر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والعلة متقدمة على المعلول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ولازمه تقدم معرضية العقوبة على الأمر؛ لأنّ ظاهر الروايات هو تأخرها </w:t>
      </w:r>
    </w:p>
    <w:p>
      <w:pPr>
        <w:pStyle w:val="BookText"/>
        <w:rPr/>
      </w:pPr>
      <w:r>
        <w:rPr>
          <w:rFonts w:ascii="Amiri" w:hAnsi="Amiri" w:eastAsia="Amiri" w:cs="Amiri"/>
          <w:color w:val="111111"/>
          <w:sz w:val="28"/>
          <w:sz w:val="28"/>
          <w:szCs w:val="28"/>
          <w:rtl w:val="true"/>
          <w:lang w:bidi="ar-SA"/>
        </w:rPr>
        <w:t>عنه؛ لأنّ الأمر طريقي يتفرع عليه صحة العقوبة، ولا استحقاق للعقوبة قبل الأمر لجهالة الواقع، والذي ينجزه في الذمة هو الأمر الطريقي، وهو العلة لصحة المؤاخذة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المؤاخذة متقدم على نفسه ومتأخر، فالأمر الطريقي غير معقول، والأمر النفسي غير معقول إثباتاً، والأمر الغيري لا عقوبة عليه، فلا يبقى إلا مخالفة الأمر الإرشادي، وهو لا يوجب استحقاق العقاب، فلا مصحح للعقوبة في اقتحام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w:t>
      </w:r>
    </w:p>
    <w:p>
      <w:pPr>
        <w:pStyle w:val="BookText"/>
        <w:rPr/>
      </w:pPr>
      <w:r>
        <w:rPr>
          <w:rFonts w:ascii="Amiri" w:hAnsi="Amiri" w:eastAsia="Amiri" w:cs="Amiri"/>
          <w:color w:val="111111"/>
          <w:sz w:val="28"/>
          <w:sz w:val="28"/>
          <w:szCs w:val="28"/>
          <w:rtl w:val="true"/>
          <w:lang w:bidi="ar-SA"/>
        </w:rPr>
        <w:t>لكنه قابل للتأمل، وذلك ببيان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كونه في رتبة سابقة على ما تقدمه ليكون تعليلاً، بل يحتمل كونه في رتبة لاحقة فيكون تفريعاً، أي يتفرع على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اقتحام الشبهة معرضية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لتفريع اللازم على الملزوم، لا لبيان العلة للمعلول، فلا يستلزم محذور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ولدفع الاستبعاد عنه نظير مفترض،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تعفف، فإنّ الصبر على التعفف خير من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ولا يعقل عليته؛ لأنّ معرضية نار جهنم متفرع على عدم التعفف، وأما قبل الأمر بالتعفف فلم يكن هنالك معرضية لذلك؛ لقبح العقاب بلا بيان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إلا عن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العلية، للتبادر العرفي وعدم معقولية التفريع إثباتاً، فننتقل إلى الدعوى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فإنه تعليل للمادة لا للهيئة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ومعرضية الهلكة علة للمادة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ومعلول للهيئة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علة و معلولاً في وقت واحد، ولا يلزم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التعليل للهيئة لكان منافياً للأمر الطريقي، لكن لا منافاة بين الأمر الطريقي والتعليل للمادة، ويتضح ذلك بالمقارنة مع المثال المفترض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تعليل لفعل المكلف لا تعليل لإنشاء المولى، فليس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الشبهة خير من الاقتحام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لإنشاء المولى، بل علة لفعل المكلف، وهو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والمتصور أنه معنى عرفي قابل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أمر ثالث في المقام</w:t>
      </w:r>
    </w:p>
    <w:p>
      <w:pPr>
        <w:pStyle w:val="BookText"/>
        <w:rPr/>
      </w:pPr>
      <w:r>
        <w:rPr>
          <w:rFonts w:ascii="Amiri" w:hAnsi="Amiri" w:eastAsia="Amiri" w:cs="Amiri"/>
          <w:color w:val="111111"/>
          <w:sz w:val="28"/>
          <w:sz w:val="28"/>
          <w:szCs w:val="28"/>
          <w:rtl w:val="true"/>
          <w:lang w:bidi="ar-SA"/>
        </w:rPr>
        <w:t>ولقد كشف المحقق الإصفهاني</w:t>
      </w:r>
      <w:r>
        <w:rPr>
          <w:rStyle w:val="FootnoteAnchor"/>
          <w:rtl w:val="true"/>
        </w:rPr>
        <w:footnoteReference w:id="599"/>
      </w:r>
      <w:r>
        <w:rPr>
          <w:rFonts w:ascii="IRNazanin" w:hAnsi="IRNazanin" w:eastAsia="IRNazanin"/>
          <w:color w:val="111111"/>
          <w:sz w:val="28"/>
          <w:sz w:val="28"/>
          <w:szCs w:val="28"/>
          <w:rtl w:val="true"/>
          <w:lang w:bidi="fa-IR"/>
        </w:rPr>
        <w:t>عن وجود أمر ثالث</w:t>
      </w:r>
      <w:r>
        <w:rPr>
          <w:rStyle w:val="FootnoteAnchor"/>
          <w:rtl w:val="true"/>
        </w:rPr>
        <w:footnoteReference w:id="600"/>
      </w:r>
      <w:r>
        <w:rPr>
          <w:rFonts w:ascii="Amiri" w:hAnsi="Amiri" w:eastAsia="Amiri" w:cs="Amiri"/>
          <w:color w:val="111111"/>
          <w:sz w:val="28"/>
          <w:sz w:val="28"/>
          <w:szCs w:val="28"/>
          <w:rtl w:val="true"/>
          <w:lang w:bidi="ar-SA"/>
        </w:rPr>
        <w:t>في المقام، وهو المصحح للعقوبة على اقتحام المشكوك، وبه يتم الاستدلال بأخبار الاحتياط على وجوبه في الشبهات الحكمية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إصلاح الاستدلال بهذه الطائفة</w:t>
      </w:r>
      <w:r>
        <w:rPr>
          <w:rStyle w:val="FootnoteAnchor"/>
          <w:rtl w:val="true"/>
        </w:rPr>
        <w:footnoteReference w:id="601"/>
      </w:r>
      <w:r>
        <w:rPr>
          <w:rFonts w:ascii="Amiri" w:hAnsi="Amiri" w:eastAsia="Amiri" w:cs="Amiri"/>
          <w:color w:val="111111"/>
          <w:sz w:val="28"/>
          <w:sz w:val="28"/>
          <w:szCs w:val="28"/>
          <w:rtl w:val="true"/>
          <w:lang w:bidi="ar-SA"/>
        </w:rPr>
        <w:t>بناءً على كون الفقرة المزبورة بإثبات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تقيد الشبهة بمايأتي عن الشمول للبدوية كون الشبهة مطلقة شاملة للشبهة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الهلكة في العقوبة، لا فيما يعم المفسدة، فيدل التعليل على أنّ الإقدام في كل شبهة اقتحام في العقوبة، فصوناً للكلام عن اللغوية يستكشف أمر طريقي للاحتياط في الشبهة البدوية، من باب استكشاف العلة عن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إيجاب الاحتياط الواقعي، وإن كان غير قابل للمنجزية، بل القابل هو الإيجاب الواصل، لكنه لا فرق في وصوله بين أنحاء وصوله، فوصوله بوصول معلوله كوصوله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الأمر الإرشادي بالتوقف المعلل بهذه العلة كما لا يمكن أن يكون بنفسه مصححاً للعقوبة لغرض انبعاثه عن عقوبة مفروضة، كذلك لا يعقل أن يكون وصوله وصول الأمر الطريقي المصحح للمؤاخذة؛ لأنّ صحة المؤاخذة</w:t>
      </w:r>
      <w:r>
        <w:rPr>
          <w:rStyle w:val="FootnoteAnchor"/>
          <w:rtl w:val="true"/>
        </w:rPr>
        <w:footnoteReference w:id="602"/>
      </w:r>
      <w:r>
        <w:rPr>
          <w:rFonts w:ascii="IRNazanin" w:hAnsi="IRNazanin" w:eastAsia="IRNazanin"/>
          <w:color w:val="111111"/>
          <w:sz w:val="28"/>
          <w:sz w:val="28"/>
          <w:szCs w:val="28"/>
          <w:rtl w:val="true"/>
          <w:lang w:bidi="fa-IR"/>
        </w:rPr>
        <w:t>بنفس</w:t>
      </w:r>
      <w:r>
        <w:rPr>
          <w:rStyle w:val="FootnoteAnchor"/>
          <w:rtl w:val="true"/>
        </w:rPr>
        <w:footnoteReference w:id="603"/>
      </w:r>
      <w:r>
        <w:rPr>
          <w:rFonts w:ascii="Amiri" w:hAnsi="Amiri" w:eastAsia="Amiri" w:cs="Amiri"/>
          <w:color w:val="111111"/>
          <w:sz w:val="28"/>
          <w:sz w:val="28"/>
          <w:szCs w:val="28"/>
          <w:rtl w:val="true"/>
          <w:lang w:bidi="ar-SA"/>
        </w:rPr>
        <w:t>وصول الموصل للأمر الطريقي، فكيف ينبعث عن مؤاخذة مفروضة؟ فكيف يكون هذا الأمر الإرشادي معلولاً لمعرضية المؤاخذة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أمر المخاطب بالتوقف المعلل بهذه العلة كاشف عن وصول الأمر بالاحتياط إليه، لا بهذا الأمر الإرشادي ليكون مستحيلاً </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للشبهات البدوية؛ لعدم وجود مخصص ومقيد في البين، وبما أنّ الهلكة ظاهرة في العقوبة الأخروية لا المشقة أو المفسدة الواقعية، فالنتيجة أنّ اقتحام المشكوك اقتحام في العقوبة الأخروية، ويورث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الأمر الواقعي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صالحين لتصحيح العقوبة</w:t>
      </w:r>
      <w:r>
        <w:rPr>
          <w:rStyle w:val="FootnoteAnchor"/>
          <w:rtl w:val="true"/>
        </w:rPr>
        <w:footnoteReference w:id="605"/>
      </w:r>
      <w:r>
        <w:rPr>
          <w:rFonts w:ascii="Amiri" w:hAnsi="Amiri" w:eastAsia="Amiri" w:cs="Amiri"/>
          <w:color w:val="111111"/>
          <w:sz w:val="28"/>
          <w:sz w:val="28"/>
          <w:szCs w:val="28"/>
          <w:rtl w:val="true"/>
          <w:lang w:bidi="ar-SA"/>
        </w:rPr>
        <w:t xml:space="preserve">فلا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صوناً لكلام الحكيم عن اللغوية</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اكتشاف أمر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أوامر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واقعي نفسي،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الإرشادي،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 والأخير مصحح للعقاب على الواقع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اكتشاف الأمر الثالث من وجود الأمر الثاني؛ لأنّ وجوب الوقوف عند المشكوك غير معقول بدون وجود الأمر الثالث، فمن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الهلكة فيه يكتشف وجود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سابقة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الثالث الطريقي لم يصل إلينا، والأمر المجهول غير الواصل لا يكون مصححاً للعقاب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أنحاء الوصول، فقد يصل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المكلف بنفسه، وقد يصل بوصول الكاشف عنه،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ومترتب عليه، ووصول المعلول وصول للعلة، ووصول الكاشف وصول للمكشوف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وصل إلينا الأمر الثالث؟ حيث لا يعقل أن يكون وصوله عبر وصول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الإرشادي المعلل بقوله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فإن الوقوف عند الشبهة خير من الاقتحام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دوري، فإنّ معرضية المؤاخذة في اقتحام المشكوك معلولة لوصول الأمر الإرشادي الذي هو موصل للأمر الطريقي، فصحة المؤاخذة متأخرة عن وصول الأمر الإرشادي، فكيف يكون هذا الأمر الإرشادي معلولاً</w:t>
      </w:r>
      <w:r>
        <w:rPr>
          <w:rStyle w:val="FootnoteAnchor"/>
          <w:rtl w:val="true"/>
        </w:rPr>
        <w:footnoteReference w:id="608"/>
      </w:r>
      <w:r>
        <w:rPr>
          <w:rFonts w:ascii="Amiri" w:hAnsi="Amiri" w:eastAsia="Amiri" w:cs="Amiri"/>
          <w:color w:val="111111"/>
          <w:sz w:val="28"/>
          <w:sz w:val="28"/>
          <w:szCs w:val="28"/>
          <w:rtl w:val="true"/>
          <w:lang w:bidi="ar-SA"/>
        </w:rPr>
        <w:t>لمعرضية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معرضية العقوبة متأخرة عن وصول الأمر الإرشادي، ومتقدمة عليه بظاهر التعليل، وهو دور أو ملاك الدور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المشافه بالتوقف المعلل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وصول الأمر بالاحتياط إليه مسبقاً، حيث لا يعقل خطاب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لزرارة مثلاً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فرض خطاب مسبق 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احتمال ذلك في حق المخاطب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فالصادر في حق زرارة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طريقي متقدم، وأمر إرشادي متأخر، وبضميمة قاعدة الاشتراك يكون الأمر الطريقي واصلاً إلينا، فلا يكون واصلاً عبر الأمر الإرشادي حتى يستلزم الدور أو ملاكه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ما ذهب إليه للاستدلال بأخبار التوقف على حرمة الاقتحام في الشبهات الحكمية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الهلكة في روايات التوقف ظاهرة في العقوبة الأخروية،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تشمل الشبهات الحكمية البدوية، فمفادها ثبوت العقوبة الأخروية في الاقتحام، ولا يعقل كون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الأمر الواقعي المجهول منشأً للهلكة، فنكتشف بدلالة الاقتضاء وجود أمر ثالث في المقام، وهو المصحح للعقوبة على الواقع المجهول، ولا مانع من احتمال ذلك في حق المشافه، وبضميمة قاعدة الاشتراك في التكليف يثبت لغير المخاطبين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نكتشف وجود الأمر الثالث على نحو كشف وجود المعلول عن وجود العلة، فيكون الكشف كشفاً إنياً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السيد الروحاني على النهاية</w:t>
      </w:r>
    </w:p>
    <w:p>
      <w:pPr>
        <w:pStyle w:val="BookText"/>
        <w:rPr/>
      </w:pPr>
      <w:r>
        <w:rPr>
          <w:rFonts w:ascii="Amiri" w:hAnsi="Amiri" w:eastAsia="Amiri" w:cs="Amiri"/>
          <w:color w:val="111111"/>
          <w:sz w:val="28"/>
          <w:sz w:val="28"/>
          <w:szCs w:val="28"/>
          <w:rtl w:val="true"/>
          <w:lang w:bidi="ar-SA"/>
        </w:rPr>
        <w:t>لكن أشكل عليه في المنتقى</w:t>
      </w:r>
      <w:r>
        <w:rPr>
          <w:rStyle w:val="FootnoteAnchor"/>
          <w:rtl w:val="true"/>
        </w:rPr>
        <w:footnoteReference w:id="609"/>
      </w:r>
      <w:r>
        <w:rPr>
          <w:rFonts w:ascii="Amiri" w:hAnsi="Amiri" w:eastAsia="Amiri" w:cs="Amiri"/>
          <w:color w:val="111111"/>
          <w:sz w:val="28"/>
          <w:sz w:val="28"/>
          <w:szCs w:val="28"/>
          <w:rtl w:val="true"/>
          <w:lang w:bidi="ar-SA"/>
        </w:rPr>
        <w:t>بأنه مجرد احتمال في عالم الثبوت، فإنّ وجود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 متقدم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وإرشادي متأخر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فرض لا مثبت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ما ذكر في المنتقى</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مثبت هذا الفرض دلالة الاقتضاء، فلو لم يفرض وجود أمرين لكان كلام المعصوم غير قابل للتصديق، فإنه مع تسليم المقدمتين اللتين فرضهما</w:t>
      </w:r>
      <w:r>
        <w:rPr>
          <w:rStyle w:val="FootnoteAnchor"/>
          <w:rtl w:val="true"/>
        </w:rPr>
        <w:footnoteReference w:id="610"/>
      </w:r>
      <w:r>
        <w:rPr>
          <w:rFonts w:ascii="Amiri" w:hAnsi="Amiri" w:eastAsia="Amiri" w:cs="Amiri"/>
          <w:color w:val="111111"/>
          <w:sz w:val="28"/>
          <w:sz w:val="28"/>
          <w:szCs w:val="28"/>
          <w:rtl w:val="true"/>
          <w:lang w:bidi="ar-SA"/>
        </w:rPr>
        <w:t xml:space="preserve">نضطر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لافتراض وجود خطابين للمشافه، وتعدية </w:t>
      </w:r>
    </w:p>
    <w:p>
      <w:pPr>
        <w:pStyle w:val="BookText"/>
        <w:rPr/>
      </w:pPr>
      <w:r>
        <w:rPr>
          <w:rFonts w:ascii="Amiri" w:hAnsi="Amiri" w:eastAsia="Amiri" w:cs="Amiri"/>
          <w:color w:val="111111"/>
          <w:sz w:val="28"/>
          <w:sz w:val="28"/>
          <w:szCs w:val="28"/>
          <w:rtl w:val="true"/>
          <w:lang w:bidi="ar-SA"/>
        </w:rPr>
        <w:t xml:space="preserve">الخطاب الأول للغائبين بدليل قاعدة الاشتراك في التكليف، ولا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الفرض الذي فرضه، والإنصاف أنه متين</w:t>
      </w:r>
      <w:r>
        <w:rPr>
          <w:rStyle w:val="FootnoteAnchor"/>
          <w:rtl w:val="true"/>
        </w:rPr>
        <w:footnoteReference w:id="611"/>
      </w:r>
      <w:r>
        <w:rPr>
          <w:rFonts w:ascii="Amiri" w:hAnsi="Amiri" w:eastAsia="Amiri" w:cs="Amiri"/>
          <w:color w:val="111111"/>
          <w:sz w:val="28"/>
          <w:sz w:val="28"/>
          <w:szCs w:val="28"/>
          <w:rtl w:val="true"/>
          <w:lang w:bidi="ar-SA"/>
        </w:rPr>
        <w:t>بشرط تصوره وتصوره مساوق لتصديقه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في النهاية محتمل ثبوتاً، وتدل عليه دلالة الاقتضاء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المحقق العراقي</w:t>
      </w:r>
    </w:p>
    <w:p>
      <w:pPr>
        <w:pStyle w:val="BookText"/>
        <w:rPr/>
      </w:pPr>
      <w:r>
        <w:rPr>
          <w:rFonts w:ascii="Amiri" w:hAnsi="Amiri" w:eastAsia="Amiri" w:cs="Amiri"/>
          <w:color w:val="111111"/>
          <w:sz w:val="28"/>
          <w:sz w:val="28"/>
          <w:szCs w:val="28"/>
          <w:rtl w:val="true"/>
          <w:lang w:bidi="ar-SA"/>
        </w:rPr>
        <w:t>لكن أشكل عليه المحقق العراقي</w:t>
      </w:r>
      <w:r>
        <w:rPr>
          <w:rStyle w:val="FootnoteAnchor"/>
          <w:rtl w:val="true"/>
        </w:rPr>
        <w:footnoteReference w:id="612"/>
      </w:r>
      <w:r>
        <w:rPr>
          <w:rFonts w:ascii="Amiri" w:hAnsi="Amiri" w:eastAsia="Amiri" w:cs="Amiri"/>
          <w:color w:val="111111"/>
          <w:sz w:val="28"/>
          <w:sz w:val="28"/>
          <w:szCs w:val="28"/>
          <w:rtl w:val="true"/>
          <w:lang w:bidi="ar-SA"/>
        </w:rPr>
        <w:t>بأنّ الاستدلال الإني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عبارة غامضة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مبني على جواز التمسك بالعام في الشبهة المصداقية، فإنه بعد اقتضاء أدلة البراءة نفي الهلكة على ارتكاب المشتبه في ظرف عدم البيان، يراد بالتمسك بالإطلاق المزبور في أن كل شبهة فيها الهلكة؛ لإدخال</w:t>
      </w:r>
      <w:r>
        <w:rPr>
          <w:rStyle w:val="FootnoteAnchor"/>
          <w:rtl w:val="true"/>
        </w:rPr>
        <w:footnoteReference w:id="613"/>
      </w:r>
      <w:r>
        <w:rPr>
          <w:rFonts w:ascii="Amiri" w:hAnsi="Amiri" w:eastAsia="Amiri" w:cs="Amiri"/>
          <w:color w:val="111111"/>
          <w:sz w:val="28"/>
          <w:sz w:val="28"/>
          <w:szCs w:val="28"/>
          <w:rtl w:val="true"/>
          <w:lang w:bidi="ar-SA"/>
        </w:rPr>
        <w:t>الشبهات البدوية تحت حكم العام بإثبات أنّ الهلكة فيها كانت مع البيان، ومثله كما ترى غير جائز</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توضيح مراده نذكر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بالعام في الشبهة المصداقية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الشبهة شبهة مصداقية للعام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الشبهة شبهة مصداقية للمخصص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شك أنّ زيداً عالم أم لا، فلا يجوز التمسك بالعام بلا إشكال؛ لأنها شبهة مصداقية للعام، فإنّ ثبوت المحمول فرع ثبوت الموضوع، ولا يعلم أنّ زيداً عالم حتى يندرج تحت العموم، وأما لو علم أنه عالم وشك في فسقه، فهذه شبهة مصداقية للمخصص، وقد اختلفوا في صحة التمسك بالعام فيه، واختار جمع من المحققين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العراقي</w:t>
      </w:r>
      <w:r>
        <w:rPr>
          <w:rStyle w:val="FootnoteAnchor"/>
          <w:rtl w:val="true"/>
        </w:rPr>
        <w:footnoteReference w:id="615"/>
      </w:r>
      <w:r>
        <w:rPr>
          <w:rFonts w:ascii="Amiri" w:hAnsi="Amiri" w:eastAsia="Amiri" w:cs="Amiri"/>
          <w:color w:val="111111"/>
          <w:sz w:val="28"/>
          <w:sz w:val="28"/>
          <w:szCs w:val="28"/>
          <w:rtl w:val="true"/>
          <w:lang w:bidi="ar-SA"/>
        </w:rPr>
        <w:t>عدم جوازه، فإنه وأن اندرج زيد تحت العام بما هو عام، لكنه لا يعلم اندراجه تحته بما هو حجة، فلا يعلم أن الإرادة الجدية للمولى متعلقة بإكرام العالم المشكوك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الخاص يعنون العام، فمع الجمع بين العام والخاص يكون مفاد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غير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الجدي للمولى، ويشك في اندراج زيد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غير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لا يجوز التمسك بالعام في الشبهة المصداقية، سواء كانت شبهة مصداقية للعام أم شبهة مصداقية للمخصص، والذي مآله في الواقع إلى الشبهة المصداقية للعام بعد عنونته بالعنوان العدمي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المبنى يمكن توضيح كلام المحقق العراقي في المقام</w:t>
      </w:r>
      <w:r>
        <w:rPr>
          <w:rStyle w:val="FootnoteAnchor"/>
          <w:rtl w:val="true"/>
        </w:rPr>
        <w:footnoteReference w:id="616"/>
      </w:r>
      <w:r>
        <w:rPr>
          <w:rFonts w:ascii="Amiri" w:hAnsi="Amiri" w:eastAsia="Amiri" w:cs="Amiri"/>
          <w:color w:val="111111"/>
          <w:sz w:val="28"/>
          <w:sz w:val="28"/>
          <w:szCs w:val="28"/>
          <w:rtl w:val="true"/>
          <w:lang w:bidi="ar-SA"/>
        </w:rPr>
        <w:t xml:space="preserve">، فعندنا عام ومخصص عقلي، أما العام فهو فعلية الهلكة في جميع موارد الشبهة ومنها الشبهة البدوية، ومنشأهُ إطلاق حديث التوقف، وأما المخصص العقلي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يعقل ثبوت الهلكة في موارد </w:t>
      </w:r>
    </w:p>
    <w:p>
      <w:pPr>
        <w:pStyle w:val="BookText"/>
        <w:rPr/>
      </w:pPr>
      <w:r>
        <w:rPr>
          <w:rFonts w:ascii="Amiri" w:hAnsi="Amiri" w:eastAsia="Amiri" w:cs="Amiri"/>
          <w:color w:val="111111"/>
          <w:sz w:val="28"/>
          <w:sz w:val="28"/>
          <w:szCs w:val="28"/>
          <w:rtl w:val="true"/>
          <w:lang w:bidi="ar-SA"/>
        </w:rPr>
        <w:t>الشبهة لو لم يكن بيان؛ لقبح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محرز في الشبهة المقرونة بالعلم الإجمالي؛ لوجود البيان، وكذا في الشبهة البدوية الحكمية قبل الفحص، حيث يحكم العقل بعدم جواز الاقتحام، وهكذا النقل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فالبيان تام والشرط محقق فالعام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الشبهات الحكمية البدوية بعد الفحص، فيشك في تمامية البيان بوجود الأمر الثالث، فيكون شبهة مصداقية للمخصص، فلا يمكن التمسك بالعام، وهو فعلية الهلكة في تمام موارد الشبهة، ومنها الشبهة البدوية؛ لأنه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احتمالان، وأما الأمر الثالث فهل هو موجود أو لا؟ إن كان موجوداً فالتمسك بالعام صحيح، وإلا فلا يصح، ومع فرض الشك لا يصح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هو مراد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المحقق العراقي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الإطلاق</w:t>
      </w:r>
      <w:r>
        <w:rPr>
          <w:rStyle w:val="FootnoteAnchor"/>
          <w:rtl w:val="true"/>
        </w:rPr>
        <w:footnoteReference w:id="61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وجداني، ومقتضاه شمول الشبهة الحكمية البدوية بعد الفحص بالوجدان، وهذا الشمول موقوف على وجود الأمر الثالث، فهو كاشف إني عنه، و مع الكشف الإني لا معنى للشك في </w:t>
      </w:r>
      <w:bookmarkStart w:id="222" w:name="pg15608_167111"/>
    </w:p>
    <w:p>
      <w:pPr>
        <w:pStyle w:val="BookText"/>
        <w:rPr/>
      </w:pPr>
      <w:bookmarkEnd w:id="222"/>
      <w:r>
        <w:rPr>
          <w:rFonts w:ascii="IRNazanin" w:hAnsi="IRNazanin" w:eastAsia="IRNazanin"/>
          <w:color w:val="111111"/>
          <w:sz w:val="28"/>
          <w:sz w:val="28"/>
          <w:szCs w:val="28"/>
          <w:rtl w:val="true"/>
          <w:lang w:bidi="fa-IR"/>
        </w:rPr>
        <w:t>وجود الأمر الثالث</w:t>
      </w:r>
      <w:r>
        <w:rPr>
          <w:rStyle w:val="FootnoteAnchor"/>
          <w:rtl w:val="true"/>
        </w:rPr>
        <w:footnoteReference w:id="619"/>
      </w:r>
      <w:r>
        <w:rPr>
          <w:rFonts w:ascii="Amiri" w:hAnsi="Amiri" w:eastAsia="Amiri" w:cs="Amiri"/>
          <w:color w:val="111111"/>
          <w:sz w:val="28"/>
          <w:sz w:val="28"/>
          <w:szCs w:val="28"/>
          <w:rtl w:val="true"/>
          <w:lang w:bidi="ar-SA"/>
        </w:rPr>
        <w:t>، بل وجوده مع البيان المذكور في النهاية برهاني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للمحقق العراقي</w:t>
      </w:r>
    </w:p>
    <w:p>
      <w:pPr>
        <w:pStyle w:val="BookText"/>
        <w:rPr/>
      </w:pPr>
      <w:r>
        <w:rPr>
          <w:rFonts w:ascii="Amiri" w:hAnsi="Amiri" w:eastAsia="Amiri" w:cs="Amiri"/>
          <w:color w:val="111111"/>
          <w:sz w:val="28"/>
          <w:sz w:val="28"/>
          <w:szCs w:val="28"/>
          <w:rtl w:val="true"/>
          <w:lang w:bidi="ar-SA"/>
        </w:rPr>
        <w:t>إنّ ثبوت الإطلاق على الغائبين موقوف على ثبوت الإطلاق للمشافهين، لكنه مشكوك؛ لاحتمال عدم وجود الأمر الثالث في حق 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يتم إذا كان مطلقاً للمشافه، وهو موقوف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فلا يعقل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لقبح العقاب بلا بيان،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المساوق للبيان للمشافه مشكوك، فيكون شكاً مصداقياً للمخصص، ولا يجوز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كلام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 السابع بمراحله الاثنتي عشرة</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0086601_2142443653"/>
      <w:bookmarkStart w:id="224" w:name="_Toc85"/>
      <w:bookmarkEnd w:id="223"/>
      <w:r>
        <w:rPr>
          <w:rtl w:val="true"/>
        </w:rPr>
        <w:t>الإشكال الثامن</w:t>
      </w:r>
      <w:bookmarkEnd w:id="224"/>
    </w:p>
    <w:p>
      <w:pPr>
        <w:pStyle w:val="BookText"/>
        <w:rPr/>
      </w:pPr>
      <w:r>
        <w:rPr>
          <w:rFonts w:ascii="Amiri" w:hAnsi="Amiri" w:eastAsia="Amiri" w:cs="Amiri"/>
          <w:color w:val="111111"/>
          <w:sz w:val="28"/>
          <w:sz w:val="28"/>
          <w:szCs w:val="28"/>
          <w:rtl w:val="true"/>
          <w:lang w:bidi="ar-SA"/>
        </w:rPr>
        <w:t>على الاستدلال بروايات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مهلكة في الشبهة البدوية، مع دلالة النقل على الإباحة، وحكم العقل بالبراءة</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فأدلة البراءة رافعة لموضوع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بظاهره غريب؛ لأنّ موضوع البراءة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وموضوع البراءة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فالبيان متحقق، ولا شك </w:t>
      </w:r>
    </w:p>
    <w:p>
      <w:pPr>
        <w:pStyle w:val="BookText"/>
        <w:rPr/>
      </w:pP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اضطر بعض المحشين</w:t>
      </w:r>
      <w:r>
        <w:rPr>
          <w:rStyle w:val="FootnoteAnchor"/>
          <w:rtl w:val="true"/>
        </w:rPr>
        <w:footnoteReference w:id="621"/>
      </w:r>
      <w:r>
        <w:rPr>
          <w:rFonts w:ascii="Amiri" w:hAnsi="Amiri" w:eastAsia="Amiri" w:cs="Amiri"/>
          <w:color w:val="111111"/>
          <w:sz w:val="28"/>
          <w:sz w:val="28"/>
          <w:szCs w:val="28"/>
          <w:rtl w:val="true"/>
          <w:lang w:bidi="ar-SA"/>
        </w:rPr>
        <w:t>إلى توضيحه بأنّ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التحليل العقلي تنحل إلى موضوع ومحمول، أما الموضوع فهو وجود الهلكة، وأما المحمول فهو وجوب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ثلاثة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الموضوع إلى المحمول كنسبة العلة إلى المعلول</w:t>
      </w:r>
      <w:r>
        <w:rPr>
          <w:rStyle w:val="FootnoteAnchor"/>
          <w:rtl w:val="true"/>
        </w:rPr>
        <w:footnoteReference w:id="622"/>
      </w:r>
      <w:r>
        <w:rPr>
          <w:rFonts w:ascii="Amiri" w:hAnsi="Amiri" w:eastAsia="Amiri" w:cs="Amiri"/>
          <w:color w:val="111111"/>
          <w:sz w:val="28"/>
          <w:sz w:val="28"/>
          <w:szCs w:val="28"/>
          <w:rtl w:val="true"/>
          <w:lang w:bidi="ar-SA"/>
        </w:rPr>
        <w:t>، فلابد من ثبوت الهلكة في رتبة سابقة حتى يحمل عليها وجوب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الهلكة في الرتبة السابقة يحتاج إلى مصحح، وهو منحصر في البيان، فلا يعقل وجود الهلكة من دون وجود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يكون البيان بنفس أخبار التوقف؛ لأنه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أخبار التوقف للشبهات الحكمية البدوية موقوف على وجود الهلكة؛ لأنّ الوجوب معلول وجود الهلكة، ووجود الهلكة موقوف على البيان؛ لأنه لو لم يكن بيان لقبح العقاب، والبيان متوقف على شمول أخبار التوقف للشبهات البدوية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أخبار التوقف موقوف على شمول أخبار التوقف، وهو دور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فنفس أخبار التوقف لا يمكن أن تكون بياناً لتصحح العقوبة، بل لابد </w:t>
      </w:r>
    </w:p>
    <w:p>
      <w:pPr>
        <w:pStyle w:val="BookText"/>
        <w:rPr/>
      </w:pPr>
      <w:r>
        <w:rPr>
          <w:rFonts w:ascii="Amiri" w:hAnsi="Amiri" w:eastAsia="Amiri" w:cs="Amiri"/>
          <w:color w:val="111111"/>
          <w:sz w:val="28"/>
          <w:sz w:val="28"/>
          <w:szCs w:val="28"/>
          <w:rtl w:val="true"/>
          <w:lang w:bidi="ar-SA"/>
        </w:rPr>
        <w:t>من بيان آخر يكون مصححاً للعقوبة، كما في الشبهة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لوجود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يوكل المولى إحراز الموضوع إلى المكلف، فتكون القضية شرطية، كما لوقال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يتصد لإحراز الموضوع، بل أوكله إلى المكلف، فهذه القضية وإن كانت حملية في الظاهر، لكنها لدى التحليل تنحل إلى قضية شرطية مؤداها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الشيء خمراً فهو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إحراز المكلف طريقاً لإثبات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يصح التمسك بالدليل، إلا مع فرض إحراز الموضوع في الرتبة السابقة حتى يحمل عليه الحرام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يتكفل المولى إحراز الموضوع بنفسه، فتكون القضية الحكمية قضية حملية لا شرطية، فينتفي الشك في الموضوع تعبداً، وإن كان موجوداً وجداناً، كما لوقال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مياه الأنهار فإنها ملوثة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يوكل الموضوع إلى المكلف حتى يقال بعدم شمول القضية لحالة الشك، بل تكفل المولى إحراز الموضوع وحكم بكون مياه الأنهار ملوثة، فلو شك في نهر أن مياهه ملوثة أم لا؟ ثبت حكم وجوب الاجتناب عنه، لإخبار المولى بأنّ ماء النهر ملوث</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لزم الاجتناب عن الرمان المشكوك حموضته، ولا يمكن القول بعدم لزوم الاجتناب لعدم ثبوت الحموضة، وإنّ ثبوت المحمول فرع ثبوت الموضوع؛ وذلك لأنّ </w:t>
      </w:r>
      <w:bookmarkStart w:id="225" w:name="pg15608_167116"/>
    </w:p>
    <w:p>
      <w:pPr>
        <w:pStyle w:val="BookText"/>
        <w:rPr/>
      </w:pPr>
      <w:bookmarkEnd w:id="225"/>
      <w:r>
        <w:rPr>
          <w:rFonts w:ascii="Amiri" w:hAnsi="Amiri" w:eastAsia="Amiri" w:cs="Amiri"/>
          <w:color w:val="111111"/>
          <w:sz w:val="28"/>
          <w:sz w:val="28"/>
          <w:szCs w:val="28"/>
          <w:rtl w:val="true"/>
          <w:lang w:bidi="ar-SA"/>
        </w:rPr>
        <w:t>المولى أخبر بأن كل رمان حامض فلا معنى للشك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عدم الحموضة في مورد لكان العام قابلاً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حيث إنّ المولى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تقتحم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مآلها إلى قضية شرطية،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شبهة فيها الهلكة، فإنّ روايات الوقوف بيان لوجود الهلكة في الشبهات البدوية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ما ذكر لكان كلام صاحب الكفاية محل تأمل</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0086603_2142443653"/>
      <w:bookmarkStart w:id="227" w:name="_Toc86"/>
      <w:bookmarkEnd w:id="226"/>
      <w:r>
        <w:rPr>
          <w:rtl w:val="true"/>
        </w:rPr>
        <w:t>الإشكال التاسع</w:t>
      </w:r>
      <w:bookmarkEnd w:id="227"/>
    </w:p>
    <w:p>
      <w:pPr>
        <w:pStyle w:val="BookText"/>
        <w:rPr/>
      </w:pPr>
      <w:r>
        <w:rPr>
          <w:rFonts w:ascii="Amiri" w:hAnsi="Amiri" w:eastAsia="Amiri" w:cs="Amiri"/>
          <w:color w:val="111111"/>
          <w:sz w:val="28"/>
          <w:sz w:val="28"/>
          <w:szCs w:val="28"/>
          <w:rtl w:val="true"/>
          <w:lang w:bidi="ar-SA"/>
        </w:rPr>
        <w:t>ما حكي عن المحقق القمي</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أخبار التوقف معارض بأخبار البراءة، وهي أقوى سنداً ودلالة واعتضاداً بالكتاب والسنة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أجاب عنه الشيخ الأعظم</w:t>
      </w:r>
      <w:r>
        <w:rPr>
          <w:rStyle w:val="FootnoteAnchor"/>
          <w:rtl w:val="true"/>
        </w:rPr>
        <w:footnoteReference w:id="624"/>
      </w:r>
      <w:r>
        <w:rPr>
          <w:rFonts w:ascii="Amiri" w:hAnsi="Amiri" w:eastAsia="Amiri" w:cs="Amiri"/>
          <w:color w:val="111111"/>
          <w:sz w:val="28"/>
          <w:sz w:val="28"/>
          <w:szCs w:val="28"/>
          <w:rtl w:val="true"/>
          <w:lang w:bidi="ar-SA"/>
        </w:rPr>
        <w:t>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والترجيح متفرع على كون الطائفتين المتعارضتين في رتبة واحدة، أما لو كانت الطائفتان في رتبتين فلا تعارض ولا مجال للترجيح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أدلة التوقف في الشبهات حاكمة أو واردة على أخبار البراءة؛ لأنّ موضوع أخبار البراءة عدم العلم، وهو أعم من العلم الواقعي والظاهري، وأخبار التوقف علم ظاهري بالتكليف، فتكون رافعة لموضوع البراءة الشرعية والعقلية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 إن نسبة أخبار التوقف إلى أخبار البراءة نسبة الدليل إلى الأصل العملي، فكما أنّ الدليل الاجتهادي رافع لموضوع الأصل العملي كذلك أدلة التوقف رافعة لموضوع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تام في بعض أخبار البراءة، أما في مجموعة منها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فمع القول</w:t>
      </w:r>
      <w:r>
        <w:rPr>
          <w:rStyle w:val="FootnoteAnchor"/>
          <w:rtl w:val="true"/>
        </w:rPr>
        <w:footnoteReference w:id="626"/>
      </w:r>
      <w:r>
        <w:rPr>
          <w:rFonts w:ascii="Amiri" w:hAnsi="Amiri" w:eastAsia="Amiri" w:cs="Amiri"/>
          <w:color w:val="111111"/>
          <w:sz w:val="28"/>
          <w:sz w:val="28"/>
          <w:szCs w:val="28"/>
          <w:rtl w:val="true"/>
          <w:lang w:bidi="ar-SA"/>
        </w:rPr>
        <w:t>بأنّ المراد علم الشيء بما هو، لا علمه بما هو مدخول الحكم، أي كان العنوان الأولي للشيء مجهولاً، فهو موضوع عنهم، وتعارضه أخبار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شيء مطلق حتى يرد فيه نهي</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التفت الشيخ الأعظم إلى هذا الإشكال فأجاب عنه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يبقى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يكافئ أخبار التوقف</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البراءة ناظرة إلى مجهولية الحكم الواقعي، لكنها لا تكافئ أخبار التوقف، 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التوقف أكثر وأصح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الأخبار يرجحها موافقة الكتاب، كما أشار </w:t>
      </w:r>
      <w:bookmarkStart w:id="228" w:name="pg15608_167120"/>
    </w:p>
    <w:p>
      <w:pPr>
        <w:pStyle w:val="BookText"/>
        <w:rPr/>
      </w:pPr>
      <w:bookmarkEnd w:id="228"/>
      <w:r>
        <w:rPr>
          <w:rFonts w:ascii="Amiri" w:hAnsi="Amiri" w:eastAsia="Amiri" w:cs="Amiri"/>
          <w:color w:val="111111"/>
          <w:sz w:val="28"/>
          <w:sz w:val="28"/>
          <w:szCs w:val="28"/>
          <w:rtl w:val="true"/>
          <w:lang w:bidi="ar-SA"/>
        </w:rPr>
        <w:t>إليه المحقق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الكريمات الدالة على البراءة لا تدل على هذا المعنى، بل تدل على الأعم مما جهل حكمه بعنوانه الواقعي،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فالرسول أعم من بيان الحكم الواقعي والظاهري، فالآيات لا ترجح البراءة، فتبقى الطائفتان بلا مرجح، وطائفة التوقف أكثر وأصح</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0086605_2142443653"/>
      <w:bookmarkStart w:id="230" w:name="_Toc87"/>
      <w:bookmarkEnd w:id="229"/>
      <w:r>
        <w:rPr>
          <w:rtl w:val="true"/>
        </w:rPr>
        <w:t>الإشكال العاشر</w:t>
      </w:r>
      <w:bookmarkEnd w:id="230"/>
    </w:p>
    <w:p>
      <w:pPr>
        <w:pStyle w:val="BookText"/>
        <w:rPr/>
      </w:pPr>
      <w:r>
        <w:rPr>
          <w:rFonts w:ascii="Amiri" w:hAnsi="Amiri" w:eastAsia="Amiri" w:cs="Amiri"/>
          <w:color w:val="111111"/>
          <w:sz w:val="28"/>
          <w:sz w:val="28"/>
          <w:szCs w:val="28"/>
          <w:rtl w:val="true"/>
          <w:lang w:bidi="ar-SA"/>
        </w:rPr>
        <w:t>ما ذكره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منشأ اشتباه الأصوليين هو الخلط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المصطلح الأصولي واللغوي، فوقعوا في مخمصة الجواب عن المعارضة بين الطائفتين، فالشبهة في مصطلح الأصوليين بمعنى الشك والمشكوك، وأما في اللغة فبمعنى المثل والنظير والمحاكي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الروايات الشريفة وجود أشياء تشابه الحق مشابهة صورية وشكلية لا واقعية، فهو في واقعه باطل، وإن تلبس ببعض مظاهر الحق</w:t>
      </w:r>
      <w:r>
        <w:rPr>
          <w:rStyle w:val="FootnoteAnchor"/>
          <w:rtl w:val="true"/>
        </w:rPr>
        <w:footnoteReference w:id="631"/>
      </w:r>
      <w:r>
        <w:rPr>
          <w:rFonts w:ascii="Amiri" w:hAnsi="Amiri" w:eastAsia="Amiri" w:cs="Amiri"/>
          <w:color w:val="111111"/>
          <w:sz w:val="28"/>
          <w:sz w:val="28"/>
          <w:szCs w:val="28"/>
          <w:rtl w:val="true"/>
          <w:lang w:bidi="ar-SA"/>
        </w:rPr>
        <w:t>، فالشبهة يعني الباطل في واقعه والذي يشبه الحق في ظاهره، والروايات تنبه على عدم الانخداع بالظواهر</w:t>
      </w:r>
      <w:r>
        <w:rPr>
          <w:rStyle w:val="FootnoteAnchor"/>
          <w:rtl w:val="true"/>
        </w:rPr>
        <w:footnoteReference w:id="632"/>
      </w:r>
      <w:r>
        <w:rPr>
          <w:rFonts w:ascii="Amiri" w:hAnsi="Amiri" w:eastAsia="Amiri" w:cs="Amiri"/>
          <w:color w:val="111111"/>
          <w:sz w:val="28"/>
          <w:sz w:val="28"/>
          <w:szCs w:val="28"/>
          <w:rtl w:val="true"/>
          <w:lang w:bidi="ar-SA"/>
        </w:rPr>
        <w:t>، بل اللازم التحقيق في الأمر، فإنّ الوقوف عند الشبهة خير من الاقتحام في الهلكة</w:t>
      </w:r>
      <w:r>
        <w:rPr>
          <w:rFonts w:eastAsia="Amiri" w:cs="Amiri" w:ascii="Amiri" w:hAnsi="Amiri"/>
          <w:color w:val="111111"/>
          <w:sz w:val="28"/>
          <w:szCs w:val="28"/>
          <w:rtl w:val="true"/>
          <w:lang w:bidi="ar-SA"/>
        </w:rPr>
        <w:t xml:space="preserve">. </w:t>
      </w:r>
      <w:bookmarkStart w:id="231" w:name="pg15608_167121"/>
    </w:p>
    <w:p>
      <w:pPr>
        <w:pStyle w:val="BookText"/>
        <w:rPr/>
      </w:pPr>
      <w:bookmarkEnd w:id="231"/>
      <w:r>
        <w:rPr>
          <w:rFonts w:ascii="Amiri" w:hAnsi="Amiri" w:eastAsia="Amiri" w:cs="Amiri"/>
          <w:color w:val="111111"/>
          <w:sz w:val="28"/>
          <w:sz w:val="28"/>
          <w:szCs w:val="28"/>
          <w:rtl w:val="true"/>
          <w:lang w:bidi="ar-SA"/>
        </w:rPr>
        <w:t>وليست الشبهة بهذا المعنى في اللغة فحسب، بل في مصطلح الروايات أيضاً كذلك، كما ورد في قول أمير المؤمنين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للإمام المجتبى</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وإنما سميت الشبهة شبهة لأنها تشبه الحق، فأما أولياء اللّه فضياؤهم فيها اليقين، ودليلهم سمت الهدى، وأما أعداء اللّه فدعاؤهم فيها الضلال ودليلهم العمى</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 هؤلاء القوم سنح لهم شيطان اغترهم بالشبهة</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والروايات أعم من ذلك، فيشمل الشك والمشكوك، فتشمل الشبهات الحكمية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اللغة، ففي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الالتباس</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يعني الغموض وعدم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الروايات، ففي خبر مسعدة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تجامعوا في النكاح على الشبهة، وقفوا عند الشبهة،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أنك قد رضعت من لبنها وأنها لك محرم أو ما أشبه ذلك، فإنّ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10086607_2142443653"/>
      <w:bookmarkStart w:id="233" w:name="_Toc88"/>
      <w:bookmarkEnd w:id="232"/>
      <w:r>
        <w:rPr>
          <w:rtl w:val="true"/>
        </w:rPr>
        <w:t>الإشكال الحادي عشر</w:t>
      </w:r>
      <w:bookmarkEnd w:id="23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أخبار التوقف تنقسم إلى طوائف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ضعيفة سنداً وبعضها </w:t>
      </w:r>
      <w:bookmarkStart w:id="234" w:name="pg15608_167122"/>
    </w:p>
    <w:p>
      <w:pPr>
        <w:pStyle w:val="BookText"/>
        <w:rPr/>
      </w:pPr>
      <w:bookmarkEnd w:id="234"/>
      <w:r>
        <w:rPr>
          <w:rFonts w:ascii="Amiri" w:hAnsi="Amiri" w:eastAsia="Amiri" w:cs="Amiri"/>
          <w:color w:val="111111"/>
          <w:sz w:val="28"/>
          <w:sz w:val="28"/>
          <w:szCs w:val="28"/>
          <w:rtl w:val="true"/>
          <w:lang w:bidi="ar-SA"/>
        </w:rPr>
        <w:t>ضعيفة دلالة</w:t>
      </w:r>
      <w:r>
        <w:rPr>
          <w:rStyle w:val="FootnoteAnchor"/>
          <w:rtl w:val="true"/>
        </w:rPr>
        <w:footnoteReference w:id="637"/>
      </w:r>
      <w:r>
        <w:rPr>
          <w:rFonts w:ascii="Amiri" w:hAnsi="Amiri" w:eastAsia="Amiri" w:cs="Amiri"/>
          <w:color w:val="111111"/>
          <w:sz w:val="28"/>
          <w:sz w:val="28"/>
          <w:szCs w:val="28"/>
          <w:rtl w:val="true"/>
          <w:lang w:bidi="ar-SA"/>
        </w:rPr>
        <w:t>، وأما التامة سنداً ودلالة فقد أعرض عنها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وتمامية الجواب موقوفةٌ على القول بأنّ الإعراض دلالة موهنة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الطائفة الأولى</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0086609_2142443653"/>
      <w:bookmarkStart w:id="236" w:name="_Toc89"/>
      <w:bookmarkEnd w:id="235"/>
      <w:r>
        <w:rPr>
          <w:rtl w:val="true"/>
        </w:rPr>
        <w:t>الطائفة الثانية</w:t>
      </w:r>
      <w:r>
        <w:rPr>
          <w:rtl w:val="true"/>
        </w:rPr>
        <w:t xml:space="preserve">: </w:t>
      </w:r>
      <w:r>
        <w:rPr>
          <w:rtl w:val="true"/>
        </w:rPr>
        <w:t>الأخبار الآمرة بالاحتياط في موارد الشبهات</w:t>
      </w:r>
      <w:bookmarkEnd w:id="236"/>
    </w:p>
    <w:p>
      <w:pPr>
        <w:pStyle w:val="Heading5"/>
        <w:numPr>
          <w:ilvl w:val="4"/>
          <w:numId w:val="1"/>
        </w:numPr>
        <w:rPr/>
      </w:pPr>
      <w:bookmarkStart w:id="237" w:name="__RefHeading___Toc10086611_2142443653"/>
      <w:bookmarkStart w:id="238" w:name="_Toc90"/>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وفيها روايات</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0086613_2142443653"/>
      <w:bookmarkStart w:id="240" w:name="_Toc91"/>
      <w:bookmarkEnd w:id="239"/>
      <w:r>
        <w:rPr>
          <w:rtl w:val="true"/>
        </w:rPr>
        <w:t>الرواية الأولى</w:t>
      </w:r>
      <w:bookmarkEnd w:id="240"/>
    </w:p>
    <w:p>
      <w:pPr>
        <w:pStyle w:val="Heading6"/>
        <w:numPr>
          <w:ilvl w:val="5"/>
          <w:numId w:val="1"/>
        </w:numPr>
        <w:rPr/>
      </w:pPr>
      <w:bookmarkStart w:id="241" w:name="__RefHeading___Toc10086615_2142443653"/>
      <w:bookmarkStart w:id="242" w:name="_Toc92"/>
      <w:bookmarkEnd w:id="241"/>
      <w:r>
        <w:rPr>
          <w:rtl w:val="true"/>
        </w:rPr>
        <w:t>اشارة</w:t>
      </w:r>
      <w:bookmarkEnd w:id="24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محمد بن يعقوب، عن علي بن إبراهيم</w:t>
      </w:r>
      <w:r>
        <w:rPr>
          <w:rStyle w:val="FootnoteAnchor"/>
          <w:rtl w:val="true"/>
        </w:rPr>
        <w:footnoteReference w:id="638"/>
      </w:r>
      <w:r>
        <w:rPr>
          <w:rFonts w:ascii="Amiri" w:hAnsi="Amiri" w:eastAsia="Amiri" w:cs="Amiri"/>
          <w:color w:val="111111"/>
          <w:sz w:val="28"/>
          <w:sz w:val="28"/>
          <w:szCs w:val="28"/>
          <w:rtl w:val="true"/>
          <w:lang w:bidi="ar-SA"/>
        </w:rPr>
        <w:t>، عن أبيه إبراهيم بن هاشم</w:t>
      </w:r>
      <w:r>
        <w:rPr>
          <w:rStyle w:val="FootnoteAnchor"/>
          <w:rtl w:val="true"/>
        </w:rPr>
        <w:footnoteReference w:id="639"/>
      </w:r>
      <w:r>
        <w:rPr>
          <w:rFonts w:ascii="Amiri" w:hAnsi="Amiri" w:eastAsia="Amiri" w:cs="Amiri"/>
          <w:color w:val="111111"/>
          <w:sz w:val="28"/>
          <w:sz w:val="28"/>
          <w:szCs w:val="28"/>
          <w:rtl w:val="true"/>
          <w:lang w:bidi="ar-SA"/>
        </w:rPr>
        <w:t>، وعن محمد بن إسماعيل</w:t>
      </w:r>
      <w:r>
        <w:rPr>
          <w:rStyle w:val="FootnoteAnchor"/>
          <w:rtl w:val="true"/>
        </w:rPr>
        <w:footnoteReference w:id="640"/>
      </w:r>
      <w:r>
        <w:rPr>
          <w:rFonts w:ascii="IRNazanin" w:hAnsi="IRNazanin" w:eastAsia="IRNazanin"/>
          <w:color w:val="111111"/>
          <w:sz w:val="28"/>
          <w:sz w:val="28"/>
          <w:szCs w:val="28"/>
          <w:rtl w:val="true"/>
          <w:lang w:bidi="fa-IR"/>
        </w:rPr>
        <w:t>، عن الفضل بن شاذان</w:t>
      </w:r>
      <w:r>
        <w:rPr>
          <w:rStyle w:val="FootnoteAnchor"/>
          <w:rtl w:val="true"/>
        </w:rPr>
        <w:footnoteReference w:id="641"/>
      </w:r>
      <w:r>
        <w:rPr>
          <w:rFonts w:ascii="Amiri" w:hAnsi="Amiri" w:eastAsia="Amiri" w:cs="Amiri"/>
          <w:color w:val="111111"/>
          <w:sz w:val="28"/>
          <w:sz w:val="28"/>
          <w:szCs w:val="28"/>
          <w:rtl w:val="true"/>
          <w:lang w:bidi="ar-SA"/>
        </w:rPr>
        <w:t>، جميعا</w:t>
      </w:r>
      <w:r>
        <w:rPr>
          <w:rStyle w:val="FootnoteAnchor"/>
          <w:rtl w:val="true"/>
        </w:rPr>
        <w:footnoteReference w:id="642"/>
      </w:r>
      <w:r>
        <w:rPr>
          <w:rFonts w:ascii="Amiri" w:hAnsi="Amiri" w:eastAsia="Amiri" w:cs="Amiri"/>
          <w:color w:val="111111"/>
          <w:sz w:val="28"/>
          <w:sz w:val="28"/>
          <w:szCs w:val="28"/>
          <w:rtl w:val="true"/>
          <w:lang w:bidi="ar-SA"/>
        </w:rPr>
        <w:t>، عن ابن أبي عمير</w:t>
      </w:r>
      <w:r>
        <w:rPr>
          <w:rStyle w:val="FootnoteAnchor"/>
          <w:rtl w:val="true"/>
        </w:rPr>
        <w:footnoteReference w:id="643"/>
      </w:r>
      <w:r>
        <w:rPr>
          <w:rFonts w:ascii="Amiri" w:hAnsi="Amiri" w:eastAsia="Amiri" w:cs="Amiri"/>
          <w:color w:val="111111"/>
          <w:sz w:val="28"/>
          <w:sz w:val="28"/>
          <w:szCs w:val="28"/>
          <w:rtl w:val="true"/>
          <w:lang w:bidi="ar-SA"/>
        </w:rPr>
        <w:t>وصفوان بن يحيى</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جميعا</w:t>
      </w:r>
      <w:r>
        <w:rPr>
          <w:rStyle w:val="FootnoteAnchor"/>
          <w:rtl w:val="true"/>
        </w:rPr>
        <w:footnoteReference w:id="645"/>
      </w:r>
      <w:r>
        <w:rPr>
          <w:rFonts w:ascii="IRNazanin" w:hAnsi="IRNazanin" w:eastAsia="IRNazanin"/>
          <w:color w:val="111111"/>
          <w:sz w:val="28"/>
          <w:sz w:val="28"/>
          <w:szCs w:val="28"/>
          <w:rtl w:val="true"/>
          <w:lang w:bidi="fa-IR"/>
        </w:rPr>
        <w:t>، عن عبد الرحمن بن الحجاج</w:t>
      </w:r>
      <w:r>
        <w:rPr>
          <w:rStyle w:val="FootnoteAnchor"/>
          <w:rtl w:val="true"/>
        </w:rPr>
        <w:footnoteReference w:id="6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رجلين أصابا صيداً</w:t>
      </w:r>
      <w:r>
        <w:rPr>
          <w:rStyle w:val="FootnoteAnchor"/>
          <w:rtl w:val="true"/>
        </w:rPr>
        <w:footnoteReference w:id="647"/>
      </w:r>
      <w:r>
        <w:rPr>
          <w:rFonts w:ascii="Amiri" w:hAnsi="Amiri" w:eastAsia="Amiri" w:cs="Amiri"/>
          <w:color w:val="111111"/>
          <w:sz w:val="28"/>
          <w:sz w:val="28"/>
          <w:szCs w:val="28"/>
          <w:rtl w:val="true"/>
          <w:lang w:bidi="ar-SA"/>
        </w:rPr>
        <w:t>، وهما محرمان، الجزاء بينهما أو على كل واحد منهما جزاء؟ قال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بل عليهما أن يجزي كل واحد منهما الصيد،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سألني عن ذلك فلم أدر ما عليه؟ فقال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أصبتم مثل هذا فلم تدروا فعليكم بالاحتياط حتى تسألوا عنه فتعلموا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فتدل الرواية على وجوب الاحتياط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على دلالتها بإشكالات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مخصوص بما علم فيه الوجوب في الجملة</w:t>
      </w:r>
      <w:r>
        <w:rPr>
          <w:rStyle w:val="FootnoteAnchor"/>
          <w:rtl w:val="true"/>
        </w:rPr>
        <w:footnoteReference w:id="649"/>
      </w:r>
      <w:r>
        <w:rPr>
          <w:rFonts w:ascii="Amiri" w:hAnsi="Amiri" w:eastAsia="Amiri" w:cs="Amiri"/>
          <w:color w:val="111111"/>
          <w:sz w:val="28"/>
          <w:sz w:val="28"/>
          <w:szCs w:val="28"/>
          <w:rtl w:val="true"/>
          <w:lang w:bidi="ar-SA"/>
        </w:rPr>
        <w:t xml:space="preserve">، ومحل البحث في الشك في أصل الوجوب والحرمة، حيث يشك أن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أو حرام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فإنه من قبيل الشك بين الأقل والأكثر الاستقلاليين لا الارتباطيين</w:t>
      </w:r>
      <w:r>
        <w:rPr>
          <w:rStyle w:val="FootnoteAnchor"/>
          <w:rtl w:val="true"/>
        </w:rPr>
        <w:footnoteReference w:id="650"/>
      </w:r>
      <w:r>
        <w:rPr>
          <w:rFonts w:ascii="Amiri" w:hAnsi="Amiri" w:eastAsia="Amiri" w:cs="Amiri"/>
          <w:color w:val="111111"/>
          <w:sz w:val="28"/>
          <w:sz w:val="28"/>
          <w:szCs w:val="28"/>
          <w:rtl w:val="true"/>
          <w:lang w:bidi="ar-SA"/>
        </w:rPr>
        <w:t>لأنّ العلم الإجمالي ينحل إلى الأقل المتيقن والأكثر المشكوك، ومع الانحلال يكون الشك في الأكثر شكاً في التكليف لا المكلف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هو التكفير بنصف بدنة، وأما البدنة الكاملة لكل منهما فهو شك في التكليف بعد انحلال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إذا أصبتم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يحتمل فيها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خصوص صيد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الشبهة الوجوبية الدائرة بين الأقل والأكثر الاستقلاليين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الشبهة الوجوبية الدائرة بين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الوجوبية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الاحتمالات الأربعة لا تجدي في المقام، بل المجدي الاحتمال الخامس، وهو كون المراد الشبهة الحكمية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الإجمال وتطرق الاحتمال تسقط الرواية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دعوى عدم الإجمال عرفاً، فإنّ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بصدد إعطاء ضابطة كلية، فلا بد أن تكون عرفية، ولا خصوصية عرفية فيما سوى الاحتمال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إذا أصبتم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جهل حكمه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اقتصر عليه المحقق العراقي، قال في عبارة مبهمة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مفاده إنما هو المنع عن الإفتاء بالواقع عند الجهل به و تمام هم المجتهدين أنما هو إثبات الترخيص الظاهري، فلا يرتبط بما هو مفروض البحث، وهو الاحتياط في مقام العمل</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لكنه محل تأمل إن لم يكن مآله إلى إحدى الأجوبة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عليكم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الإفتاء بالواقع أو الإفتاء بالترخيص الظاهري، فتخصيصه بالأول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الإفتاء بالواقع في ظرف عدم العلم خلاف الاحتياط، كذلك الإفتاء بالترخيص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عبارات الشيخ</w:t>
      </w:r>
      <w:r>
        <w:rPr>
          <w:rStyle w:val="FootnoteAnchor"/>
          <w:rtl w:val="true"/>
        </w:rPr>
        <w:footnoteReference w:id="652"/>
      </w:r>
      <w:r>
        <w:rPr>
          <w:rFonts w:ascii="Amiri" w:hAnsi="Amiri" w:eastAsia="Amiri" w:cs="Amiri"/>
          <w:color w:val="111111"/>
          <w:sz w:val="28"/>
          <w:sz w:val="28"/>
          <w:szCs w:val="28"/>
          <w:rtl w:val="true"/>
          <w:lang w:bidi="ar-SA"/>
        </w:rPr>
        <w:t>في ضمن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المغيّا مخصوص بزمن الحضور وقبل الفحص، والقائل بالبراءة لا يتمسك بها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في ظرف إمكان الاستعلام، فلا ترتبط بما نحن فيه؛ لأنّ ظرفنا ظرف 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بحاجة إلى مزيد من التأمل، فهل المراد بالغاية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المغياة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الغاية أو الغاية المقدورة؟ وفي المقام الغاية هي السؤال، فهل الغاية السؤال مطلقاً أو السؤال في ظرف إمكانه؟ فلو قلنا بالأول كان المعنى أنه قبل السؤال وتحصيل العلم لا يمكن الاقتحام حتى في ظرف الغيبة؛ وذلك لعدم تحقق الغاية، ولو قلنا بالثاني كان المعنى لزوم الاحتياط حتى يتم السؤال إن أمكن، ففي ظرف الغيبة حيث لا يمكن السؤال فلا يلزم الاحتياط</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لوقال المولى العرفي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غرفتي حتى آذن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w:t>
      </w:r>
    </w:p>
    <w:p>
      <w:pPr>
        <w:pStyle w:val="BookText"/>
        <w:rPr/>
      </w:pPr>
      <w:r>
        <w:rPr>
          <w:rFonts w:ascii="Amiri" w:hAnsi="Amiri" w:eastAsia="Amiri" w:cs="Amiri"/>
          <w:color w:val="111111"/>
          <w:sz w:val="28"/>
          <w:sz w:val="28"/>
          <w:szCs w:val="28"/>
          <w:rtl w:val="true"/>
          <w:lang w:bidi="ar-SA"/>
        </w:rPr>
        <w:t xml:space="preserve">يمكنه الاستئذان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المولى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يسقط النهي؟ وهل يحق للعبد أن يدخل الغرفة، ويعتذر بأنّ الغاية مقيدة بظرف الإمكان، أم أن الغاية هي حصول الإذن، وما لم يحصل بأي سبب كان فلا حق للعبد في الدخول؟</w:t>
      </w:r>
    </w:p>
    <w:p>
      <w:pPr>
        <w:pStyle w:val="BookText"/>
        <w:rPr/>
      </w:pPr>
      <w:r>
        <w:rPr>
          <w:rFonts w:ascii="Amiri" w:hAnsi="Amiri" w:eastAsia="Amiri" w:cs="Amiri"/>
          <w:color w:val="111111"/>
          <w:sz w:val="28"/>
          <w:sz w:val="28"/>
          <w:szCs w:val="28"/>
          <w:rtl w:val="true"/>
          <w:lang w:bidi="ar-SA"/>
        </w:rPr>
        <w:t>إلا أن يدافع عن الشيخ بالانصراف عن عهد الغيبة عرفاً، فهي خاصة بعهد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الشبهة الوجوبية أو مطلق الشبهة الحكمية، 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الأخباريون لا يقولون بوجوب الاحتياط فيها إلا من شذّ وندر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خروج المورد، وهو مستهجن، حيث يكون مفاد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جميع الشبهات الحكمية إلا في الشبهات الوجوبية، والتي هي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الرواية على الاستحباب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الصحيحة مغيّا بالعلم، وهو أعم من العلم الوجداني والتعبدي،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خصوص العلم الوجداني، ولكن خص بالذكر باعتباره أتم الحجج، لا بلحاظ انحصار الحجية فيه، كما ذكروا مثل ذلك في نقض اليقين بمثله، حيث لا يلزم أن يكون اليقين الناقض يقيناً وجدانياً، بل يكفي في النقض اليقين التعبدي، و هكذا في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حيث لا فرق في المتيقن السابق بين كونه متيقناً باليقين التعبدي أو الوجداني، وهكذا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w:t>
      </w:r>
      <w:bookmarkStart w:id="243" w:name="pg15608_167127"/>
    </w:p>
    <w:p>
      <w:pPr>
        <w:pStyle w:val="BookText"/>
        <w:rPr/>
      </w:pPr>
      <w:bookmarkEnd w:id="243"/>
      <w:r>
        <w:rPr>
          <w:rFonts w:ascii="Amiri" w:hAnsi="Amiri" w:eastAsia="Amiri" w:cs="Amiri"/>
          <w:color w:val="111111"/>
          <w:sz w:val="28"/>
          <w:sz w:val="28"/>
          <w:szCs w:val="28"/>
          <w:rtl w:val="true"/>
          <w:lang w:bidi="ar-SA"/>
        </w:rPr>
        <w:t>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فإنّ جواز الإسناد إلى المولى موقوف على العلم بالمعنى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المقام، الغاية محققة؛ لأنّ الأصوليين يعملون بالبراءة الشرعية بعد الفحص واليأس، والبراءة علم تعبدي أو حجة تعبدية، ومع حصول الغاية لا 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الاحتياط مغيّا بالعلم، ومع حصول العلم للأصولي بالحلية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البراءة الشرعية أو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الغاية، فيرتفع وجوب الاحتياط</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0086617_2142443653"/>
      <w:bookmarkStart w:id="245" w:name="_Toc93"/>
      <w:bookmarkEnd w:id="244"/>
      <w:r>
        <w:rPr>
          <w:rtl w:val="true"/>
        </w:rPr>
        <w:t>تذنيبان</w:t>
      </w:r>
      <w:bookmarkEnd w:id="245"/>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احتمالان في المشار إليه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المشار إليه نفس الواقعة، أي الموضوع المشتبه الحكم، كواقعة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المشار إليه السؤال عن حكم ما لا يعلم حكمه، فالمراد إذا ابتلي أحدكم بالسؤال عما لا يعلم حكمه، فعليه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في حد ذاتها لا تخلو عن الإجمال والإبهام، لكن يمكن تقريب الاحتمال الثاني بأحد بيانين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ولا يجب الاحتياط في نفس الواقعة، حيث يمكن الاقتصار على القدر المتيقن وهو السؤال، وإن كانت الشبهة حكمية، وهذا معين للاحتمال الثاني، وأما الاحتياط في الجواب </w:t>
      </w:r>
      <w:bookmarkStart w:id="246" w:name="pg15608_167128"/>
    </w:p>
    <w:p>
      <w:pPr>
        <w:pStyle w:val="BookText"/>
        <w:rPr/>
      </w:pPr>
      <w:bookmarkEnd w:id="246"/>
      <w:r>
        <w:rPr>
          <w:rFonts w:ascii="IRNazanin" w:hAnsi="IRNazanin" w:eastAsia="IRNazanin"/>
          <w:color w:val="111111"/>
          <w:sz w:val="28"/>
          <w:sz w:val="28"/>
          <w:szCs w:val="28"/>
          <w:rtl w:val="true"/>
          <w:lang w:bidi="fa-IR"/>
        </w:rPr>
        <w:t>فواجب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في العلوم الأدبية</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يعود إلى الأقرب، والظاهر عدم الفرق بين الضمير واسم الإشارة، والأقرب في المقام هو السؤال لا الواقعة، فيعود اسم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كانت الإشارة إلى الواقعة المشكوكة أو السؤال عنها، فالرواية لا تدل على وجوب الاحتياط في الشبهات الحكمية المقصودة على كلا التقديرين، لما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فعليكم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بما يوافق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الاحتمالات الثلاثة مبنية على اختيار الاحتمال الثاني في التذنيب الأول، والظاهر من الرواية هو الثالث، فالمعنى هو أن لا يقول الإنسان ما لا يعلم، ولا يفتي حتى يسأل فيعلم</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0086619_2142443653"/>
      <w:bookmarkStart w:id="248" w:name="_Toc94"/>
      <w:bookmarkEnd w:id="247"/>
      <w:r>
        <w:rPr>
          <w:rtl w:val="true"/>
        </w:rPr>
        <w:t>الرواية الثانية</w:t>
      </w:r>
      <w:bookmarkEnd w:id="248"/>
    </w:p>
    <w:p>
      <w:pPr>
        <w:pStyle w:val="Heading6"/>
        <w:numPr>
          <w:ilvl w:val="5"/>
          <w:numId w:val="1"/>
        </w:numPr>
        <w:rPr/>
      </w:pPr>
      <w:bookmarkStart w:id="249" w:name="__RefHeading___Toc10086621_2142443653"/>
      <w:bookmarkStart w:id="250" w:name="_Toc95"/>
      <w:bookmarkEnd w:id="249"/>
      <w:r>
        <w:rPr>
          <w:rtl w:val="true"/>
        </w:rPr>
        <w:t>اشارة</w:t>
      </w:r>
      <w:bookmarkEnd w:id="25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w:t>
      </w:r>
      <w:r>
        <w:rPr>
          <w:rStyle w:val="FootnoteAnchor"/>
          <w:rtl w:val="true"/>
        </w:rPr>
        <w:footnoteReference w:id="656"/>
      </w:r>
      <w:r>
        <w:rPr>
          <w:rFonts w:ascii="IRNazanin" w:hAnsi="IRNazanin" w:eastAsia="IRNazanin"/>
          <w:color w:val="111111"/>
          <w:sz w:val="28"/>
          <w:sz w:val="28"/>
          <w:szCs w:val="28"/>
          <w:rtl w:val="true"/>
          <w:lang w:bidi="fa-IR"/>
        </w:rPr>
        <w:t>عبد اللّه بن وضاح</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w:t>
      </w:r>
      <w:bookmarkStart w:id="251" w:name="pg15608_167129"/>
    </w:p>
    <w:p>
      <w:pPr>
        <w:pStyle w:val="BookText"/>
        <w:rPr/>
      </w:pPr>
      <w:bookmarkEnd w:id="251"/>
      <w:r>
        <w:rPr>
          <w:rFonts w:ascii="IRNazanin" w:hAnsi="IRNazanin" w:eastAsia="IRNazanin"/>
          <w:color w:val="111111"/>
          <w:sz w:val="28"/>
          <w:sz w:val="28"/>
          <w:szCs w:val="28"/>
          <w:rtl w:val="true"/>
          <w:lang w:bidi="fa-IR"/>
        </w:rPr>
        <w:t>بإسناده</w:t>
      </w:r>
      <w:r>
        <w:rPr>
          <w:rStyle w:val="FootnoteAnchor"/>
          <w:rtl w:val="true"/>
        </w:rPr>
        <w:footnoteReference w:id="658"/>
      </w:r>
      <w:r>
        <w:rPr>
          <w:rFonts w:ascii="Amiri" w:hAnsi="Amiri" w:eastAsia="Amiri" w:cs="Amiri"/>
          <w:color w:val="111111"/>
          <w:sz w:val="28"/>
          <w:sz w:val="28"/>
          <w:szCs w:val="28"/>
          <w:rtl w:val="true"/>
          <w:lang w:bidi="ar-SA"/>
        </w:rPr>
        <w:t>، عن الحسن بن محمد بن سماعة</w:t>
      </w:r>
      <w:r>
        <w:rPr>
          <w:rStyle w:val="FootnoteAnchor"/>
          <w:rtl w:val="true"/>
        </w:rPr>
        <w:footnoteReference w:id="659"/>
      </w:r>
      <w:r>
        <w:rPr>
          <w:rFonts w:ascii="Amiri" w:hAnsi="Amiri" w:eastAsia="Amiri" w:cs="Amiri"/>
          <w:color w:val="111111"/>
          <w:sz w:val="28"/>
          <w:sz w:val="28"/>
          <w:szCs w:val="28"/>
          <w:rtl w:val="true"/>
          <w:lang w:bidi="ar-SA"/>
        </w:rPr>
        <w:t>، عن سليمان بن داوود، عن عبد اللّه بن وضاح</w:t>
      </w:r>
      <w:r>
        <w:rPr>
          <w:rStyle w:val="FootnoteAnchor"/>
          <w:rtl w:val="true"/>
        </w:rPr>
        <w:footnoteReference w:id="660"/>
      </w:r>
      <w:r>
        <w:rPr>
          <w:rFonts w:ascii="IRNazanin" w:hAnsi="IRNazanin" w:eastAsia="IRNazanin"/>
          <w:color w:val="111111"/>
          <w:sz w:val="28"/>
          <w:sz w:val="28"/>
          <w:szCs w:val="28"/>
          <w:rtl w:val="true"/>
          <w:lang w:bidi="fa-IR"/>
        </w:rPr>
        <w:t>، قال</w:t>
      </w:r>
      <w:r>
        <w:rPr>
          <w:rStyle w:val="FootnoteAnchor"/>
          <w:rtl w:val="true"/>
        </w:rPr>
        <w:footnoteReference w:id="6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العبد الصالح</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يتوارى القرص</w:t>
      </w:r>
      <w:r>
        <w:rPr>
          <w:rStyle w:val="FootnoteAnchor"/>
          <w:rtl w:val="true"/>
        </w:rPr>
        <w:footnoteReference w:id="662"/>
      </w:r>
      <w:r>
        <w:rPr>
          <w:rFonts w:ascii="Amiri" w:hAnsi="Amiri" w:eastAsia="Amiri" w:cs="Amiri"/>
          <w:color w:val="111111"/>
          <w:sz w:val="28"/>
          <w:sz w:val="28"/>
          <w:szCs w:val="28"/>
          <w:rtl w:val="true"/>
          <w:lang w:bidi="ar-SA"/>
        </w:rPr>
        <w:t>ويقبل الليل ثم يزيد الليل ارتفاعاً</w:t>
      </w:r>
      <w:r>
        <w:rPr>
          <w:rStyle w:val="FootnoteAnchor"/>
          <w:rtl w:val="true"/>
        </w:rPr>
        <w:footnoteReference w:id="663"/>
      </w:r>
      <w:r>
        <w:rPr>
          <w:rFonts w:ascii="Amiri" w:hAnsi="Amiri" w:eastAsia="Amiri" w:cs="Amiri"/>
          <w:color w:val="111111"/>
          <w:sz w:val="28"/>
          <w:sz w:val="28"/>
          <w:szCs w:val="28"/>
          <w:rtl w:val="true"/>
          <w:lang w:bidi="ar-SA"/>
        </w:rPr>
        <w:t>، وتستتر عنا الشمس، وترتفع فوق الليل</w:t>
      </w:r>
      <w:r>
        <w:rPr>
          <w:rStyle w:val="FootnoteAnchor"/>
          <w:rtl w:val="true"/>
        </w:rPr>
        <w:footnoteReference w:id="664"/>
      </w:r>
      <w:r>
        <w:rPr>
          <w:rFonts w:ascii="Amiri" w:hAnsi="Amiri" w:eastAsia="Amiri" w:cs="Amiri"/>
          <w:color w:val="111111"/>
          <w:sz w:val="28"/>
          <w:sz w:val="28"/>
          <w:szCs w:val="28"/>
          <w:rtl w:val="true"/>
          <w:lang w:bidi="ar-SA"/>
        </w:rPr>
        <w:t>حمرة، ويؤذن عندنا المؤذنون</w:t>
      </w:r>
      <w:r>
        <w:rPr>
          <w:rStyle w:val="FootnoteAnchor"/>
          <w:rtl w:val="true"/>
        </w:rPr>
        <w:footnoteReference w:id="665"/>
      </w:r>
      <w:r>
        <w:rPr>
          <w:rFonts w:ascii="Amiri" w:hAnsi="Amiri" w:eastAsia="Amiri" w:cs="Amiri"/>
          <w:color w:val="111111"/>
          <w:sz w:val="28"/>
          <w:sz w:val="28"/>
          <w:szCs w:val="28"/>
          <w:rtl w:val="true"/>
          <w:lang w:bidi="ar-SA"/>
        </w:rPr>
        <w:t>، فأصلى حينئذ وأفطر إن كنت صائماً، أو أنتظر حتى تذهب الحمرة التي فوق الليل،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أن تنتظر حتى تذهب الحمرة</w:t>
      </w:r>
      <w:r>
        <w:rPr>
          <w:rStyle w:val="FootnoteAnchor"/>
          <w:rtl w:val="true"/>
        </w:rPr>
        <w:footnoteReference w:id="666"/>
      </w:r>
      <w:r>
        <w:rPr>
          <w:rFonts w:ascii="Amiri" w:hAnsi="Amiri" w:eastAsia="Amiri" w:cs="Amiri"/>
          <w:color w:val="111111"/>
          <w:sz w:val="28"/>
          <w:sz w:val="28"/>
          <w:szCs w:val="28"/>
          <w:rtl w:val="true"/>
          <w:lang w:bidi="ar-SA"/>
        </w:rPr>
        <w:t>، وتأخذ بالحائطة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بحثان</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0086623_2142443653"/>
      <w:bookmarkStart w:id="253" w:name="_Toc96"/>
      <w:bookmarkEnd w:id="252"/>
      <w:r>
        <w:rPr>
          <w:rtl w:val="true"/>
        </w:rPr>
        <w:t>البحث الأول</w:t>
      </w:r>
      <w:r>
        <w:rPr>
          <w:rtl w:val="true"/>
        </w:rPr>
        <w:t xml:space="preserve">: </w:t>
      </w:r>
      <w:r>
        <w:rPr>
          <w:rtl w:val="true"/>
        </w:rPr>
        <w:t>في السند</w:t>
      </w:r>
      <w:bookmarkEnd w:id="2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 سليمان بن داود إشكالين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مشترك بين سليمان بن داود الخفاف، وبين سليمان بن داود المروزي، وهما مجهولان، وبين سليمان بن داود المنقري وهو ثقة، ولم يعلم مَنْ هو المراد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مندفع بما ذكر في محله أنّ المراد به سليمان بن داود المنقري، وذلك بقرينة 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أنه المنقري و لكن تعارض فيه الجرح والتوثيق، فقد وثقه النجاشي وضعفه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مندفع بما ذكر في محله من الإشكال في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الغضائري، كما في المعجم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موضوع وضعه بعض أعداء الشيعة لإسقاط أكابر الرواة، كما في الذريعة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الغضائري لم يكن متعارفاً في الجرح، فلا تشمله أدلة صدق العادل، فإنها لا تشمل غير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تضعيفاته حدسية لا حسية، وأدلة حجية خبر العادل لا تشمل التوثيقات والتضعيفات الحدسية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أضبط ولدى التعارض يقدم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اعتناء بتضعيف ابن الغضائري في المقام مع توثيق النجاشي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ذلك موكول إلى علم الرجال والدراية</w:t>
      </w:r>
      <w:r>
        <w:rPr>
          <w:rFonts w:eastAsia="Amiri" w:cs="Amiri" w:ascii="Amiri" w:hAnsi="Amiri"/>
          <w:color w:val="111111"/>
          <w:sz w:val="28"/>
          <w:szCs w:val="28"/>
          <w:rtl w:val="true"/>
          <w:lang w:bidi="ar-SA"/>
        </w:rPr>
        <w:t xml:space="preserve">. </w:t>
      </w:r>
      <w:bookmarkStart w:id="254" w:name="pg15608_167131"/>
    </w:p>
    <w:p>
      <w:pPr>
        <w:pStyle w:val="Heading6"/>
        <w:numPr>
          <w:ilvl w:val="5"/>
          <w:numId w:val="1"/>
        </w:numPr>
        <w:rPr/>
      </w:pPr>
      <w:bookmarkStart w:id="255" w:name="__RefHeading___Toc10086625_2142443653"/>
      <w:bookmarkStart w:id="256" w:name="_Toc97"/>
      <w:bookmarkEnd w:id="254"/>
      <w:bookmarkEnd w:id="255"/>
      <w:r>
        <w:rPr>
          <w:rtl w:val="true"/>
        </w:rPr>
        <w:t>البحث الثاني</w:t>
      </w:r>
      <w:r>
        <w:rPr>
          <w:rtl w:val="true"/>
        </w:rPr>
        <w:t xml:space="preserve">: </w:t>
      </w:r>
      <w:r>
        <w:rPr>
          <w:rtl w:val="true"/>
        </w:rPr>
        <w:t>في الدلالة</w:t>
      </w:r>
      <w:bookmarkEnd w:id="256"/>
    </w:p>
    <w:p>
      <w:pPr>
        <w:pStyle w:val="BookText"/>
        <w:rPr/>
      </w:pPr>
      <w:r>
        <w:rPr>
          <w:rFonts w:ascii="Amiri" w:hAnsi="Amiri" w:eastAsia="Amiri" w:cs="Amiri"/>
          <w:color w:val="111111"/>
          <w:sz w:val="28"/>
          <w:sz w:val="28"/>
          <w:szCs w:val="28"/>
          <w:rtl w:val="true"/>
          <w:lang w:bidi="ar-SA"/>
        </w:rPr>
        <w:t>وتقريب الاستدلال بها للشبهات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وتأخذ بالحائطة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لمناط الحكم، وهو يفيد العموم، فمعنى الرواية أنّ الأخذ بالاحتياط واجب في كل مشتبه لا خصوص المقام؛ لأنّ العلة تعمم وتخصص</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ظاهرة في الاستحباب؛ لظهور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أرى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والبحث مع الأخباريين في وجوبه، أما الاستحباب فهو مفروغ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ذلك فلا أقل من الشك في ظهوره في الوجوب، وهو مخل بالظهور، فقد ذكر في محله أنّ الظهور يحتاج إلى القطع، وأما مع الشك أو الظن فلا ظهور ولا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مورد الرواية من احتمالين، فإما أن تكون الشبهة موضوعية وإما حكمية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الشبهة موضوعية، بأن كان من الواضح عند </w:t>
      </w:r>
    </w:p>
    <w:p>
      <w:pPr>
        <w:pStyle w:val="BookText"/>
        <w:rPr/>
      </w:pPr>
      <w:r>
        <w:rPr>
          <w:rFonts w:ascii="Amiri" w:hAnsi="Amiri" w:eastAsia="Amiri" w:cs="Amiri"/>
          <w:color w:val="111111"/>
          <w:sz w:val="28"/>
          <w:sz w:val="28"/>
          <w:szCs w:val="28"/>
          <w:rtl w:val="true"/>
          <w:lang w:bidi="ar-SA"/>
        </w:rPr>
        <w:t>عبد اللّه بن وضاح أنّ الملاك استتار القرص</w:t>
      </w:r>
      <w:r>
        <w:rPr>
          <w:rStyle w:val="FootnoteAnchor"/>
          <w:rtl w:val="true"/>
        </w:rPr>
        <w:footnoteReference w:id="6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يشك في حصول الاستتار خارجاً، فيكون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القرص خلف الجبل ويقبل ظلام الليل ثم يزيد الليل ارتفاعاً؛ لأنّ الظلمة في أول الأمر مقاربة للأرض ثم ترتفع وتستتر الشمس، وترتفع فوق الجبل حمرة مغربية، فيحتمل المكلف أنّ وجود الحمرة علامة عدم استتار القرص ويؤذن المؤذن، فهل تصح الصلاة أو يلزم الانتظار حتى تتلاشى الحمرة المغربية، ويحصل اليقين باستتار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قوّاه الشيخ الأعظم</w:t>
      </w:r>
      <w:r>
        <w:rPr>
          <w:rStyle w:val="FootnoteAnchor"/>
          <w:rtl w:val="true"/>
        </w:rPr>
        <w:footnoteReference w:id="672"/>
      </w:r>
      <w:r>
        <w:rPr>
          <w:rFonts w:ascii="IRNazanin" w:hAnsi="IRNazanin" w:eastAsia="IRNazanin"/>
          <w:color w:val="111111"/>
          <w:sz w:val="28"/>
          <w:sz w:val="28"/>
          <w:szCs w:val="28"/>
          <w:rtl w:val="true"/>
          <w:lang w:bidi="fa-IR"/>
        </w:rPr>
        <w:t>وإن ضعّفه بعض</w:t>
      </w:r>
      <w:r>
        <w:rPr>
          <w:rStyle w:val="FootnoteAnchor"/>
          <w:rtl w:val="true"/>
        </w:rPr>
        <w:footnoteReference w:id="673"/>
      </w:r>
      <w:r>
        <w:rPr>
          <w:rFonts w:ascii="Amiri" w:hAnsi="Amiri" w:eastAsia="Amiri" w:cs="Amiri"/>
          <w:color w:val="111111"/>
          <w:sz w:val="28"/>
          <w:sz w:val="28"/>
          <w:szCs w:val="28"/>
          <w:rtl w:val="true"/>
          <w:lang w:bidi="ar-SA"/>
        </w:rPr>
        <w:t>بأنه خلاف ظاهر الرواية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كون الشبهة موضوعية فوجوب الاحتياط في الرواية لا يجدي في المقام، لوجود خصوصية في المورد لا يمكن بلحاظها تعدية الوجوب إلى المقام، وهي أنّ الشك في الرواية شك في الامتثال، فقد اشتغلت الذمة بالصوم والصلاة، فلو صلّى أو أفطر مع الشك في استتار القرص لم يتيقن بالامتثال، فإنّ الاشتغال اليقيني يقتضي البراءة اليقينية، بينما محل البحث في المقام الشك في الاشتغال، بل في مورد الرواية تحقق المحرز التعبدي، وهو استصحاب وجود النهار، واستصحاب عدم 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قاعدة </w:t>
      </w:r>
    </w:p>
    <w:p>
      <w:pPr>
        <w:pStyle w:val="BookText"/>
        <w:rPr/>
      </w:pPr>
      <w:r>
        <w:rPr>
          <w:rFonts w:ascii="Amiri" w:hAnsi="Amiri" w:eastAsia="Amiri" w:cs="Amiri"/>
          <w:color w:val="111111"/>
          <w:sz w:val="28"/>
          <w:sz w:val="28"/>
          <w:szCs w:val="28"/>
          <w:rtl w:val="true"/>
          <w:lang w:bidi="ar-SA"/>
        </w:rPr>
        <w:t>الاشتغال والأصل المحرز يلزم الاحتياط عند جميع الأصوليين، بينما البحث في المقام في صورة الشك في 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الشبهة حكمية، بمعنى أنّ السائل يريد معرفة ملاك المغرب الشرعي وجواز الإفطار، هل هو استتار القرص أو ذهاب الحمرة المشرقية؟</w:t>
      </w:r>
    </w:p>
    <w:p>
      <w:pPr>
        <w:pStyle w:val="BookText"/>
        <w:rPr/>
      </w:pPr>
      <w:r>
        <w:rPr>
          <w:rFonts w:ascii="Amiri" w:hAnsi="Amiri" w:eastAsia="Amiri" w:cs="Amiri"/>
          <w:color w:val="111111"/>
          <w:sz w:val="28"/>
          <w:sz w:val="28"/>
          <w:szCs w:val="28"/>
          <w:rtl w:val="true"/>
          <w:lang w:bidi="ar-SA"/>
        </w:rPr>
        <w:t>وبناء عليه لا بد من حمل الرواية على التقية، فإنّ الجواب بالاحتياط في الشبهات الحكمية في الحالات الطبيعية دال على جهل المسؤول، لكن المترقب من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إزالة التحيّر في الشبهة الحكمية ببيان الملاك، وحيث أجاب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بالاحتياط دل على أنه صادر على نحو التقية، خاصة أنّ عهد الإمام الكاظم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عهد التقية، الشديدة، وكان بحث استتار القرص معروفاً عند العامة، والتقية في المكاتبة أكثر من المشافهة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 ينتظر حتى تذهب الحمرة المشرقية نحو المغرب، وتزول من ربع الفلك ويأخذ بالحائطة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أراد بيان الواقع في كون الملاك ذهاب الحمرة المشرقية، فلم يمكن في ظرف التقية التوصل إلى بيانه بالاحتياط، بمعنى لزوم الصبر حتى تزول الحمرة المشرقية ليتيقن باستتار القرص، فيكون ذلك موهماً للعامة بأنه احتاط لعدم العلم بزوال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كان للإمام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يبين ذلك بأحد بيانين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يصرح بأنّ الملاك ذهاب الحمرة المشرقية عن ربع الفلك نحو المغرب، لكنه مخالف للتقية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يبينه بعنوان الاحتياط، أي انتظر زوال الحمرة عن ربع الفلك احتياطاً حتى تتيقن باستتار القرص، فلو سأله العامي عن سبب الانتظار أجابه ليتيقن بالاستتار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يريد أن يقول احتط، بل يريد الكناية عن كون الملاك ذهاب الحمرة المشرقية عن ربع الفلك باتجاه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بيَّنَ الحكم الواقعي بلسان الاحتياط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أجنبي عما نحن فيه؛ لأنه احتياط كنائي، ولا يقصد منه حقيقة الاحتياط، بل هو احتياط في التعبير، فقد عبر عن الحكم الواقعي بلسان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على كلا التقديرين لا تجدي فيما نحن فيه، سواء كان المراد الشبهة الحكمية أم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الحائري في الدرر،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قريباً أن يكون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وتأخذ بالحائطة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متمماً للفقرة الأولى لا تعليلاً لها، فالمراد أنه يجب عليك الانتظار على نحو الاحتياط من دون أن يلتفت إلى مذهبك أحد</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فالملاك زوال الحمرة المشرقية عن قمة الرأس، ولكن احتط حتى لا يكتشف أمرك، كأن يطيل في الوضوء حتى تزول الحمرة، أو إذا دُعيت إلى الإفطار صلِّ أوّلاً، ولا تكشف السر فتقتل، بل خذ بالحاطئة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التوجيه وإن كان لطيفاً في حدّ ذاته لكنه خلاف الظاهر، فلو كان المراد ذلك لكان التعبير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وتأخذ الحائطة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w:t>
      </w:r>
      <w:bookmarkStart w:id="257" w:name="pg15608_167135"/>
    </w:p>
    <w:p>
      <w:pPr>
        <w:pStyle w:val="BookText"/>
        <w:rPr/>
      </w:pPr>
      <w:bookmarkEnd w:id="257"/>
      <w:r>
        <w:rPr>
          <w:rFonts w:ascii="Amiri" w:hAnsi="Amiri" w:eastAsia="Amiri" w:cs="Amiri"/>
          <w:color w:val="111111"/>
          <w:sz w:val="28"/>
          <w:sz w:val="28"/>
          <w:szCs w:val="28"/>
          <w:rtl w:val="true"/>
          <w:lang w:bidi="ar-SA"/>
        </w:rPr>
        <w:t xml:space="preserve">في الاحتياط للدين لا للنفس، و لذا لم يخطر ولم يتبادر إلى ذهن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5"/>
        <w:numPr>
          <w:ilvl w:val="4"/>
          <w:numId w:val="1"/>
        </w:numPr>
        <w:rPr/>
      </w:pPr>
      <w:bookmarkStart w:id="258" w:name="__RefHeading___Toc10086627_2142443653"/>
      <w:bookmarkStart w:id="259" w:name="_Toc98"/>
      <w:bookmarkEnd w:id="258"/>
      <w:r>
        <w:rPr>
          <w:rtl w:val="true"/>
        </w:rPr>
        <w:t>الرواية الثالثة</w:t>
      </w:r>
      <w:bookmarkEnd w:id="259"/>
    </w:p>
    <w:p>
      <w:pPr>
        <w:pStyle w:val="Heading6"/>
        <w:numPr>
          <w:ilvl w:val="5"/>
          <w:numId w:val="1"/>
        </w:numPr>
        <w:rPr/>
      </w:pPr>
      <w:bookmarkStart w:id="260" w:name="__RefHeading___Toc10086629_2142443653"/>
      <w:bookmarkStart w:id="261" w:name="_Toc99"/>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ما رواه في الوسائل عن الحسن بن محمد بن الحسن الطوسي في أماليه، عن أبيه</w:t>
      </w:r>
      <w:r>
        <w:rPr>
          <w:rStyle w:val="FootnoteAnchor"/>
          <w:rtl w:val="true"/>
        </w:rPr>
        <w:footnoteReference w:id="675"/>
      </w:r>
      <w:r>
        <w:rPr>
          <w:rFonts w:ascii="Amiri" w:hAnsi="Amiri" w:eastAsia="Amiri" w:cs="Amiri"/>
          <w:color w:val="111111"/>
          <w:sz w:val="28"/>
          <w:sz w:val="28"/>
          <w:szCs w:val="28"/>
          <w:rtl w:val="true"/>
          <w:lang w:bidi="ar-SA"/>
        </w:rPr>
        <w:t>، عن المفيد، عن علي بن محمد الكاتب، عن زكريا بن يحيى التميمي</w:t>
      </w:r>
      <w:r>
        <w:rPr>
          <w:rStyle w:val="FootnoteAnchor"/>
          <w:rtl w:val="true"/>
        </w:rPr>
        <w:footnoteReference w:id="676"/>
      </w:r>
      <w:r>
        <w:rPr>
          <w:rFonts w:ascii="Amiri" w:hAnsi="Amiri" w:eastAsia="Amiri" w:cs="Amiri"/>
          <w:color w:val="111111"/>
          <w:sz w:val="28"/>
          <w:sz w:val="28"/>
          <w:szCs w:val="28"/>
          <w:rtl w:val="true"/>
          <w:lang w:bidi="ar-SA"/>
        </w:rPr>
        <w:t xml:space="preserve">، عن أبي هاشم داود بن القاسم الجعفري </w:t>
      </w:r>
      <w:r>
        <w:rPr>
          <w:rStyle w:val="FootnoteAnchor"/>
          <w:rtl w:val="true"/>
        </w:rPr>
        <w:footnoteReference w:id="6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الرضا</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 أمير المؤمنين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لكميل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و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السندي فقد عبر عنه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السند إلا علي بن محمد الكاتب الذي يروي عنه المفيد</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2" w:name="__RefHeading___Toc10086631_2142443653"/>
      <w:bookmarkStart w:id="263" w:name="_Toc100"/>
      <w:bookmarkEnd w:id="262"/>
      <w:r>
        <w:rPr>
          <w:rtl w:val="true"/>
        </w:rPr>
        <w:t>وثاقة الحسن بن محمد بن الحسن الطوسي</w:t>
      </w:r>
      <w:bookmarkEnd w:id="26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الحسن بن محمد بن الحسن الطوسي فهو ابن الشيخ الطوسي، والظاهر أنه ثقة، فقد قال عنه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فاضلاً فقيهاً محدثاً جليلاً ثقةً</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وقال الشيخ منتجب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ثقة عين</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xml:space="preserve">وهذا المقدار </w:t>
      </w:r>
      <w:bookmarkStart w:id="264" w:name="pg15608_167136"/>
    </w:p>
    <w:p>
      <w:pPr>
        <w:pStyle w:val="BookText"/>
        <w:rPr/>
      </w:pPr>
      <w:bookmarkEnd w:id="264"/>
      <w:r>
        <w:rPr>
          <w:rFonts w:ascii="Amiri" w:hAnsi="Amiri" w:eastAsia="Amiri" w:cs="Amiri"/>
          <w:color w:val="111111"/>
          <w:sz w:val="28"/>
          <w:sz w:val="28"/>
          <w:szCs w:val="28"/>
          <w:rtl w:val="true"/>
          <w:lang w:bidi="ar-SA"/>
        </w:rPr>
        <w:t>كاف في إثبات الوثاقة ظاهراً، وإن ظن بعض الرجاليين عليه بكلمة الثقة</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10086633_2142443653"/>
      <w:bookmarkStart w:id="266" w:name="_Toc101"/>
      <w:bookmarkEnd w:id="265"/>
      <w:r>
        <w:rPr>
          <w:rtl w:val="true"/>
        </w:rPr>
        <w:t>جهالة علي بن محمد الكاتب</w:t>
      </w:r>
      <w:bookmarkEnd w:id="266"/>
    </w:p>
    <w:p>
      <w:pPr>
        <w:pStyle w:val="BookText"/>
        <w:rPr/>
      </w:pPr>
      <w:r>
        <w:rPr>
          <w:rFonts w:ascii="Amiri" w:hAnsi="Amiri" w:eastAsia="Amiri" w:cs="Amiri"/>
          <w:color w:val="111111"/>
          <w:sz w:val="28"/>
          <w:sz w:val="28"/>
          <w:szCs w:val="28"/>
          <w:rtl w:val="true"/>
          <w:lang w:bidi="ar-SA"/>
        </w:rPr>
        <w:t>وأما علي بن محمد الكاتب، فظاهر عبارة الشيخ الأعظم أنه يدفع الإشكال عنه برواية الشيخ المفيد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صرف رواية الثقة عن مجهول لا التوثيق الصريح له لا يكفي لإثبات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أكثر الثقة الرواية عن شخص، وكانت رواياته في الأحكام الإلزامية</w:t>
      </w:r>
      <w:r>
        <w:rPr>
          <w:rStyle w:val="FootnoteAnchor"/>
          <w:rtl w:val="true"/>
        </w:rPr>
        <w:footnoteReference w:id="682"/>
      </w:r>
      <w:r>
        <w:rPr>
          <w:rFonts w:ascii="Amiri" w:hAnsi="Amiri" w:eastAsia="Amiri" w:cs="Amiri"/>
          <w:color w:val="111111"/>
          <w:sz w:val="28"/>
          <w:sz w:val="28"/>
          <w:szCs w:val="28"/>
          <w:rtl w:val="true"/>
          <w:lang w:bidi="ar-SA"/>
        </w:rPr>
        <w:t>، واعتمد على المروي، أمكن دعوى دلالته على الوثاقة، حيث يبعد أن تكون جميع القرائن خارجية، وأما الاعتماد على رواية واحدة فلا، فقد تكون الوثاقة خبرية لا مخبرية، أي أنه توجد في خصوص هذه الرواية قرائن أورثت الاطمئنان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هذه الشروط الثلاثة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الشيخوخة في الرواية دليل الوثاقة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وتوفر هذه الشروط في المقام مشكوك حسب الفحص الناقص، فإن روايات علي بن محمد الكاتب روايات تاريخية، وإن كان الأمر بحاجة إلى </w:t>
      </w:r>
    </w:p>
    <w:p>
      <w:pPr>
        <w:pStyle w:val="BookText"/>
        <w:rPr/>
      </w:pPr>
      <w:r>
        <w:rPr>
          <w:rFonts w:ascii="Amiri" w:hAnsi="Amiri" w:eastAsia="Amiri" w:cs="Amiri"/>
          <w:color w:val="111111"/>
          <w:sz w:val="28"/>
          <w:sz w:val="28"/>
          <w:szCs w:val="28"/>
          <w:rtl w:val="true"/>
          <w:lang w:bidi="ar-SA"/>
        </w:rPr>
        <w:t>تتبع أكثر، فالاعتماد على وثاقته لنقل الشيخ المفيد عنه محل تأمل، وإنّ كان ظاهر عبارة الشيخ الأعظم الميل إلى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زكريا بن يحيى التميمي فهو ثقة، لكن في هامش الوسائل أنّ في المصدر</w:t>
      </w:r>
      <w:r>
        <w:rPr>
          <w:rStyle w:val="FootnoteAnchor"/>
          <w:rtl w:val="true"/>
        </w:rPr>
        <w:footnoteReference w:id="684"/>
      </w:r>
      <w:r>
        <w:rPr>
          <w:rFonts w:ascii="Amiri" w:hAnsi="Amiri" w:eastAsia="Amiri" w:cs="Amiri"/>
          <w:color w:val="111111"/>
          <w:sz w:val="28"/>
          <w:sz w:val="28"/>
          <w:szCs w:val="28"/>
          <w:rtl w:val="true"/>
          <w:lang w:bidi="ar-SA"/>
        </w:rPr>
        <w:t>زكريا بن يحيى الكنيجي، ولم أجده في المعاجم الرجالية فيكون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في السند استفهامين حول علي بن محمد الكاتب، وزكريا بن يحيى الكنيجي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 على دلالته بإشكالات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كونه أمراً استحبابياً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الوجوبي لا يعلق بالمشيئة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الشيخ الأعظم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الحمل على الاستحباب؛ لأنه يستلزم إخراج موارد وجوب الاحتياط،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موارد وجوب الاحتياط أيضاً، كالشبهات المقرونة بالعلم الإجمالي، أو الشبهات الحكمية قبل الفحص، ولازم الذهاب إلى الاستحباب تقييد الإطلاق بغير الشبهات المقرونة بالعلم الإجمالي،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للأعم، أي مطلق الرجحان، فيشمل موارد وجوب الاحتياط</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محل تأمل، لإمكان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w:t>
      </w:r>
    </w:p>
    <w:p>
      <w:pPr>
        <w:pStyle w:val="BookText"/>
        <w:rPr/>
      </w:pPr>
      <w:r>
        <w:rPr>
          <w:rFonts w:ascii="Amiri" w:hAnsi="Amiri" w:eastAsia="Amiri" w:cs="Amiri"/>
          <w:color w:val="111111"/>
          <w:sz w:val="28"/>
          <w:sz w:val="28"/>
          <w:szCs w:val="28"/>
          <w:rtl w:val="true"/>
          <w:lang w:bidi="ar-SA"/>
        </w:rPr>
        <w:t xml:space="preserve">أقوى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 من باب أنّ حذف المتعلق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استحباب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المحقق الحائري</w:t>
      </w:r>
      <w:r>
        <w:rPr>
          <w:rStyle w:val="FootnoteAnchor"/>
          <w:rtl w:val="true"/>
        </w:rPr>
        <w:footnoteReference w:id="687"/>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التصرف في المادة أو الهيئة، فإما يتم تخصيص المادة أو تحمل الهيئة على مطلق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التصرف في المادة بحمله على غير الشبهات الموضوعية، والتصرف في الهيئة بحمله على إرادة مطلق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التزم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تخصيص المادة، وهي الاحتياط بغير الشبهات الموضوعية؛ لعدم وجوب الاحتياط فيها قطعاً، وإن أبقيت المادة في العموم فلا بد من حمل هيئة الأمر على مطلق الرجحان، فيكون الاحتياط في جميع الموارد محبوباً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الهيئة أقرب فلا أقل من التكافؤ بين الاحتمالين، وعلى ذلك تسقط الرواية عن الاستدلال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وإن عدل عن جميع ما ذكره في نهاية المطاف، قال</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الوجوب يستلزم تخصيص الأكثر، وهو مستهجن؛ و ذلك لوجود أربعة أنواع من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الحكمية والشبهة الموضوعية، وكل منهما إما وجوبي أو 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للوجوب لزم تخصيص الأكثر؛ لأنّ الشبهات الموضوعية الوجوبية والتحريمية والشبهات الحكمية الوجوبية خارجة بالاتفاق، فلا يبقى تحت الوجوب إلا الشبهة الحكمية التحريمة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لبقاء الشبهة الحكمية التحريمة والشبهة المقرونة بالعلم الإجمالي؛ سواء كانت حكمية أم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الحكمية قبل الفحص وجوبية أم تحريمة</w:t>
      </w:r>
      <w:r>
        <w:rPr>
          <w:rStyle w:val="FootnoteAnchor"/>
          <w:rtl w:val="true"/>
        </w:rPr>
        <w:footnoteReference w:id="689"/>
      </w:r>
      <w:r>
        <w:rPr>
          <w:rFonts w:ascii="Amiri" w:hAnsi="Amiri" w:eastAsia="Amiri" w:cs="Amiri"/>
          <w:color w:val="111111"/>
          <w:sz w:val="28"/>
          <w:sz w:val="28"/>
          <w:szCs w:val="28"/>
          <w:rtl w:val="true"/>
          <w:lang w:bidi="ar-SA"/>
        </w:rPr>
        <w:t>تحت العموم، فهذه خمسة أقسام تبقى تحت وجوب الاحتياط، فلا يستلزم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الأعظم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الرواية بيان أعلى مراتب الاحتياط، وهو مستحب قطعاً، وليس مفادها الإرشاد أو الوجوب أو الاستحباب، أو القدر الجامع بينهما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يقتضيه دقيق النظر أنّ الأمر المذكور بالاحتياط لخصوص الطلب الغير</w:t>
      </w:r>
      <w:r>
        <w:rPr>
          <w:rStyle w:val="FootnoteAnchor"/>
          <w:rtl w:val="true"/>
        </w:rPr>
        <w:footnoteReference w:id="690"/>
      </w:r>
      <w:r>
        <w:rPr>
          <w:rFonts w:ascii="Amiri" w:hAnsi="Amiri" w:eastAsia="Amiri" w:cs="Amiri"/>
          <w:color w:val="111111"/>
          <w:sz w:val="28"/>
          <w:sz w:val="28"/>
          <w:szCs w:val="28"/>
          <w:rtl w:val="true"/>
          <w:lang w:bidi="ar-SA"/>
        </w:rPr>
        <w:t>الإلزامي؛ لأنّ المقصود منه بيان أعلى مراتب الاحتياط لا جميع مراتبه، ولا المقدار الواجب، 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التعميم من حيث القلة والكثرة والتفويض إلى إرادة الشخص؛ لأنّ هذا كله مناف لجعله بمنزلة الأخ، بل المراد أنّ أي مرتبة من الاحتياط شئتها فهي في </w:t>
      </w:r>
    </w:p>
    <w:p>
      <w:pPr>
        <w:pStyle w:val="BookText"/>
        <w:rPr/>
      </w:pP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مراتب الشيء،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القرآن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تفويض إلى مشيئة الشخص، وتخيير في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 لبيان المرتبة العليا من الشيء،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جيد بما شئت، أي أنه في أعلى مراتب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وأعلى مراتب الاحتياط محبوب للمولى بعيداً عن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قرينة صدر الرواية، فإنه لو كان المراد المعنى الأول لكان دليلاً على عدم الاهتمام بالشيء، وهو مناف لصدر الرواية، فإنّ الدين بمنزلة الأخ، وعلاقة الأخ بالأخ في أعلى المراتب، أو من أعلاها، فالصدر مشعر بتمام الاهتمام وكامل الاعتناء،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نهاية الرواية تشعر بعدم الاهتمام، فيكون المعنى بقرينة الصدر بأي مقدار شئت الاحتياط، فهو محبوب مطلوب وفي محله،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أبوك فاخدمه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بأي مقدار تريد فإنه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تشويق بالاحتياط بأعلى مراتبه، ولا يدل على الوجوب ولا الندب ولا الجامع بينهما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الشيخ معنى دقيق وظريف، لكن فيه نوع من الخفاء، فيمكن استظهار معنى آخر، كما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الرواية لو اقتصرت </w:t>
      </w:r>
      <w:bookmarkStart w:id="267" w:name="pg15608_167141"/>
    </w:p>
    <w:p>
      <w:pPr>
        <w:pStyle w:val="BookText"/>
        <w:rPr/>
      </w:pPr>
      <w:bookmarkEnd w:id="267"/>
      <w:r>
        <w:rPr>
          <w:rFonts w:ascii="Amiri" w:hAnsi="Amiri" w:eastAsia="Amiri" w:cs="Amiri"/>
          <w:color w:val="111111"/>
          <w:sz w:val="28"/>
          <w:sz w:val="28"/>
          <w:szCs w:val="28"/>
          <w:rtl w:val="true"/>
          <w:lang w:bidi="ar-SA"/>
        </w:rPr>
        <w:t xml:space="preserve">على الصدر لأوهم الوجوب، فأضاف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توهم الوجوب، كقول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ولكي لا يتوهم الوجوب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مقدار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الاستحباب</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0086635_2142443653"/>
      <w:bookmarkStart w:id="269" w:name="_Toc102"/>
      <w:bookmarkEnd w:id="268"/>
      <w:r>
        <w:rPr>
          <w:rtl w:val="true"/>
        </w:rPr>
        <w:t>الرواية الرابعة</w:t>
      </w:r>
      <w:bookmarkEnd w:id="269"/>
    </w:p>
    <w:p>
      <w:pPr>
        <w:pStyle w:val="BookText"/>
        <w:rPr/>
      </w:pPr>
      <w:r>
        <w:rPr>
          <w:rFonts w:ascii="Amiri" w:hAnsi="Amiri" w:eastAsia="Amiri" w:cs="Amiri"/>
          <w:color w:val="111111"/>
          <w:sz w:val="28"/>
          <w:sz w:val="28"/>
          <w:szCs w:val="28"/>
          <w:rtl w:val="true"/>
          <w:lang w:bidi="ar-SA"/>
        </w:rPr>
        <w:t>ما روي عنه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ليس بناكب عن الصراط من سلك سبيل الاحتياط</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نعثر عليها في المجاميع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أرسلها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الفرائد</w:t>
      </w:r>
      <w:r>
        <w:rPr>
          <w:rStyle w:val="FootnoteAnchor"/>
          <w:rtl w:val="true"/>
        </w:rPr>
        <w:footnoteReference w:id="693"/>
      </w:r>
      <w:r>
        <w:rPr>
          <w:rFonts w:ascii="Amiri" w:hAnsi="Amiri" w:eastAsia="Amiri" w:cs="Amiri"/>
          <w:color w:val="111111"/>
          <w:sz w:val="28"/>
          <w:sz w:val="28"/>
          <w:szCs w:val="28"/>
          <w:rtl w:val="true"/>
          <w:lang w:bidi="ar-SA"/>
        </w:rPr>
        <w:t>، والمحدث البحراني في الحدائق</w:t>
      </w:r>
      <w:r>
        <w:rPr>
          <w:rStyle w:val="FootnoteAnchor"/>
          <w:rtl w:val="true"/>
        </w:rPr>
        <w:footnoteReference w:id="694"/>
      </w:r>
      <w:r>
        <w:rPr>
          <w:rFonts w:ascii="Amiri" w:hAnsi="Amiri" w:eastAsia="Amiri" w:cs="Amiri"/>
          <w:color w:val="111111"/>
          <w:sz w:val="28"/>
          <w:sz w:val="28"/>
          <w:szCs w:val="28"/>
          <w:rtl w:val="true"/>
          <w:lang w:bidi="ar-SA"/>
        </w:rPr>
        <w:t>، ووالد الشيخ البهائي في العقد الحسيني</w:t>
      </w:r>
      <w:r>
        <w:rPr>
          <w:rStyle w:val="FootnoteAnchor"/>
          <w:rtl w:val="true"/>
        </w:rPr>
        <w:footnoteReference w:id="695"/>
      </w:r>
      <w:r>
        <w:rPr>
          <w:rFonts w:ascii="Amiri" w:hAnsi="Amiri" w:eastAsia="Amiri" w:cs="Amiri"/>
          <w:color w:val="111111"/>
          <w:sz w:val="28"/>
          <w:sz w:val="28"/>
          <w:szCs w:val="28"/>
          <w:rtl w:val="true"/>
          <w:lang w:bidi="ar-SA"/>
        </w:rPr>
        <w:t>، فهي مرسلة غير قابلة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دلالتها، فقد قال المحقق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ظاهر في الاستحباب؛ لأنه مسوق لبيان أعلى مراتب الاحتياط</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يبين وجه ما ذكره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توجيهه بأنه قد ثبت في محله أنّ النكرة في سياق النفي أو النهي تفيد العموم</w:t>
      </w:r>
      <w:r>
        <w:rPr>
          <w:rStyle w:val="FootnoteAnchor"/>
          <w:rtl w:val="true"/>
        </w:rPr>
        <w:footnoteReference w:id="697"/>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النفي، أي ليس بمائل ومنحرف، فمن يحتط لا ينحرف عن الطريق أصلاً؛ لأنّ الاحتياط إحراز قطعي للواقع</w:t>
      </w:r>
      <w:r>
        <w:rPr>
          <w:rFonts w:eastAsia="Amiri" w:cs="Amiri" w:ascii="Amiri" w:hAnsi="Amiri"/>
          <w:color w:val="111111"/>
          <w:sz w:val="28"/>
          <w:szCs w:val="28"/>
          <w:rtl w:val="true"/>
          <w:lang w:bidi="ar-SA"/>
        </w:rPr>
        <w:t xml:space="preserve">. </w:t>
      </w:r>
      <w:bookmarkStart w:id="270" w:name="pg15608_167142"/>
    </w:p>
    <w:p>
      <w:pPr>
        <w:pStyle w:val="BookText"/>
        <w:rPr/>
      </w:pPr>
      <w:bookmarkEnd w:id="270"/>
      <w:r>
        <w:rPr>
          <w:rFonts w:ascii="Amiri" w:hAnsi="Amiri" w:eastAsia="Amiri" w:cs="Amiri"/>
          <w:color w:val="111111"/>
          <w:sz w:val="28"/>
          <w:sz w:val="28"/>
          <w:szCs w:val="28"/>
          <w:rtl w:val="true"/>
          <w:lang w:bidi="ar-SA"/>
        </w:rPr>
        <w:t>وبعبارة أخرى يحتمل أن يكون معنى الرواية أنّ من يحتط لا يتورط في مخالفة الواقع، ومن المعلوم أنّ الإقدام على عمل حتى لا يقع في مخالفة الواقع مطلقاً ليس بواجب، فمن يقتحم في الشبهات الموضوعية يقع في مخالفة الواقع في كثير من الموارد، وليس ذلك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تدل الرواية على الوجوب، حيث إنّ الكون في الطريق لم يدل دليل على وجوبه، وإنّ الخروج عن الطريق لم يدل دليل على حرمته</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0086637_2142443653"/>
      <w:bookmarkStart w:id="272" w:name="_Toc103"/>
      <w:bookmarkEnd w:id="271"/>
      <w:r>
        <w:rPr>
          <w:rtl w:val="true"/>
        </w:rPr>
        <w:t>الرواية الخامسة</w:t>
      </w:r>
      <w:bookmarkEnd w:id="272"/>
    </w:p>
    <w:p>
      <w:pPr>
        <w:pStyle w:val="BookText"/>
        <w:rPr/>
      </w:pPr>
      <w:r>
        <w:rPr>
          <w:rFonts w:ascii="Amiri" w:hAnsi="Amiri" w:eastAsia="Amiri" w:cs="Amiri"/>
          <w:color w:val="111111"/>
          <w:sz w:val="28"/>
          <w:sz w:val="28"/>
          <w:szCs w:val="28"/>
          <w:rtl w:val="true"/>
          <w:lang w:bidi="ar-SA"/>
        </w:rPr>
        <w:t>ما في الوسائل عن الشهيد الأول في الذكرى، عن الإمام الصادق</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لك أن تنظر الحزم وتأخذ بالحائطة لدينك</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وهي مرسلة، حيث لم يذكر الطريق بين الشهيد والإمام الصادق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دلالةً، 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للنفع، أي في نفعك وصالحك، ومن الواضح أنه ليس كل ما هو في نفع المكلف واجب التحصيل، فالرواية لا تدل على الوجوب</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0086639_2142443653"/>
      <w:bookmarkStart w:id="274" w:name="_Toc104"/>
      <w:bookmarkEnd w:id="273"/>
      <w:r>
        <w:rPr>
          <w:rtl w:val="true"/>
        </w:rPr>
        <w:t>الرواية السادسة</w:t>
      </w:r>
      <w:bookmarkEnd w:id="27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الوسائل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الشهيد محمد بن مكي حديثاً طويلاً عن عنوان البصري، عن أبي عبد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العلماء ما جهلت، وإياك أن تسألهم تعنتاً وتجربة، وإياك أن تعمل برأيك شيئاً، وخذ بالاحتياط في جميع أمورك ما تجد إليه سبيلاً، واهرب من الفتيا هروبك </w:t>
      </w:r>
    </w:p>
    <w:p>
      <w:pPr>
        <w:pStyle w:val="BookText"/>
        <w:rPr/>
      </w:pPr>
      <w:r>
        <w:rPr>
          <w:rFonts w:ascii="Amiri" w:hAnsi="Amiri" w:eastAsia="Amiri" w:cs="Amiri"/>
          <w:color w:val="111111"/>
          <w:sz w:val="28"/>
          <w:sz w:val="28"/>
          <w:szCs w:val="28"/>
          <w:rtl w:val="true"/>
          <w:lang w:bidi="ar-SA"/>
        </w:rPr>
        <w:t>من الأسد، ولا تجعل رقبتك عتبة للناس</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وهي مرسلة أيضاً؛ لعدم ذكر الواسطة بين الشهيد والرواي، كما أنّ عنوان البصري مجهول، فلم أجد له ذكراً في كتب الرجال، حتى في رجال العامة بمقدار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ففيها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من أنه تفسير لقوله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إياك أن تعمل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تستند في الفتوى إلى المقاييس والآراء الظنية والمصالح المرسلة والاستحسانات، كما كان يصنعه أبو حنيفة وأمثاله، فهو تأكيد لما تقدم، وليس هذا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خصوص المورد لا يخصص الوارد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من أنّ الرواية ظاهرة في الاستحباب، لكنه لم يبين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الظهور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الاحتياط كذلك غير واجب، فتدل على الاستحباب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بأنّ التخصيص لا يثلم ظهور الهيئة في الوجوب، ولذا قيل ما من عام إلا وقد خص</w:t>
      </w:r>
      <w:r>
        <w:rPr>
          <w:rStyle w:val="FootnoteAnchor"/>
          <w:rtl w:val="true"/>
        </w:rPr>
        <w:footnoteReference w:id="701"/>
      </w:r>
      <w:r>
        <w:rPr>
          <w:rFonts w:ascii="Amiri" w:hAnsi="Amiri" w:eastAsia="Amiri" w:cs="Amiri"/>
          <w:color w:val="111111"/>
          <w:sz w:val="28"/>
          <w:sz w:val="28"/>
          <w:szCs w:val="28"/>
          <w:rtl w:val="true"/>
          <w:lang w:bidi="ar-SA"/>
        </w:rPr>
        <w:t>، حتى إنه قد خصص بنفسه أيضاً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275" w:name="pg15608_167144"/>
    </w:p>
    <w:p>
      <w:pPr>
        <w:pStyle w:val="BookText"/>
        <w:rPr/>
      </w:pPr>
      <w:bookmarkEnd w:id="275"/>
      <w:r>
        <w:rPr>
          <w:rFonts w:ascii="Amiri" w:hAnsi="Amiri" w:eastAsia="Amiri" w:cs="Amiri"/>
          <w:color w:val="111111"/>
          <w:sz w:val="28"/>
          <w:sz w:val="28"/>
          <w:szCs w:val="28"/>
          <w:rtl w:val="true"/>
          <w:lang w:bidi="ar-SA"/>
        </w:rPr>
        <w:t>إلا أن يجاب بأنّ الرواية آبية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ليس بواضح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الأجوبة التفصيلية عن روايات الاحتياط</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0086641_2142443653"/>
      <w:bookmarkStart w:id="277" w:name="_Toc105"/>
      <w:bookmarkEnd w:id="276"/>
      <w:r>
        <w:rPr>
          <w:rtl w:val="true"/>
        </w:rPr>
        <w:t>الأجوبة الإجمالية على روايات وجوب الاحتياط</w:t>
      </w:r>
      <w:bookmarkEnd w:id="277"/>
    </w:p>
    <w:p>
      <w:pPr>
        <w:pStyle w:val="BookText"/>
        <w:rPr/>
      </w:pPr>
      <w:r>
        <w:rPr>
          <w:rFonts w:ascii="Amiri" w:hAnsi="Amiri" w:eastAsia="Amiri" w:cs="Amiri"/>
          <w:color w:val="111111"/>
          <w:sz w:val="28"/>
          <w:sz w:val="28"/>
          <w:szCs w:val="28"/>
          <w:rtl w:val="true"/>
          <w:lang w:bidi="ar-SA"/>
        </w:rPr>
        <w:t xml:space="preserve">لم يتطرق بعض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تفاصيل روايات الاحتياط، بل اكتفوا بالإجابة عن بعض الروايات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بالأخصية، كما ذكره في الكفاية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روايات البراءة أخص من موضوع روايات الاحتياط، والخاص يقدم على العام؛ وذلك لأنّ روايات الاحتياط تشمل جميع موارد الشبهات، وأما روايات البراءة فلا تشمل الشبهات الحكمية قبل الفحص، والشبهات المقرونة بالعلم الإجمالي</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روايات البراءة عام أيضاً في حد ذاته،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الشبهات الحكمية قبل الفحص أيضاً، كما شملت الشبهات الموضوعية قبل الفحص، بل تشمل الشبهات المقرونة بالعلم الإجمالي؛ لعدم ورود نهي في المشار إليه، فالنسبة بين روايات البراءة </w:t>
      </w:r>
    </w:p>
    <w:p>
      <w:pPr>
        <w:pStyle w:val="BookText"/>
        <w:rPr/>
      </w:pPr>
      <w:r>
        <w:rPr>
          <w:rFonts w:ascii="Amiri" w:hAnsi="Amiri" w:eastAsia="Amiri" w:cs="Amiri"/>
          <w:color w:val="111111"/>
          <w:sz w:val="28"/>
          <w:sz w:val="28"/>
          <w:szCs w:val="28"/>
          <w:rtl w:val="true"/>
          <w:lang w:bidi="ar-SA"/>
        </w:rPr>
        <w:t>والاحتياط التباين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ارتباط المسألة بموضوع انقلاب النسبة بين الدليلين، فمع عدم التسليم بذلك يكون إشكال صاحب الكفاية تاماً، حيث إنّ النسبة بين الموضوعين هي التساوي، وبين المحمولين التباين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التسليم بانقلاب النسبة كّلاً أو في أمثال المقام، فلا يكون الملاك اللفظ، ولا يهمنا الإرادة الاستعمالية، بل المهم الإرادة الجدية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والإرادة الاستعمالية من روايات البراءة وإن كانت عامة أو مطلقة، إلا أنّ الإرادة الجدية ليست كذلك قطعاً،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الشبهة الحكمية البدوية قبل الفحص قطعاً،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موارد العلم الإجمالي أيضاً لدليل العقل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لو كان الملاك الإرادة الجدية كان موضوع روايات البراءة خاصاً، وموضوع روايات الاحتياط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الموضوعان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الإرادة الاستعمالية متساويين، ولكنه بلحاظ الإرادة الجدية نجد أنّ موضوع روايات البراءة أخص، والخاص يقدم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فتمامية الجواب مبني على المبنى، والأخصية موقوفة على القول بانقلاب النسبة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البنائي، وهو أنه حتى لو قبلنا بانقلاب النسبة إلا أنّ النتيجة في المقام ليست العموم والخصوص المطلق، بل العموم </w:t>
      </w:r>
    </w:p>
    <w:p>
      <w:pPr>
        <w:pStyle w:val="BookText"/>
        <w:rPr/>
      </w:pPr>
      <w:r>
        <w:rPr>
          <w:rFonts w:ascii="IRNazanin" w:hAnsi="IRNazanin" w:eastAsia="IRNazanin"/>
          <w:color w:val="111111"/>
          <w:sz w:val="28"/>
          <w:sz w:val="28"/>
          <w:szCs w:val="28"/>
          <w:rtl w:val="true"/>
          <w:lang w:bidi="fa-IR"/>
        </w:rPr>
        <w:t>والخصوص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البراءة مخصصة بالشبهات الحكمية قبل الفحص مثلاً، حيث لا تجري فيها للدليل، وأدلة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بالشبهات الموضوعية لعدم وجوبه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توجد أربعة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عامان مخصصان، ومع لحاظ وجود المخصصين تنقلب نسبة العامين من التساوي إلى العموم من وجه، ومرجع العموم من وجه إلى موجبة جزئية وسالبتين جزئيتين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فمورد افتراق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الشبهات الحكمية قبل الفحص، حيث تشمله أدلة الاحتياط دون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افتراق أدلة البراءة فهو في الشبهة الموضوعية، حيث تشمله أدلة البراءة دون أدلة الاحتياط، ويتعارضان بالعموم من وجه في الشبهات الحكمية بعد الفحص كشرب التتن، فما ذكر في الكفاية من أخصية موضوع أدلة البراءة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نقبل انقلاب النسبة فالنسبة بين الموضوعين هي التساوي، وإن قبلنا الانقلاب فالنسبة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يتعارضان، ولا وجه لتقديم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روايات الطائفة الثانية بالأظهرية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فروايات البراءة نص أو أظهر، فتتقدم على روايات الاحتياط الظاهرة، و </w:t>
      </w:r>
    </w:p>
    <w:p>
      <w:pPr>
        <w:pStyle w:val="BookText"/>
        <w:rPr/>
      </w:pPr>
      <w:r>
        <w:rPr>
          <w:rFonts w:ascii="Amiri" w:hAnsi="Amiri" w:eastAsia="Amiri" w:cs="Amiri"/>
          <w:color w:val="111111"/>
          <w:sz w:val="28"/>
          <w:sz w:val="28"/>
          <w:szCs w:val="28"/>
          <w:rtl w:val="true"/>
          <w:lang w:bidi="ar-SA"/>
        </w:rPr>
        <w:t>ذلك بالجمع الدلالي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منتهى أمر روايات الاحتياط ظهورها في الوجوب لصيغة افعل، وأما روايات البراءة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نص في الإطلاق، والنص مقدم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من أنّ أدلة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إذ أي نص أصرح من قوله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أصبتم بمثل هذا فعليكم بالاحتياط</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لكنه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مفاد الأمر،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الوجوب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النص أو الأظهر فرع التعارض ولا تعارض بينهما؛ لأنّ أدلة الاحتياط حاكمة على أدلة البراءة ورافعة لموضوعها، فإنّ موضوع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الاحتياط علم تعبدي بالتكليف، وإن كان ظاهرياً، فلا تصل النوبة إلى مرجحات باب التعارض</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وتماميته موقوفةٌ على ناظرية أدلة البراءة إلى مطلق الحكم، أعم من الواقعي والظاهري، لكن مّر سابقاً أنّ بعض تلك الأدلة يحتمل نظرها إلى الواقع، بمعنى رفع كل واقع مجهول، فتتعارض أدلة الاحتياط مع أدلة </w:t>
      </w:r>
      <w:bookmarkStart w:id="278" w:name="pg15608_167148"/>
    </w:p>
    <w:p>
      <w:pPr>
        <w:pStyle w:val="BookText"/>
        <w:rPr/>
      </w:pPr>
      <w:bookmarkEnd w:id="278"/>
      <w:r>
        <w:rPr>
          <w:rFonts w:ascii="Amiri" w:hAnsi="Amiri" w:eastAsia="Amiri" w:cs="Amiri"/>
          <w:color w:val="111111"/>
          <w:sz w:val="28"/>
          <w:sz w:val="28"/>
          <w:szCs w:val="28"/>
          <w:rtl w:val="true"/>
          <w:lang w:bidi="ar-SA"/>
        </w:rPr>
        <w:t>البراءة، فينفسح المجال لكلام صاحب الكفاية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الثالث ما ذكره بعص المعاصرين</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وجعله العمدة في رد أخبار الاحتياط، ومؤداه متقارب مع ما ذكر في المصباح</w:t>
      </w:r>
      <w:r>
        <w:rPr>
          <w:rStyle w:val="FootnoteAnchor"/>
          <w:rtl w:val="true"/>
        </w:rPr>
        <w:footnoteReference w:id="710"/>
      </w:r>
      <w:r>
        <w:rPr>
          <w:rFonts w:ascii="Amiri" w:hAnsi="Amiri" w:eastAsia="Amiri" w:cs="Amiri"/>
          <w:color w:val="111111"/>
          <w:sz w:val="28"/>
          <w:sz w:val="28"/>
          <w:szCs w:val="28"/>
          <w:rtl w:val="true"/>
          <w:lang w:bidi="ar-SA"/>
        </w:rPr>
        <w:t>، من أنّ العقل مستقل بحسن الاحتياط، فتكون أوامر الاحتياط إرشادية، والنتيجة في الأمر الإرشادي مختلفة حسب اختلاف المرشد إليه، فلا بد من النظر إلى حكم العقل قبل وجود الأمر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كان البيان تاماً لكن طرأ الإجمال في المتعلق حكم العقل بوجوب الاحتياط على نحو اللزوم، فيكون الأمر إرشاداً إليه، فيجب الاحتياط، وهكذا لو كان المورد من موارد الشبهة الحكمية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الشبهات الحكمية بعد الفحص، 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لا يحكم بوجوب الاحتياط، وإنما يحكم بحسنه؛ لكونه إدراكاً قطعياً للواقع، فيكون الأمر الشرعي إرشاداً إليه، فلا يجب الاحتياط وإنما يحسن فقط</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0086643_2142443653"/>
      <w:bookmarkStart w:id="280" w:name="_Toc106"/>
      <w:bookmarkEnd w:id="279"/>
      <w:r>
        <w:rPr>
          <w:rtl w:val="true"/>
        </w:rPr>
        <w:t>ضابطة تشخيص الحكم الإرشادي عن المولوي</w:t>
      </w:r>
      <w:bookmarkEnd w:id="28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نحو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نسلم بالضابط المذكور</w:t>
      </w:r>
      <w:r>
        <w:rPr>
          <w:rStyle w:val="FootnoteAnchor"/>
          <w:rtl w:val="true"/>
        </w:rPr>
        <w:footnoteReference w:id="7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ظاهر الأوامر هو المولوية بأنحائها، سواء كانت نفسية أم غيرية أم طريقية، إلا أن يكون هنالك مانع عن المولوية، ووجود الأمر العقلي المتقدم لا يصلح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الظلم أو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 فلا تترتب على مخالفة الهيئة عقوبة، لكون العقل حاكم بقبحها؟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سائر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عاقب المولى عبده على مخالفة الهيئة فهو معذور عند العقلاء، وله الحجة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ونهيته فلم يمتثل، ولا يحق للعبد أن يحتج على المولى بكون الأمر والنهي إرشادياً، لسبق العقل بالحكم، ولا عقوبة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التفصيلي فهو أنّ في ملاك المولوية والإرشادية أحد ضوابط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 كل مورد ورد فيه حكم عقلي كان الحكم الشرعي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ملاك الحكم الإرشادي أن يكون متعلق الأمر الشرعي مدركاً عقلياً واقعاً في سلسلة معلولات الحكم الشرعي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المدرك العقلي متأخراً رتبة عن الحكم الشرعي،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أمر شرعي متعلق بالمدرك </w:t>
      </w:r>
    </w:p>
    <w:p>
      <w:pPr>
        <w:pStyle w:val="BookText"/>
        <w:rPr/>
      </w:pPr>
      <w:r>
        <w:rPr>
          <w:rFonts w:ascii="Amiri" w:hAnsi="Amiri" w:eastAsia="Amiri" w:cs="Amiri"/>
          <w:color w:val="111111"/>
          <w:sz w:val="28"/>
          <w:sz w:val="28"/>
          <w:szCs w:val="28"/>
          <w:rtl w:val="true"/>
          <w:lang w:bidi="ar-SA"/>
        </w:rPr>
        <w:t>العقلي، وهو وجوب الطاعة، وهو حكم عقلي واقع في سلسلة معلولات الحكم الشرعي، بمعنى أنه لو لم يكن هنالك حكم شرعي لم يكن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Style w:val="FootnoteAnchor"/>
          <w:rtl w:val="true"/>
        </w:rPr>
        <w:footnoteReference w:id="714"/>
      </w:r>
      <w:r>
        <w:rPr>
          <w:rFonts w:ascii="Amiri" w:hAnsi="Amiri" w:eastAsia="Amiri" w:cs="Amiri"/>
          <w:color w:val="111111"/>
          <w:sz w:val="28"/>
          <w:sz w:val="28"/>
          <w:szCs w:val="28"/>
          <w:rtl w:val="true"/>
          <w:lang w:bidi="ar-SA"/>
        </w:rPr>
        <w:t xml:space="preserve">، فالحكم العقلي متأخر رتبة عن الحكم الشرعي ومتوقف على وجوده، فيكون الحكم الشرعي في مورد المدرك العقلي حكماً إرشادياً، وعليه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إرشادياً،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 متعلق بالمدرك العقلي الواقع في سلسلة معلولات الحكم الشرعي، بحيث لو لم يكن هنالك أمر أو نهي شرعي لم يكن معنى لاحتط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أحكاماً ثلاثة،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والأوامر الواقعية، والثاني متفرع على الثالث، ولولاه لما كان للاحتياط العقلي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حمل الأمر الشرعي على المولوية مستلزماً للمحال العقلي، فلا بد من حمله على الإرشادية؛ دفعاً للمحذور العقلي،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حمله على المولوية يوجب الدور أو التسلسل على المعروف، وإن كان فيه إشكال، أما مع عدم المحذور العقلي فلا مانع من الحمل على المولوية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الضابط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الضابط الثالث بإضافة مورد آخر، وهو أن يكون مدلول الأمر حكماً من الأحكام الوضعية، كالجزئية والشرطية والمانعية والقاطعية،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تقهقه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إرشاد إلى القاطعية،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إرشاد إلى شرطية الملك في البيع فيكون أمراً إرشادياً، </w:t>
      </w:r>
    </w:p>
    <w:p>
      <w:pPr>
        <w:pStyle w:val="BookText"/>
        <w:rPr/>
      </w:pPr>
      <w:r>
        <w:rPr>
          <w:rFonts w:ascii="Amiri" w:hAnsi="Amiri" w:eastAsia="Amiri" w:cs="Amiri"/>
          <w:color w:val="111111"/>
          <w:sz w:val="28"/>
          <w:sz w:val="28"/>
          <w:szCs w:val="28"/>
          <w:rtl w:val="true"/>
          <w:lang w:bidi="ar-SA"/>
        </w:rPr>
        <w:t>لا يترتب على مخالفته عقوبة، بل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الضابط الرابع بإضافة مورد ثالث، وهو أن يكون ظاهراً في الإرشادية، كبعض أوامر المستحبات والمكروهات، كقوله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كل الرمان بشحمه</w:t>
      </w:r>
      <w:r>
        <w:rPr>
          <w:rStyle w:val="FootnoteAnchor"/>
          <w:rtl w:val="true"/>
        </w:rPr>
        <w:footnoteReference w:id="715"/>
      </w:r>
      <w:r>
        <w:rPr>
          <w:rFonts w:ascii="Amiri" w:hAnsi="Amiri" w:eastAsia="Amiri" w:cs="Amiri"/>
          <w:color w:val="111111"/>
          <w:sz w:val="28"/>
          <w:sz w:val="28"/>
          <w:szCs w:val="28"/>
          <w:rtl w:val="true"/>
          <w:lang w:bidi="ar-SA"/>
        </w:rPr>
        <w:t>فإنه دباع المعدة</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فيمكن دعوى ظهور كونه إرشادياً، فيكون كأمر الطبيب، لا أن أكل الرمان بالشحم مستحب وله ثواب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والمتعين أحد الاحتمالات الثلاثة الأخيرة، والاحتمالان الأولان يخالفان ظهور الأمر في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بكون الأمر بالاحتياط إرشادياً؛ لأنه مسبوق بالحكم العقلي، أو لأنّ متعلقه مدرك عقلي واقع في سلسلة معلولات الحكم الشرعي محل تأمل، 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المولوية، ولا مانع من ذلك ثبوتاً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الإجمالي الرابع ما سبق من المحقق الحائري</w:t>
      </w:r>
      <w:r>
        <w:rPr>
          <w:rStyle w:val="FootnoteAnchor"/>
          <w:rtl w:val="true"/>
        </w:rPr>
        <w:footnoteReference w:id="717"/>
      </w:r>
      <w:r>
        <w:rPr>
          <w:rFonts w:ascii="Amiri" w:hAnsi="Amiri" w:eastAsia="Amiri" w:cs="Amiri"/>
          <w:color w:val="111111"/>
          <w:sz w:val="28"/>
          <w:sz w:val="28"/>
          <w:szCs w:val="28"/>
          <w:rtl w:val="true"/>
          <w:lang w:bidi="ar-SA"/>
        </w:rPr>
        <w:t>، نعيده لبيان الإشكال عليه، حيث ذهب إلى دوران الأمر بين التصرف في المادة، أو التصرف في الهيئة،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وجوب الاحتياط في غير الشبهات الموضوعية،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رجحان الاحتياط مطلقاً، ولا أولوية لأحد التصرفين على الآخر،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الهيئة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يشكل عليه بإشكالين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في المادة لا يستلزم المجازية، بخلاف </w:t>
      </w:r>
    </w:p>
    <w:p>
      <w:pPr>
        <w:pStyle w:val="BookText"/>
        <w:rPr/>
      </w:pPr>
      <w:r>
        <w:rPr>
          <w:rFonts w:ascii="Amiri" w:hAnsi="Amiri" w:eastAsia="Amiri" w:cs="Amiri"/>
          <w:color w:val="111111"/>
          <w:sz w:val="28"/>
          <w:sz w:val="28"/>
          <w:szCs w:val="28"/>
          <w:rtl w:val="true"/>
          <w:lang w:bidi="ar-SA"/>
        </w:rPr>
        <w:t>التصرف في الهيئة، فيتعين الأول فيثبت مدعى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نظر؛ لأنّ التصرف في الهيئة لا يوجب المجازية أيضاً، أما البرهان الوجداني على ذلك فهو أننا لا نشعر بالمجازية في ألوف الأوامر الواردة في الروايات، والثابت أنها للاستحباب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نشعر باستخدام اللفظ لغير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البرهاني فموكول إلى محله، فقد أقام المحقق العراقي</w:t>
      </w:r>
      <w:r>
        <w:rPr>
          <w:rStyle w:val="FootnoteAnchor"/>
          <w:rtl w:val="true"/>
        </w:rPr>
        <w:footnoteReference w:id="718"/>
      </w:r>
      <w:r>
        <w:rPr>
          <w:rFonts w:ascii="Amiri" w:hAnsi="Amiri" w:eastAsia="Amiri" w:cs="Amiri"/>
          <w:color w:val="111111"/>
          <w:sz w:val="28"/>
          <w:sz w:val="28"/>
          <w:szCs w:val="28"/>
          <w:rtl w:val="true"/>
          <w:lang w:bidi="ar-SA"/>
        </w:rPr>
        <w:t xml:space="preserve">وغيره البرهان على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توضع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هو المعروف 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موضوعة للنسبة الطلبية، الأعم من الوجوب والندب، وإنما يستفاد الوجوب من مقدمات الحكمة، وهي كما تعين الضيق والسعة للمفهوم، كذلك تعين أحد مصداقي المفهوم، وبعبارة أخرى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مصداقان، ومع مقدمات الحكمة نحمل المفهوم على النسبة الطلبية الوجوبية، وقد ذكر لذلك تقريرات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الهيئة ليس مجازاً، كما هو الحال في التصرف في المادة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يبعد أو يصعب الالتزام بلازم ما ذكره، وهو سقوط جميع الأوامر عن الظهور في الوجوب بثبوت التخصيص،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الوجوب، وقد ثبت تخصيص المادة بالأدلة الخارجية، فحج المملوك بإذن المولى غير واجب، بل مستحب، وكذلك حج الطفل </w:t>
      </w:r>
    </w:p>
    <w:p>
      <w:pPr>
        <w:pStyle w:val="BookText"/>
        <w:rPr/>
      </w:pPr>
      <w:r>
        <w:rPr>
          <w:rFonts w:ascii="Amiri" w:hAnsi="Amiri" w:eastAsia="Amiri" w:cs="Amiri"/>
          <w:color w:val="111111"/>
          <w:sz w:val="28"/>
          <w:sz w:val="28"/>
          <w:szCs w:val="28"/>
          <w:rtl w:val="true"/>
          <w:lang w:bidi="ar-SA"/>
        </w:rPr>
        <w:t xml:space="preserve">المميز، فهل يمكن القول بدوران الأمر بين التصرف في المادة والهيئة، ولا أولوية لأحدهما على الآخر، فيسقط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الظهور في الوجوب؟ الظاهر أنّ مبنى الفقه على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المادة عرفاً أولى من التصرف 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الحائري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الإجمالي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7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يشبه الجواب السابق مع فارق،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رفع اليد عن ظهور الهيئة في الوجوب، وبين الالتزام بالتخصيص، وهي آبية عن التخصيص، فمفاد روايات الاحتياط رجحانه في جميع الأمور، حتى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أيضاً، فلم يظهر لنا إباء روايات الاحتياط عن التخصيص، فلا محذور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الشبهات الموضوعية، 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أصبتم بمثل هذا فلم تدروا فعليكم بالاحتياط حتى تسألوا عنه فتعلموا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إلا في الشبهات الموضوعية،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بالاحتياط في جميع أمورك ما تجد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الشبهة الموضوعية وكذا بقية الروايات السابقة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يكون بعض العمومات آبية عن التخصيص، كما قالوا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روايات الاحتياط فلا وجه لإبائها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الإجمالي السادس</w:t>
      </w:r>
      <w:r>
        <w:rPr>
          <w:rStyle w:val="FootnoteAnchor"/>
          <w:rtl w:val="true"/>
        </w:rPr>
        <w:footnoteReference w:id="722"/>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الحمل على الوجوب يلزم منه تخصيص الأكثر، وقد مر بيانه مع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الإجمالي السابع ما في المصباح</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أدلة الاحتياط لا تعارض أدلة البراءة؛ وذلك لأنّ استصحاب عدم جعل الحرمة يكون رافعاً لموضوع هذه الأخبار؛ إذ به يحرز عدم التكليف فيتقدم عليها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المقام دليل ثالث رافع لموضوع أخبار الاحتياط، وهو الاستصحاب، فإنّ موضوع أخبار الاحتياط الشبهة والشك، واستصحاب عدم التكليف أو عدم الجعل علم تعبدي بالتكليف فلا شك، ومع ارتفاع موضوع أدلة الاحتياط ترتفع المعارضة؛ لأنها فرع وجود الدليلين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بعض المتأخرين</w:t>
      </w:r>
      <w:r>
        <w:rPr>
          <w:rStyle w:val="FootnoteAnchor"/>
          <w:rtl w:val="true"/>
        </w:rPr>
        <w:footnoteReference w:id="724"/>
      </w:r>
      <w:r>
        <w:rPr>
          <w:rFonts w:ascii="IRNazanin" w:hAnsi="IRNazanin" w:eastAsia="IRNazanin"/>
          <w:color w:val="111111"/>
          <w:sz w:val="28"/>
          <w:sz w:val="28"/>
          <w:szCs w:val="28"/>
          <w:rtl w:val="true"/>
          <w:lang w:bidi="fa-IR"/>
        </w:rPr>
        <w:t>بما حاصله</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كبرى جعل الطريقية في الأمارات والأصول غير مقبول، وفي خصوص المقام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الكبرى، فإنّ مبنى المحقق النائيني</w:t>
      </w:r>
      <w:r>
        <w:rPr>
          <w:rStyle w:val="FootnoteAnchor"/>
          <w:rtl w:val="true"/>
        </w:rPr>
        <w:footnoteReference w:id="726"/>
      </w:r>
      <w:r>
        <w:rPr>
          <w:rFonts w:ascii="Amiri" w:hAnsi="Amiri" w:eastAsia="Amiri" w:cs="Amiri"/>
          <w:color w:val="111111"/>
          <w:sz w:val="28"/>
          <w:sz w:val="28"/>
          <w:szCs w:val="28"/>
          <w:rtl w:val="true"/>
          <w:lang w:bidi="ar-SA"/>
        </w:rPr>
        <w:t xml:space="preserve">وتلامذته، من كون المجعول في الأمارات والأصول المحرزة الطريقية والعلمية والوسطية في الإثبات غير </w:t>
      </w:r>
    </w:p>
    <w:p>
      <w:pPr>
        <w:pStyle w:val="BookText"/>
        <w:rPr/>
      </w:pPr>
      <w:r>
        <w:rPr>
          <w:rFonts w:ascii="Amiri" w:hAnsi="Amiri" w:eastAsia="Amiri" w:cs="Amiri"/>
          <w:color w:val="111111"/>
          <w:sz w:val="28"/>
          <w:sz w:val="28"/>
          <w:szCs w:val="28"/>
          <w:rtl w:val="true"/>
          <w:lang w:bidi="ar-SA"/>
        </w:rPr>
        <w:t>مقبول، حتى في الأمارات فكيف بالاستصحاب، وما في خصوص المقام فالاستصحاب غير معقول؛ لأنه قد أخذ في موضوعه الشك، فلا يعقل أن يكون المجعول فيه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يعقل اجتماع اليقين و الشك إذا كانا من سنخ واحد، بأن يكون كلاهما تعبدياً أو وجدانياً، و أما لو كان أحدهما تعبدياً والآخر وجدانياً فلا مانع من اجتماعهما، فقد أخذ الشك الوجداني في موضوع الاستصحاب، وفي المجعول العلمية التعبدية، فلا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شك وجداناً في بقاء حياة زيد، فيعتبره المولى عالماً بحياته، فليست طريقية وجدانية، بل 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تعبدي، وهو لا ينافي الشك الوجداني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المبنى في المجعول في باب الاستصحاب</w:t>
      </w:r>
      <w:r>
        <w:rPr>
          <w:rStyle w:val="FootnoteAnchor"/>
          <w:rtl w:val="true"/>
        </w:rPr>
        <w:footnoteReference w:id="727"/>
      </w:r>
      <w:r>
        <w:rPr>
          <w:rFonts w:ascii="IRNazanin" w:hAnsi="IRNazanin" w:eastAsia="IRNazanin"/>
          <w:color w:val="111111"/>
          <w:sz w:val="28"/>
          <w:sz w:val="28"/>
          <w:szCs w:val="28"/>
          <w:rtl w:val="true"/>
          <w:lang w:bidi="fa-IR"/>
        </w:rPr>
        <w:t>، فإنّ الاستصحاب مقدم</w:t>
      </w:r>
      <w:r>
        <w:rPr>
          <w:rStyle w:val="FootnoteAnchor"/>
          <w:rtl w:val="true"/>
        </w:rPr>
        <w:footnoteReference w:id="728"/>
      </w:r>
      <w:r>
        <w:rPr>
          <w:rFonts w:ascii="Amiri" w:hAnsi="Amiri" w:eastAsia="Amiri" w:cs="Amiri"/>
          <w:color w:val="111111"/>
          <w:sz w:val="28"/>
          <w:sz w:val="28"/>
          <w:szCs w:val="28"/>
          <w:rtl w:val="true"/>
          <w:lang w:bidi="ar-SA"/>
        </w:rPr>
        <w:t>على جميع الأصول العملية، ومنها البراءة والاحتياط، كما التزموا به إلا فيما كان أخص من الاستصحاب ووارداً في مورده، بحيث يكون تقديم الاستصحاب عليه موجباً للغويته، كقاعدة الفراغ والتجاوز</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والنتيجة يلزم تقديم الاستصحاب على الاحتياط، حتى لو لم يسلم بمبنى جعل العلمية والطريقية، و مع ارتفاع الاحتياط موضوعاً أو محمولاً لا تبقى معارضة بينه وبين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عن المباحث السابقة في استصحاب عدم الجعل أو عدم المجعول فكلام السيد الخوئي تام، والإشكال المذكور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الإجمالي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الاحتياط إما ضعيفة سنداً أو دلالة، فلا تنهض لمقاومة أخبار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الإجمالي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التعارض بين أخبار البراءة والاحتياط، فإنّ الأول مرجح بموافقة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للكتاب،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يجاب بأنَّ الآيات القرآنية لا تدل على الاحتياط، فتكون آيات البراءة مرجحة لأخبار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الإجمالي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التعارض فالشهرة مرجحة لأخبار البراءة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المرجحة هي الشهرة الروائية لا الفتوائية</w:t>
      </w:r>
      <w:r>
        <w:rPr>
          <w:rFonts w:eastAsia="Amiri" w:cs="Amiri" w:ascii="Amiri" w:hAnsi="Amiri"/>
          <w:color w:val="111111"/>
          <w:sz w:val="28"/>
          <w:szCs w:val="28"/>
          <w:rtl w:val="true"/>
          <w:lang w:bidi="ar-SA"/>
        </w:rPr>
        <w:t xml:space="preserve">. </w:t>
      </w:r>
      <w:bookmarkStart w:id="281" w:name="pg15608_167157"/>
    </w:p>
    <w:p>
      <w:pPr>
        <w:pStyle w:val="BookText"/>
        <w:rPr/>
      </w:pPr>
      <w:bookmarkEnd w:id="281"/>
      <w:r>
        <w:rPr>
          <w:rFonts w:ascii="Amiri" w:hAnsi="Amiri" w:eastAsia="Amiri" w:cs="Amiri"/>
          <w:color w:val="111111"/>
          <w:sz w:val="28"/>
          <w:sz w:val="28"/>
          <w:szCs w:val="28"/>
          <w:rtl w:val="true"/>
          <w:lang w:bidi="ar-SA"/>
        </w:rPr>
        <w:t>وقد يجاب عنه بأنّ عموم التعليل في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الشهرة الفتوائية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الإجمالي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التعارض ولم يكن مرجح تساقط الطرفان، ويكون المرجع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ينكر أحد قاعدة قبح العقاب، ويقول بأن الأصل في الأشياء الحظر، فيكون المرجع الاحتياط العقلي</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0086645_2142443653"/>
      <w:bookmarkStart w:id="283" w:name="_Toc107"/>
      <w:bookmarkEnd w:id="282"/>
      <w:r>
        <w:rPr>
          <w:rtl w:val="true"/>
        </w:rPr>
        <w:t>الطائفة الثالثة</w:t>
      </w:r>
      <w:r>
        <w:rPr>
          <w:rtl w:val="true"/>
        </w:rPr>
        <w:t xml:space="preserve">: </w:t>
      </w:r>
      <w:r>
        <w:rPr>
          <w:rtl w:val="true"/>
        </w:rPr>
        <w:t>أخبار التثليث</w:t>
      </w:r>
      <w:bookmarkEnd w:id="283"/>
    </w:p>
    <w:p>
      <w:pPr>
        <w:pStyle w:val="Heading5"/>
        <w:numPr>
          <w:ilvl w:val="4"/>
          <w:numId w:val="1"/>
        </w:numPr>
        <w:rPr/>
      </w:pPr>
      <w:bookmarkStart w:id="284" w:name="__RefHeading___Toc10086647_2142443653"/>
      <w:bookmarkStart w:id="285" w:name="_Toc108"/>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وفي هذه الطائفة روايات</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0086649_2142443653"/>
      <w:bookmarkStart w:id="287" w:name="_Toc109"/>
      <w:bookmarkEnd w:id="286"/>
      <w:r>
        <w:rPr>
          <w:rtl w:val="true"/>
        </w:rPr>
        <w:t>الرواية الأولى</w:t>
      </w:r>
      <w:bookmarkEnd w:id="287"/>
    </w:p>
    <w:p>
      <w:pPr>
        <w:pStyle w:val="BookText"/>
        <w:rPr/>
      </w:pPr>
      <w:r>
        <w:rPr>
          <w:rFonts w:ascii="Amiri" w:hAnsi="Amiri" w:eastAsia="Amiri" w:cs="Amiri"/>
          <w:color w:val="111111"/>
          <w:sz w:val="28"/>
          <w:sz w:val="28"/>
          <w:szCs w:val="28"/>
          <w:rtl w:val="true"/>
          <w:lang w:bidi="ar-SA"/>
        </w:rPr>
        <w:t>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w:t>
      </w:r>
      <w:r>
        <w:rPr>
          <w:rStyle w:val="FootnoteAnchor"/>
          <w:rtl w:val="true"/>
        </w:rPr>
        <w:footnoteReference w:id="7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خطب الناس فقال في كلام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w:t>
      </w:r>
      <w:r>
        <w:rPr>
          <w:rStyle w:val="FootnoteAnchor"/>
          <w:rtl w:val="true"/>
        </w:rPr>
        <w:footnoteReference w:id="734"/>
      </w:r>
      <w:r>
        <w:rPr>
          <w:rFonts w:ascii="Amiri" w:hAnsi="Amiri" w:eastAsia="Amiri" w:cs="Amiri"/>
          <w:color w:val="111111"/>
          <w:sz w:val="28"/>
          <w:sz w:val="28"/>
          <w:szCs w:val="28"/>
          <w:rtl w:val="true"/>
          <w:lang w:bidi="ar-SA"/>
        </w:rPr>
        <w:t>، فمن ترك ما اشتبه عليه من الإثم فهو لما استبان له أترك، والمعاصي حمى اللّه فمن يرتع حولها يوشك أن يدخلها</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مرسلة فلا اعتبار بها على المشهور، إلا أنه وقع الخلاف في مراسيل الصدوق وهو مبحث مهم؛ لأنّ ثلث روايات الفقيه مراسيل، والأقوال فيها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مطلقاً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الإسناد على نحو البت والقطع فهو حجة، وبين الحكاية فلا، والمختار عند المشهور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المذكورة أسندها الصدوق على نحو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بها مضافاً إلى كثير من البحوث المتقدمة في الطائفتين السابقتين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مفادها النهي عن كل شبهة تنجر إلى الحرام البيّن، وهذا المفاد مباين لمدّعى الأخباريين من حرمة كل شبهة في حد ذاتها، فلا تنهض دليلاً على 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مدعى الأخباريين هو أنّ الحمى محرمات واقعية، والشبهات واقعة في أطراف الحمى، فلو حام أحد حول الحمى يوشك أن يقع في المحرمات الواقعية، فمن شرب التتن يقع أو يمكن أن يقع في الحرام الواقعي، فلو كان التتن حراماً لم يكن له عذر لإنذار المولى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مفاد هذه الرواية هو أنّ الحمى محرمات بينة، والمشتبهات حول الحمى، فمن ارتكب المشتبهات تجرّأ على الحرام البيّن، فما يؤدي إلى ارتكاب الحرام البيّن منهي عنه، وقد نهي عن الشبهات التي تُجرّئ المكلف على اقتحام الحرام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محل الكلام والاختلاف، فإنّ العقل يحرم كل مقدمة للحرام، والشرع نهى عن مقدمة الحرام، إما بأمر إرشادي، كما هو الظاهر، أو بأمر مولوي، كما هو المحتمل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المفاد والمدّعى بون بعيد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النهي في الرواية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وجود </w:t>
      </w:r>
      <w:bookmarkStart w:id="288" w:name="pg15608_167159"/>
    </w:p>
    <w:p>
      <w:pPr>
        <w:pStyle w:val="BookText"/>
        <w:rPr/>
      </w:pPr>
      <w:bookmarkEnd w:id="288"/>
      <w:r>
        <w:rPr>
          <w:rFonts w:ascii="Amiri" w:hAnsi="Amiri" w:eastAsia="Amiri" w:cs="Amiri"/>
          <w:color w:val="111111"/>
          <w:sz w:val="28"/>
          <w:sz w:val="28"/>
          <w:szCs w:val="28"/>
          <w:rtl w:val="true"/>
          <w:lang w:bidi="ar-SA"/>
        </w:rPr>
        <w:t>الترخيص الظاهري يدخل المشكوك في الحلال البيّن، فلا يشمله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الشبهات الموضوعية، كأكل اللحم المشتبه مع احتمال الحرمة، اعتماداً على قاعدة اليد، فهو حلال بيّن، فالمشتبه هو ما لم يرد فيه الترخيص لا واقعاً ولا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عن كونه من الشبهات مع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هنالك مؤمّن شرعي لم يطلق عليه الشبهة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الإطلاق بالتقييد، أي المشتبه حكمه الواقعي، أما الشبهة بقول مطلق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غير واضحة الدلالة</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0086651_2142443653"/>
      <w:bookmarkStart w:id="290" w:name="_Toc110"/>
      <w:bookmarkEnd w:id="289"/>
      <w:r>
        <w:rPr>
          <w:rtl w:val="true"/>
        </w:rPr>
        <w:t>الرواية الثانية</w:t>
      </w:r>
      <w:bookmarkEnd w:id="290"/>
    </w:p>
    <w:p>
      <w:pPr>
        <w:pStyle w:val="BookText"/>
        <w:rPr/>
      </w:pPr>
      <w:r>
        <w:rPr>
          <w:rFonts w:ascii="Amiri" w:hAnsi="Amiri" w:eastAsia="Amiri" w:cs="Amiri"/>
          <w:color w:val="111111"/>
          <w:sz w:val="28"/>
          <w:sz w:val="28"/>
          <w:szCs w:val="28"/>
          <w:rtl w:val="true"/>
          <w:lang w:bidi="ar-SA"/>
        </w:rPr>
        <w:t>ما في الوسائل، عن النعمان بن بشير</w:t>
      </w:r>
      <w:r>
        <w:rPr>
          <w:rStyle w:val="FootnoteAnchor"/>
          <w:rtl w:val="true"/>
        </w:rPr>
        <w:footnoteReference w:id="7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ملك حمى</w:t>
      </w:r>
      <w:r>
        <w:rPr>
          <w:rStyle w:val="FootnoteAnchor"/>
          <w:rtl w:val="true"/>
        </w:rPr>
        <w:footnoteReference w:id="737"/>
      </w:r>
      <w:r>
        <w:rPr>
          <w:rFonts w:ascii="Amiri" w:hAnsi="Amiri" w:eastAsia="Amiri" w:cs="Amiri"/>
          <w:color w:val="111111"/>
          <w:sz w:val="28"/>
          <w:sz w:val="28"/>
          <w:szCs w:val="28"/>
          <w:rtl w:val="true"/>
          <w:lang w:bidi="ar-SA"/>
        </w:rPr>
        <w:t>، وإن حمى اللّه حلاله وحرامه، والمشتبهات بين ذلك، كما لو أنّ راعياً رعى إلى جانب الحمى لم تثبت غنمه أن تقع في وسطه، فدعوا المشتبهات</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ويعلم الحال فيه مما تقدم</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0086653_2142443653"/>
      <w:bookmarkStart w:id="292" w:name="_Toc111"/>
      <w:bookmarkEnd w:id="291"/>
      <w:r>
        <w:rPr>
          <w:rtl w:val="true"/>
        </w:rPr>
        <w:t>الرواية الثالثة</w:t>
      </w:r>
      <w:bookmarkEnd w:id="29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عمدة روايات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w:t>
      </w:r>
      <w:r>
        <w:rPr>
          <w:rStyle w:val="FootnoteAnchor"/>
          <w:rtl w:val="true"/>
        </w:rPr>
        <w:footnoteReference w:id="739"/>
      </w:r>
      <w:r>
        <w:rPr>
          <w:rFonts w:ascii="IRNazanin" w:hAnsi="IRNazanin" w:eastAsia="IRNazanin"/>
          <w:color w:val="111111"/>
          <w:sz w:val="28"/>
          <w:sz w:val="28"/>
          <w:szCs w:val="28"/>
          <w:rtl w:val="true"/>
          <w:lang w:bidi="fa-IR"/>
        </w:rPr>
        <w:t xml:space="preserve">، وقد مر </w:t>
      </w:r>
    </w:p>
    <w:p>
      <w:pPr>
        <w:pStyle w:val="BookText"/>
        <w:rPr/>
      </w:pPr>
      <w:r>
        <w:rPr>
          <w:rFonts w:ascii="Amiri" w:hAnsi="Amiri" w:eastAsia="Amiri" w:cs="Amiri"/>
          <w:color w:val="111111"/>
          <w:sz w:val="28"/>
          <w:sz w:val="28"/>
          <w:szCs w:val="28"/>
          <w:rtl w:val="true"/>
          <w:lang w:bidi="ar-SA"/>
        </w:rPr>
        <w:t>البحث في اعتبارها،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 وأمر مشكل يرّد علمه إلى اللّه</w:t>
      </w:r>
      <w:r>
        <w:rPr>
          <w:rStyle w:val="FootnoteAnchor"/>
          <w:rtl w:val="true"/>
        </w:rPr>
        <w:footnoteReference w:id="740"/>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حلال بيّن وحرام بيّن، وشبهات بين ذلك، فمن ترك الشبهات نجا من المحرمات، ومن أخذ بالشبهات ارتكب المحرمات، وهلك من حيث لا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ولتقريب إثبات وجوب الاحتياط بها، وسدّ ثغوره استدل الشيخ الأعظم</w:t>
      </w:r>
      <w:r>
        <w:rPr>
          <w:rStyle w:val="FootnoteAnchor"/>
          <w:rtl w:val="true"/>
        </w:rPr>
        <w:footnoteReference w:id="741"/>
      </w:r>
      <w:r>
        <w:rPr>
          <w:rFonts w:ascii="Amiri" w:hAnsi="Amiri" w:eastAsia="Amiri" w:cs="Amiri"/>
          <w:color w:val="111111"/>
          <w:sz w:val="28"/>
          <w:sz w:val="28"/>
          <w:szCs w:val="28"/>
          <w:rtl w:val="true"/>
          <w:lang w:bidi="ar-SA"/>
        </w:rPr>
        <w:t>، بما يتوقف بيانه على ذكر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علل لزوم الأخذ بالمشهور من الروايتين، وطرح الشاذ النادر منهما في المقبولة،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ريب في صحته، وفي مفاد التعليل بلحاظ الخبر الشاذ النادر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الشاذ النادر مما يوجد فيه الريب، و ما فيه الريب يترك لما لا ريب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الشاذ النادر مما لا ريب في بطلانه، فيترك ما لا ريب في بطلانه، ويؤخذ ما لا ريب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الأول متعين عند الشيخ الأعظم، وذلك لقرائن ثلاث</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الترجيح بالشهرة عن الترجيح بالصفات، فلو كان الخبر الشاذ النادر مما لا ريب في بطلانه لكان المفروض طرحه في المرحلة الأولى، ولم يكن مجال لملاحظة صفات الراويين، والترجيح بالأعدلية </w:t>
      </w:r>
    </w:p>
    <w:p>
      <w:pPr>
        <w:pStyle w:val="BookText"/>
        <w:rPr/>
      </w:pPr>
      <w:r>
        <w:rPr>
          <w:rFonts w:ascii="Amiri" w:hAnsi="Amiri" w:eastAsia="Amiri" w:cs="Amiri"/>
          <w:color w:val="111111"/>
          <w:sz w:val="28"/>
          <w:sz w:val="28"/>
          <w:szCs w:val="28"/>
          <w:rtl w:val="true"/>
          <w:lang w:bidi="ar-SA"/>
        </w:rPr>
        <w:t>والأورعية والأوثقية، مع أنّ صريح ترتيب المقبولة الأخذ بالأورع مثلاً، وإن كان في طرف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هنالك خبران متعارضان، وأحدهما لا ريب في صحته، والآخر لا ريب في بطلانه، فلا نلاحظ صفات الراويين، بل يطرح الخبر الذي لا ريب في بطلانه، إلا أنّ صريح المقبولة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كلتا الروايتين، ولو كانت رواية المشهور مقطوعة الصحة، وما يقابلها مقطوع البطلان، فكيف يمكن فرض التعارض بين الدليلين القطعيين وكون كليهما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 الإمام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واستشهاده بتثليث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دال على أنّ الخبر الشاذ النادر مما فيه الريب، ولو كان الشاذ مما لا ريب في بطلانه لم يكن للتثليث معنى، بل كان المفروض طرحه والأخذ بالمشهور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التثليث دال على أنّ الخبر الشاذ مما فيه الريب، وإلا لم يكن حاجة إلى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تمامية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علل وجوب طرح الخبر الشاذ النادر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واستشهد بتثليث الحديث النبوي، فيعلم من الاستشهاد أنّ الخبر الشاذ الذي فيه الريب داخل في القسم الثالث من تثليث الخبر النبوي، فإنّ تعليل وجوب طرح الخبر الشاذ بدخوله تحت عنوان الشبهات لا يستقيم إلا على فرض وجوب ترك الشبهات، حيث لا يصح الاستشهاد للواجب بما لا وجوب فيه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استشهد لوجوب الطرح بحديث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دال على وجوب ترك الشبهات فيه، فيعلم من الاستشهاد أنّ طرح الشاذ النادر صغرى لكبرى واجبة، وإلا لو كان ترك الشبهات غير واجب لم يصح الاستشهاد بغير الواجب لوجوب شيء، فلو لم تكن الكبرى واجبة فلا يصح القول بوجوب الصغرى، لكونها فرداً للكبرى غير الواجبة، فيعلم أنّ الكبرى النبوية واجبة؛ لأنه استشهد به للصغرى الصادقية صلوات اللّه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عدل الشيخ الأعظم إلى هذا البيان الملتوي، مع وجود بيانات بسيطة مستقيمة لسد ثغور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الطرق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بعموم العلة؛ فإنّ التعليل في صدر المقبولة</w:t>
      </w:r>
      <w:r>
        <w:rPr>
          <w:rStyle w:val="FootnoteAnchor"/>
          <w:rtl w:val="true"/>
        </w:rPr>
        <w:footnoteReference w:id="742"/>
      </w:r>
      <w:r>
        <w:rPr>
          <w:rFonts w:ascii="Amiri" w:hAnsi="Amiri" w:eastAsia="Amiri" w:cs="Amiri"/>
          <w:color w:val="111111"/>
          <w:sz w:val="28"/>
          <w:sz w:val="28"/>
          <w:szCs w:val="28"/>
          <w:rtl w:val="true"/>
          <w:lang w:bidi="ar-SA"/>
        </w:rPr>
        <w:t>يفيد وجوب طرح ما فيه الريب، ومنه المشكوك، فلا يحتاج الأمر إلى الاستدلال بوجوب الصغرى على وجوب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الإشكال عليه بأنّ التعليل وارد في باب الحجة المشكوكة وهو مسلّم، لا يرتبط بما نحن فيه؛ لأنّ الحجية تحتاج إلى الإحراز، والخبر الشاذ النادر مشكوك الحجية فيترك، و أما في شرب التتن فليست المسألة مسألة الحجية، بل العمل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قابلاً للجواب بأن العلة تعمم، حيث أطلق الإمام ولم يقيد العلة بباب الحجية، فكل ما فيه الريب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 المورد لا يخصص الوارد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محفوف بما يصلح للقرينية، فلا يفيد العموم إلا في محدودة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البسيط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بنفس الحديث النبوي، فمن ترك شرب التتن نجا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بأنّ وجوب النجاة من المحرمات أول الكلام، فلا يلزم على المكلف أن يعمل شيئاً لا يقع في المحرمات، بل اللازم أن يفعل شيئاً لا يقع في المعاصي، فتدل الرواية على الرجحان، والشاهد عليه أنّ الكثير من المكلفين يرتكبون مآت الشبهات الموضوعية، مع احتمال الوقوع في المحرمات، ولم يقل أحد بلزوم الاجتناب عن الوقوع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البسيط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يستشهد بالتثليث الصادقي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شرب التتن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أيضاً قابل للإشكال بأنّ معناه الردع عن الإفتاء طبق الخبر الشاذ فإنه مشكل، ومحل البحث في العمل لا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سلوك هذه الطرق إشكالات، و لذا سلك الشيخ الأعظم ذلك الطريق لسد ثغور الاستدلال، وحاصله استشهاد الإمام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وجوب الصغرى بكبرى، فلا بد أن تكون تلك الكبرى واجبة، وإلا لم يتم الاستدلال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وأرود عليه في المنتقى</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غير تام، فإنّ استشهاد الإمام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يقتضي كون ترك المشتبه واجباً، بل يصح </w:t>
      </w:r>
    </w:p>
    <w:p>
      <w:pPr>
        <w:pStyle w:val="BookText"/>
        <w:rPr/>
      </w:pPr>
      <w:r>
        <w:rPr>
          <w:rFonts w:ascii="Amiri" w:hAnsi="Amiri" w:eastAsia="Amiri" w:cs="Amiri"/>
          <w:color w:val="111111"/>
          <w:sz w:val="28"/>
          <w:sz w:val="28"/>
          <w:szCs w:val="28"/>
          <w:rtl w:val="true"/>
          <w:lang w:bidi="ar-SA"/>
        </w:rPr>
        <w:t>الاستشهاد حتى مع كون الترك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هنالك كبرى مستخدمة في مطلق الرجحان، لا مانع من الاستشهاد بها على الصغرى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استخدم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الضرر عن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الكبرى الكلية في معنى جامع بين الوجوب والندب، صح تطبيقه على صغرى واجبة،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هذا السم فإنّ الطبيب قال ادفع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للكبرى الكلية فردين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يرجح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الصغرى فرد للواجب الدفع، فيستشهد بالكبرى العام للصغرى الخاص، ولا محذور فيه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بينه وبين المقام 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فإنّ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وَافْعَلُوا الْخَيْرَ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تم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معنى عام على صغرى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فالاستشهاد بالنبوي لا يدل على وجوب ترك الشبهات، فمن الممكن أن يكون الحديث إرشادياً، وهو تابع للمرشد إليه، فلا ينهض دليلاً على الوجوب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ذكره وإن كان قابلاً للقبول على نحو الكبرى الكلية، إلا أن من الممكن دعوى وجود خصوصية في المقام، تمنع من حمل الكبرى النبوية على مطلق الرجحان،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ترك الشبهات نجا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التخلص من المحرمات لا وجوب فيه، إلا أنّ ارتكاب المحرمات، والسقوط في الهلكة لا يتناسب مع مطلق الرجحان، مع القول بأنّ الهلكة ظاهرة في العقوبة الأخروية، بل يفيد التحريم</w:t>
      </w:r>
      <w:r>
        <w:rPr>
          <w:rFonts w:eastAsia="IRNazanin" w:cs="IRNazanin"/>
          <w:color w:val="111111"/>
          <w:sz w:val="28"/>
          <w:szCs w:val="28"/>
          <w:rtl w:val="true"/>
          <w:lang w:bidi="fa-IR"/>
        </w:rPr>
        <w:t xml:space="preserve">. </w:t>
      </w:r>
      <w:bookmarkStart w:id="293" w:name="pg15608_167165"/>
    </w:p>
    <w:p>
      <w:pPr>
        <w:pStyle w:val="BookText"/>
        <w:rPr/>
      </w:pPr>
      <w:bookmarkEnd w:id="293"/>
      <w:r>
        <w:rPr>
          <w:rFonts w:ascii="Amiri" w:hAnsi="Amiri" w:eastAsia="Amiri" w:cs="Amiri"/>
          <w:color w:val="111111"/>
          <w:sz w:val="28"/>
          <w:sz w:val="28"/>
          <w:szCs w:val="28"/>
          <w:rtl w:val="true"/>
          <w:lang w:bidi="ar-SA"/>
        </w:rPr>
        <w:t>فما قرره الشيخ الأعظم تام، لكن لا يتم استدلال الأخباري به، حيث يمكن القول بأنّ التحريم معلل، فلا يدل على الحرمة في مورد انتفاء العلة، كما وضحناه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ارتكب الشبهات وقع في الحرام البيّن لا في الحرام الواقعي، فشرب التتن يمكن أن يؤدي إلى شرب الخمر، حيث يعطي لمرتكبه جرأة الاقتحام فيها، فلو انتفت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شرب المتقي التتن، بحيث لا يتجرأ على ارتكاب الحرام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الحكم، سواء كان إرشادياً، كما هو الظاهر أم مولوياً،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الشبهات نجا من المحرمات البينة، ومن أخذ بالشبهات ارتكب المحرمات البينة، وهلك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التوجيه لا تنهض الرواية على مدعى الأخباريين؛ لأنّ مدعاهم أنّ ارتكاب الشبهات وقوع في المحرمات الواقعية، أو تعرض للوقوع فيها، وهو يختلف مع ما ذكر من أنّ ارتكاب الشبهات يجر المكلف إلى ارتكاب المحرمات البينة</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0086655_2142443653"/>
      <w:bookmarkStart w:id="295" w:name="_Toc112"/>
      <w:bookmarkEnd w:id="294"/>
      <w:r>
        <w:rPr>
          <w:rtl w:val="true"/>
        </w:rPr>
        <w:t>الدليل الثالث</w:t>
      </w:r>
      <w:r>
        <w:rPr>
          <w:rtl w:val="true"/>
        </w:rPr>
        <w:t xml:space="preserve">: </w:t>
      </w:r>
      <w:r>
        <w:rPr>
          <w:rtl w:val="true"/>
        </w:rPr>
        <w:t>دليل العقل</w:t>
      </w:r>
      <w:bookmarkEnd w:id="295"/>
    </w:p>
    <w:p>
      <w:pPr>
        <w:pStyle w:val="Heading4"/>
        <w:numPr>
          <w:ilvl w:val="3"/>
          <w:numId w:val="1"/>
        </w:numPr>
        <w:rPr/>
      </w:pPr>
      <w:bookmarkStart w:id="296" w:name="__RefHeading___Toc10086657_2142443653"/>
      <w:bookmarkStart w:id="297" w:name="_Toc113"/>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وفي المقام وجوه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0086659_2142443653"/>
      <w:bookmarkStart w:id="299" w:name="_Toc114"/>
      <w:bookmarkEnd w:id="298"/>
      <w:r>
        <w:rPr>
          <w:rtl w:val="true"/>
        </w:rPr>
        <w:t>الوجه الأول</w:t>
      </w:r>
      <w:r>
        <w:rPr>
          <w:rtl w:val="true"/>
        </w:rPr>
        <w:t xml:space="preserve">: </w:t>
      </w:r>
      <w:r>
        <w:rPr>
          <w:rtl w:val="true"/>
        </w:rPr>
        <w:t>العلم الإجمالي بوجود محرمات كثيرة</w:t>
      </w:r>
      <w:bookmarkEnd w:id="299"/>
    </w:p>
    <w:p>
      <w:pPr>
        <w:pStyle w:val="Heading5"/>
        <w:numPr>
          <w:ilvl w:val="4"/>
          <w:numId w:val="1"/>
        </w:numPr>
        <w:rPr/>
      </w:pPr>
      <w:bookmarkStart w:id="300" w:name="__RefHeading___Toc10086661_2142443653"/>
      <w:bookmarkStart w:id="301" w:name="_Toc115"/>
      <w:bookmarkEnd w:id="300"/>
      <w:r>
        <w:rPr>
          <w:rtl w:val="true"/>
        </w:rPr>
        <w:t>اشارة</w:t>
      </w:r>
      <w:bookmarkEnd w:id="3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عندنا علم إجمالي بوجود محرمات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الرجوع إلى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الاجتناب عنها،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نَهَاكُمْ عَنْهُ فَانتَهُوا</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بل بمقتضى حكم العقل بلزوم الانزجار عما زجر عنه </w:t>
      </w:r>
      <w:bookmarkStart w:id="302" w:name="pg15608_167166"/>
    </w:p>
    <w:p>
      <w:pPr>
        <w:pStyle w:val="BookText"/>
        <w:rPr/>
      </w:pPr>
      <w:bookmarkEnd w:id="302"/>
      <w:r>
        <w:rPr>
          <w:rFonts w:ascii="Amiri" w:hAnsi="Amiri" w:eastAsia="Amiri" w:cs="Amiri"/>
          <w:color w:val="111111"/>
          <w:sz w:val="28"/>
          <w:sz w:val="28"/>
          <w:szCs w:val="28"/>
          <w:rtl w:val="true"/>
          <w:lang w:bidi="ar-SA"/>
        </w:rPr>
        <w:t>المولى، والاشتغال اليقيني يقتضي البراءة اليقينية، فلا بد من الخروج عن عهدة المعلوم بالإجمال على نحو البتّ واليقين، وبعد الرجوع إلى الأدلة الشرعية والعثور على جملة من المحرمات واجتنابها لا قطع بالخروج عن عهدة التكاليف الواقعية المعلومة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الاجتناب عن كل ما احتمل حرمته، حتى يقطع بفراغ الذمة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هذا أقوى الأدلة العقلية على وجوب الاجتناب عن الشبهات التحريمة</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0086663_2142443653"/>
      <w:bookmarkStart w:id="304" w:name="_Toc116"/>
      <w:bookmarkEnd w:id="303"/>
      <w:r>
        <w:rPr>
          <w:rtl w:val="true"/>
        </w:rPr>
        <w:t>وأجيب عنه بعدة أجوبة</w:t>
      </w:r>
      <w:bookmarkEnd w:id="304"/>
    </w:p>
    <w:p>
      <w:pPr>
        <w:pStyle w:val="Heading6"/>
        <w:numPr>
          <w:ilvl w:val="5"/>
          <w:numId w:val="1"/>
        </w:numPr>
        <w:rPr/>
      </w:pPr>
      <w:bookmarkStart w:id="305" w:name="__RefHeading___Toc10086665_2142443653"/>
      <w:bookmarkStart w:id="306" w:name="_Toc117"/>
      <w:bookmarkEnd w:id="305"/>
      <w:r>
        <w:rPr>
          <w:rtl w:val="true"/>
        </w:rPr>
        <w:t>الجواب الأول</w:t>
      </w:r>
      <w:bookmarkEnd w:id="306"/>
    </w:p>
    <w:p>
      <w:pPr>
        <w:pStyle w:val="BookText"/>
        <w:rPr/>
      </w:pPr>
      <w:r>
        <w:rPr>
          <w:rFonts w:ascii="Amiri" w:hAnsi="Amiri" w:eastAsia="Amiri" w:cs="Amiri"/>
          <w:color w:val="111111"/>
          <w:sz w:val="28"/>
          <w:sz w:val="28"/>
          <w:szCs w:val="28"/>
          <w:rtl w:val="true"/>
          <w:lang w:bidi="ar-SA"/>
        </w:rPr>
        <w:t>ما ذكره الشيخ الأعظم،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العلم الإجمالي خارج دائرة الطرق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تعلق تكليف غير القادر على تحصيل العلم إلا بما أدّى إليه الطرق غيرالعلمية المنصوبة له، فهو مكلف بالواقع بحسب تأدية هذه الطرق، لا بالواقع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ذكرناه هو المتحصل من ثبوت الأحكام الواقعية، للعالم وغيره، وثبوت التكليف بالعلم بالطرق</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إجمالاً بوجود التكاليف في دائرة الطرق المنصوبة، أي الأخبار التي وردت في الكتب الأربعة وما أشبه، والمفروض العثور على تلك التكاليف بالفحص فيها، و أما خارج هذه الطرق المحدودة، فحتى لو </w:t>
      </w:r>
      <w:bookmarkStart w:id="307" w:name="pg15608_167167"/>
    </w:p>
    <w:p>
      <w:pPr>
        <w:pStyle w:val="BookText"/>
        <w:rPr/>
      </w:pPr>
      <w:bookmarkEnd w:id="307"/>
      <w:r>
        <w:rPr>
          <w:rFonts w:ascii="Amiri" w:hAnsi="Amiri" w:eastAsia="Amiri" w:cs="Amiri"/>
          <w:color w:val="111111"/>
          <w:sz w:val="28"/>
          <w:sz w:val="28"/>
          <w:szCs w:val="28"/>
          <w:rtl w:val="true"/>
          <w:lang w:bidi="ar-SA"/>
        </w:rPr>
        <w:t>كانت هنالك محرمات واقعية إلا أننا لسنا مكلفين بالواقع الذي لم يقم عليه الطريق، فلا تكليف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بالتكاليف محدود بدائرة الطرق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الواقع كما يتنجز بقيام الطريق يتنجز بالعلم، فواقع اللوح المحفوظ متنجز بالعلم الإجمالي، ومنجزية الطريق لا تنفي منجزية العلم الإجمالي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صاحب الكفاية أشار إلى هذا الجواب،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فلاستقلال العقل بتنجز التكاليف المعلومة بالإجمال على القادر على الامتثال، ووجوب الخروج عن عهدتها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 w:name="__RefHeading___Toc10086667_2142443653"/>
      <w:bookmarkStart w:id="309" w:name="_Toc118"/>
      <w:bookmarkEnd w:id="308"/>
      <w:r>
        <w:rPr>
          <w:rtl w:val="true"/>
        </w:rPr>
        <w:t>الجواب الثاني</w:t>
      </w:r>
      <w:bookmarkEnd w:id="309"/>
    </w:p>
    <w:p>
      <w:pPr>
        <w:pStyle w:val="BookText"/>
        <w:rPr/>
      </w:pPr>
      <w:r>
        <w:rPr>
          <w:rFonts w:ascii="Amiri" w:hAnsi="Amiri" w:eastAsia="Amiri" w:cs="Amiri"/>
          <w:color w:val="111111"/>
          <w:sz w:val="28"/>
          <w:sz w:val="28"/>
          <w:szCs w:val="28"/>
          <w:rtl w:val="true"/>
          <w:lang w:bidi="ar-SA"/>
        </w:rPr>
        <w:t>الجواب الثاني</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فبعد التسليم بوجود العلم الإجمالي الوسيع الدائرة، ينحل بالعثور على المحرمات في دائرة الطرق المنصوبة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عبارة وقعت محلاً للإشكال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سلمنا التكليف الفعلي بالمحرمات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إذا ثبت في الشبهات المحصورة وجوب الاجتناب عن جملة منها لدليل آخر غير التكليف المتعلق بالمعلوم الإجمالي، اقتصر في الاجتناب على ذلك القدر؛ لاحتمال كون المعلوم بالإجمال هو هذا المقدار </w:t>
      </w:r>
    </w:p>
    <w:p>
      <w:pPr>
        <w:pStyle w:val="BookText"/>
        <w:rPr/>
      </w:pPr>
      <w:r>
        <w:rPr>
          <w:rFonts w:ascii="Amiri" w:hAnsi="Amiri" w:eastAsia="Amiri" w:cs="Amiri"/>
          <w:color w:val="111111"/>
          <w:sz w:val="28"/>
          <w:sz w:val="28"/>
          <w:szCs w:val="28"/>
          <w:rtl w:val="true"/>
          <w:lang w:bidi="ar-SA"/>
        </w:rPr>
        <w:t>المعلوم حرمته تفصيلا</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ثم 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العلم الإجمالي غير ثابت بعد العلم التفصيلي بحرمة البعض</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العلم الإجمالي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بانطباق المعلوم بالإجمال على المعلوم بالتفصيل، كأن نعلم أنّ في القطيع شاةً محرمة، فيجب الاجتناب عن القطيع كله</w:t>
      </w:r>
      <w:r>
        <w:rPr>
          <w:rStyle w:val="FootnoteAnchor"/>
          <w:rtl w:val="true"/>
        </w:rPr>
        <w:footnoteReference w:id="750"/>
      </w:r>
      <w:r>
        <w:rPr>
          <w:rFonts w:ascii="Amiri" w:hAnsi="Amiri" w:eastAsia="Amiri" w:cs="Amiri"/>
          <w:color w:val="111111"/>
          <w:sz w:val="28"/>
          <w:sz w:val="28"/>
          <w:szCs w:val="28"/>
          <w:rtl w:val="true"/>
          <w:lang w:bidi="ar-SA"/>
        </w:rPr>
        <w:t>، ثم ينكشف أنّ هذه الشاة المعينة هي المحرمة، فالعلم الإجمالي ينحل إلى العلم التفصيلي بحرمة هذه الشاة، والشك البدوي في حرمة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انطباق المعلوم بالإجمال على المعلوم بالتفصيل، كأن نعلم أنّ في القطيع شاةً محرمة، ثم تقوم البينة على أنّ هذه الشاة المعينة محرمة، ولكن لا يعلم أنّ هذه الحرمة هل هي الحرمة المعلومة بالإجمال أو غيرها؟ فهنا يحتمل انطباق المعلوم بالإجمال على المعلوم بالتفصيل، فتكون الشاة المعينة محرمة قطعاً، ويشك بدواً في حرمة بقية القطيع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جواب الشيخ أنّ احتمال الانطباق كافٍ لانحلال العلم الإجمالي، وذلك لارتفاع العلم الإجمالي بعد العلم التفصيلي بحرمة بعضها، فإنه مع احتمال الانطباق تنحل القضية المنفصلة إلى قضيتين حمليتين، إحداهما متيقنة والأخرى مشكوكة، فتجري أصالة الطهارة أو البراءة في المشكوك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كذلك، فمع العلم الإجمالي بوجود محرمات في صقع </w:t>
      </w:r>
    </w:p>
    <w:p>
      <w:pPr>
        <w:pStyle w:val="BookText"/>
        <w:rPr/>
      </w:pPr>
      <w:r>
        <w:rPr>
          <w:rFonts w:ascii="Amiri" w:hAnsi="Amiri" w:eastAsia="Amiri" w:cs="Amiri"/>
          <w:color w:val="111111"/>
          <w:sz w:val="28"/>
          <w:sz w:val="28"/>
          <w:szCs w:val="28"/>
          <w:rtl w:val="true"/>
          <w:lang w:bidi="ar-SA"/>
        </w:rPr>
        <w:t>الواقع، والفحص في الطرق المنصوبة، والعثور على مجموعة منها، يحتمل انطباق المعلوم بالإجمال على المعلوم بالتفصيل، وهذا الاحتمال كافٍ لحل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عليه الآشتياني</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الظفر بالدليل المثبت للتكليف في بعض أطراف العلم الإجمالي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الظفر بالدليل متقدماً على العلم الإجمالي، وتارة مقارناً وتارة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الصورتين الأوليين يكون الظفر بالدليل مانعاً عن منجزية العلم الإجمالي، وأما في الصورة الثالثة فالعلم الإجمالي منعقد و منجز، والظفر المتأخر لا يرفع منجزيته، وإلا لأمكنت الحلية في كثير من موارد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مراده أنه لو كان المتأخر صالحاً لإبطال أثر العلم الإجمالي المتقدم، لاستلزم إبطال منجزيته في كثير من الموارد، كما لو طهر أحد الإناءين أو فقد، فمع أنّ العلم الإجمالي لا يبطل تأثيره بذلك، فكذلك في المقام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محل تأمل؛ لأنّ القياس مع الفارق، وبيانه موقوف على ذكر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لتنجيز العلم الإجمالي ملاكاً، هو العلم بوجود التكليف على كل تقدير،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بالإجمال سقوط الدم في أحد الإناءين، فلو كان الأول فقد تولد التكليف بالاجتناب، ولو كان الثاني فكذلك، فيعلم بتولد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تقدير، وأما لو لم يتحقق الملاك، كما لو كان أحد </w:t>
      </w:r>
    </w:p>
    <w:p>
      <w:pPr>
        <w:pStyle w:val="BookText"/>
        <w:rPr/>
      </w:pPr>
      <w:r>
        <w:rPr>
          <w:rFonts w:ascii="Amiri" w:hAnsi="Amiri" w:eastAsia="Amiri" w:cs="Amiri"/>
          <w:color w:val="111111"/>
          <w:sz w:val="28"/>
          <w:sz w:val="28"/>
          <w:szCs w:val="28"/>
          <w:rtl w:val="true"/>
          <w:lang w:bidi="ar-SA"/>
        </w:rPr>
        <w:t>الإناءين نجساً من قبل، ثم علم بوقوع الدم في أحدهما، فإن كان في الإناء النجس لم يتولد التكليف؛ لأنّ المتنجس لا يتنجس، والمتنجز لا يتنجز، وإن كان في الإناء الآخر تولد التكليف، فيكون أمر التكليف دائراً مدار التولد وعدمه، فهو شك في التكليف مجراه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توضيح هذه المقدمة 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الطوارئ المتأخرة عن العلم الإجمالي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طارئ يقدح في ملاك منجزية العلم الإجمالي، فينحل العلم الإجمالي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طارئ لا يقدح في ملاك المنجزية، فلا يبطل مفعول العلم الإجمالي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والطوارئ التي ذكرها الآشتياني من قبيل الثاني؛ لأنّ العلم الإجمالي انعقد منجزاً في مثال الإناءين، وخروج أحد الطرفين عن محل الابتلاء لا يقدح في ملاك المنجزية، فإنّ الاشتغال اليقيني يقتضي البراءة اليقينية، وهي لا تحصل إلا باجتناب الإناء الباقي، فيجب اجتنابه وإن خرج الطرف الثاني عن محل الابتلاء أو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نحن فيه، فإنّ الظفر بالدليل المثبت للتكليف في بعض أطراف العلم الإجمالي كاشف عن عدم انعقاده منجزاً من أول الأمر، فلو كان العلم الإجمالي متعلقاً بموارد الأدلة التي تثبت حرمة مجموعة من المحرمات لم يكن له أثر، لتعلقه بما هو متنجز، ولو تعلق بسائر الموارد كان منجزاً لها، فالأمر مردد بين التنجز واللاتنجز، والتكليف واللاتكليف، وهو مجرى البراءة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المثبت لا يولد التكليف من حينه، بل هو كاشف </w:t>
      </w:r>
    </w:p>
    <w:p>
      <w:pPr>
        <w:pStyle w:val="BookText"/>
        <w:rPr/>
      </w:pPr>
      <w:r>
        <w:rPr>
          <w:rFonts w:ascii="Amiri" w:hAnsi="Amiri" w:eastAsia="Amiri" w:cs="Amiri"/>
          <w:color w:val="111111"/>
          <w:sz w:val="28"/>
          <w:sz w:val="28"/>
          <w:szCs w:val="28"/>
          <w:rtl w:val="true"/>
          <w:lang w:bidi="ar-SA"/>
        </w:rPr>
        <w:t>عن ثبوت التكليف من أول الأمر، ولذا تترتب الآثار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أجريت أصالة الطهارة على ماء وبعد مدة قامت البينة على نجاسته</w:t>
      </w:r>
      <w:r>
        <w:rPr>
          <w:rStyle w:val="FootnoteAnchor"/>
          <w:rtl w:val="true"/>
        </w:rPr>
        <w:footnoteReference w:id="752"/>
      </w:r>
      <w:r>
        <w:rPr>
          <w:rFonts w:ascii="Amiri" w:hAnsi="Amiri" w:eastAsia="Amiri" w:cs="Amiri"/>
          <w:color w:val="111111"/>
          <w:sz w:val="28"/>
          <w:sz w:val="28"/>
          <w:szCs w:val="28"/>
          <w:rtl w:val="true"/>
          <w:lang w:bidi="ar-SA"/>
        </w:rPr>
        <w:t>، فإن البينة لم تولد التكليف بالاجتناب من حين قيامها، بل تكشف عن تنجس الماء من أول الأمر، حيث لم يكن جريان أصالة الطهارة في محله، فتكشف عن بطلان كل الصلوات ووجوب قضائها، فالدليل كاشف عن ثبوت التكليف في متن الواقع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العلم الإجمالي بوجود المحرمات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منطبقاً على موارد قام الدليل عليها، فلا أثر له لسبق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متعلقاً بغير تلك الموارد فهو منجز، فالعلم الإجمالي مع الظفر بالدليل يفقد ملاك منجزيته ولا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منجزية العلم الإجمالي تعارض الأصول الترخيصية في أطراف العلم الإجمالي، فمع الظفر بالدليل يعلم أنّ الأصول الجارية لم تكن متعارضة في الواقع؛ لأنّ جريان الأصل المؤمّن فيما انكشف أنه محرم كان في غير محله، فيكون جريان الأصل المؤمن في بقية الأطراف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الآشتياني غير واضح لوجود الفارق بين المقامين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صاحب الكفاية على عبارة الشيخ الأعظم، والظاهر أنه أشبه بالإشكالات اللفظية، فهو وارد على لفظه لا مقصوده، حيث قال الشيخ في ذيل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العلم الإجمالي غير ثابت بعد العلم </w:t>
      </w:r>
      <w:bookmarkStart w:id="310" w:name="pg15608_167172"/>
    </w:p>
    <w:p>
      <w:pPr>
        <w:pStyle w:val="BookText"/>
        <w:rPr/>
      </w:pPr>
      <w:bookmarkEnd w:id="310"/>
      <w:r>
        <w:rPr>
          <w:rFonts w:ascii="Amiri" w:hAnsi="Amiri" w:eastAsia="Amiri" w:cs="Amiri"/>
          <w:color w:val="111111"/>
          <w:sz w:val="28"/>
          <w:sz w:val="28"/>
          <w:szCs w:val="28"/>
          <w:rtl w:val="true"/>
          <w:lang w:bidi="ar-SA"/>
        </w:rPr>
        <w:t>التفصيلي</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فأشكل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مجرد عدم ثبوت العلم الإجمالي لا يوجب ارتفاع أثره</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فإنّ العلم الإجمالي قد يرتفع ويبقى أثره، كما لو فقد أحد الإناءين أو انعدم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مراد الشيخ مطلق ارتفاع العلم الإجمالي، بل الارتفاع القادح في ملاك منجزية العلم الإجمالي، فهذا الارتفاع قادح في التأثير، وإلا فمجرد الارتفاع غير القادح، لا يضر</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0086669_2142443653"/>
      <w:bookmarkStart w:id="312" w:name="_Toc119"/>
      <w:bookmarkEnd w:id="311"/>
      <w:r>
        <w:rPr>
          <w:rtl w:val="true"/>
        </w:rPr>
        <w:t>الجواب الثالث</w:t>
      </w:r>
      <w:bookmarkEnd w:id="312"/>
    </w:p>
    <w:p>
      <w:pPr>
        <w:pStyle w:val="BookText"/>
        <w:rPr/>
      </w:pPr>
      <w:r>
        <w:rPr>
          <w:rFonts w:ascii="Amiri" w:hAnsi="Amiri" w:eastAsia="Amiri" w:cs="Amiri"/>
          <w:color w:val="111111"/>
          <w:sz w:val="28"/>
          <w:sz w:val="28"/>
          <w:szCs w:val="28"/>
          <w:rtl w:val="true"/>
          <w:lang w:bidi="ar-SA"/>
        </w:rPr>
        <w:t>ما في المصباح</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النقض بالشبهات الموضوعية، فلو كان العلم الإجمالي مانعاً عن الرجوع إلى البراءة في الشبهات الحكمية التحريمية لمنع من الرجوع إلى البراءة في الشبهات الموضوعية، مع أنّ الأخباري قائل بجريان البراءة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لو تحقق العلم الإجمالي المنجز في الشبهات الموضوعية لم يجز الرجوع إلى البراءة، وإن لم يتحقق فهو خروج عن محل البحث، فالمراد من الجواب النقضي غير واضح</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0086671_2142443653"/>
      <w:bookmarkStart w:id="314" w:name="_Toc120"/>
      <w:bookmarkEnd w:id="313"/>
      <w:r>
        <w:rPr>
          <w:rtl w:val="true"/>
        </w:rPr>
        <w:t>الجواب الرابع</w:t>
      </w:r>
      <w:bookmarkEnd w:id="31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المصباح</w:t>
      </w:r>
      <w:r>
        <w:rPr>
          <w:rStyle w:val="FootnoteAnchor"/>
          <w:rtl w:val="true"/>
        </w:rPr>
        <w:footnoteReference w:id="75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النقض بالشبهات الحكمية الوجوبية، وقد </w:t>
      </w:r>
      <w:bookmarkStart w:id="315" w:name="pg15608_167173"/>
    </w:p>
    <w:p>
      <w:pPr>
        <w:pStyle w:val="BookText"/>
        <w:rPr/>
      </w:pPr>
      <w:bookmarkEnd w:id="315"/>
      <w:r>
        <w:rPr>
          <w:rFonts w:ascii="Amiri" w:hAnsi="Amiri" w:eastAsia="Amiri" w:cs="Amiri"/>
          <w:color w:val="111111"/>
          <w:sz w:val="28"/>
          <w:sz w:val="28"/>
          <w:szCs w:val="28"/>
          <w:rtl w:val="true"/>
          <w:lang w:bidi="ar-SA"/>
        </w:rPr>
        <w:t>أطبق الأخباريون</w:t>
      </w:r>
      <w:r>
        <w:rPr>
          <w:rStyle w:val="FootnoteAnchor"/>
          <w:rtl w:val="true"/>
        </w:rPr>
        <w:footnoteReference w:id="757"/>
      </w:r>
      <w:r>
        <w:rPr>
          <w:rFonts w:ascii="Amiri" w:hAnsi="Amiri" w:eastAsia="Amiri" w:cs="Amiri"/>
          <w:color w:val="111111"/>
          <w:sz w:val="28"/>
          <w:sz w:val="28"/>
          <w:szCs w:val="28"/>
          <w:rtl w:val="true"/>
          <w:lang w:bidi="ar-SA"/>
        </w:rPr>
        <w:t>على عدم وجوب الاحتياط فيها، فلو كان العلم الإجمالي مانعاً من جريان البراءة في الشبهات الحكمية التحريمة لمنع من جريانها في الشبهات الحكمية الوجوبية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أنه تام</w:t>
      </w:r>
      <w:r>
        <w:rPr>
          <w:rFonts w:eastAsia="IRNazanin" w:cs="IRNazanin"/>
          <w:color w:val="111111"/>
          <w:sz w:val="28"/>
          <w:szCs w:val="28"/>
          <w:rtl w:val="true"/>
          <w:lang w:bidi="fa-IR"/>
        </w:rPr>
        <w:t>.</w:t>
      </w:r>
    </w:p>
    <w:p>
      <w:pPr>
        <w:pStyle w:val="Heading6"/>
        <w:numPr>
          <w:ilvl w:val="5"/>
          <w:numId w:val="1"/>
        </w:numPr>
        <w:rPr/>
      </w:pPr>
      <w:bookmarkStart w:id="316" w:name="__RefHeading___Toc10086673_2142443653"/>
      <w:bookmarkStart w:id="317" w:name="_Toc121"/>
      <w:bookmarkEnd w:id="316"/>
      <w:r>
        <w:rPr>
          <w:rtl w:val="true"/>
        </w:rPr>
        <w:t>الجواب الخامس</w:t>
      </w:r>
      <w:bookmarkEnd w:id="317"/>
    </w:p>
    <w:p>
      <w:pPr>
        <w:pStyle w:val="BookText"/>
        <w:rPr/>
      </w:pPr>
      <w:r>
        <w:rPr>
          <w:rFonts w:ascii="Amiri" w:hAnsi="Amiri" w:eastAsia="Amiri" w:cs="Amiri"/>
          <w:color w:val="111111"/>
          <w:sz w:val="28"/>
          <w:sz w:val="28"/>
          <w:szCs w:val="28"/>
          <w:rtl w:val="true"/>
          <w:lang w:bidi="ar-SA"/>
        </w:rPr>
        <w:t>ما ذكره في النهاية</w:t>
      </w:r>
      <w:r>
        <w:rPr>
          <w:rStyle w:val="FootnoteAnchor"/>
          <w:rtl w:val="true"/>
        </w:rPr>
        <w:footnoteReference w:id="75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مثل هذا العلم الإجمالي بالأحكام هو في نفسه قاصر عن تنجيز الواقعيات؛ لعدم تعلق العلم بأحكام فعلية، بل بأحكام كلية بنحو القضايا الحقيقية المنوطة فعليتها بفعلية موضوعاتها عند الابتلاء بها، لوضوح تدريجية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الاحتياج إلى مقولة انحلال العلم الإجمالي، فالاحتياج إليه إنما يكون إذا كان العلم الإجمالي تاماً في حد ذاته، ومنجزاً للواقع المعلوم بالإجمال، أما في المقام فإنّ العلم الإجمالي لا صلاحية له لتنجيز الواقع المعلوم؛ لعدم تعلق العلم بأحكام فعلية، بل بأحكام كلية بنحو القضايا الحقيقية المنوطة فعليتها بفعلية موضوعاتها عند الابتلاء بها، لوضوح تدريجية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ذكره قابل للتحليل إلى مطالب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بالوقائع التي لها حكم تدريجي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فعلية الأحكام تدريجية؛ لأنها مجعولة على نحو القضايا </w:t>
      </w:r>
    </w:p>
    <w:p>
      <w:pPr>
        <w:pStyle w:val="BookText"/>
        <w:rPr/>
      </w:pP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اثر للعلم الإجمالي بالمحمولات المتدرجة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الأصل فيما هو محل الابتلاء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أثر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اشتراط التكاليف، ولا يتم بناء على تعليقيتها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مبنى صاحب الكفاية</w:t>
      </w:r>
      <w:r>
        <w:rPr>
          <w:rStyle w:val="FootnoteAnchor"/>
          <w:rtl w:val="true"/>
        </w:rPr>
        <w:footnoteReference w:id="759"/>
      </w:r>
      <w:r>
        <w:rPr>
          <w:rFonts w:ascii="Amiri" w:hAnsi="Amiri" w:eastAsia="Amiri" w:cs="Amiri"/>
          <w:color w:val="111111"/>
          <w:sz w:val="28"/>
          <w:sz w:val="28"/>
          <w:szCs w:val="28"/>
          <w:rtl w:val="true"/>
          <w:lang w:bidi="ar-SA"/>
        </w:rPr>
        <w:t>أنّ الأحكام مجعولة على نحو الاشتراط، ومبنى الشيخ</w:t>
      </w:r>
      <w:r>
        <w:rPr>
          <w:rStyle w:val="FootnoteAnchor"/>
          <w:rtl w:val="true"/>
        </w:rPr>
        <w:footnoteReference w:id="760"/>
      </w:r>
      <w:r>
        <w:rPr>
          <w:rFonts w:ascii="Amiri" w:hAnsi="Amiri" w:eastAsia="Amiri" w:cs="Amiri"/>
          <w:color w:val="111111"/>
          <w:sz w:val="28"/>
          <w:sz w:val="28"/>
          <w:szCs w:val="28"/>
          <w:rtl w:val="true"/>
          <w:lang w:bidi="ar-SA"/>
        </w:rPr>
        <w:t>أنها مجعولة على نحو التعليق، بمعنى فعلية الوجوب والحرمة، وإن كان الواجب والمحرم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المبنى هو التعليق، فتدريجية الابتلاء بالوقائع المتجددة لا ينفي فعلية الأحكام، فتكون المقدمة الثانية محل تأمل؛ لأنّ فعلية الأحكام على مبنى الشيخ دفعية، وللمجتهد علم إجمالي دفعي بوجود محرمات فعلية، فلا يمكنه إجراء الأصل لا في تمام الأطراف ولا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مبني على أنّ تدريجية فعلية الأحكام مانع عن تنجيز العلم الإجمالي، وهو محل تأمل؛ وذلك لأنّ مولوية المولى لا تختص بالتكاليف الفعلية، بل هي أعم من الفعلية والاستقبالية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بأنه سيبتلى خلال الشهر القادم بمعاملة ربوية، فلا يحق له إجراء البراءة في المعاملة الأولى ثم الثانية و هكذا، كما مثل به الشيخ </w:t>
      </w:r>
    </w:p>
    <w:p>
      <w:pPr>
        <w:pStyle w:val="BookText"/>
        <w:rPr/>
      </w:pPr>
      <w:r>
        <w:rPr>
          <w:rFonts w:ascii="Amiri" w:hAnsi="Amiri" w:eastAsia="Amiri" w:cs="Amiri"/>
          <w:color w:val="111111"/>
          <w:sz w:val="28"/>
          <w:sz w:val="28"/>
          <w:szCs w:val="28"/>
          <w:rtl w:val="true"/>
          <w:lang w:bidi="ar-SA"/>
        </w:rPr>
        <w:t>الأعظم في الفرائد</w:t>
      </w:r>
      <w:r>
        <w:rPr>
          <w:rStyle w:val="FootnoteAnchor"/>
          <w:rtl w:val="true"/>
        </w:rPr>
        <w:footnoteReference w:id="761"/>
      </w:r>
      <w:r>
        <w:rPr>
          <w:rFonts w:ascii="Amiri" w:hAnsi="Amiri" w:eastAsia="Amiri" w:cs="Amiri"/>
          <w:color w:val="111111"/>
          <w:sz w:val="28"/>
          <w:sz w:val="28"/>
          <w:szCs w:val="28"/>
          <w:rtl w:val="true"/>
          <w:lang w:bidi="ar-SA"/>
        </w:rPr>
        <w:t>، وكذا لو كانت المرأة مستمرة الدم تعلم بأنها طامث في بعض الأيام، فلا يحق لها أن تدخل المسجد في جميع الأيام حتى على مبنى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فالمقدمة الثالثة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الأحكام مجعولة على نحو الاشتراط ولا أثر للعلم بالتكاليف المتدرجة</w:t>
      </w:r>
      <w:r>
        <w:rPr>
          <w:rStyle w:val="FootnoteAnchor"/>
          <w:rtl w:val="true"/>
        </w:rPr>
        <w:footnoteReference w:id="7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المقام؛ لأنّ ابتلاء المقلد بالوقائع التدريجية يختلف عن ابتلاء المجتهد بها؛ لأنّ ابتلاء المقلد إنما هو بلحاظ العمل وهو تدريجي، وأما المجتهد فابتلاؤه بلحاظ الفتوى وهي دفعية، فالمجتهد لا يمكنه تحمل مسؤولية الفتاوى؛ لعلمه أنّ بعض الفتاوى المعتمدة على أصالة البراءة 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يتحقق العلم الإجمالي فالإشكال غير وارد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تحقق العلم الإجمالي الدفعي، فهنالك فرق بين الشبهات الموضوعية والحكمية، ففي الشبهات الموضوعية علم من الشارع عدم الاهتمام بها في كثير من الأحيان، فيمكن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w:t>
      </w:r>
      <w:bookmarkStart w:id="318" w:name="pg15608_167176"/>
    </w:p>
    <w:p>
      <w:pPr>
        <w:pStyle w:val="BookText"/>
        <w:rPr/>
      </w:pPr>
      <w:bookmarkEnd w:id="318"/>
      <w:r>
        <w:rPr>
          <w:rFonts w:ascii="Amiri" w:hAnsi="Amiri" w:eastAsia="Amiri" w:cs="Amiri"/>
          <w:color w:val="111111"/>
          <w:sz w:val="28"/>
          <w:sz w:val="28"/>
          <w:szCs w:val="28"/>
          <w:rtl w:val="true"/>
          <w:lang w:bidi="ar-SA"/>
        </w:rPr>
        <w:t>التدريجي غير مؤثر، أما في الأحكام الشريعة فقد علم الاهتمام الشديد من الشارع بها،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ابتلاء المجتهد فعلاً بلحاظ الفتوى، وأما أكل العظم فمحل ابتلائه الاستقبالي، ويعلم أنّ أحدهما محرم، فلو أفتى اليوم بحلية التتن وغداً بحلية العظم كان مستنكراً 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النهاية</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الوقائع تدريجية الابتلاء، والأحكام فعلية بفعلية موضوعاتها، وتمام أطراف العلم الإجمالي ليس محلاً للابتلاء، فيحق للمجتهد أن يفتي بالحلية في جميعها اعتماداً على أصالة الحل؛ لسقوط العلم الإجمالي عن التنجيز بخروج بعض الأطراف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10086675_2142443653"/>
      <w:bookmarkStart w:id="320" w:name="_Toc122"/>
      <w:bookmarkEnd w:id="319"/>
      <w:r>
        <w:rPr>
          <w:rtl w:val="true"/>
        </w:rPr>
        <w:t>الجواب السادس</w:t>
      </w:r>
      <w:bookmarkEnd w:id="320"/>
    </w:p>
    <w:p>
      <w:pPr>
        <w:pStyle w:val="BookText"/>
        <w:rPr/>
      </w:pPr>
      <w:r>
        <w:rPr>
          <w:rFonts w:ascii="Amiri" w:hAnsi="Amiri" w:eastAsia="Amiri" w:cs="Amiri"/>
          <w:color w:val="111111"/>
          <w:sz w:val="28"/>
          <w:sz w:val="28"/>
          <w:szCs w:val="28"/>
          <w:rtl w:val="true"/>
          <w:lang w:bidi="ar-SA"/>
        </w:rPr>
        <w:t>إنّ وظيفة المجتهد تابعة لوظيفة المقلد، وحيث إنّ جميع أطراف العلم الإجمالي ليس محل ابتلاء المقلد، فيمكن للمجتهد أن يفتي بالحل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التبعية ببيان بعض الأمثلة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المجتهد علماً وجدانياً بوقوع الدم في الإناء، لكن المقلد شاك، فلو سأله عن حكمه لم يلاحظ المجتهد حالة نفسه، وهي العلم التفصيلي، وإنما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أنك شاك فهو لك حلال وطاهر</w:t>
      </w:r>
      <w:r>
        <w:rPr>
          <w:rFonts w:eastAsia="Amiri" w:cs="Amiri" w:ascii="Amiri" w:hAnsi="Amiri"/>
          <w:color w:val="111111"/>
          <w:sz w:val="28"/>
          <w:szCs w:val="28"/>
          <w:rtl w:val="true"/>
          <w:lang w:bidi="ar-SA"/>
        </w:rPr>
        <w:t xml:space="preserve">. </w:t>
      </w:r>
      <w:bookmarkStart w:id="321" w:name="pg15608_167177"/>
    </w:p>
    <w:p>
      <w:pPr>
        <w:pStyle w:val="BookText"/>
        <w:rPr/>
      </w:pPr>
      <w:bookmarkEnd w:id="32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المجتهد إجمالاً بوقوع الدم في أحد الإناءين، والمقلد شاك أو عالم بالعلم الإجمالي أيضاً، لكن كان أحد الأطراف خارجاً عن محل ابتلائه، فلو سأله عن الحكم، أجابه بعدم الإشكال في الاقتحام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حيث إنّ جميع الوقائع المشتبهة ليست محل ابتلاء المقلد أمكن للمجتهد الإفتاء بجواز الاقتحام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 لأنّ التبعية المفروضة أنما هي في الشبهات الموضوعية، وأما في الشبهات الحكمية فهي معكوسة، فوظيفة المقلد تابعة لحالة المجتهد؛ لعدم جواز الاقتحام في الشبهات الحكمية إلا بعد الفحص واليأس؛ والمقلد لا يمكنه ذلك، فينوب المجتهد عنه في ذلك، فالملاك حالة المجتهد لا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بحاجة إلى تأمل أكثر</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10086677_2142443653"/>
      <w:bookmarkStart w:id="323" w:name="_Toc123"/>
      <w:bookmarkEnd w:id="322"/>
      <w:r>
        <w:rPr>
          <w:rtl w:val="true"/>
        </w:rPr>
        <w:t>الجواب السابع</w:t>
      </w:r>
      <w:bookmarkEnd w:id="323"/>
    </w:p>
    <w:p>
      <w:pPr>
        <w:pStyle w:val="BookText"/>
        <w:rPr/>
      </w:pPr>
      <w:r>
        <w:rPr>
          <w:rFonts w:ascii="Amiri" w:hAnsi="Amiri" w:eastAsia="Amiri" w:cs="Amiri"/>
          <w:color w:val="111111"/>
          <w:sz w:val="28"/>
          <w:sz w:val="28"/>
          <w:szCs w:val="28"/>
          <w:rtl w:val="true"/>
          <w:lang w:bidi="ar-SA"/>
        </w:rPr>
        <w:t>ما ذكره المحقق المشكيني،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وجود العلم الإجمالي الكبير الذي أطرافه جميع الشبهات، بل الموجود علم إجمالي صغير أطرافه موارد الطرق والأمارات، والمشكوك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أطراف العلم الإجمالي الصغير، فلا مانع من جريان البراءة فيه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كون غير موارد الطرق من أطراف العلم الإجمالي، بل هو متعلق بوجود تكاليف في مواردها، وأما غيرها فوجود التكليف فيه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تميز موارد الطريق يجب الاجتناب عن محتمل الحرمة</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العلم الإجمالي بوجود شياه محرمة في القطيع الأسود، فلا يجب الاجتناب عن القطيع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يتميز الأسود عن الأبيض في الليل لزم الاجتناب عن جميع المشتبهات، أما بعد طلوع الفجر وتميزها فلا يلزم الاجتناب عن القطيع الأبيض؛ لأنه ليس طرف العلم الإجمالي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العلم الإجمالي بوجود محرمات في موارد الطرق، فيجب الاجتناب عن الشبهات فيها، وأما التتن الذي ليس في ضمن موارد الطرق فلا يجب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قبل تميز موارد الطرق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يعلم أنّ التتن ضمن محدودة الطرق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أما بعد التميز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خطر ببالي</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والظاهر أنه لم يسبقه إلى هذا الجواب أحد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لأنّ المتعارف سبق العلم الإجمالي الكبير على الصغير؛ لأنّ المكلف في أول التكليف يعلم إجمالاً بوجود أحكام في شريعة الإسلام، فإنّ الشريعة بلا أحكام ليست بشريعة، وهذا هو العلم الإجمالي الكبير، وبعد انعقاده يتولد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إجمالي صغير بوجود أحكام في موارد الطرق والأمارات المعتبرة؛ لعدم معقولية كون كل هذه الطرق مخالفة للواقع، بل بعضها مطابقة للواقع قطعاً، فالعلم الإجمالي الصغير متأخر عن العلم الإجمالي الكبير، والظاهر أنه مع السبق واللحوق نحتاج إلى دعوى الانحلال، فما أراده من التخلص من دعوى الانحلال غير تام</w:t>
      </w:r>
      <w:r>
        <w:rPr>
          <w:rFonts w:eastAsia="Amiri" w:cs="Amiri" w:ascii="Amiri" w:hAnsi="Amiri"/>
          <w:color w:val="111111"/>
          <w:sz w:val="28"/>
          <w:szCs w:val="28"/>
          <w:rtl w:val="true"/>
          <w:lang w:bidi="ar-SA"/>
        </w:rPr>
        <w:t xml:space="preserve">. </w:t>
      </w:r>
      <w:bookmarkStart w:id="324" w:name="pg15608_167179"/>
    </w:p>
    <w:p>
      <w:pPr>
        <w:pStyle w:val="BookText"/>
        <w:rPr/>
      </w:pPr>
      <w:bookmarkEnd w:id="324"/>
      <w:r>
        <w:rPr>
          <w:rFonts w:ascii="Amiri" w:hAnsi="Amiri" w:eastAsia="Amiri" w:cs="Amiri"/>
          <w:color w:val="111111"/>
          <w:sz w:val="28"/>
          <w:sz w:val="28"/>
          <w:szCs w:val="28"/>
          <w:rtl w:val="true"/>
          <w:lang w:bidi="ar-SA"/>
        </w:rPr>
        <w:t>نعم، لو فرض وجود العلم الإجمالي الصغير في أول البلوغ، كما لو كان المكلف فاضلاً يعلم بوجود محرمات في إطار الطرق، يكون ما ذكره تام</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0086679_2142443653"/>
      <w:bookmarkStart w:id="326" w:name="_Toc124"/>
      <w:bookmarkEnd w:id="325"/>
      <w:r>
        <w:rPr>
          <w:rtl w:val="true"/>
        </w:rPr>
        <w:t>تقريرات لتقريب انحلال العلم الإجمالي الكبير</w:t>
      </w:r>
      <w:bookmarkEnd w:id="326"/>
    </w:p>
    <w:p>
      <w:pPr>
        <w:pStyle w:val="Heading6"/>
        <w:numPr>
          <w:ilvl w:val="5"/>
          <w:numId w:val="1"/>
        </w:numPr>
        <w:rPr/>
      </w:pPr>
      <w:bookmarkStart w:id="327" w:name="__RefHeading___Toc10086681_2142443653"/>
      <w:bookmarkStart w:id="328" w:name="_Toc125"/>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ولتقريب انحلال العلم الإجمالي الكبير تقريرات، لابد من ملاحظتها لمعرفة مواقع النظر فيها</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0086683_2142443653"/>
      <w:bookmarkStart w:id="330" w:name="_Toc126"/>
      <w:bookmarkEnd w:id="329"/>
      <w:r>
        <w:rPr>
          <w:rtl w:val="true"/>
        </w:rPr>
        <w:t>التقرير الأول</w:t>
      </w:r>
      <w:r>
        <w:rPr>
          <w:rtl w:val="true"/>
        </w:rPr>
        <w:t xml:space="preserve">: </w:t>
      </w:r>
      <w:r>
        <w:rPr>
          <w:rtl w:val="true"/>
        </w:rPr>
        <w:t>الانحلال التكويني الطارئ</w:t>
      </w:r>
      <w:bookmarkEnd w:id="330"/>
    </w:p>
    <w:p>
      <w:pPr>
        <w:pStyle w:val="BookText"/>
        <w:rPr/>
      </w:pPr>
      <w:r>
        <w:rPr>
          <w:rFonts w:ascii="Amiri" w:hAnsi="Amiri" w:eastAsia="Amiri" w:cs="Amiri"/>
          <w:color w:val="111111"/>
          <w:sz w:val="28"/>
          <w:sz w:val="28"/>
          <w:szCs w:val="28"/>
          <w:rtl w:val="true"/>
          <w:lang w:bidi="ar-SA"/>
        </w:rPr>
        <w:t>وقد نطلق عليه الانحلال الحقيقي التكويني الطارئ، ولا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أنّ العلم الإجمالي الكبير الذي أطرافه جميع المشتبهات ينحل إلى العلم الإجمالي الصغير، الذي أطرافه موارد الطرق المعتبرة، وملاكه انحلال العلم بالعلم، وهو في مقابل الانحلال الحكمي</w:t>
      </w:r>
      <w:r>
        <w:rPr>
          <w:rStyle w:val="FootnoteAnchor"/>
          <w:rtl w:val="true"/>
        </w:rPr>
        <w:footnoteReference w:id="767"/>
      </w:r>
      <w:r>
        <w:rPr>
          <w:rFonts w:ascii="Amiri" w:hAnsi="Amiri" w:eastAsia="Amiri" w:cs="Amiri"/>
          <w:color w:val="111111"/>
          <w:sz w:val="28"/>
          <w:sz w:val="28"/>
          <w:szCs w:val="28"/>
          <w:rtl w:val="true"/>
          <w:lang w:bidi="ar-SA"/>
        </w:rPr>
        <w:t>، والحقيقي الساري</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قلنا طارئ في مقابل القسم الثاني، الذي هو انحلال حقيقي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التقرير بيانان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لم يعلم بثبوت التكاليف الواقعية في موارد الطرق المثبتة بمقدار المعلوم بالإجمال، وإلا فالانحلال بلا إشكال</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مراده أنّ العلم الإجمالي الكبير ينحل إلى العلم الإجمالي </w:t>
      </w:r>
    </w:p>
    <w:p>
      <w:pPr>
        <w:pStyle w:val="BookText"/>
        <w:rPr/>
      </w:pPr>
      <w:r>
        <w:rPr>
          <w:rFonts w:ascii="Amiri" w:hAnsi="Amiri" w:eastAsia="Amiri" w:cs="Amiri"/>
          <w:color w:val="111111"/>
          <w:sz w:val="28"/>
          <w:sz w:val="28"/>
          <w:szCs w:val="28"/>
          <w:rtl w:val="true"/>
          <w:lang w:bidi="ar-SA"/>
        </w:rPr>
        <w:t xml:space="preserve">الصغير، حيث نعلم بوجود أحكام إلزامية في الشبهات، ونعلم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أحكام إلزامية في موارد الطرق المعتبرة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ينحل العلم الإجمالي الثاني إلى العلم التفصيلي بالمحرمات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انطباق العلم الإجمالي الكبير على العلم الإجمالي الصغير، فنفس هذا الاحتمال سبب انحلال العلم الإجمالي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علوم إجمالية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إجمالي كبير أطرافه تمام الشبهات، وعلم إجمالي متوسط أطرافه تمام الطرق المعتبرة وغير المعتبرة، وعلم إجمالي صغير أطرافه خصوص الأمارات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ينحل إلى الثاني، والثاني إلى الثالث، فلا يجب الاجتناب عن مثل التتن؛ لعدم كونه في محدودة العلم الإجمالي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ضابطة انحلال العلم الإجمالي الكبير إلى المتوسط أو الصغير، وهكذا انحلال العلم الإجمالي المتوسط إلى الصغير، هو أن لا يعلم بزيادة عدد المعلوم بالكبير عن عدد المعلوم بالصغير، وملاك هذا الضابط عدم بقاء علم إجمالي في الكبير بعد الإفراز من أطرافه، بمقدار ما هو معلوم بالإجمال في العلم الإجمالي الصغير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بوجود عشر شياه محرمة في قطيع الشياه، ثم علمنا أنّ في الشياه السوداء من القطيع عشر محرمة، فلو أفرزنا</w:t>
      </w:r>
      <w:r>
        <w:rPr>
          <w:rStyle w:val="FootnoteAnchor"/>
          <w:rtl w:val="true"/>
        </w:rPr>
        <w:footnoteReference w:id="770"/>
      </w:r>
      <w:r>
        <w:rPr>
          <w:rFonts w:ascii="Amiri" w:hAnsi="Amiri" w:eastAsia="Amiri" w:cs="Amiri"/>
          <w:color w:val="111111"/>
          <w:sz w:val="28"/>
          <w:sz w:val="28"/>
          <w:szCs w:val="28"/>
          <w:rtl w:val="true"/>
          <w:lang w:bidi="ar-SA"/>
        </w:rPr>
        <w:t xml:space="preserve">العشر السوداء من القطيع، لم يبق علم إجمالي في سائر الأطراف؛ لاحتمال انطباق تلك العشر </w:t>
      </w:r>
    </w:p>
    <w:p>
      <w:pPr>
        <w:pStyle w:val="BookText"/>
        <w:rPr/>
      </w:pPr>
      <w:r>
        <w:rPr>
          <w:rFonts w:ascii="IRNazanin" w:hAnsi="IRNazanin" w:eastAsia="IRNazanin"/>
          <w:color w:val="111111"/>
          <w:sz w:val="28"/>
          <w:sz w:val="28"/>
          <w:szCs w:val="28"/>
          <w:rtl w:val="true"/>
          <w:lang w:bidi="fa-IR"/>
        </w:rPr>
        <w:t>على هذه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لو علمنا إجمالاً بوجود عشر محرمة في القطيع، ثم علمنا إجمالاً بوجود خمس محرمة في الشياه السوداء من القطيع فأخرجناها</w:t>
      </w:r>
      <w:r>
        <w:rPr>
          <w:rStyle w:val="FootnoteAnchor"/>
          <w:rtl w:val="true"/>
        </w:rPr>
        <w:footnoteReference w:id="771"/>
      </w:r>
      <w:r>
        <w:rPr>
          <w:rFonts w:ascii="Amiri" w:hAnsi="Amiri" w:eastAsia="Amiri" w:cs="Amiri"/>
          <w:color w:val="111111"/>
          <w:sz w:val="28"/>
          <w:sz w:val="28"/>
          <w:szCs w:val="28"/>
          <w:rtl w:val="true"/>
          <w:lang w:bidi="ar-SA"/>
        </w:rPr>
        <w:t>، فلا نحتمل أنّ المعلوم بالعلم الإجمالي الكبير منطبق على المعلوم بالعلم الإجمالي الصغير، لأنّ انطباق العشر على الخمس غير معقول، فيبقى العلم الإجمالي حتى بعد الإفراز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قد يدعى أنه من قبيل الثاني، فلو أفرزنا الأحكام الإلزامية التي هي مدلول الكتاب أو السنة المعتبرة، فهل يمكن القول بعدم علم إجمالي بوجود أحكام إلزامية في سائر الأمارات غير المعتبرة، كالإجماعات المحصلة لو كانت مدركية، والشهرات الفتوائية والعملية، والإجماعات المنقولة والأخبار غير المعتبرة، وهل يحتمل أنّ جميعها مخالف للواقع؟</w:t>
      </w:r>
    </w:p>
    <w:p>
      <w:pPr>
        <w:pStyle w:val="BookText"/>
        <w:rPr/>
      </w:pPr>
      <w:r>
        <w:rPr>
          <w:rFonts w:ascii="Amiri" w:hAnsi="Amiri" w:eastAsia="Amiri" w:cs="Amiri"/>
          <w:color w:val="111111"/>
          <w:sz w:val="28"/>
          <w:sz w:val="28"/>
          <w:szCs w:val="28"/>
          <w:rtl w:val="true"/>
          <w:lang w:bidi="ar-SA"/>
        </w:rPr>
        <w:t>وقد مرّ فيما مضى</w:t>
      </w:r>
      <w:r>
        <w:rPr>
          <w:rStyle w:val="FootnoteAnchor"/>
          <w:rtl w:val="true"/>
        </w:rPr>
        <w:footnoteReference w:id="772"/>
      </w:r>
      <w:r>
        <w:rPr>
          <w:rFonts w:ascii="Amiri" w:hAnsi="Amiri" w:eastAsia="Amiri" w:cs="Amiri"/>
          <w:color w:val="111111"/>
          <w:sz w:val="28"/>
          <w:sz w:val="28"/>
          <w:szCs w:val="28"/>
          <w:rtl w:val="true"/>
          <w:lang w:bidi="ar-SA"/>
        </w:rPr>
        <w:t xml:space="preserve">أنّ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تسعون مسألة لا دليل عليها إلا الشهرة الفتوائية، بحيث لو لم يؤخذ بالشهرة لم يكن لها أي دليل، و 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يعتني بالشهرة الفتوائية كثيراً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عن المحقق النائيني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أفتى ثلاثة منهم الشيخ الأنصاري ولم يصلني دليل لقطعت بالحكم وأفتيت به، فكيف إذا أفتى مشهور الفقهاء قديماً وحديثاً بمسألة أو بتسعين مسألة، فهل يحتمل أنّ كل </w:t>
      </w:r>
    </w:p>
    <w:p>
      <w:pPr>
        <w:pStyle w:val="BookText"/>
        <w:rPr/>
      </w:pPr>
      <w:r>
        <w:rPr>
          <w:rFonts w:ascii="Amiri" w:hAnsi="Amiri" w:eastAsia="Amiri" w:cs="Amiri"/>
          <w:color w:val="111111"/>
          <w:sz w:val="28"/>
          <w:sz w:val="28"/>
          <w:szCs w:val="28"/>
          <w:rtl w:val="true"/>
          <w:lang w:bidi="ar-SA"/>
        </w:rPr>
        <w:t>هذه المسائل مخالفة للواقع؟</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إفراز الطرق المعتبرة لا ينحل العلم الإجمالي، ويكون أثره بعد الإفراز وجوب الاجتناب عن جميع المشتبهات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من التقرير الأول ببيانيه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الإشكال لو كان وارداً لم يقدح بالمطلوب في المقام؛ لأنّ نتيجته عدم انحلال العلم الإجمالي الكبير والمتوسط إلى الصغير، وهذا لا ينافي انحلال العلم الإجمالي الكبير بالمتوسط،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تمامية الإشكال تكون نتيجة عدم الانحلال وجوب الاحتياط في جميع موارد الطرق المعتبرة وغير المعتبرة، وأما مثل التتن فهو واقع في دائرة العلم الإجمالي الكبير، وهو منحل إلى العلم الإجمالي المتوسط، وليس التتن واقعاً فيه أو في العلم الإجمالي الصغير؛ لأنه لم تقم على حرمته رواية معتبرة أو غير معتبرة، أو شهرة أو إجماع منقول، فلا مانع من جريان البراءة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العمل بالعلم الإجمالي المتوسط لم يبق علم إجمالي، وهو كافٍ لانحلاله؛ لأنّ ملاك المنجزية وجود العلم الإجمالي، ومع الانحلال لا منجزية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قامت شهرة على حرمة العظم مثلاً، فلا يمكن إثبات الحلية؛ لعدم الانحلال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منه أنّ الانحلال الحقيقي الطارئ جارٍ في بعض الموارد كالتتن، وغير جارٍ في موارد أخر كالعظم</w:t>
      </w:r>
      <w:r>
        <w:rPr>
          <w:rStyle w:val="FootnoteAnchor"/>
          <w:rtl w:val="true"/>
        </w:rPr>
        <w:footnoteReference w:id="773"/>
      </w:r>
      <w:r>
        <w:rPr>
          <w:rFonts w:ascii="Amiri" w:hAnsi="Amiri" w:eastAsia="Amiri" w:cs="Amiri"/>
          <w:color w:val="111111"/>
          <w:sz w:val="28"/>
          <w:sz w:val="28"/>
          <w:szCs w:val="28"/>
          <w:rtl w:val="true"/>
          <w:lang w:bidi="ar-SA"/>
        </w:rPr>
        <w:t>، فهو قابل للقبول في الجملة لا بالجملة</w:t>
      </w:r>
      <w:r>
        <w:rPr>
          <w:rFonts w:eastAsia="Amiri" w:cs="Amiri" w:ascii="Amiri" w:hAnsi="Amiri"/>
          <w:color w:val="111111"/>
          <w:sz w:val="28"/>
          <w:szCs w:val="28"/>
          <w:rtl w:val="true"/>
          <w:lang w:bidi="ar-SA"/>
        </w:rPr>
        <w:t xml:space="preserve">. </w:t>
      </w:r>
      <w:bookmarkStart w:id="331" w:name="pg15608_167183"/>
    </w:p>
    <w:p>
      <w:pPr>
        <w:pStyle w:val="Heading6"/>
        <w:numPr>
          <w:ilvl w:val="5"/>
          <w:numId w:val="1"/>
        </w:numPr>
        <w:rPr/>
      </w:pPr>
      <w:bookmarkStart w:id="332" w:name="__RefHeading___Toc10086685_2142443653"/>
      <w:bookmarkStart w:id="333" w:name="_Toc127"/>
      <w:bookmarkEnd w:id="331"/>
      <w:bookmarkEnd w:id="332"/>
      <w:r>
        <w:rPr>
          <w:rtl w:val="true"/>
        </w:rPr>
        <w:t>التقرير الثاني</w:t>
      </w:r>
      <w:r>
        <w:rPr>
          <w:rtl w:val="true"/>
        </w:rPr>
        <w:t xml:space="preserve">: </w:t>
      </w:r>
      <w:r>
        <w:rPr>
          <w:rtl w:val="true"/>
        </w:rPr>
        <w:t>الانحلال الحقيقي الساري</w:t>
      </w:r>
      <w:bookmarkEnd w:id="333"/>
    </w:p>
    <w:p>
      <w:pPr>
        <w:pStyle w:val="BookText"/>
        <w:rPr/>
      </w:pPr>
      <w:r>
        <w:rPr>
          <w:rFonts w:ascii="Amiri" w:hAnsi="Amiri" w:eastAsia="Amiri" w:cs="Amiri"/>
          <w:color w:val="111111"/>
          <w:sz w:val="28"/>
          <w:sz w:val="28"/>
          <w:szCs w:val="28"/>
          <w:rtl w:val="true"/>
          <w:lang w:bidi="ar-SA"/>
        </w:rPr>
        <w:t>ويتم توضيحه مع الإشكالات الواردة عليه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كبروياً</w:t>
      </w:r>
    </w:p>
    <w:p>
      <w:pPr>
        <w:pStyle w:val="BookText"/>
        <w:rPr/>
      </w:pPr>
      <w:r>
        <w:rPr>
          <w:rFonts w:ascii="Amiri" w:hAnsi="Amiri" w:eastAsia="Amiri" w:cs="Amiri"/>
          <w:color w:val="111111"/>
          <w:sz w:val="28"/>
          <w:sz w:val="28"/>
          <w:szCs w:val="28"/>
          <w:rtl w:val="true"/>
          <w:lang w:bidi="ar-SA"/>
        </w:rPr>
        <w:t>فعلى نحو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منجزية العلم الإجمالي أن يعلم بكونه منجزاً للتكليف على كل تقدير، أما لو حصل العلم بالمنجزية على تقدير دون تقدير فليس بمنجز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صغرياتها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بعض أطراف العلم الإجمالي منجزاً من قبل لم يكن للعلم الإجمالي أثرٌ؛ لأنّ المتنجز لا يتنجز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 الإناء بسقوط فأرة ميتة فيه لزم الاجتناب عنه، فلو علم بعد ذلك بسقوط الدم فيه أو في الإناء الثاني، فيحتمل ثبوتاً أنّ الدم لاقى الإناء الأول، فلا أثر له؛ لأنّ المتنجس لا يتنجس والمتنجز لا يتنجز، ويحتمل أنه لاقى الإناء الثاني فيتولد التكليف، فثبوتاً يشك في تولد التكليف بالعلم الإجمالي، فيكون شكاً بدوياً 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سبق العلم بالمنجز السابق على العلم الإجمالي كالمثال المذكور، وبين السبق واللحوق، فالملاك سبق المعلوم بما هوهو لا سبق العلم، فلو تأخر العلم والمعلوم عن العلم الإجمالي لم 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العلم متأخراً عن العلم الإجمالي، والمعلوم متقدماً عليه أو مقارناً له، فالعلم الإجمالي ينحل بسبب العلم المتأخر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كان العلم بسقوط الفأرة ونفس سقوط الفأرة متأخراً عن العلم الإجمالي بملاقاة الدم لم ينحل العلم الإجمالي، أما لو كان العلم بسقوط </w:t>
      </w:r>
    </w:p>
    <w:p>
      <w:pPr>
        <w:pStyle w:val="BookText"/>
        <w:rPr/>
      </w:pPr>
      <w:r>
        <w:rPr>
          <w:rFonts w:ascii="Amiri" w:hAnsi="Amiri" w:eastAsia="Amiri" w:cs="Amiri"/>
          <w:color w:val="111111"/>
          <w:sz w:val="28"/>
          <w:sz w:val="28"/>
          <w:szCs w:val="28"/>
          <w:rtl w:val="true"/>
          <w:lang w:bidi="ar-SA"/>
        </w:rPr>
        <w:t>الفأرة متأخراً عن العلم الإجمالي، ونفس سقوط الفأرة متقدم أو مقارن للعلم الإجمالي، فالعلم الإجمالي ينحل بسبب العلم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العلم الإجمالي متقوم بقضية منفصلة مانعة الخلو</w:t>
      </w:r>
      <w:r>
        <w:rPr>
          <w:rStyle w:val="FootnoteAnchor"/>
          <w:rtl w:val="true"/>
        </w:rPr>
        <w:footnoteReference w:id="774"/>
      </w:r>
      <w:r>
        <w:rPr>
          <w:rFonts w:ascii="Amiri" w:hAnsi="Amiri" w:eastAsia="Amiri" w:cs="Amiri"/>
          <w:color w:val="111111"/>
          <w:sz w:val="28"/>
          <w:sz w:val="28"/>
          <w:szCs w:val="28"/>
          <w:rtl w:val="true"/>
          <w:lang w:bidi="ar-SA"/>
        </w:rPr>
        <w:t>، هي مدار تنجيز العلم الإجمالي في مرحلة الحدوث والبقاء، فلو انقلبت إلى قضيتين حمليتين، إحداهما متيقنة والأخرى مشكوكة، وإن كان سارياً، سقط العلم الإجمالي بهذا الشك الساري عن المنجزية، فالعلم الإجمالي يسقط عن المنجزية بسبب الشك الساري، وذلك لأنّ منجزية العلم الإجمالي كانت بحكم العقل لكاشفيته عن التكليف، فلو زالت الكاشفية بالشك الساري زال أثر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مثل العلم التفصيلي، فإنه حجة لكشفه عن الواقع، فلو زالت كاشفيته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بالشك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أثر العلم التفصيلي، والعلم الإجمالي لا يزيد على العلم التفصيلي، فلو زالت كاشفية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بالعلم المتأخر الذي هو مولّد للشك الساري في العلم الإجمالي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 التأثير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سقوط الدم في أحد الإناءين المحكومين بالطهارة، ولو بأصالة الطهارة وكانت الغرفة مظلمة لم يشخص الإناء الملاقي، كان العلم الإجمالي كاشفاً عن التكليف على كل تقدير فهو منجز، ثم طلع الفجر فشوهدت فأرة متفسخة في الإناء الأول، وعلم أنه وقعت فيه قبل أسبوع، فهذا العلم المتأخر عن العلم الإجمالي متعلق </w:t>
      </w:r>
    </w:p>
    <w:p>
      <w:pPr>
        <w:pStyle w:val="BookText"/>
        <w:rPr/>
      </w:pPr>
      <w:r>
        <w:rPr>
          <w:rFonts w:ascii="Amiri" w:hAnsi="Amiri" w:eastAsia="Amiri" w:cs="Amiri"/>
          <w:color w:val="111111"/>
          <w:sz w:val="28"/>
          <w:sz w:val="28"/>
          <w:szCs w:val="28"/>
          <w:rtl w:val="true"/>
          <w:lang w:bidi="ar-SA"/>
        </w:rPr>
        <w:t>بالمعلوم المتقدم على العلم الإجمالي، فيزلزل العلم الإجمالي في محله ويبطله تكويناً؛ وذلك لتوهم كاشفية العلم الإجمالي عن التكليف في الظلام، إلا أنه مع طلوع الفجر وحصول العلم التفصيلي تزلزل العلم الإجمالي بالتكليف؛ لأنّ الدم إن لاقى إناء الفأرة لم يتولد تكليف، وإن لاقى الإناء الآخر تولد التكليف، فيعلم أنه كان 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ما يذكره الفقهاء في قاعدة اليقين في باب الاستصحاب، حيث لو علم تفصيلاً بأنه 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الأداء، فلو شك بعد مدة في منشأ العلم التفصيلي تزلزل اليقين في محله، فينقلب إلى الشك، فلا يكون لليقين المتقدم أثرٌ؛ وذلك لأنّ حجية اليقين معلولة لكاشفيته عن الواقع، ومع زوال 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الشك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لها أثر، و ليس هو شكاً طارئاً حتى يكون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العلم التفصيلي متأخراً عن العلم الإجمالي، إلا أنّ المعلوم بالعلم التفصيلي متقدم على العلم الإجمالي، ومع هذا العلم التفصيلي اللاحق يعلم أن العلم الإجمالي السابق بالتكليف لم يكن علماً بالتكليف، بل شكٌ بدويٌ، فيكون إناء الفأرة نجساً قطعاً، والإناء الثاني مشكوكاً بالشبهة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 وهو البحث الكبروي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صغروياً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نحو البحث الصغروي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 الطريق على الحكم وإن كان متأخراً عن العلم الإجمالي بالتكاليف، إلاّ أنه ينجز مورد نفسه، ومع العلم التفصيلي بالتنجز لا يعلم أنّ العلم الإجمالي المتقدم كان منجزاً </w:t>
      </w:r>
    </w:p>
    <w:p>
      <w:pPr>
        <w:pStyle w:val="BookText"/>
        <w:rPr/>
      </w:pPr>
      <w:r>
        <w:rPr>
          <w:rFonts w:ascii="Amiri" w:hAnsi="Amiri" w:eastAsia="Amiri" w:cs="Amiri"/>
          <w:color w:val="111111"/>
          <w:sz w:val="28"/>
          <w:sz w:val="28"/>
          <w:szCs w:val="28"/>
          <w:rtl w:val="true"/>
          <w:lang w:bidi="ar-SA"/>
        </w:rPr>
        <w:t>للتكليف على كل تقدير، أو كان منجزاً للتكليف على تقدير دون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متعلق العلم الإجمالي موارد الطرق فقط فليس منجزاً للتكليف، لتنجز هذه الموارد بالطرق، فإنه وإن كان العلم متأخراً إلا أنّ المعلوم متقدم، ولو كان المتعلق غيرها كان منجزاً، والترديد مساوق لعدم تنجيز العلم الإجمالي للتكليف على كل تقدير، فالعلم الإجمالي منحل بالانحلال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العلم الإجمالي نجز جميع أطراف المشتبهات وهي ألف مورد مثلاً، وبعد مراجعة الطرق المثبتة علم بوجود ثمانمأة مورد قام عليها الطريق وحرمها، كالعصير العنبي بعد الغليان، والغراب و ما أشبه ذلك، فالمعلوم</w:t>
      </w:r>
      <w:r>
        <w:rPr>
          <w:rStyle w:val="FootnoteAnchor"/>
          <w:rtl w:val="true"/>
        </w:rPr>
        <w:footnoteReference w:id="775"/>
      </w:r>
      <w:r>
        <w:rPr>
          <w:rFonts w:ascii="Amiri" w:hAnsi="Amiri" w:eastAsia="Amiri" w:cs="Amiri"/>
          <w:color w:val="111111"/>
          <w:sz w:val="28"/>
          <w:sz w:val="28"/>
          <w:szCs w:val="28"/>
          <w:rtl w:val="true"/>
          <w:lang w:bidi="ar-SA"/>
        </w:rPr>
        <w:t xml:space="preserve">متقدم على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العلم به متأخراً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قيام الطريق كاشف عن ثبوت الحرمة من أول الأمر، فيكون قيام الطريق منجزاً للتكاليف من أول البلوغ، فينكشف تنجز بعض الأطراف قبل حصول العلم الإجمالي، وقد قلنا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الأطراف لو كانت منجزة من قبل فالعلم الإجمالي لا يؤثر أثره؛ لعدم كونه علماً إجمالياً بالتكليف في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الانحلال الساري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 من الانحلال الساري إنما يكون تاماً لو كان المبنى أنّ المجعول في موارد الطرق أحكام فعلية</w:t>
      </w:r>
      <w:r>
        <w:rPr>
          <w:rStyle w:val="FootnoteAnchor"/>
          <w:rtl w:val="true"/>
        </w:rPr>
        <w:footnoteReference w:id="776"/>
      </w:r>
      <w:r>
        <w:rPr>
          <w:rFonts w:ascii="Amiri" w:hAnsi="Amiri" w:eastAsia="Amiri" w:cs="Amiri"/>
          <w:color w:val="111111"/>
          <w:sz w:val="28"/>
          <w:sz w:val="28"/>
          <w:szCs w:val="28"/>
          <w:rtl w:val="true"/>
          <w:lang w:bidi="ar-SA"/>
        </w:rPr>
        <w:t xml:space="preserve">، فإنّ خبر زرارة كاشف عن الفعلية </w:t>
      </w:r>
    </w:p>
    <w:p>
      <w:pPr>
        <w:pStyle w:val="BookText"/>
        <w:rPr/>
      </w:pPr>
      <w:r>
        <w:rPr>
          <w:rFonts w:ascii="Amiri" w:hAnsi="Amiri" w:eastAsia="Amiri" w:cs="Amiri"/>
          <w:color w:val="111111"/>
          <w:sz w:val="28"/>
          <w:sz w:val="28"/>
          <w:szCs w:val="28"/>
          <w:rtl w:val="true"/>
          <w:lang w:bidi="ar-SA"/>
        </w:rPr>
        <w:t>المتقدمة على العلم الإجمالي، فلا يكون العلم الإجمالي فعلياً على كل تقدير؛ لأنّ موارد الطرق منجزة قبل وجوده، وما تنجز بعض أطرافه لا يكون منجزاً للتكليف، فينحل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المبنى أنّ المجعول في موارد الطرق صرف المنجزية والمعذرية، كما هو رأي صاحب الكفاية</w:t>
      </w:r>
      <w:r>
        <w:rPr>
          <w:rStyle w:val="FootnoteAnchor"/>
          <w:rtl w:val="true"/>
        </w:rPr>
        <w:footnoteReference w:id="777"/>
      </w:r>
      <w:r>
        <w:rPr>
          <w:rFonts w:ascii="Amiri" w:hAnsi="Amiri" w:eastAsia="Amiri" w:cs="Amiri"/>
          <w:color w:val="111111"/>
          <w:sz w:val="28"/>
          <w:sz w:val="28"/>
          <w:szCs w:val="28"/>
          <w:rtl w:val="true"/>
          <w:lang w:bidi="ar-SA"/>
        </w:rPr>
        <w:t>، فالانحلال غير تام، فإنّ خبر زرارة ليس كاشفاً عن الحرمة المتقدمة على العلم الإجمالي، ولا يولد فعلية، ولا يجعل حكماً مماثلاً</w:t>
      </w:r>
      <w:r>
        <w:rPr>
          <w:rStyle w:val="FootnoteAnchor"/>
          <w:rtl w:val="true"/>
        </w:rPr>
        <w:footnoteReference w:id="778"/>
      </w:r>
      <w:r>
        <w:rPr>
          <w:rFonts w:ascii="Amiri" w:hAnsi="Amiri" w:eastAsia="Amiri" w:cs="Amiri"/>
          <w:color w:val="111111"/>
          <w:sz w:val="28"/>
          <w:sz w:val="28"/>
          <w:szCs w:val="28"/>
          <w:rtl w:val="true"/>
          <w:lang w:bidi="ar-SA"/>
        </w:rPr>
        <w:t>، فيكون العلم الإجمالي منجزاً للتكليف المعلوم بالإجمال على كل تقدير، فلم ينحل بقيام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الانحلال إنما يتم على بعض المباني في حجية الخبر دون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نفى صاحب الكفاية في مفاد كلامه وجود الانحلال الحقيقي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الإشكال المذكور</w:t>
      </w:r>
    </w:p>
    <w:p>
      <w:pPr>
        <w:pStyle w:val="BookText"/>
        <w:rPr/>
      </w:pPr>
      <w:r>
        <w:rPr>
          <w:rFonts w:ascii="Amiri" w:hAnsi="Amiri" w:eastAsia="Amiri" w:cs="Amiri"/>
          <w:color w:val="111111"/>
          <w:sz w:val="28"/>
          <w:sz w:val="28"/>
          <w:szCs w:val="28"/>
          <w:rtl w:val="true"/>
          <w:lang w:bidi="ar-SA"/>
        </w:rPr>
        <w:t>ويتضح التأمل بطرح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يحتمل مخالفة جميع الطرق للواقع، بأن تكون جميع الأخبار المعتبرة مخالفة للأحكام الواقعية الثابتة في اللوح المحفوظ؟</w:t>
      </w:r>
    </w:p>
    <w:p>
      <w:pPr>
        <w:pStyle w:val="BookText"/>
        <w:rPr/>
      </w:pPr>
      <w:r>
        <w:rPr>
          <w:rFonts w:ascii="Amiri" w:hAnsi="Amiri" w:eastAsia="Amiri" w:cs="Amiri"/>
          <w:color w:val="111111"/>
          <w:sz w:val="28"/>
          <w:sz w:val="28"/>
          <w:szCs w:val="28"/>
          <w:rtl w:val="true"/>
          <w:lang w:bidi="ar-SA"/>
        </w:rPr>
        <w:t>الظاهر أنّ احتمال الخطأ في جميعها غير وارد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يعلم زيادة المعلوم بالإجمال على ما نجزته الطرق من </w:t>
      </w:r>
    </w:p>
    <w:p>
      <w:pPr>
        <w:pStyle w:val="BookText"/>
        <w:rPr/>
      </w:pPr>
      <w:r>
        <w:rPr>
          <w:rFonts w:ascii="Amiri" w:hAnsi="Amiri" w:eastAsia="Amiri" w:cs="Amiri"/>
          <w:color w:val="111111"/>
          <w:sz w:val="28"/>
          <w:sz w:val="28"/>
          <w:szCs w:val="28"/>
          <w:rtl w:val="true"/>
          <w:lang w:bidi="ar-SA"/>
        </w:rPr>
        <w:t>التكاليف الواقعية، بأن يفرض أنّ الأمارات والطرق مائة ألف مثلاً، ويعلم بموافقة عشرها للواقع، فهل يعلم أنّ المعلوم بالإجمال أكثر من الموارد التي نجزتها الطرق المصيبة؟</w:t>
      </w:r>
    </w:p>
    <w:p>
      <w:pPr>
        <w:pStyle w:val="BookText"/>
        <w:rPr/>
      </w:pPr>
      <w:r>
        <w:rPr>
          <w:rFonts w:ascii="Amiri" w:hAnsi="Amiri" w:eastAsia="Amiri" w:cs="Amiri"/>
          <w:color w:val="111111"/>
          <w:sz w:val="28"/>
          <w:sz w:val="28"/>
          <w:szCs w:val="28"/>
          <w:rtl w:val="true"/>
          <w:lang w:bidi="ar-SA"/>
        </w:rPr>
        <w:t>وجداناً لا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يكون العلم الإجمالي متعلقاً بالأطراف التي تنجز بعضها من قبل، فلا يكون منجزاً للتكليف على كل تقدير، فلا يكون العلم الإجمالي علماً إجمالياً بالتكليف، فدعوى انحلال الساري تامة حتى على مبنى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وإن لم نسلّم بوجود الأحكام الظاهرية في موارد الطرق، إلا أنّ هذه الطرق تنجّز الأحكام الواقعية في أول البلوغ بالمقدار التي هي مصيبة للواقع، فيكون بعض الأطراف منجزاً قبل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أفيد في المقام الرابع</w:t>
      </w:r>
    </w:p>
    <w:p>
      <w:pPr>
        <w:pStyle w:val="BookText"/>
        <w:rPr/>
      </w:pPr>
      <w:r>
        <w:rPr>
          <w:rFonts w:ascii="Amiri" w:hAnsi="Amiri" w:eastAsia="Amiri" w:cs="Amiri"/>
          <w:color w:val="111111"/>
          <w:sz w:val="28"/>
          <w:sz w:val="28"/>
          <w:szCs w:val="28"/>
          <w:rtl w:val="true"/>
          <w:lang w:bidi="ar-SA"/>
        </w:rPr>
        <w:t>وبيانه يحتاج إلى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تنجيز الطرق للأحكام الواقعية مبنيان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منجزية الطريق للواقع مشروطة بالوصول، فلو لم يصل الطريق إلى المكلف ولم يعلم به فلا يكون منجزاً للواقع؛ ولذا كانت القاعدة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صرف وجود البيان الواقعي فغير كافٍ للمنجزية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يكفي لمنجزية الطريق كونه في معرض الوصول، بحيث لو فحص المكلف عنه لوصل إليه، فالقضية التعليقية كافية لمنجزية الطريق </w:t>
      </w:r>
      <w:bookmarkStart w:id="334" w:name="pg15608_167189"/>
    </w:p>
    <w:p>
      <w:pPr>
        <w:pStyle w:val="BookText"/>
        <w:rPr/>
      </w:pPr>
      <w:bookmarkEnd w:id="334"/>
      <w:r>
        <w:rPr>
          <w:rFonts w:ascii="IRNazanin" w:hAnsi="IRNazanin" w:eastAsia="IRNazanin"/>
          <w:color w:val="111111"/>
          <w:sz w:val="28"/>
          <w:sz w:val="28"/>
          <w:szCs w:val="28"/>
          <w:rtl w:val="true"/>
          <w:lang w:bidi="fa-IR"/>
        </w:rPr>
        <w:t>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قول الفقهاء بعدم جريان قاعدة قبح العقاب قبل الفحص، وهذا كاشف عن كفاية وجود الحجة الواقعية في معرض الوصول لبيانية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المبنى أنّ منجزية الطريق للواقع مشروطة بالوصول إلى المكلف فقبل قيام الطريق لا تنجيز للواقع أصلاً، فالعلم الإجمالي المتقدم على قيام الطريق منجز للتكليف على كل تقدير، وقيام الطريق اللاحق لا يمكنه إسقاط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المبنى الثاني فيكون الانحلال تاماً؛ لأنّ وجود الطرق ينجز بعض أطراف العلم الإجمالي في أول البلوغ، والعلم الإجمالي اللاحق علم بالتكاليف التي تنجز بعض أطرافه من قبل، وإن كان قيام الطريق متأخراً عن العلم الإجمالي، فهو كاشف عن تنجز بعض الأطراف من أول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من الانحلال في المقام الرابع يتم على بعض المباني دون بعض، وحيث إنّ المختار هو المبنى الثاني، فالانحلال الحقيقي الساري تام ولو على مبنى المنجزية والمعذرية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الانحلال الحقيقي الطارئ تام في الجملة، وأنّ الانحلال الحقيقي الساري تام على بعض المباني دون بعض</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0086687_2142443653"/>
      <w:bookmarkStart w:id="336" w:name="_Toc128"/>
      <w:bookmarkEnd w:id="335"/>
      <w:r>
        <w:rPr>
          <w:rtl w:val="true"/>
        </w:rPr>
        <w:t>التقرير الثالث</w:t>
      </w:r>
      <w:r>
        <w:rPr>
          <w:rtl w:val="true"/>
        </w:rPr>
        <w:t xml:space="preserve">: </w:t>
      </w:r>
      <w:r>
        <w:rPr>
          <w:rtl w:val="true"/>
        </w:rPr>
        <w:t>الانحلال الحكمي</w:t>
      </w:r>
      <w:bookmarkEnd w:id="336"/>
    </w:p>
    <w:p>
      <w:pPr>
        <w:pStyle w:val="BookText"/>
        <w:rPr/>
      </w:pPr>
      <w:r>
        <w:rPr>
          <w:rFonts w:ascii="Amiri" w:hAnsi="Amiri" w:eastAsia="Amiri" w:cs="Amiri"/>
          <w:color w:val="111111"/>
          <w:sz w:val="28"/>
          <w:sz w:val="28"/>
          <w:szCs w:val="28"/>
          <w:rtl w:val="true"/>
          <w:lang w:bidi="ar-SA"/>
        </w:rPr>
        <w:t>وهو ما ذكره صاحب الكفاية</w:t>
      </w:r>
      <w:r>
        <w:rPr>
          <w:rStyle w:val="FootnoteAnchor"/>
          <w:rtl w:val="true"/>
        </w:rPr>
        <w:footnoteReference w:id="779"/>
      </w:r>
      <w:r>
        <w:rPr>
          <w:rFonts w:ascii="Amiri" w:hAnsi="Amiri" w:eastAsia="Amiri" w:cs="Amiri"/>
          <w:color w:val="111111"/>
          <w:sz w:val="28"/>
          <w:sz w:val="28"/>
          <w:szCs w:val="28"/>
          <w:rtl w:val="true"/>
          <w:lang w:bidi="ar-SA"/>
        </w:rPr>
        <w:t>بعد قبول الإشكال على التقرير الثاني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نهوض الحجة يستلزم صرف التنجز إلى موارد الطريق، </w:t>
      </w:r>
    </w:p>
    <w:p>
      <w:pPr>
        <w:pStyle w:val="BookText"/>
        <w:rPr/>
      </w:pPr>
      <w:r>
        <w:rPr>
          <w:rFonts w:ascii="Amiri" w:hAnsi="Amiri" w:eastAsia="Amiri" w:cs="Amiri"/>
          <w:color w:val="111111"/>
          <w:sz w:val="28"/>
          <w:sz w:val="28"/>
          <w:szCs w:val="28"/>
          <w:rtl w:val="true"/>
          <w:lang w:bidi="ar-SA"/>
        </w:rPr>
        <w:t>والعلم الإجمالي وإن لم ينحل حقيقة لكنه ينحل عقلاً، ولتقريبه نذكر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اختلط إناءان وعلم إجمالاً بحرمة إناء زيد؛ لعدم طيب نفسه وطابت نفس عمرو بالتصرف في إنائه، فمقتضى العلم الإجمالي الاجتناب عنهما؛ لتنجز الواقع المعلوم بالإجمال في ذمة المكلف، فلو قامت البينة على أنّ هذا المعين إناء زيد فالتنجز الواقعي بسبب قيام البينة يتوجه إليه، فلا يجب الاجتناب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واضح؛ لأنه إنّما يتم صرف التنجز الواقعي فيما لو كان المثبت للتكليف في أحد الطرفين نافياً للتكليف عن الطرف الآخر بالدلالة المطابقية أو الالتزامية؛ والملاك المذكور تام في المثال الذي ذكره؛ لأنّ المدلول الالتزامي للبينة المثبتة للحرمة في الإناء المعين نفي الحرمة عن الإناء الآخر، وإن لم تتوجه هي إلى ذلك المدلول الالتزامي؛ لحجية البينة وخبر الثقة في جميع المداليل المطابقية والتضمنية والالتزامية، حتى مع عدم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في الشبهات الموضوعية، وكذا في بعض موارد الشبهات الحكمية، كما لو علم بوجوب الجمعة أو الظهر، مع العلم بعدم وجوب صلاتين في وقت واحد، فقام خبر الثقة على وجوب الجمعة، كان المدلول المطابقي إثبات الجمعة، والمدلول الالتزامي عدم وجوب الظهر، ومع هذا المدلول الالتزامي النافي يصرف التنجز الواقعي إلى الجمعة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الضابطة ليست محققة في المقام؛ لأنّ المدلول الالتزامي للطرق القائمة على حرمة المحرمات ليست نافية لحرمة غيرها</w:t>
      </w:r>
      <w:r>
        <w:rPr>
          <w:rStyle w:val="FootnoteAnchor"/>
          <w:rtl w:val="true"/>
        </w:rPr>
        <w:footnoteReference w:id="780"/>
      </w:r>
      <w:r>
        <w:rPr>
          <w:rFonts w:ascii="Amiri" w:hAnsi="Amiri" w:eastAsia="Amiri" w:cs="Amiri"/>
          <w:color w:val="111111"/>
          <w:sz w:val="28"/>
          <w:sz w:val="28"/>
          <w:szCs w:val="28"/>
          <w:rtl w:val="true"/>
          <w:lang w:bidi="ar-SA"/>
        </w:rPr>
        <w:t xml:space="preserve">، فإنّ هذه </w:t>
      </w:r>
      <w:bookmarkStart w:id="337" w:name="pg15608_167191"/>
    </w:p>
    <w:p>
      <w:pPr>
        <w:pStyle w:val="BookText"/>
        <w:rPr/>
      </w:pPr>
      <w:bookmarkEnd w:id="337"/>
      <w:r>
        <w:rPr>
          <w:rFonts w:ascii="Amiri" w:hAnsi="Amiri" w:eastAsia="Amiri" w:cs="Amiri"/>
          <w:color w:val="111111"/>
          <w:sz w:val="28"/>
          <w:sz w:val="28"/>
          <w:szCs w:val="28"/>
          <w:rtl w:val="true"/>
          <w:lang w:bidi="ar-SA"/>
        </w:rPr>
        <w:t>الطرق تثبت حرمة مجموعة من المحرمات، ولها مدلول مطابقي إثباتي، ولا تنفي وجود محرمات خارج هذه الدائرة ولو بالدلالة الالتزامية، فيبقى العلم الإجمالي على تنجيزه في تمام دائرة المشتبهات، ولا وجه لصرف التنجيز الواقعي إلى موارد الطرق، إلا أن يعود الأمر إلى التقرير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صاحب الكفاية من الانحلال الحكمي لا صلاحية له، ليكون تقريراً مستقلاً في مقابل الانحلال الحقيقي الساري و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0086689_2142443653"/>
      <w:bookmarkStart w:id="339" w:name="_Toc129"/>
      <w:bookmarkEnd w:id="338"/>
      <w:r>
        <w:rPr>
          <w:rtl w:val="true"/>
        </w:rPr>
        <w:t>التقرير الرابع</w:t>
      </w:r>
      <w:bookmarkEnd w:id="339"/>
    </w:p>
    <w:p>
      <w:pPr>
        <w:pStyle w:val="BookText"/>
        <w:rPr/>
      </w:pPr>
      <w:r>
        <w:rPr>
          <w:rFonts w:ascii="Amiri" w:hAnsi="Amiri" w:eastAsia="Amiri" w:cs="Amiri"/>
          <w:color w:val="111111"/>
          <w:sz w:val="28"/>
          <w:sz w:val="28"/>
          <w:szCs w:val="28"/>
          <w:rtl w:val="true"/>
          <w:lang w:bidi="ar-SA"/>
        </w:rPr>
        <w:t>ما ذكره المحقق الشيخ عبد الكريم الحائري واعتمد عليه بعد رد جميع وجوه الانحلال في الجملة أو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يعتبر في موضوع حكم العقل من حيث إنه طريق قاطع للعذر، لا من حيث إنه صفة خاصة، ولذا تقوم الأمارات مقامه</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وجود حيثيتين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ما به الاشتراك مع سائر الطرق المعتبرة، وهي القاطعية للعذر، فإنّ العلم طريق قاطع للعذر وكذا خبر الثقة، وهكذا سائر الطرق المعتبرة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ما به الامتياز، وهي الكاشفية التامة عن الواقع، وبها يختلف العلم عن سائر الطرق المعتبرة، وموضوع حكم العقل بوجوب الطاعة ووجوب الجري العملي هو الحيثية الأولى للعلم لا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المقدمة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لو قامت أمارة معتبرة، أو طريق معتبر على بعض الأطراف مفصلاً، فالمعلوم بصفة أنه معلوم وإن كان بعد مردداً، ولكن ما قام عليه الطريق القاطع للعذر ليس مردداً، فما يكون ملاك حكم العقل بوجوب الامتثال مفصلاً، وما بقي على إجماله ليس ملاكاً لحكم العقل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واضح؛ لوجود طريقين قاطعين للعذر في المقام،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المجمل، والثاني الطريق المفصل، ولا منافاة بين الطريقين القاطعين للعذر، فيجب ترتيب الأثر عليهما، فإنّ قيام الطريق المعتبر المفصل لا ينافي تنجيز الطريق المجمل، ولا وجه لانحلال الطريق المجمل بالطريق المفصل بعد حجية العلم، وأنه موضوع حكم العقل بوجوب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آخر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بقي على إجماله</w:t>
      </w:r>
      <w:r>
        <w:rPr>
          <w:rStyle w:val="FootnoteAnchor"/>
          <w:rtl w:val="true"/>
        </w:rPr>
        <w:footnoteReference w:id="783"/>
      </w:r>
      <w:r>
        <w:rPr>
          <w:rFonts w:ascii="Amiri" w:hAnsi="Amiri" w:eastAsia="Amiri" w:cs="Amiri"/>
          <w:color w:val="111111"/>
          <w:sz w:val="28"/>
          <w:sz w:val="28"/>
          <w:szCs w:val="28"/>
          <w:rtl w:val="true"/>
          <w:lang w:bidi="ar-SA"/>
        </w:rPr>
        <w:t>ليس ملاكاً لحكم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يكون ملاكاً لحكم العقل بوجوب الطاعة والامتثال؟</w:t>
      </w:r>
    </w:p>
    <w:p>
      <w:pPr>
        <w:pStyle w:val="BookText"/>
        <w:rPr/>
      </w:pPr>
      <w:r>
        <w:rPr>
          <w:rFonts w:ascii="Amiri" w:hAnsi="Amiri" w:eastAsia="Amiri" w:cs="Amiri"/>
          <w:color w:val="111111"/>
          <w:sz w:val="28"/>
          <w:sz w:val="28"/>
          <w:szCs w:val="28"/>
          <w:rtl w:val="true"/>
          <w:lang w:bidi="ar-SA"/>
        </w:rPr>
        <w:t>فإنّ المقدمة التي ذكرها تثبت أنّ العلم بلحاظ حيثية الكشف التام ليس ملاك حكم العقل بوجوب الامتثال؛ لكنها لا تنتهي إلى النتيجة التي انتهى إليها، وهي أنّ العلم ليس ملاكاً مطلقاً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العلم الإجمالي حيثيتان، الحيثية التفصيلية وهي </w:t>
      </w:r>
      <w:bookmarkStart w:id="340" w:name="pg15608_167193"/>
    </w:p>
    <w:p>
      <w:pPr>
        <w:pStyle w:val="BookText"/>
        <w:rPr/>
      </w:pPr>
      <w:bookmarkEnd w:id="340"/>
      <w:r>
        <w:rPr>
          <w:rFonts w:ascii="Amiri" w:hAnsi="Amiri" w:eastAsia="Amiri" w:cs="Amiri"/>
          <w:color w:val="111111"/>
          <w:sz w:val="28"/>
          <w:sz w:val="28"/>
          <w:szCs w:val="28"/>
          <w:rtl w:val="true"/>
          <w:lang w:bidi="ar-SA"/>
        </w:rPr>
        <w:t>العلم بالجامع، والحيثية الإجمالية وهي الإجمال في المتعلق</w:t>
      </w:r>
      <w:r>
        <w:rPr>
          <w:rStyle w:val="FootnoteAnchor"/>
          <w:rtl w:val="true"/>
        </w:rPr>
        <w:footnoteReference w:id="7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والعلم المفصل بالجامع منجز وقاطع للعذر، ولا يمكن للعقل الاعتذار بعدم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 من دليل العقل</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0086691_2142443653"/>
      <w:bookmarkStart w:id="342" w:name="_Toc130"/>
      <w:bookmarkEnd w:id="341"/>
      <w:r>
        <w:rPr>
          <w:rtl w:val="true"/>
        </w:rPr>
        <w:t>الوجه الثاني</w:t>
      </w:r>
      <w:r>
        <w:rPr>
          <w:rtl w:val="true"/>
        </w:rPr>
        <w:t xml:space="preserve">: </w:t>
      </w:r>
      <w:r>
        <w:rPr>
          <w:rtl w:val="true"/>
        </w:rPr>
        <w:t>استقلال العقل بالحظر</w:t>
      </w:r>
      <w:bookmarkEnd w:id="342"/>
    </w:p>
    <w:p>
      <w:pPr>
        <w:pStyle w:val="BookText"/>
        <w:rPr/>
      </w:pPr>
      <w:r>
        <w:rPr>
          <w:rFonts w:ascii="Amiri" w:hAnsi="Amiri" w:eastAsia="Amiri" w:cs="Amiri"/>
          <w:color w:val="111111"/>
          <w:sz w:val="28"/>
          <w:sz w:val="28"/>
          <w:szCs w:val="28"/>
          <w:rtl w:val="true"/>
          <w:lang w:bidi="ar-SA"/>
        </w:rPr>
        <w:t>وهو ما ذكره السيد الروحاني،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يستقل بالحظر في الأفعال غير الضرورية حتى يرد الترخيص من الشارع</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فمسألة البراءة والاحتياط في المقام من صغريات كبرى الحظر، والإباحة في الأفعال، إما في مطلق الأفعال أو الأفعال غير الضرورية على الخلاف في التقرير، وحيث إنّ المختار في تلك المسألة أصالة الحظر ففي المقام يجب الذهاب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توجيهه بأنّ العبد وجميع قواه وجوارحه وكل ما في الكون مملوك للمولى، فتصرفه في شيء تصرف في سلطانه، وهو قبيح عقلاً، إلا مع ثبوت الإذن، وحيث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شرب التتن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التصرف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بأجوبة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العقل يرى جواز التصرف في ملك الكريم الغني المعرض للهدر بدونه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ملاك جواز التصرف الغنى والكرم، أو الهدر والتضييع، أو كلاهما معاً</w:t>
      </w:r>
      <w:r>
        <w:rPr>
          <w:rStyle w:val="FootnoteAnchor"/>
          <w:rtl w:val="true"/>
        </w:rPr>
        <w:footnoteReference w:id="7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المراد أنّ ملاك جواز التصرف الغنى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مالك غني كريم خصوصاً الغني والكريم على الإطلاق، الذي لا يضرّه التصرف في ملكه، ولا ينفعه عدم التصرف فيه، ولا تزيده كثرة العطاء إلا جوداً وكرماً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حكم العقل بالجواز من دون إذنه</w:t>
      </w:r>
      <w:r>
        <w:rPr>
          <w:rStyle w:val="FootnoteAnchor"/>
          <w:rtl w:val="true"/>
        </w:rPr>
        <w:footnoteReference w:id="788"/>
      </w:r>
      <w:r>
        <w:rPr>
          <w:rFonts w:ascii="Amiri" w:hAnsi="Amiri" w:eastAsia="Amiri" w:cs="Amiri"/>
          <w:color w:val="111111"/>
          <w:sz w:val="28"/>
          <w:sz w:val="28"/>
          <w:szCs w:val="28"/>
          <w:rtl w:val="true"/>
          <w:lang w:bidi="ar-SA"/>
        </w:rPr>
        <w:t>تأمل، فربما لم يأذن لجهة ما، ولو لضعف قابلية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بيان لتمامية فاعلية الفاعل، لكن قد يشكل في قابلية القابل، أو عدم وجود الشرط أو وجود المانع، ومن الواضح أنّ وجود المعلول مرهون بتمامية فاعلية الفاعل، وتمامية قابلية القابل، ووجود الشرط وانتفاء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الملاك الهدر، فكونه كذلك موقوف على الإحاطة بالجهات الواقعية النفس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الملاك المجموع المركب من الأمرين، فيظهر النظر فيه مما تقدم؛ لأنّ المجموع المركب ليس شيئاً وراء آحاده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كون المتصرف والمتصرف فيه وآلة التصرف مملوكاً لله؟ هل المراد الملكية الاعتبارية أو الملكية الحقيقية؟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الملكية الاعتبارية فلم تثبت لله سبحانه، بل لا مسوّغ لها في المقام؛ </w:t>
      </w:r>
    </w:p>
    <w:p>
      <w:pPr>
        <w:pStyle w:val="BookText"/>
        <w:rPr/>
      </w:pPr>
      <w:r>
        <w:rPr>
          <w:rFonts w:ascii="Amiri" w:hAnsi="Amiri" w:eastAsia="Amiri" w:cs="Amiri"/>
          <w:color w:val="111111"/>
          <w:sz w:val="28"/>
          <w:sz w:val="28"/>
          <w:szCs w:val="28"/>
          <w:rtl w:val="true"/>
          <w:lang w:bidi="ar-SA"/>
        </w:rPr>
        <w:t>لأنها إنما تعتبر لمصالح وأغراض، وهي غير موجودة في الملكية الاعتبارية لله سبحانه وتعالى، وأما الملكية التكوينية فجميع الموجودات قائمة بالإرادة الإلهية مخلوقة بمشيئته، وواقعة تحت قبضته تكويناً، فلا يمكن للعبد أن يتصرف في شيء إلا بإذنه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الملكية الاعتبارية ثابتة لله تعالى ظاهراً، مضافاً إلى الملكية الواقعية، ومما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فإنّ الملكية الذاتية شاملة لجميع المال لا لخمسه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بعدم الأثر للملكية الاعتبارية، فجوابه أنّ الأثر هو حرمة التصرف في بعض الأذهان المتعارفة، حيث إنهم لا يفهمون الملكية الذاتية، ولا يرتبون عليها الأثر، بخلاف الملكية الاعتبارية فيما لو علموا أنّ الخمس لله تعالى، والتصرف فيه تصرف في ملك الغير، وغصب تبطل الصلاة فيه والباقي لهم، فهو مؤثر في الباعثية والزاجرية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الإذن التكويني، بل لا بد من إحراز الرضا، والإذن التكويني في التصرف لا يساوق الرضا، ففي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فلا حظر تكويناً حتى للكافر والفاسق والقاتل، بل أذن لهم، لكن الملاك هو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 في المصباح</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والمنتقى</w:t>
      </w:r>
      <w:r>
        <w:rPr>
          <w:rStyle w:val="FootnoteAnchor"/>
          <w:rtl w:val="true"/>
        </w:rPr>
        <w:footnoteReference w:id="792"/>
      </w:r>
      <w:r>
        <w:rPr>
          <w:rFonts w:ascii="Amiri" w:hAnsi="Amiri" w:eastAsia="Amiri" w:cs="Amiri"/>
          <w:color w:val="111111"/>
          <w:sz w:val="28"/>
          <w:sz w:val="28"/>
          <w:szCs w:val="28"/>
          <w:rtl w:val="true"/>
          <w:lang w:bidi="ar-SA"/>
        </w:rPr>
        <w:t>والتهذيب</w:t>
      </w:r>
      <w:r>
        <w:rPr>
          <w:rStyle w:val="FootnoteAnchor"/>
          <w:rtl w:val="true"/>
        </w:rPr>
        <w:footnoteReference w:id="793"/>
      </w:r>
      <w:r>
        <w:rPr>
          <w:rFonts w:ascii="Amiri" w:hAnsi="Amiri" w:eastAsia="Amiri" w:cs="Amiri"/>
          <w:color w:val="111111"/>
          <w:sz w:val="28"/>
          <w:sz w:val="28"/>
          <w:szCs w:val="28"/>
          <w:rtl w:val="true"/>
          <w:lang w:bidi="ar-SA"/>
        </w:rPr>
        <w:t>من أنّ مسألة الحظر والإباحة تختلف عما نحن فيه من مسألة الاحتياط والبراءة، لأنّ الكلام في الأول بلحاظ ما قبل الشرع، وفي الثاني بلحاظ ما بعد الشرع، فإنه يقطع بعدم جعل الحكم قبل الشرع، وأما بعد الشرع فجعل الحكم مشكوك، فبين المسألتين فرق، والقول بالحظر في تلك المسألة لا يلازم القول بالاحتياط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إليه صاحب الكفاية بنحو الإجمال</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تام من الناحية الفنية، ولكنه لا يؤثر في النتيجة المتوخاة، فلا إذن من المولى بلحاظ ما قبل الشرع، وأما ما بعده فلم يحرز الإذن، وكلاهما موضوع لحكم العقل بقبح التصرف، فما لم يأذن فيه المولى أو المالك أو لم يعلم إذنه يقبح التصرف فيه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عليه أنهم قالوا في محله أنّ الطيبة في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لا يحل مال امرئٍ إلا بطيبة نفس منه</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تحتاج إلى الإحراز ولا يصح القول بعدم العلم بوجود الطيب، ولا يجوز التمسك بالعام في الشبهة المصداقية، فتتحكم أصالة البراءة بجواز التصرف، بل لا بد من إحراز الطيب</w:t>
      </w:r>
      <w:r>
        <w:rPr>
          <w:rFonts w:eastAsia="Amiri" w:cs="Amiri" w:ascii="Amiri" w:hAnsi="Amiri"/>
          <w:color w:val="111111"/>
          <w:sz w:val="28"/>
          <w:szCs w:val="28"/>
          <w:rtl w:val="true"/>
          <w:lang w:bidi="ar-SA"/>
        </w:rPr>
        <w:t xml:space="preserve">. </w:t>
      </w:r>
      <w:bookmarkStart w:id="343" w:name="pg15608_167197"/>
    </w:p>
    <w:p>
      <w:pPr>
        <w:pStyle w:val="BookText"/>
        <w:rPr/>
      </w:pPr>
      <w:bookmarkEnd w:id="343"/>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ما ذكر لو لم يثبت الترخيص، وقد ثبت الترخيص في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الاجتهادية،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وهي أدلة البراءة غير المعارضة بأدلة الاحتياط، على ما تقدم تفصيله</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0086693_2142443653"/>
      <w:bookmarkStart w:id="345" w:name="_Toc131"/>
      <w:bookmarkEnd w:id="344"/>
      <w:r>
        <w:rPr>
          <w:rtl w:val="true"/>
        </w:rPr>
        <w:t>الوجه الثالث</w:t>
      </w:r>
      <w:r>
        <w:rPr>
          <w:rtl w:val="true"/>
        </w:rPr>
        <w:t xml:space="preserve">: </w:t>
      </w:r>
      <w:r>
        <w:rPr>
          <w:rtl w:val="true"/>
        </w:rPr>
        <w:t>محتمل الحرمة محتمل الضرر</w:t>
      </w:r>
      <w:bookmarkEnd w:id="345"/>
    </w:p>
    <w:p>
      <w:pPr>
        <w:pStyle w:val="BookText"/>
        <w:rPr/>
      </w:pPr>
      <w:r>
        <w:rPr>
          <w:rFonts w:ascii="Amiri" w:hAnsi="Amiri" w:eastAsia="Amiri" w:cs="Amiri"/>
          <w:color w:val="111111"/>
          <w:sz w:val="28"/>
          <w:sz w:val="28"/>
          <w:szCs w:val="28"/>
          <w:rtl w:val="true"/>
          <w:lang w:bidi="ar-SA"/>
        </w:rPr>
        <w:t>إنّ محتمل الحرمة محتمل الضرر، ودفع الضرر المحتمل واجب، فيجب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مثله في الشبهة الوجوبية؛ لأنّ ترك محتمل الوجوب فيه احتمال الضرر، ولم يقل مشهور الأخباريين بوجوب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أول مباحث قاعدة قبح العقاب بلا بيان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مباحث البراءة والاحتياط</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5608_167199"/>
      <w:bookmarkStart w:id="347" w:name="pg15608_167199"/>
      <w:bookmarkEnd w:id="347"/>
    </w:p>
    <w:p>
      <w:pPr>
        <w:pStyle w:val="Heading2"/>
        <w:numPr>
          <w:ilvl w:val="1"/>
          <w:numId w:val="1"/>
        </w:numPr>
        <w:rPr/>
      </w:pPr>
      <w:bookmarkStart w:id="348" w:name="pg15608_167199"/>
      <w:bookmarkStart w:id="349" w:name="__RefHeading___Toc10086695_2142443653"/>
      <w:bookmarkStart w:id="350" w:name="_Toc132"/>
      <w:bookmarkEnd w:id="348"/>
      <w:bookmarkEnd w:id="349"/>
      <w:r>
        <w:rPr>
          <w:rtl w:val="true"/>
        </w:rPr>
        <w:t>تنبيهات البراءة</w:t>
      </w:r>
      <w:bookmarkEnd w:id="35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10086697_2142443653"/>
      <w:bookmarkStart w:id="352" w:name="_Toc133"/>
      <w:bookmarkEnd w:id="351"/>
      <w:r>
        <w:rPr>
          <w:rtl w:val="true"/>
        </w:rPr>
        <w:t>اشارة</w:t>
      </w:r>
      <w:bookmarkEnd w:id="35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5608_167201"/>
      <w:bookmarkStart w:id="354" w:name="pg15608_167201"/>
      <w:bookmarkEnd w:id="354"/>
    </w:p>
    <w:p>
      <w:pPr>
        <w:pStyle w:val="Heading3"/>
        <w:numPr>
          <w:ilvl w:val="2"/>
          <w:numId w:val="1"/>
        </w:numPr>
        <w:rPr/>
      </w:pPr>
      <w:bookmarkStart w:id="355" w:name="pg15608_167201"/>
      <w:bookmarkStart w:id="356" w:name="__RefHeading___Toc10086699_2142443653"/>
      <w:bookmarkStart w:id="357" w:name="_Toc134"/>
      <w:bookmarkEnd w:id="355"/>
      <w:bookmarkEnd w:id="356"/>
      <w:r>
        <w:rPr>
          <w:rtl w:val="true"/>
        </w:rPr>
        <w:t>تنبيهات البراءة</w:t>
      </w:r>
      <w:bookmarkEnd w:id="357"/>
    </w:p>
    <w:p>
      <w:pPr>
        <w:pStyle w:val="Heading4"/>
        <w:numPr>
          <w:ilvl w:val="3"/>
          <w:numId w:val="1"/>
        </w:numPr>
        <w:rPr/>
      </w:pPr>
      <w:bookmarkStart w:id="358" w:name="__RefHeading___Toc10086701_2142443653"/>
      <w:bookmarkStart w:id="359" w:name="_Toc135"/>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وبعد الفراغ عن استدلال الأصوليين على البراءة، واستدلال الأخباريين على وجوب الاحتياط يبقى الكلام في تنبيهات، وهي</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0086703_2142443653"/>
      <w:bookmarkStart w:id="361" w:name="_Toc136"/>
      <w:bookmarkEnd w:id="360"/>
      <w:r>
        <w:rPr>
          <w:rtl w:val="true"/>
        </w:rPr>
        <w:t>التنبيه الأول</w:t>
      </w:r>
      <w:r>
        <w:rPr>
          <w:rtl w:val="true"/>
        </w:rPr>
        <w:t xml:space="preserve">: </w:t>
      </w:r>
      <w:r>
        <w:rPr>
          <w:rtl w:val="true"/>
        </w:rPr>
        <w:t>في شرط جريان البراءة</w:t>
      </w:r>
      <w:bookmarkEnd w:id="361"/>
    </w:p>
    <w:p>
      <w:pPr>
        <w:pStyle w:val="BookText"/>
        <w:rPr/>
      </w:pPr>
      <w:r>
        <w:rPr>
          <w:rFonts w:ascii="Amiri" w:hAnsi="Amiri" w:eastAsia="Amiri" w:cs="Amiri"/>
          <w:color w:val="111111"/>
          <w:sz w:val="28"/>
          <w:sz w:val="28"/>
          <w:szCs w:val="28"/>
          <w:rtl w:val="true"/>
          <w:lang w:bidi="ar-SA"/>
        </w:rPr>
        <w:t>ما ذكره الشيخ الأعظم</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جريان البراءة مشروط بعدم وجود الأصل الموضوعي في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قابل للتفسير بوجهين، اختار بعض الأول، بينما اختار آخرون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جريان البراءة عدم وجود أصل ينقح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الموضوعي الجاري في الموضوع لا يبقي مجالاً للبراءة الجارية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جريان البراءة عدم وجود أصل رافع لموضوع البراءة، ومع جريان الأصل الرافع للموضوع لا تجري البراءة؛ لأنّ ثبوت المحمول فرع ثبوت الموضوع، ومع ارتفاع الموضوع لا يبقى مجال للمحمول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بين المعنيين عموماً مطلقاً، فكل أصل منقح للموضوع رافع لموضوع البراءة، لكن لا يلزم أن يكون كل أصل رافع لموضوع البراءة </w:t>
      </w:r>
    </w:p>
    <w:p>
      <w:pPr>
        <w:pStyle w:val="BookText"/>
        <w:rPr/>
      </w:pPr>
      <w:r>
        <w:rPr>
          <w:rFonts w:ascii="Amiri" w:hAnsi="Amiri" w:eastAsia="Amiri" w:cs="Amiri"/>
          <w:color w:val="111111"/>
          <w:sz w:val="28"/>
          <w:sz w:val="28"/>
          <w:szCs w:val="28"/>
          <w:rtl w:val="true"/>
          <w:lang w:bidi="ar-SA"/>
        </w:rPr>
        <w:t>منقحاً للموضوع، فمن الممكن أن يكون الأصل الرافع لموضوع البراءة أصلاً حكمياً لا موضوعياً، ومع وجود الأصل الحكمي الرافع لموضوع البراءة الحكمية لا يبقى مجال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إيقاع الكلام في مقامين، سواء كان مراد الشيخ التفسير الأول أم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أصل منقح للموضوع فلا مجال للبراءة، كما لو شك في انقطاع الحيض، ففي المقام أصلان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منقح ومبين للموضوع،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يشك أنها محرمة أم لا؛ للشك في كونها حائضاً، فمقتضى الاستصحاب بقاء الحيض، ومقتضى البراءة حلية وطء المرأة، ومع وجود الأصل المنقح للموضوع لا 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شك في انقلاب الخمر خلاً، فمتقضى الاستصحاب بقاء الخمرية، ومقتضى البراءة حلية المائع، ومع وجود الاستصحاب الموضوعي لا تصل النوبة إلى البراءة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حد ذاته على نحو الكبرى الكلية مسلّم، وغير قابل للإشكال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الأصول الموضوعية مقدمة على الحكمية</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وقد تسالم</w:t>
      </w:r>
      <w:r>
        <w:rPr>
          <w:rStyle w:val="FootnoteAnchor"/>
          <w:rtl w:val="true"/>
        </w:rPr>
        <w:footnoteReference w:id="800"/>
      </w:r>
      <w:r>
        <w:rPr>
          <w:rFonts w:ascii="Amiri" w:hAnsi="Amiri" w:eastAsia="Amiri" w:cs="Amiri"/>
          <w:color w:val="111111"/>
          <w:sz w:val="28"/>
          <w:sz w:val="28"/>
          <w:szCs w:val="28"/>
          <w:rtl w:val="true"/>
          <w:lang w:bidi="ar-SA"/>
        </w:rPr>
        <w:t xml:space="preserve">الفقهاء، بل ارتكز في النفوس أنّ الأصول الموضوعية مقدمة </w:t>
      </w:r>
    </w:p>
    <w:p>
      <w:pPr>
        <w:pStyle w:val="BookText"/>
        <w:rPr/>
      </w:pPr>
      <w:r>
        <w:rPr>
          <w:rFonts w:ascii="Amiri" w:hAnsi="Amiri" w:eastAsia="Amiri" w:cs="Amiri"/>
          <w:color w:val="111111"/>
          <w:sz w:val="28"/>
          <w:sz w:val="28"/>
          <w:szCs w:val="28"/>
          <w:rtl w:val="true"/>
          <w:lang w:bidi="ar-SA"/>
        </w:rPr>
        <w:t>على الحكمية، وهذا من الأمور المسلّمة الجارية في تمام أبوب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البحث في التخريج الفني لتقدم الأصل المنقح للموضوع على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في ذلك ببيان واحد، أفاده بعض المعاصرين</w:t>
      </w:r>
      <w:r>
        <w:rPr>
          <w:rStyle w:val="FootnoteAnchor"/>
          <w:rtl w:val="true"/>
        </w:rPr>
        <w:footnoteReference w:id="801"/>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البراءة الشرعية الشك، وموضوع البراءة العقلية عدم البيان، ومع ضميمة الأصل المنقح للموضوع إلى الكبرى الكلية ينقلب اللا بيان إلى البيان، ويرتفع موضوع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انقطاع الحيض فمقتضى الاستصحاب بقاء الحيض، والأصل المنقح للموضوع لو لوحظ في حد ذاته لا يتعارض مع أدلة البراءة، فكون المرأة حائضاً لا ينافي البراءة العقلية أو الشرعية، إلا أنه بعد أن نضمّ كبرى حرمة وطء الحائض، المستفادة من الأدلة الاجتهادية</w:t>
      </w:r>
      <w:r>
        <w:rPr>
          <w:rStyle w:val="FootnoteAnchor"/>
          <w:rtl w:val="true"/>
        </w:rPr>
        <w:footnoteReference w:id="802"/>
      </w:r>
      <w:r>
        <w:rPr>
          <w:rFonts w:ascii="Amiri" w:hAnsi="Amiri" w:eastAsia="Amiri" w:cs="Amiri"/>
          <w:color w:val="111111"/>
          <w:sz w:val="28"/>
          <w:sz w:val="28"/>
          <w:szCs w:val="28"/>
          <w:rtl w:val="true"/>
          <w:lang w:bidi="ar-SA"/>
        </w:rPr>
        <w:t>إلى صغرى هذه حائض، بدليل الأصل العملي فيتم البيان وتقوم الحجة، فإنّ قوام قيام الحجة التامة بوصول الصغرى والكبرى، وقد وصل كل منهما، فينتفي موضوع اللابيان والشك، فلا مجال للبراءة العقلية والشرعية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تام بالنسبة إلى البراءة العقلية لتمامية البيان الشرعي، لكن بلحاظ البراءة الشرعية يحتاج الأمر إلى متمم، وهو التوسعة في مفهوم العلم، الذي أخذ عدمه في موضوع البراءة بأن يكون المراد منه الأعم من العلم الوجداني، والتعبدي، والأعم من العلم بالواقع وبالوظيفة، وبه يكون البيان </w:t>
      </w:r>
    </w:p>
    <w:p>
      <w:pPr>
        <w:pStyle w:val="BookText"/>
        <w:rPr/>
      </w:pPr>
      <w:r>
        <w:rPr>
          <w:rFonts w:ascii="Amiri" w:hAnsi="Amiri" w:eastAsia="Amiri" w:cs="Amiri"/>
          <w:color w:val="111111"/>
          <w:sz w:val="28"/>
          <w:sz w:val="28"/>
          <w:szCs w:val="28"/>
          <w:rtl w:val="true"/>
          <w:lang w:bidi="ar-SA"/>
        </w:rPr>
        <w:t>المذكور تاماً، لتحقق العلم التعبدي بالوظيفة</w:t>
      </w:r>
      <w:r>
        <w:rPr>
          <w:rStyle w:val="FootnoteAnchor"/>
          <w:rtl w:val="true"/>
        </w:rPr>
        <w:footnoteReference w:id="803"/>
      </w:r>
      <w:r>
        <w:rPr>
          <w:rFonts w:ascii="Amiri" w:hAnsi="Amiri" w:eastAsia="Amiri" w:cs="Amiri"/>
          <w:color w:val="111111"/>
          <w:sz w:val="28"/>
          <w:sz w:val="28"/>
          <w:szCs w:val="28"/>
          <w:rtl w:val="true"/>
          <w:lang w:bidi="ar-SA"/>
        </w:rPr>
        <w:t>مع ضم الصغرى إلى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العلم الوجداني، فلا علم وجداني بحرمة وطء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طهارتها واقعاً، بل العلم تعبدي، فمع ضم الكبرى إلى الصغرى يحكم بحرمة وطء المرأة، ومن جهة ثانية لا يعلم وجداناً بحرمة وطئها واقعاً، فيكون موضوع البراءة محققاً، فيحصل التعارض بين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يكون المراد من العلم معناه العام، فتكون النسبة بين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البراءة الورود، فإنه رافع لموضوعها بالوجدان، ولو كان هذا الرفع الوجداني بعناية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التوسعة في مفهوم العلم قابلة للقبول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النقض والإبرام في ذلك موكول إلى مبحث النسبة بين الأصول العملية في خاتمتها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أمور ثلاثة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الأصل المنقح للموضوع موافقاً للبراءة في المؤدى فجريان البراءة مبني على الخلاف في محله </w:t>
      </w:r>
      <w:r>
        <w:rPr>
          <w:rStyle w:val="FootnoteAnchor"/>
          <w:rtl w:val="true"/>
        </w:rPr>
        <w:footnoteReference w:id="805"/>
      </w:r>
      <w:r>
        <w:rPr>
          <w:rFonts w:ascii="Amiri" w:hAnsi="Amiri" w:eastAsia="Amiri" w:cs="Amiri"/>
          <w:color w:val="111111"/>
          <w:sz w:val="28"/>
          <w:sz w:val="28"/>
          <w:szCs w:val="28"/>
          <w:rtl w:val="true"/>
          <w:lang w:bidi="ar-SA"/>
        </w:rPr>
        <w:t xml:space="preserve">، من أنّ الأصول السببية </w:t>
      </w:r>
    </w:p>
    <w:p>
      <w:pPr>
        <w:pStyle w:val="BookText"/>
        <w:rPr/>
      </w:pPr>
      <w:r>
        <w:rPr>
          <w:rFonts w:ascii="Amiri" w:hAnsi="Amiri" w:eastAsia="Amiri" w:cs="Amiri"/>
          <w:color w:val="111111"/>
          <w:sz w:val="28"/>
          <w:sz w:val="28"/>
          <w:szCs w:val="28"/>
          <w:rtl w:val="true"/>
          <w:lang w:bidi="ar-SA"/>
        </w:rPr>
        <w:t>حاكمة على الأصول المسببية في صورة التخالف في المؤدّى، أم أنها حاكمة</w:t>
      </w:r>
      <w:r>
        <w:rPr>
          <w:rStyle w:val="FootnoteAnchor"/>
          <w:rtl w:val="true"/>
        </w:rPr>
        <w:footnoteReference w:id="806"/>
      </w:r>
      <w:r>
        <w:rPr>
          <w:rFonts w:ascii="Amiri" w:hAnsi="Amiri" w:eastAsia="Amiri" w:cs="Amiri"/>
          <w:color w:val="111111"/>
          <w:sz w:val="28"/>
          <w:sz w:val="28"/>
          <w:szCs w:val="28"/>
          <w:rtl w:val="true"/>
          <w:lang w:bidi="ar-SA"/>
        </w:rPr>
        <w:t>مطلقاً، فلو اخترنا الأول فلا مانع من جريان البراءة في عرض الأصل الموضوعي الموافق، كما لو شك في غليان العصير العنبي، فمقتضى الأصل الموضوعي عدم الغليان، ومقتضى البراءة الحلية، وعليه يجري الأصل الموضوعي والحكمي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أو ورود الأصل الموضوعي على الحكمي ليس خاصاً باستصحاب الموضوع والبراءة، بل هو جار في جميع الأصول، وإن كان الأصل المنقح للموضوع أضعف الأصول، والأصل الحكمي أقوى الأصول، فيتقدم الاستصحاب الموضوعي الضعيف على الاستصحاب الحكمي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 إحدى الأصول الضعيفة؛ لأنها أصل عملي غير محرز، فلو غسل الثوب النجس بالماء المحكوم بالطهارة بها، فمقتضى الاستصحاب الحكمي بقاء نجاسة الثوب، لكن يقدم عليه الأصل الجاري في الموضوع، فيحكم بطهارته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القوم في المقام لصغرى من صغريات هذه الكبرى، وهي مع جريان أصالة عدم التذكية في الحيوان المشكوك تذكيته لا يبقى مجال لأصالة البراءة، كاللحوم المستوردة من الخارج، حيث يشك في تذكيتها، فأصالة عدم التذكية الموضوعي حاكمة</w:t>
      </w:r>
      <w:r>
        <w:rPr>
          <w:rStyle w:val="FootnoteAnchor"/>
          <w:rtl w:val="true"/>
        </w:rPr>
        <w:footnoteReference w:id="807"/>
      </w:r>
      <w:r>
        <w:rPr>
          <w:rFonts w:ascii="Amiri" w:hAnsi="Amiri" w:eastAsia="Amiri" w:cs="Amiri"/>
          <w:color w:val="111111"/>
          <w:sz w:val="28"/>
          <w:sz w:val="28"/>
          <w:szCs w:val="28"/>
          <w:rtl w:val="true"/>
          <w:lang w:bidi="ar-SA"/>
        </w:rPr>
        <w:t xml:space="preserve">على أصالة الحلية </w:t>
      </w:r>
    </w:p>
    <w:p>
      <w:pPr>
        <w:pStyle w:val="BookText"/>
        <w:rPr/>
      </w:pPr>
      <w:r>
        <w:rPr>
          <w:rFonts w:ascii="Amiri" w:hAnsi="Amiri" w:eastAsia="Amiri" w:cs="Amiri"/>
          <w:color w:val="111111"/>
          <w:sz w:val="28"/>
          <w:sz w:val="28"/>
          <w:szCs w:val="28"/>
          <w:rtl w:val="true"/>
          <w:lang w:bidi="ar-SA"/>
        </w:rPr>
        <w:t>الحكمي، وأطالوا الكلام في جريان أصالة عدم التذكية وعدمه، لو كانت الشبهة حكمية أو موضوعية، وأقسام الشبهة الحكمية والموضوعية فيها، ولعل الأولى إيكال هذا البحث إلى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مشروط بعدم وجود أصل رافع لموضوعها، فلو وجد أصل رافع لموضوعها لم تجرِ، وإن لم يكن ذلك الأصل منقحاً للموضوع، بمعنى أنه لو تواردت البراءة الحكمية والاستصحاب الحكمي على مورد واحد كان الاستصحاب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وجوب الجمعة في عهد الغيبة، فمقتضى البراءة ارتفاع الوجوب، لكن مقتضى الاستصحاب بقاؤه وهو مقدم عليها، وهكذا لو شك في حرمة لمس الحائض بعد الطهر وقبل التطهر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فيما ذكر بلحاظ البراء العقلية؛ لأنّ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وارداً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وجه تقدم الاستصحاب على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ذكر وجوه لذلك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أدلة الاستصحاب جعل العلمية والطريقية التعبدية إلى الواقع، وموضوع البراءة الشرعية عدم العلم، ومع وجود الاستصحاب يرتفع موضوع البراءة؛ لأنه علم تعبداً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محل تأمل، حيث لم يتضح من أدلة الاستصحاب جعل العلمية والطريقية إلى الواقع، فمفاد الأدلة صرف حرمة نقض اليقين بالشك، كما ذكر مثل ذلك في الأمارات، وقد مرّ أنه ليس لسان حجية الأمارات لسان </w:t>
      </w:r>
    </w:p>
    <w:p>
      <w:pPr>
        <w:pStyle w:val="BookText"/>
        <w:rPr/>
      </w:pPr>
      <w:r>
        <w:rPr>
          <w:rFonts w:ascii="Amiri" w:hAnsi="Amiri" w:eastAsia="Amiri" w:cs="Amiri"/>
          <w:color w:val="111111"/>
          <w:sz w:val="28"/>
          <w:sz w:val="28"/>
          <w:szCs w:val="28"/>
          <w:rtl w:val="true"/>
          <w:lang w:bidi="ar-SA"/>
        </w:rPr>
        <w:t>جعل العلمية والطريقية فالمبنى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المعاصرين</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 البراءة عدم الحجة، فالعلم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لا حجة فيه، والاستصحاب حجة، ومعه لا يمكن القول بعدم تحقق العلم والحجة، فأدلة الاستصحاب واردة على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لأنّ عدم وجود الحجة،كما أخذ في أدلة البراءة أخذ في أدلة الاستصحاب، فإنّ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والشك، والشك بمعنى عدم الحجة، والبراءة حجة، فيكون من نقض اليقين بالحجة لا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الاستصحاب مغياة بحصول اليقين المضاد، واليقين أعم من التعبدي والوجداني، والبراءة يقين تعبدي، فالقول بعدم وجوب صلاة الجمعة في المثال نقض لليقين باليقين، أي بأدلة البراءة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أدلة الاستصحاب إسراء الدليل السابق من ظرف اليقين إلى ظرف الشك،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وهو في ظرف الشك يفرض نفسه في ظرف اليقين، فمفاد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للمكلف نفس تلك الحالة السابقة، وعليه فكما أنه لم يحق للمكلف إجراء البراءة من وجوب الجمعة في ظرف الحضور، كذلك لا يحق له في ظرف الغيبة، فيكون الدليل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حقيقي، ودليل تنزيلي، فكما أنه مع وجود الدليل الحقيقي لم يحق للمكلف إجراء البراءة، كذلك مع وجود الدليل التنزيلي، و بعبارة بسيطة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على الحالة السابقة</w:t>
      </w:r>
      <w:r>
        <w:rPr>
          <w:rFonts w:eastAsia="Amiri" w:cs="Amiri" w:ascii="Amiri" w:hAnsi="Amiri"/>
          <w:color w:val="111111"/>
          <w:sz w:val="28"/>
          <w:szCs w:val="28"/>
          <w:rtl w:val="true"/>
          <w:lang w:bidi="ar-SA"/>
        </w:rPr>
        <w:t xml:space="preserve">. </w:t>
      </w:r>
      <w:bookmarkStart w:id="362" w:name="pg15608_167208"/>
    </w:p>
    <w:p>
      <w:pPr>
        <w:pStyle w:val="BookText"/>
        <w:rPr/>
      </w:pPr>
      <w:bookmarkEnd w:id="362"/>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الاستصحاب أظهر عرفاً من دليل البراءة، ولذا قدمه الفقهاء على مرّ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الأصل السببي على الأصل المسببي، حيث إنّ بين دليل الاستصحاب ودليل البراءة سببية ومسببية، فإنّ سبب الشك في حلية بعد الطهر وقبل التطهر إنما هو للشك في استمرارية الحرمة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شك من الناحية الفقهية في تقديم الاستصحاب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المقام، وتفصيله مع النقض والإبرام في الوجوه المذكورة موكول إلى خاتمة بحث الأصول العملية</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0086705_2142443653"/>
      <w:bookmarkStart w:id="364" w:name="_Toc137"/>
      <w:bookmarkEnd w:id="363"/>
      <w:r>
        <w:rPr>
          <w:rtl w:val="true"/>
        </w:rPr>
        <w:t>التنبيه الثاني</w:t>
      </w:r>
      <w:r>
        <w:rPr>
          <w:rtl w:val="true"/>
        </w:rPr>
        <w:t xml:space="preserve">: </w:t>
      </w:r>
      <w:r>
        <w:rPr>
          <w:rtl w:val="true"/>
        </w:rPr>
        <w:t>في قاعدة التسامح في أدلة السنن</w:t>
      </w:r>
      <w:bookmarkEnd w:id="364"/>
    </w:p>
    <w:p>
      <w:pPr>
        <w:pStyle w:val="Heading5"/>
        <w:numPr>
          <w:ilvl w:val="4"/>
          <w:numId w:val="1"/>
        </w:numPr>
        <w:rPr/>
      </w:pPr>
      <w:bookmarkStart w:id="365" w:name="__RefHeading___Toc10086707_2142443653"/>
      <w:bookmarkStart w:id="366" w:name="_Toc138"/>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وإنما ذكر التنبيه عليه في ختام مباحث البراءة والاحتياط، لأنّ الإتيان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أنواع الاحتياط، فلو فرض قيام خبر ضعيف على استحباب قراءة دعاء معين في يوم الجمعة، فاحتمل واقعاً مطابقته للواقع فيحكم العقل بالاحتياط؛ لإدراك الثواب، وتؤيد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وهو نوع من أنواع الاحتياط، ومحاولة الوصول إلى الواقع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القاعدة مباحث</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0086709_2142443653"/>
      <w:bookmarkStart w:id="368" w:name="_Toc139"/>
      <w:bookmarkEnd w:id="367"/>
      <w:r>
        <w:rPr>
          <w:rtl w:val="true"/>
        </w:rPr>
        <w:t>المبحث الأول</w:t>
      </w:r>
      <w:r>
        <w:rPr>
          <w:rtl w:val="true"/>
        </w:rPr>
        <w:t xml:space="preserve">: </w:t>
      </w:r>
      <w:r>
        <w:rPr>
          <w:rtl w:val="true"/>
        </w:rPr>
        <w:t>في الدليل على قاعدة التسامح</w:t>
      </w:r>
      <w:bookmarkEnd w:id="368"/>
    </w:p>
    <w:p>
      <w:pPr>
        <w:pStyle w:val="Heading6"/>
        <w:numPr>
          <w:ilvl w:val="5"/>
          <w:numId w:val="1"/>
        </w:numPr>
        <w:rPr/>
      </w:pPr>
      <w:bookmarkStart w:id="369" w:name="__RefHeading___Toc10086711_2142443653"/>
      <w:bookmarkStart w:id="370" w:name="_Toc140"/>
      <w:bookmarkEnd w:id="369"/>
      <w:r>
        <w:rPr>
          <w:rtl w:val="true"/>
        </w:rPr>
        <w:t>اشارة</w:t>
      </w:r>
      <w:bookmarkEnd w:id="37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عليها عدة روايات، وردت تسع منها في الوسائل</w:t>
      </w:r>
      <w:r>
        <w:rPr>
          <w:rStyle w:val="FootnoteAnchor"/>
          <w:rtl w:val="true"/>
        </w:rPr>
        <w:footnoteReference w:id="809"/>
      </w:r>
      <w:r>
        <w:rPr>
          <w:rFonts w:ascii="IRNazanin" w:hAnsi="IRNazanin" w:eastAsia="IRNazanin"/>
          <w:color w:val="111111"/>
          <w:sz w:val="28"/>
          <w:sz w:val="28"/>
          <w:szCs w:val="28"/>
          <w:rtl w:val="true"/>
          <w:lang w:bidi="fa-IR"/>
        </w:rPr>
        <w:t xml:space="preserve">، نقتصر على </w:t>
      </w:r>
    </w:p>
    <w:p>
      <w:pPr>
        <w:pStyle w:val="BookText"/>
        <w:rPr/>
      </w:pPr>
      <w:r>
        <w:rPr>
          <w:rFonts w:ascii="Amiri" w:hAnsi="Amiri" w:eastAsia="Amiri" w:cs="Amiri"/>
          <w:color w:val="111111"/>
          <w:sz w:val="28"/>
          <w:sz w:val="28"/>
          <w:szCs w:val="28"/>
          <w:rtl w:val="true"/>
          <w:lang w:bidi="ar-SA"/>
        </w:rPr>
        <w:t>ذكر ثلاث؛ لكون البقية محل إشكال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بابويه</w:t>
      </w:r>
      <w:r>
        <w:rPr>
          <w:rStyle w:val="FootnoteAnchor"/>
          <w:rtl w:val="true"/>
        </w:rPr>
        <w:footnoteReference w:id="811"/>
      </w:r>
      <w:r>
        <w:rPr>
          <w:rFonts w:ascii="Amiri" w:hAnsi="Amiri" w:eastAsia="Amiri" w:cs="Amiri"/>
          <w:color w:val="111111"/>
          <w:sz w:val="28"/>
          <w:sz w:val="28"/>
          <w:szCs w:val="28"/>
          <w:rtl w:val="true"/>
          <w:lang w:bidi="ar-SA"/>
        </w:rPr>
        <w:t>، عن أبيه</w:t>
      </w:r>
      <w:r>
        <w:rPr>
          <w:rStyle w:val="FootnoteAnchor"/>
          <w:rtl w:val="true"/>
        </w:rPr>
        <w:footnoteReference w:id="812"/>
      </w:r>
      <w:r>
        <w:rPr>
          <w:rFonts w:ascii="Amiri" w:hAnsi="Amiri" w:eastAsia="Amiri" w:cs="Amiri"/>
          <w:color w:val="111111"/>
          <w:sz w:val="28"/>
          <w:sz w:val="28"/>
          <w:szCs w:val="28"/>
          <w:rtl w:val="true"/>
          <w:lang w:bidi="ar-SA"/>
        </w:rPr>
        <w:t>، عن علي بن موسى القمي</w:t>
      </w:r>
      <w:r>
        <w:rPr>
          <w:rStyle w:val="FootnoteAnchor"/>
          <w:rtl w:val="true"/>
        </w:rPr>
        <w:footnoteReference w:id="813"/>
      </w:r>
      <w:r>
        <w:rPr>
          <w:rFonts w:ascii="Amiri" w:hAnsi="Amiri" w:eastAsia="Amiri" w:cs="Amiri"/>
          <w:color w:val="111111"/>
          <w:sz w:val="28"/>
          <w:sz w:val="28"/>
          <w:szCs w:val="28"/>
          <w:rtl w:val="true"/>
          <w:lang w:bidi="ar-SA"/>
        </w:rPr>
        <w:t>، عن أحمد بن محمد بن عيسى، عن علي بن الحكم، عن هشام، عن صفوان، عن أبي عبد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الثواب على شيء من الخير</w:t>
      </w:r>
      <w:r>
        <w:rPr>
          <w:rStyle w:val="FootnoteAnchor"/>
          <w:rtl w:val="true"/>
        </w:rPr>
        <w:footnoteReference w:id="814"/>
      </w:r>
      <w:r>
        <w:rPr>
          <w:rFonts w:ascii="IRNazanin" w:hAnsi="IRNazanin" w:eastAsia="IRNazanin"/>
          <w:color w:val="111111"/>
          <w:sz w:val="28"/>
          <w:sz w:val="28"/>
          <w:szCs w:val="28"/>
          <w:rtl w:val="true"/>
          <w:lang w:bidi="fa-IR"/>
        </w:rPr>
        <w:t xml:space="preserve">فعمله، كان له أجر ذلك وإن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السند إلا في علي بن موسى، حيث لم يرد في حقه توثيق، فيكون مجهولاً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رواها في الوسائل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w:t>
      </w:r>
      <w:r>
        <w:rPr>
          <w:rStyle w:val="FootnoteAnchor"/>
          <w:rtl w:val="true"/>
        </w:rPr>
        <w:footnoteReference w:id="816"/>
      </w:r>
      <w:r>
        <w:rPr>
          <w:rFonts w:ascii="Amiri" w:hAnsi="Amiri" w:eastAsia="Amiri" w:cs="Amiri"/>
          <w:color w:val="111111"/>
          <w:sz w:val="28"/>
          <w:sz w:val="28"/>
          <w:szCs w:val="28"/>
          <w:rtl w:val="true"/>
          <w:lang w:bidi="ar-SA"/>
        </w:rPr>
        <w:t>، عن علي بن الحكم</w:t>
      </w:r>
      <w:r>
        <w:rPr>
          <w:rStyle w:val="FootnoteAnchor"/>
          <w:rtl w:val="true"/>
        </w:rPr>
        <w:footnoteReference w:id="817"/>
      </w:r>
      <w:r>
        <w:rPr>
          <w:rFonts w:ascii="IRNazanin" w:hAnsi="IRNazanin" w:eastAsia="IRNazanin"/>
          <w:color w:val="111111"/>
          <w:sz w:val="28"/>
          <w:sz w:val="28"/>
          <w:szCs w:val="28"/>
          <w:rtl w:val="true"/>
          <w:lang w:bidi="fa-IR"/>
        </w:rPr>
        <w:t>، عن هشام بن سالم</w:t>
      </w:r>
      <w:r>
        <w:rPr>
          <w:rStyle w:val="FootnoteAnchor"/>
          <w:rtl w:val="true"/>
        </w:rPr>
        <w:footnoteReference w:id="818"/>
      </w:r>
      <w:r>
        <w:rPr>
          <w:rFonts w:ascii="Amiri" w:hAnsi="Amiri" w:eastAsia="Amiri" w:cs="Amiri"/>
          <w:color w:val="111111"/>
          <w:sz w:val="28"/>
          <w:sz w:val="28"/>
          <w:szCs w:val="28"/>
          <w:rtl w:val="true"/>
          <w:lang w:bidi="ar-SA"/>
        </w:rPr>
        <w:t>، عن أبي عبد اللّه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من الثواب فعمله كان أجر ذلك له، وإن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في مصادر 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يختص بما كان البلوغ فيه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لكن الظاهر إمكان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أعم ملاكاً، حيث لا فرق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النبوة، فلا خصوصية للبلوغ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مضافاً إلى بعض الروايات الدالة على أنّ ما يقوله الإمام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يقوله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حديثه حديث أبيه حتى يصل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ووالِ اُناساً قولهم وحديثهم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جدنا عن جبرئيل عن الباري</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وعليه يكون حديث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w:t>
      </w:r>
      <w:r>
        <w:rPr>
          <w:rStyle w:val="FootnoteAnchor"/>
          <w:rtl w:val="true"/>
        </w:rPr>
        <w:footnoteReference w:id="821"/>
      </w:r>
      <w:r>
        <w:rPr>
          <w:rFonts w:ascii="Amiri" w:hAnsi="Amiri" w:eastAsia="Amiri" w:cs="Amiri"/>
          <w:color w:val="111111"/>
          <w:sz w:val="28"/>
          <w:sz w:val="28"/>
          <w:szCs w:val="28"/>
          <w:rtl w:val="true"/>
          <w:lang w:bidi="ar-SA"/>
        </w:rPr>
        <w:t>، عن أبيه</w:t>
      </w:r>
      <w:r>
        <w:rPr>
          <w:rStyle w:val="FootnoteAnchor"/>
          <w:rtl w:val="true"/>
        </w:rPr>
        <w:footnoteReference w:id="822"/>
      </w:r>
      <w:r>
        <w:rPr>
          <w:rFonts w:ascii="Amiri" w:hAnsi="Amiri" w:eastAsia="Amiri" w:cs="Amiri"/>
          <w:color w:val="111111"/>
          <w:sz w:val="28"/>
          <w:sz w:val="28"/>
          <w:szCs w:val="28"/>
          <w:rtl w:val="true"/>
          <w:lang w:bidi="ar-SA"/>
        </w:rPr>
        <w:t>، عن ابن أبي عمير</w:t>
      </w:r>
      <w:r>
        <w:rPr>
          <w:rStyle w:val="FootnoteAnchor"/>
          <w:rtl w:val="true"/>
        </w:rPr>
        <w:footnoteReference w:id="823"/>
      </w:r>
      <w:r>
        <w:rPr>
          <w:rFonts w:ascii="IRNazanin" w:hAnsi="IRNazanin" w:eastAsia="IRNazanin"/>
          <w:color w:val="111111"/>
          <w:sz w:val="28"/>
          <w:sz w:val="28"/>
          <w:szCs w:val="28"/>
          <w:rtl w:val="true"/>
          <w:lang w:bidi="fa-IR"/>
        </w:rPr>
        <w:t>، عن هشام بن سالم</w:t>
      </w:r>
      <w:r>
        <w:rPr>
          <w:rStyle w:val="FootnoteAnchor"/>
          <w:rtl w:val="true"/>
        </w:rPr>
        <w:footnoteReference w:id="824"/>
      </w:r>
      <w:r>
        <w:rPr>
          <w:rFonts w:ascii="Amiri" w:hAnsi="Amiri" w:eastAsia="Amiri" w:cs="Amiri"/>
          <w:color w:val="111111"/>
          <w:sz w:val="28"/>
          <w:sz w:val="28"/>
          <w:szCs w:val="28"/>
          <w:rtl w:val="true"/>
          <w:lang w:bidi="ar-SA"/>
        </w:rPr>
        <w:t>، عن أبي عبد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شيء فصنعه كان له، وإن لم يكن على ما بلغه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 أنّ من سمع شيئاً من الثواب على عمل فقام به كان الثواب مضموناً له، وإن لم يكن للخبر واقعية أصلاً، أو وإن لم يكن الثواب على ما بلغه، فيكون للثواب واقعية لكن لا الواقعية المحكية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الشريفة عامة لا تختص بحديث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صحيحة </w:t>
      </w:r>
      <w:bookmarkStart w:id="371" w:name="pg15608_167211"/>
    </w:p>
    <w:p>
      <w:pPr>
        <w:pStyle w:val="BookText"/>
        <w:rPr/>
      </w:pPr>
      <w:bookmarkEnd w:id="371"/>
      <w:r>
        <w:rPr>
          <w:rFonts w:ascii="Amiri" w:hAnsi="Amiri" w:eastAsia="Amiri" w:cs="Amiri"/>
          <w:color w:val="111111"/>
          <w:sz w:val="28"/>
          <w:sz w:val="28"/>
          <w:szCs w:val="28"/>
          <w:rtl w:val="true"/>
          <w:lang w:bidi="ar-SA"/>
        </w:rPr>
        <w:t>على المختار، حسنة على بعض المباني</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10086713_2142443653"/>
      <w:bookmarkStart w:id="373" w:name="_Toc141"/>
      <w:bookmarkEnd w:id="372"/>
      <w:r>
        <w:rPr>
          <w:rtl w:val="true"/>
        </w:rPr>
        <w:t>شبهة</w:t>
      </w:r>
      <w:r>
        <w:rPr>
          <w:rtl w:val="true"/>
        </w:rPr>
        <w:t xml:space="preserve">: </w:t>
      </w:r>
      <w:r>
        <w:rPr>
          <w:rtl w:val="true"/>
        </w:rPr>
        <w:t>قاعدة التسامح مسألة أصولية</w:t>
      </w:r>
      <w:bookmarkEnd w:id="373"/>
    </w:p>
    <w:p>
      <w:pPr>
        <w:pStyle w:val="BookText"/>
        <w:rPr/>
      </w:pPr>
      <w:r>
        <w:rPr>
          <w:rFonts w:ascii="Amiri" w:hAnsi="Amiri" w:eastAsia="Amiri" w:cs="Amiri"/>
          <w:color w:val="111111"/>
          <w:sz w:val="28"/>
          <w:sz w:val="28"/>
          <w:szCs w:val="28"/>
          <w:rtl w:val="true"/>
          <w:lang w:bidi="ar-SA"/>
        </w:rPr>
        <w:t>وتوجد في المقام شبهة،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التسامح مسألة أصولية، فلا تثبت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محل تأمل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كون هذه الأخبار قطعية الصدور متواترة، أو محفوفة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في الوسائل تسع روايات وإن احتمل اتحاد بعضها، وروى العامة بهذا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فيمكن دعوى أنّ المجموع يفيد القطع بالصدور، فلا يكون خبر واحد لا يفيد العلم، ويبعد أن تكون كلها مجعولة أو موهومة بأن توهم الرواة ذلك، خاصة مع ملاحظة عمل المشهور واستنادهم إليها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عدم حجية أخبار الآحاد في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يكفي الخبر الواحد في مسائل أصول الدين، حيث يشترط فيها العلم واليقين، وأما مسائل أصول الفقه فما هو المانع من أن يكون الخبر الصحيح وافياً بالمسألة الأصولية، والمفروض صحة بعض هذه الأخبار</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0086715_2142443653"/>
      <w:bookmarkStart w:id="375" w:name="_Toc142"/>
      <w:bookmarkEnd w:id="374"/>
      <w:r>
        <w:rPr>
          <w:rtl w:val="true"/>
        </w:rPr>
        <w:t>المبحث الثاني</w:t>
      </w:r>
      <w:r>
        <w:rPr>
          <w:rtl w:val="true"/>
        </w:rPr>
        <w:t xml:space="preserve">: </w:t>
      </w:r>
      <w:r>
        <w:rPr>
          <w:rtl w:val="true"/>
        </w:rPr>
        <w:t xml:space="preserve">الأقوال في مفاد أخبار </w:t>
      </w:r>
      <w:r>
        <w:rPr>
          <w:rtl w:val="true"/>
        </w:rPr>
        <w:t>(</w:t>
      </w:r>
      <w:r>
        <w:rPr>
          <w:rtl w:val="true"/>
        </w:rPr>
        <w:t>من بلغ</w:t>
      </w:r>
      <w:r>
        <w:rPr>
          <w:rtl w:val="true"/>
        </w:rPr>
        <w:t>)</w:t>
      </w:r>
      <w:bookmarkEnd w:id="375"/>
    </w:p>
    <w:p>
      <w:pPr>
        <w:pStyle w:val="Heading6"/>
        <w:numPr>
          <w:ilvl w:val="5"/>
          <w:numId w:val="1"/>
        </w:numPr>
        <w:rPr/>
      </w:pPr>
      <w:bookmarkStart w:id="376" w:name="__RefHeading___Toc10086717_2142443653"/>
      <w:bookmarkStart w:id="377" w:name="_Toc143"/>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وفي مفاد هذه الأخبار احتمالات، عمدتها اثنان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ذات العمل بسبب طروء عنوان ثانوي عليه، </w:t>
      </w:r>
      <w:bookmarkStart w:id="378" w:name="pg15608_167212"/>
    </w:p>
    <w:p>
      <w:pPr>
        <w:pStyle w:val="BookText"/>
        <w:rPr/>
      </w:pPr>
      <w:bookmarkEnd w:id="378"/>
      <w:r>
        <w:rPr>
          <w:rFonts w:ascii="Amiri" w:hAnsi="Amiri" w:eastAsia="Amiri" w:cs="Amiri"/>
          <w:color w:val="111111"/>
          <w:sz w:val="28"/>
          <w:sz w:val="28"/>
          <w:szCs w:val="28"/>
          <w:rtl w:val="true"/>
          <w:lang w:bidi="ar-SA"/>
        </w:rPr>
        <w:t xml:space="preserve">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فوزانه وزان سائر العناوين الثانوية المغيرة لأحكام الأفعال، كعنوان النذر أو الضرر أو أمر الوالد أو ما أشبه، فقد يكون الشيء بعنوانه الأولي مستحباً، لكنه يصبح واجباً بعنوان أنه منذور، وهكذا قد يكون ذات العمل مباحاً، ولكن يصبح مستحباً عند طروء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المعروف بين الفقهاء، بل نسبه صاحب الكفاية</w:t>
      </w:r>
      <w:r>
        <w:rPr>
          <w:rStyle w:val="FootnoteAnchor"/>
          <w:rtl w:val="true"/>
        </w:rPr>
        <w:footnoteReference w:id="826"/>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حكم العقل بحسن الانقياد</w:t>
      </w:r>
      <w:r>
        <w:rPr>
          <w:rStyle w:val="FootnoteAnchor"/>
          <w:rtl w:val="true"/>
        </w:rPr>
        <w:footnoteReference w:id="827"/>
      </w:r>
      <w:r>
        <w:rPr>
          <w:rFonts w:ascii="Amiri" w:hAnsi="Amiri" w:eastAsia="Amiri" w:cs="Amiri"/>
          <w:color w:val="111111"/>
          <w:sz w:val="28"/>
          <w:sz w:val="28"/>
          <w:szCs w:val="28"/>
          <w:rtl w:val="true"/>
          <w:lang w:bidi="ar-SA"/>
        </w:rPr>
        <w:t>، حيث يحكم العقل بحسن الإتيان بالعمل بمجرد احتمال كونه محبوباً عند المولى، حتى لو لم تصل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ذهب إليه جمع من الفقهاء، وفيهم بعض المعاصرين</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وتترتب على القولين ثمرات فقهية، كما ستأتي الإشارة إليها</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10086719_2142443653"/>
      <w:bookmarkStart w:id="380" w:name="_Toc144"/>
      <w:bookmarkEnd w:id="379"/>
      <w:r>
        <w:rPr>
          <w:rtl w:val="true"/>
        </w:rPr>
        <w:t>القول الأول</w:t>
      </w:r>
      <w:r>
        <w:rPr>
          <w:rtl w:val="true"/>
        </w:rPr>
        <w:t xml:space="preserve">: </w:t>
      </w:r>
      <w:r>
        <w:rPr>
          <w:rtl w:val="true"/>
        </w:rPr>
        <w:t xml:space="preserve">أخبار </w:t>
      </w:r>
      <w:r>
        <w:rPr>
          <w:rtl w:val="true"/>
        </w:rPr>
        <w:t>(</w:t>
      </w:r>
      <w:r>
        <w:rPr>
          <w:rtl w:val="true"/>
        </w:rPr>
        <w:t>من بلغ</w:t>
      </w:r>
      <w:r>
        <w:rPr>
          <w:rtl w:val="true"/>
        </w:rPr>
        <w:t xml:space="preserve">) </w:t>
      </w:r>
      <w:r>
        <w:rPr>
          <w:rtl w:val="true"/>
        </w:rPr>
        <w:t>تثبت الاستحباب الشرعي</w:t>
      </w:r>
      <w:bookmarkEnd w:id="380"/>
    </w:p>
    <w:p>
      <w:pPr>
        <w:pStyle w:val="Heading6"/>
        <w:numPr>
          <w:ilvl w:val="5"/>
          <w:numId w:val="1"/>
        </w:numPr>
        <w:rPr/>
      </w:pPr>
      <w:bookmarkStart w:id="381" w:name="__RefHeading___Toc10086721_2142443653"/>
      <w:bookmarkStart w:id="382" w:name="_Toc145"/>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وقد استدل له بأدلة</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0086723_2142443653"/>
      <w:bookmarkStart w:id="384" w:name="_Toc146"/>
      <w:bookmarkEnd w:id="383"/>
      <w:r>
        <w:rPr>
          <w:rtl w:val="true"/>
        </w:rPr>
        <w:t>الدليل الأول</w:t>
      </w:r>
      <w:bookmarkEnd w:id="38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829"/>
      </w:r>
      <w:r>
        <w:rPr>
          <w:rFonts w:ascii="Amiri" w:hAnsi="Amiri" w:eastAsia="Amiri" w:cs="Amiri"/>
          <w:color w:val="111111"/>
          <w:sz w:val="28"/>
          <w:sz w:val="28"/>
          <w:szCs w:val="28"/>
          <w:rtl w:val="true"/>
          <w:lang w:bidi="ar-SA"/>
        </w:rPr>
        <w:t xml:space="preserve">بعنوان الاحتمال من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جملة خبرية لكنها بمعنى الإنشاء، كما هو الشأن في غالب الجمل </w:t>
      </w:r>
    </w:p>
    <w:p>
      <w:pPr>
        <w:pStyle w:val="BookText"/>
        <w:rPr/>
      </w:pPr>
      <w:r>
        <w:rPr>
          <w:rFonts w:ascii="Amiri" w:hAnsi="Amiri" w:eastAsia="Amiri" w:cs="Amiri"/>
          <w:color w:val="111111"/>
          <w:sz w:val="28"/>
          <w:sz w:val="28"/>
          <w:szCs w:val="28"/>
          <w:rtl w:val="true"/>
          <w:lang w:bidi="ar-SA"/>
        </w:rPr>
        <w:t>الخبرية الواردة في أبواب الأحكام، سواء كانت بصيغة الماضي، كقوله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من سرح لحيته فله كذا</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حيث تفيد الاستحباب أم بصيغة المضارع، كقوله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يسجد سجدتي السهو</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بمعنى ليسجد، فيكون مفاد الأحاديث 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استحباب العمل الذي بلغ عليه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الكبرى الكلية حول الجمل الخبرية في مباحث الألفاظ</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لأنّ للجملة الخبرية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تقع شرطاً أو جزءاً للجملة الشرطية، وتارة تقع جزاءاً في الجملة الشرطية أو تقع بعنوان القضية الحملية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على النحو الثاني كان مفادها التحريك نحو المادة، وتحريض على الفعل، وكان كاشفاً عن الوجوب أو استحباب المتعلق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النحو الأول فهو بمنزلة موضوع الحكم،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بالمحمول على فرض تحقق الموضوع، وهذا المقدار لا يفيد الحث والتحريض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فعليه أن يجدد وضوءه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فالنوم شرط أداة الشرط، ويفيد مجرد ترتب الحكم على فرض تحققه في الخارج، وجميع القضايا الحقيقية مآلها إلى ثبوت المحمول على فرض تحقق الموضوع، وهو لا يفيد التحريض والتحريك</w:t>
      </w:r>
      <w:r>
        <w:rPr>
          <w:rFonts w:eastAsia="Amiri" w:cs="Amiri" w:ascii="Amiri" w:hAnsi="Amiri"/>
          <w:color w:val="111111"/>
          <w:sz w:val="28"/>
          <w:szCs w:val="28"/>
          <w:rtl w:val="true"/>
          <w:lang w:bidi="ar-SA"/>
        </w:rPr>
        <w:t xml:space="preserve">. </w:t>
      </w:r>
      <w:bookmarkStart w:id="385" w:name="pg15608_167214"/>
    </w:p>
    <w:p>
      <w:pPr>
        <w:pStyle w:val="BookText"/>
        <w:rPr/>
      </w:pPr>
      <w:bookmarkEnd w:id="385"/>
      <w:r>
        <w:rPr>
          <w:rFonts w:ascii="Amiri" w:hAnsi="Amiri" w:eastAsia="Amiri" w:cs="Amiri"/>
          <w:color w:val="111111"/>
          <w:sz w:val="28"/>
          <w:sz w:val="28"/>
          <w:szCs w:val="28"/>
          <w:rtl w:val="true"/>
          <w:lang w:bidi="ar-SA"/>
        </w:rPr>
        <w:t xml:space="preserve">وفيما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الشرط في الجملة الشرطية، فقوله</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من بلغه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الثواب 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وجزاؤه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أجر ذلك له</w:t>
      </w:r>
      <w:r>
        <w:rPr>
          <w:rFonts w:eastAsia="IRNazanin" w:cs="IRNazanin"/>
          <w:color w:val="111111"/>
          <w:sz w:val="28"/>
          <w:szCs w:val="28"/>
          <w:rtl w:val="true"/>
          <w:lang w:bidi="fa-IR"/>
        </w:rPr>
        <w:t>»</w:t>
      </w:r>
      <w:r>
        <w:rPr>
          <w:rStyle w:val="FootnoteAnchor"/>
          <w:rtl w:val="true"/>
        </w:rPr>
        <w:footnoteReference w:id="833"/>
      </w:r>
      <w:r>
        <w:rPr>
          <w:rFonts w:ascii="Amiri" w:hAnsi="Amiri" w:eastAsia="Amiri" w:cs="Amiri"/>
          <w:color w:val="111111"/>
          <w:sz w:val="28"/>
          <w:sz w:val="28"/>
          <w:szCs w:val="28"/>
          <w:rtl w:val="true"/>
          <w:lang w:bidi="ar-SA"/>
        </w:rPr>
        <w:t xml:space="preserve">، فليست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عرفاً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عن الذهن العرفي</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0086725_2142443653"/>
      <w:bookmarkStart w:id="387" w:name="_Toc147"/>
      <w:bookmarkEnd w:id="386"/>
      <w:r>
        <w:rPr>
          <w:rtl w:val="true"/>
        </w:rPr>
        <w:t>الدليل الثاني</w:t>
      </w:r>
      <w:bookmarkEnd w:id="387"/>
    </w:p>
    <w:p>
      <w:pPr>
        <w:pStyle w:val="BookText"/>
        <w:rPr/>
      </w:pPr>
      <w:r>
        <w:rPr>
          <w:rFonts w:ascii="IRNazanin" w:hAnsi="IRNazanin" w:eastAsia="IRNazanin"/>
          <w:color w:val="111111"/>
          <w:sz w:val="28"/>
          <w:sz w:val="28"/>
          <w:szCs w:val="28"/>
          <w:rtl w:val="true"/>
          <w:lang w:bidi="fa-IR"/>
        </w:rPr>
        <w:t>ما استدل به صاحب الكفاية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صحيحة هشام ظاهرة في أنّ الأجر كان مترتباً على نفس العمل، الذي بلغه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ثواب</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منحل إلى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الأخبار ترتب الثواب على ذات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الثواب مترتباً على ذات العمل فهو دليل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الاستدلال نذكر ما ورد في المنتقى</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بعنوان الكبرى الكلية،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مسلّمة وإنّ الخلاف بين صاحب الكفاية والشيخ الأعظم، وهكذا بين الفقهاء قديماً وحديثاً يرتبط بتطبيقها على الصغرى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الكبرى المسلّمة فهي أنه لو ورد دليل يتكفل ترتّب الثواب على عمل لا يقتضي الثواب في حد ذاته، فهو كاشف عن ثبوت الأمر المولوي بالفعل </w:t>
      </w:r>
    </w:p>
    <w:p>
      <w:pPr>
        <w:pStyle w:val="BookText"/>
        <w:rPr/>
      </w:pPr>
      <w:r>
        <w:rPr>
          <w:rFonts w:ascii="Amiri" w:hAnsi="Amiri" w:eastAsia="Amiri" w:cs="Amiri"/>
          <w:color w:val="111111"/>
          <w:sz w:val="28"/>
          <w:sz w:val="28"/>
          <w:szCs w:val="28"/>
          <w:rtl w:val="true"/>
          <w:lang w:bidi="ar-SA"/>
        </w:rPr>
        <w:t>بلا إشكال، وهو مما يشاهد في موارد كثيرة من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اقتضى العمل الثواب في حد ذاته فترتّب الثواب عليه لا يكشف عن ثبوت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لذلك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أظافره يوم الجمعة كان له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فقص الأظفار لا يقتضي الثواب في حد ذاته، حيث لم 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ورود 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وإنما ورود الأمر الشرعي كاشف عن ثبوت الأمر المولوي بقص الأظفار، ولولاه لم يكن وجه لترتب الثواب عليه، فإنه أنما يترتب الثواب لأنه مأمور به، ومستحب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انقاد للمولى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فالانقياد في حد ذاته يقتضي الثواب، بمعنى أنّ الانبعاث الرجائي الاحتمالي للعبد في صراط تحصيل محبوب المولى يقتضي الثواب في حد ذاته، وإن لم يدل عليه دليل شرعي، وعليه يكون المثال المذكور أمراً إرشادياً لا يدل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الكبرى مسلمة وليست محل البحث والإشكال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محور البحث ومحل الخلاف في المقام صغروي، وهو أنّ الثواب المذكور 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مترتب على ذات العمل الذي ورد الثواب عليه، أو مترتب على العمل المقيد، أي العمل الذي يؤتى به برجاء الثواب وبعنوان الانقياد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الموضوع ذات العمل فالروايات تفيد استحبابه؛ لعدم وجود </w:t>
      </w:r>
    </w:p>
    <w:p>
      <w:pPr>
        <w:pStyle w:val="BookText"/>
        <w:rPr/>
      </w:pPr>
      <w:r>
        <w:rPr>
          <w:rFonts w:ascii="Amiri" w:hAnsi="Amiri" w:eastAsia="Amiri" w:cs="Amiri"/>
          <w:color w:val="111111"/>
          <w:sz w:val="28"/>
          <w:sz w:val="28"/>
          <w:szCs w:val="28"/>
          <w:rtl w:val="true"/>
          <w:lang w:bidi="ar-SA"/>
        </w:rPr>
        <w:t xml:space="preserve">سبب لترتب الثواب على ذات العمل إلا كونه مستحباً، وإن كان موضوع ترتب الثواب الفعل المأتي به بداعي الانقياد وتحصيل الثواب، فروايات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الاستحباب، فإنّ الثواب مترتب على العمل لا بما هوهو، بل بما هو انقياد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صاحب الكفاية</w:t>
      </w:r>
      <w:r>
        <w:rPr>
          <w:rStyle w:val="FootnoteAnchor"/>
          <w:rtl w:val="true"/>
        </w:rPr>
        <w:footnoteReference w:id="836"/>
      </w:r>
      <w:r>
        <w:rPr>
          <w:rFonts w:ascii="Amiri" w:hAnsi="Amiri" w:eastAsia="Amiri" w:cs="Amiri"/>
          <w:color w:val="111111"/>
          <w:sz w:val="28"/>
          <w:sz w:val="28"/>
          <w:szCs w:val="28"/>
          <w:rtl w:val="true"/>
          <w:lang w:bidi="ar-SA"/>
        </w:rPr>
        <w:t>كون الموضوع ذات العمل، فتدل الروايات على الاستحباب، بينما اختار الشيخ الأعظم</w:t>
      </w:r>
      <w:r>
        <w:rPr>
          <w:rStyle w:val="FootnoteAnchor"/>
          <w:rtl w:val="true"/>
        </w:rPr>
        <w:footnoteReference w:id="837"/>
      </w:r>
      <w:r>
        <w:rPr>
          <w:rFonts w:ascii="Amiri" w:hAnsi="Amiri" w:eastAsia="Amiri" w:cs="Amiri"/>
          <w:color w:val="111111"/>
          <w:sz w:val="28"/>
          <w:sz w:val="28"/>
          <w:szCs w:val="28"/>
          <w:rtl w:val="true"/>
          <w:lang w:bidi="ar-SA"/>
        </w:rPr>
        <w:t>أنّ الموضوع هو العمل المأتي به بداعي الثواب</w:t>
      </w:r>
      <w:r>
        <w:rPr>
          <w:rStyle w:val="FootnoteAnchor"/>
          <w:rtl w:val="true"/>
        </w:rPr>
        <w:footnoteReference w:id="838"/>
      </w:r>
      <w:r>
        <w:rPr>
          <w:rFonts w:ascii="Amiri" w:hAnsi="Amiri" w:eastAsia="Amiri" w:cs="Amiri"/>
          <w:color w:val="111111"/>
          <w:sz w:val="28"/>
          <w:sz w:val="28"/>
          <w:szCs w:val="28"/>
          <w:rtl w:val="true"/>
          <w:lang w:bidi="ar-SA"/>
        </w:rPr>
        <w:t>، فلا تدل الروايات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 بعنوان الأمر المسلم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العمل الانقيادي يقتضي في نفسه ترتب الثواب؟</w:t>
      </w:r>
    </w:p>
    <w:p>
      <w:pPr>
        <w:pStyle w:val="BookText"/>
        <w:rPr/>
      </w:pPr>
      <w:r>
        <w:rPr>
          <w:rFonts w:ascii="Amiri" w:hAnsi="Amiri" w:eastAsia="Amiri" w:cs="Amiri"/>
          <w:color w:val="111111"/>
          <w:sz w:val="28"/>
          <w:sz w:val="28"/>
          <w:szCs w:val="28"/>
          <w:rtl w:val="true"/>
          <w:lang w:bidi="ar-SA"/>
        </w:rPr>
        <w:t>يمكن دعوى ذلك في المولى العرفي، أما المولى الحقيقي فهو محلّ تأمل، فإنه يملك العبد و ما يملكه بتمليكه إياه، بل حتى لو أطاع العبد مولاه الحقيقي فهل يستحق الثواب عليه عقلاً، بمعنى أنه لو لم يثبه لظلمه وسلب حقه</w:t>
      </w:r>
      <w:r>
        <w:rPr>
          <w:rStyle w:val="FootnoteAnchor"/>
          <w:rtl w:val="true"/>
        </w:rPr>
        <w:footnoteReference w:id="839"/>
      </w:r>
      <w:r>
        <w:rPr>
          <w:rFonts w:ascii="Amiri" w:hAnsi="Amiri" w:eastAsia="Amiri" w:cs="Amiri"/>
          <w:color w:val="111111"/>
          <w:sz w:val="28"/>
          <w:sz w:val="28"/>
          <w:szCs w:val="28"/>
          <w:rtl w:val="true"/>
          <w:lang w:bidi="ar-SA"/>
        </w:rPr>
        <w:t>، أو أنّ الثواب تفضل ومنة ورحمة منه؟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العبد يعمل في ملك المولى فأهداه من ملكه هدية فهل يستحق الثواب؟ مع وجود الفارق بينه وبين المقام، فإنّ العبد وقواه ليس ملكاً حقيقياً للمولى، بل ملك اعتباري، واللّه تعالى مالك </w:t>
      </w:r>
    </w:p>
    <w:p>
      <w:pPr>
        <w:pStyle w:val="BookText"/>
        <w:rPr/>
      </w:pPr>
      <w:r>
        <w:rPr>
          <w:rFonts w:ascii="Amiri" w:hAnsi="Amiri" w:eastAsia="Amiri" w:cs="Amiri"/>
          <w:color w:val="111111"/>
          <w:sz w:val="28"/>
          <w:sz w:val="28"/>
          <w:szCs w:val="28"/>
          <w:rtl w:val="true"/>
          <w:lang w:bidi="ar-SA"/>
        </w:rPr>
        <w:t>حقيقة للعبد ولكل ما يملكه، وقد قام العبد بالطاعة والانقياد بتقديم جزء واحد من آلاف الأجزاء التي ملكها المولى إياه، فهل يحق له أن يطالب بالثواب؟</w:t>
      </w:r>
    </w:p>
    <w:p>
      <w:pPr>
        <w:pStyle w:val="BookText"/>
        <w:rPr/>
      </w:pPr>
      <w:r>
        <w:rPr>
          <w:rFonts w:ascii="Amiri" w:hAnsi="Amiri" w:eastAsia="Amiri" w:cs="Amiri"/>
          <w:color w:val="111111"/>
          <w:sz w:val="28"/>
          <w:sz w:val="28"/>
          <w:szCs w:val="28"/>
          <w:rtl w:val="true"/>
          <w:lang w:bidi="ar-SA"/>
        </w:rPr>
        <w:t>إنّ هذا محل تأمل، ولا وضوح لحكم العقل بالاستحقاق الجزمي للثواب على الانقياد، بل حتى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بين الانقياد وبين تسريح اللحية، فكلاهما لا يقتضيان الثواب، والتفريق بينهما بلا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الانقياد في حد ذاته يقتضي الثواب عقلاً، مع قطع النظر عن ورود الأدلة الشرعية، لكن هل صرف وجود الحكم العقلي في مورد صارف عن ظهور الأوامر الشرعية من المولوية إلى الإرشادية مع وجود أصالة المولوية العقلائية؟ وقد مرّ في ضابط الأمر المولوي والإرشادي أنّ صرف وجود الأمر العقلي لا يصرف الأمر الشرعي الوارد فيه إلى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اختار هذا المبنى السيد الوالد في الأصول</w:t>
      </w:r>
      <w:r>
        <w:rPr>
          <w:rStyle w:val="FootnoteAnchor"/>
          <w:rtl w:val="true"/>
        </w:rPr>
        <w:footnoteReference w:id="840"/>
      </w:r>
      <w:r>
        <w:rPr>
          <w:rFonts w:ascii="Amiri" w:hAnsi="Amiri" w:eastAsia="Amiri" w:cs="Amiri"/>
          <w:color w:val="111111"/>
          <w:sz w:val="28"/>
          <w:sz w:val="28"/>
          <w:szCs w:val="28"/>
          <w:rtl w:val="true"/>
          <w:lang w:bidi="ar-SA"/>
        </w:rPr>
        <w:t>، حيث يرى أنّ كل الأوامر الشرعية ظاهرة في المولوية، إلا إذا كان هنالك محذور عن الحمل على المولوية،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ادعي أنّ الحمل عليها يوجب الدور أو التسلسل، فمع المحذور الخارجي لا بد من حمله على الإرشادية، وإلا فأصالة المولوية العقلائية محكمة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فروايات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المولوية، وهي تفيد </w:t>
      </w:r>
    </w:p>
    <w:p>
      <w:pPr>
        <w:pStyle w:val="BookText"/>
        <w:rPr/>
      </w:pPr>
      <w:r>
        <w:rPr>
          <w:rFonts w:ascii="Amiri" w:hAnsi="Amiri" w:eastAsia="Amiri" w:cs="Amiri"/>
          <w:color w:val="111111"/>
          <w:sz w:val="28"/>
          <w:sz w:val="28"/>
          <w:szCs w:val="28"/>
          <w:rtl w:val="true"/>
          <w:lang w:bidi="ar-SA"/>
        </w:rPr>
        <w:t>الاستحباب على كلا التقديرين، سواء كان مفادها ترتب الثواب على ذات العمل، أم ترتب الثواب على العمل المأتي بقيد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 فقد بينها في النهاية بمقدمتين تتعلقان بالثواب البالغ، وبالثواب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المرتبطة بالثواب البالغ،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 الثواب البالغ هو الثواب على العمل لا بداعي الثواب المحتمل أو الأمر المحتمل، فإنّ مضمون الخبر الضعيف كمضمون الخبر الصحيح من حيث تكفله للثواب على العمل</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 أي أنّ مفاد الخبر الضعيف هو أنّ نفس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 الأظافر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الثواب، لا أنّ الثواب مترتب على العمل بداعي احتمال الثواب، أو بداعي احتمال الأمر، فإنّ وزان الخبر الضعيف وزان الخبر الصحيح، فلو دل الخبر الصحيح على ثواب لزيارة الإمام الحسين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فظاهره أنّ الثواب مترتب على ذات العمل، فكذلك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الثانية المرتبطة بالثواب الموعود الذي تضمنته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 من بلغ ظاهرة في كونها في مقام تقرير الثواب البالغ وتثبيته و تحقيقه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الثواب البالغ بالخبر الضعيف، فلو كان الخبر الضعيف بوحده احتمل المكلف ترتب الثواب وعدمه، أما إذا كان مع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فالثواب حتمي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ونتيجة ضم المقدمتين هو اتحاد الثواب الموعود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الثواب البالغ بالخبر الضعيف، وهو الثواب على ذات العمل لا العمل المأتي به برجاء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الثواب الوارد في الخبر الضعيف وتضمنه، والثواب المشار إليه مترتب على ذات العمل لا العمل الرجائي والانقيادي، ومع ضميمة المشير والمشار إليه يمكن القول بترتب الثواب على ذات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الكبرى أنه كلما ترتب الثواب على ذات العمل كان ذلك كاشفاً عن استحباب العمل، فيثبت ما ذكره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من أنّ مقتضى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من بلغه ثواب على عمل فعلمه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التفريع، وهي تفيد داعوية الثواب المحتمل إلى العمل، فالعمل متفرع على البلوغ، والثواب المحتمل هو المحرك والباعث للعمل، ومحركية الثواب المحتمل نحو العمل مساوقة للانقياد، فإنّ الإتيان بشيء بداعي احتمال الثواب عبارة أخرى عن الانقياد إلى المولى، فيكون موضوع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الانقيادي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فالثواب الموعود في أخبار من بلغ مترتب على العمل الذي يقتضي بذاته الثواب، وهذا الترتب لا يدل على استحباب العمل، فإنه أنما </w:t>
      </w:r>
    </w:p>
    <w:p>
      <w:pPr>
        <w:pStyle w:val="BookText"/>
        <w:rPr/>
      </w:pPr>
      <w:r>
        <w:rPr>
          <w:rFonts w:ascii="Amiri" w:hAnsi="Amiri" w:eastAsia="Amiri" w:cs="Amiri"/>
          <w:color w:val="111111"/>
          <w:sz w:val="28"/>
          <w:sz w:val="28"/>
          <w:szCs w:val="28"/>
          <w:rtl w:val="true"/>
          <w:lang w:bidi="ar-SA"/>
        </w:rPr>
        <w:t xml:space="preserve">يدل على الاستحباب إذا كان العمل لا يقتضي بنفسه الثواب، فروايات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w:t>
      </w:r>
      <w:r>
        <w:rPr>
          <w:rStyle w:val="FootnoteAnchor"/>
          <w:rtl w:val="true"/>
        </w:rPr>
        <w:footnoteReference w:id="844"/>
      </w:r>
      <w:r>
        <w:rPr>
          <w:rFonts w:ascii="Amiri" w:hAnsi="Amiri" w:eastAsia="Amiri" w:cs="Amiri"/>
          <w:color w:val="111111"/>
          <w:sz w:val="28"/>
          <w:sz w:val="28"/>
          <w:szCs w:val="28"/>
          <w:rtl w:val="true"/>
          <w:lang w:bidi="ar-SA"/>
        </w:rPr>
        <w:t>من أنّ التفريع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المعلول على علته الغائية، ومثاله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 كذا ففعلته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علة الفعل الوجوب، ولو تحقق هذا المعنى في المقام كان مفاده أنّ العمل منبعث عن الثواب المحتمل، فالعمل معلول والثواب المحتمل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الترتب، فالفاء تفيد التعقب الترتبي في الوجود، من دون أن يكون المترتب عليه علة للمترتب، وإنما ترتب العمل على الثواب المحتمل لا لكون الثواب المحتمل باعثاً للعمل، بل من باب أنّ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العمل وإنما البلوغ مع العمل،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 ضمان الثواب في صحيحة هشام ذات العمل، بل البلوغ مع العمل وإلا فإنّ العمل المجرد لا يترتب عليه الثواب الموعود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لا يفيد انبعاث العمل من الثواب المحتمل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ورد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الترتب؟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ويظهر ذلك في هذا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فلان الأذان فبادر إلى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سماع الأذان علة المبادرة إلى المسجد، بل إدراك فضيلة المبادرة علة للمبادرة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مجرد الترتب، لا عليّة المترتب عليه للمترتب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وتعليل، فلا ينثلم الظهور الذي ادعاه صاحب الكفاية</w:t>
      </w:r>
      <w:r>
        <w:rPr>
          <w:rStyle w:val="FootnoteAnchor"/>
          <w:rtl w:val="true"/>
        </w:rPr>
        <w:footnoteReference w:id="845"/>
      </w:r>
      <w:r>
        <w:rPr>
          <w:rFonts w:ascii="Amiri" w:hAnsi="Amiri" w:eastAsia="Amiri" w:cs="Amiri"/>
          <w:color w:val="111111"/>
          <w:sz w:val="28"/>
          <w:sz w:val="28"/>
          <w:szCs w:val="28"/>
          <w:rtl w:val="true"/>
          <w:lang w:bidi="ar-SA"/>
        </w:rPr>
        <w:t>، من أنّ ظاهر صحيحة هشام اتحاد الثواب الموعود مع الثواب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العلّية اصطدم الظهوران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الفاء للترتب لا للتعليل، لا يجدي؛ لكونه صرف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الاحتمال كافٍ لإثبات كلام صاحب الكفاية، حيث إنه مع الإجمال المذكور، يبقى الظهور الأولي لاتحاد الثواب الموعود مع الثواب البالغ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ما ذكر في النهاية</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إلى نحوين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ظاهرة في التعليل في خصوص المقام، فيكون علة العمل الثواب المحتمل، فيعود الإشكال؛ لأنّ العمل الذي هو معلول للثواب المحتمل مساوق للانقياد والاحتياط، وهو بذاته يقتضي الثواب، فثبوت الثواب له لا يدل على استحبابه، فيتعارض الظهوران، و بذلك تسقط قاعدة التسامح في أدلة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التفريع نوعان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العمل على الداعي،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 كذا فأدّيته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داع للأداء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العمل على موضوع الداعي،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عليه الوقت فصلّى فله كذا من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معلولاً لما قبلها، فإنّ دخول الوقت ليس علة للصلاة، وأما الداعي فلم يذكر، فربما يكون الداعي هو الثواب الموعود، أو التقرب إلى اللّه تعالى، أو حبه سبحانه أو لكونه أهلاً للعبادة، نعم، يكون دخول الوقت موضوعاً لوجود الداعي، ولولاه لم يكن مجال لمحركية الداعي إلى ما يدعو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أن يكون التفريع تفريع العمل على موضوع الداعي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هشام تدل على أنّ العمل بداعي الثواب المحتمل غير تام، بل بلوغ الثواب موضوع الداعي، وأما الداعي ففيه احتمالات،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لبلوغ الثواب المحتمل كما يفعله عامة الناس، فإنّ عبادتهم عبادة الأُجراء أو العبيد، ومنها الحب لله تعالى، ومنها التقرب إليه، فلا ينحصر مفاد صحيحة هشام في عبادة الأُجراء والعبيد فقط، بل يشمل الدواعي الأُخَر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ينتفي ما ذكر من تفريع المعلول على علته، بل يكون العمل بنفسه موضوع الثواب بأي داع كان، فالمهم في العمل العبادي أن يضاف إلى المولى بنحو من أنحاء الإضافة، سواء كانت الإضافة بعنوان حصول الثواب أم التقرب أم أي 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مطلق، وترتّب الثواب على العمل المطلق دليل على استحبابه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بعد التسليم بكون الفاء تفيد </w:t>
      </w:r>
    </w:p>
    <w:p>
      <w:pPr>
        <w:pStyle w:val="BookText"/>
        <w:rPr/>
      </w:pPr>
      <w:r>
        <w:rPr>
          <w:rFonts w:ascii="Amiri" w:hAnsi="Amiri" w:eastAsia="Amiri" w:cs="Amiri"/>
          <w:color w:val="111111"/>
          <w:sz w:val="28"/>
          <w:sz w:val="28"/>
          <w:szCs w:val="28"/>
          <w:rtl w:val="true"/>
          <w:lang w:bidi="ar-SA"/>
        </w:rPr>
        <w:t xml:space="preserve">الداعوية، وأنّ الداعي هو الثواب المحتمل، وأنّ مفاد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بداعي الثواب المذكور المساوق للانقياد</w:t>
      </w:r>
      <w:r>
        <w:rPr>
          <w:rStyle w:val="FootnoteAnchor"/>
          <w:rtl w:val="true"/>
        </w:rPr>
        <w:footnoteReference w:id="8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العمل متفرعاً على البلوغ، وكونه الداعي إلى العمل غير موجب لأن يكون الثواب، إنما يكون مترتباً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الداعي إلى العمل لا يوجب له وجهاً وعنواناً يؤتى به بذاك الوجه والعنوان</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العبارة توضيح بسيط وبيان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التوضيح البسيط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المحتمل جهة تعليلية للعمل، فيكون خارجاً عن حقيقته، وليس جهة تقييدية حتى يكون جزء الموضوع، والثواب مترتب على العمل مع هذه الحيثية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البيان الفني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في المقام داع ومدعو إليه</w:t>
      </w:r>
      <w:r>
        <w:rPr>
          <w:rStyle w:val="FootnoteAnchor"/>
          <w:rtl w:val="true"/>
        </w:rPr>
        <w:footnoteReference w:id="851"/>
      </w:r>
      <w:r>
        <w:rPr>
          <w:rFonts w:ascii="Amiri" w:hAnsi="Amiri" w:eastAsia="Amiri" w:cs="Amiri"/>
          <w:color w:val="111111"/>
          <w:sz w:val="28"/>
          <w:sz w:val="28"/>
          <w:szCs w:val="28"/>
          <w:rtl w:val="true"/>
          <w:lang w:bidi="ar-SA"/>
        </w:rPr>
        <w:t>، وقد ثبت في محله أنّ الداعي متقدم على المدعو إليه بماهيته، وإن كان متأخراً عنه بإنيته</w:t>
      </w:r>
      <w:r>
        <w:rPr>
          <w:rStyle w:val="FootnoteAnchor"/>
          <w:rtl w:val="true"/>
        </w:rPr>
        <w:footnoteReference w:id="852"/>
      </w:r>
      <w:r>
        <w:rPr>
          <w:rFonts w:ascii="Amiri" w:hAnsi="Amiri" w:eastAsia="Amiri" w:cs="Amiri"/>
          <w:color w:val="111111"/>
          <w:sz w:val="28"/>
          <w:sz w:val="28"/>
          <w:szCs w:val="28"/>
          <w:rtl w:val="true"/>
          <w:lang w:bidi="ar-SA"/>
        </w:rPr>
        <w:t>، والشيء المتقدم على العمل لا يعقل أن يؤخذ فيه، فلم يؤخذ الثواب المحتمل في الموضوع، بل هو باعث ومحرك، والموضوع ذات العمل، فترتّب الثواب عليه دليل على الاستحباب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لإمكان دعوى أنّ مرجع الحيثيات التعليلية في الأحكام </w:t>
      </w:r>
    </w:p>
    <w:p>
      <w:pPr>
        <w:pStyle w:val="BookText"/>
        <w:rPr/>
      </w:pPr>
      <w:r>
        <w:rPr>
          <w:rFonts w:ascii="Amiri" w:hAnsi="Amiri" w:eastAsia="Amiri" w:cs="Amiri"/>
          <w:color w:val="111111"/>
          <w:sz w:val="28"/>
          <w:sz w:val="28"/>
          <w:szCs w:val="28"/>
          <w:rtl w:val="true"/>
          <w:lang w:bidi="ar-SA"/>
        </w:rPr>
        <w:t>إلى الحيثيات التقييدية، فلوقال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اليتيم تأديباً فلا دية عليه</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فإنّ التأديب وإن كان حيثية تعليلية للضرب، ولكن مآلها إلى الحيثية التقييدية، فيكون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التأديبي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الحكم بأن لا دية فيه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المدعى أخذ الداعي في المدعو حتى يشكل عليه باستلزامه لتقدم الشيء على نفسه، بل أخذ الداعي في الموضوع، ولا مانع من أخذ مجموع الداعي والمدعو موضوعاً لمحمول، وفي المقام يكون رجاء الثواب جزء الموضوع لا خارجه، فلا يدل على الاستحباب؛ لكونه مساوقاً للانقياد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الرابع</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اقتضاء الانقياد في حد ذاته للثواب،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ما يقتضي الثواب في حد ذاته لا يؤمر به على نحو المولوية، وقد مرّ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ما ذكرناه أنّ الإشكال الأول</w:t>
      </w:r>
      <w:r>
        <w:rPr>
          <w:rStyle w:val="FootnoteAnchor"/>
          <w:rtl w:val="true"/>
        </w:rPr>
        <w:footnoteReference w:id="855"/>
      </w:r>
      <w:r>
        <w:rPr>
          <w:rFonts w:ascii="Amiri" w:hAnsi="Amiri" w:eastAsia="Amiri" w:cs="Amiri"/>
          <w:color w:val="111111"/>
          <w:sz w:val="28"/>
          <w:sz w:val="28"/>
          <w:szCs w:val="28"/>
          <w:rtl w:val="true"/>
          <w:lang w:bidi="ar-SA"/>
        </w:rPr>
        <w:t>على الدليل الثاني</w:t>
      </w:r>
      <w:r>
        <w:rPr>
          <w:rStyle w:val="FootnoteAnchor"/>
          <w:rtl w:val="true"/>
        </w:rPr>
        <w:footnoteReference w:id="856"/>
      </w:r>
      <w:r>
        <w:rPr>
          <w:rFonts w:ascii="Amiri" w:hAnsi="Amiri" w:eastAsia="Amiri" w:cs="Amiri"/>
          <w:color w:val="111111"/>
          <w:sz w:val="28"/>
          <w:sz w:val="28"/>
          <w:szCs w:val="28"/>
          <w:rtl w:val="true"/>
          <w:lang w:bidi="ar-SA"/>
        </w:rPr>
        <w:t>غير وارد لبعض هذه الأجوبة الأربعة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القرينة الخارجية</w:t>
      </w:r>
      <w:r>
        <w:rPr>
          <w:rStyle w:val="FootnoteAnchor"/>
          <w:rtl w:val="true"/>
        </w:rPr>
        <w:footnoteReference w:id="858"/>
      </w:r>
      <w:r>
        <w:rPr>
          <w:rFonts w:ascii="Amiri" w:hAnsi="Amiri" w:eastAsia="Amiri" w:cs="Amiri"/>
          <w:color w:val="111111"/>
          <w:sz w:val="28"/>
          <w:sz w:val="28"/>
          <w:szCs w:val="28"/>
          <w:rtl w:val="true"/>
          <w:lang w:bidi="ar-SA"/>
        </w:rPr>
        <w:t xml:space="preserve">، وهي الروايات </w:t>
      </w:r>
    </w:p>
    <w:p>
      <w:pPr>
        <w:pStyle w:val="BookText"/>
        <w:rPr/>
      </w:pPr>
      <w:r>
        <w:rPr>
          <w:rFonts w:ascii="Amiri" w:hAnsi="Amiri" w:eastAsia="Amiri" w:cs="Amiri"/>
          <w:color w:val="111111"/>
          <w:sz w:val="28"/>
          <w:sz w:val="28"/>
          <w:szCs w:val="28"/>
          <w:rtl w:val="true"/>
          <w:lang w:bidi="ar-SA"/>
        </w:rPr>
        <w:t xml:space="preserve">المقيدة، حيث إنّ مفادها عدم ترتب الثواب على ذات العمل، وإنما على العمل الذي يؤتى به برجاء الثواب المحتمل، ومقتضى حمل المطلق على المقيد تقييد إطلاق صحيحة هشام بالقيد المذكور في بقية روايات الباب،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 التماس ذلك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لأجله، معناه أنّ الالتماس محرك وباعث نحو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المقيدة ضعيفة بأجمعها، فما عثرنا عليه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البرقي</w:t>
      </w:r>
      <w:r>
        <w:rPr>
          <w:rStyle w:val="FootnoteAnchor"/>
          <w:rtl w:val="true"/>
        </w:rPr>
        <w:footnoteReference w:id="859"/>
      </w:r>
      <w:r>
        <w:rPr>
          <w:rFonts w:ascii="Amiri" w:hAnsi="Amiri" w:eastAsia="Amiri" w:cs="Amiri"/>
          <w:color w:val="111111"/>
          <w:sz w:val="28"/>
          <w:sz w:val="28"/>
          <w:szCs w:val="28"/>
          <w:rtl w:val="true"/>
          <w:lang w:bidi="ar-SA"/>
        </w:rPr>
        <w:t>، عن أبيه</w:t>
      </w:r>
      <w:r>
        <w:rPr>
          <w:rStyle w:val="FootnoteAnchor"/>
          <w:rtl w:val="true"/>
        </w:rPr>
        <w:footnoteReference w:id="860"/>
      </w:r>
      <w:r>
        <w:rPr>
          <w:rFonts w:ascii="IRNazanin" w:hAnsi="IRNazanin" w:eastAsia="IRNazanin"/>
          <w:color w:val="111111"/>
          <w:sz w:val="28"/>
          <w:sz w:val="28"/>
          <w:szCs w:val="28"/>
          <w:rtl w:val="true"/>
          <w:lang w:bidi="fa-IR"/>
        </w:rPr>
        <w:t>، عن أحمد بن النضر</w:t>
      </w:r>
      <w:r>
        <w:rPr>
          <w:rStyle w:val="FootnoteAnchor"/>
          <w:rtl w:val="true"/>
        </w:rPr>
        <w:footnoteReference w:id="861"/>
      </w:r>
      <w:r>
        <w:rPr>
          <w:rFonts w:ascii="Amiri" w:hAnsi="Amiri" w:eastAsia="Amiri" w:cs="Amiri"/>
          <w:color w:val="111111"/>
          <w:sz w:val="28"/>
          <w:sz w:val="28"/>
          <w:szCs w:val="28"/>
          <w:rtl w:val="true"/>
          <w:lang w:bidi="ar-SA"/>
        </w:rPr>
        <w:t>، عن محمد بن مروان، عن أبي عبد اللّه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 الثواب ففعل ذلك طلب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ذلك الثواب، وإن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في قوله</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طلب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مفعول لأجله، أي ففعله بهذا القيد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محمد بن مروان مشترك، لا يعلم أنه الثقة أو الضعيف، فالرواية ساقطة عن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محمد بن يحيى، عن محمد بن الحسين، عن محمد بن سنان، عن عمران الزعفراني،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وإن لم يكن الحديث كما بلغه</w:t>
      </w:r>
      <w:r>
        <w:rPr>
          <w:rFonts w:eastAsia="Amiri" w:cs="Amiri" w:ascii="Amiri" w:hAnsi="Amiri"/>
          <w:color w:val="111111"/>
          <w:sz w:val="28"/>
          <w:szCs w:val="28"/>
          <w:rtl w:val="true"/>
          <w:lang w:bidi="ar-SA"/>
        </w:rPr>
        <w:t>»</w:t>
      </w:r>
      <w:r>
        <w:rPr>
          <w:rStyle w:val="FootnoteAnchor"/>
          <w:rtl w:val="true"/>
        </w:rPr>
        <w:footnoteReference w:id="863"/>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السند مواضع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اختلف في وثاقة محمد بن سنان، وربما لم يعتمد المشهور على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الزعفراني مشترك بين عمران بن عبد الرحيم الزعفراني، وعمران بن إسحاق الكوفي الزعفراني، وهما من أصحاب الإمام الصادق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 يصرح بوثاقتهما، إلا على مبنى وثاقة جميع أصحابه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وقد رد المبنى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طرح إشكال في المقام، وهو أنّ صحيحة هشام تجبر ضعف روايتي محمد بن مروان، فيندفع إشكال الضعف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لإمكان دعوى أنّ ما ينجبر ضعفه بصحيحة هشام هو الخبر الضعيف، الذي يثبت الثواب على عمل، لا الخبر الضعيف الذي ينفي الثواب على عمل، ومقتضى التقييد في الروايتين نفي الثواب على المطلق، </w:t>
      </w:r>
    </w:p>
    <w:p>
      <w:pPr>
        <w:pStyle w:val="BookText"/>
        <w:rPr/>
      </w:pPr>
      <w:r>
        <w:rPr>
          <w:rFonts w:ascii="Amiri" w:hAnsi="Amiri" w:eastAsia="Amiri" w:cs="Amiri"/>
          <w:color w:val="111111"/>
          <w:sz w:val="28"/>
          <w:sz w:val="28"/>
          <w:szCs w:val="28"/>
          <w:rtl w:val="true"/>
          <w:lang w:bidi="ar-SA"/>
        </w:rPr>
        <w:t>فلا ينجبر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البحث هو هل ثبوت الثواب على مطلق العمل</w:t>
      </w:r>
      <w:r>
        <w:rPr>
          <w:rStyle w:val="FootnoteAnchor"/>
          <w:rtl w:val="true"/>
        </w:rPr>
        <w:footnoteReference w:id="865"/>
      </w:r>
      <w:r>
        <w:rPr>
          <w:rFonts w:ascii="Amiri" w:hAnsi="Amiri" w:eastAsia="Amiri" w:cs="Amiri"/>
          <w:color w:val="111111"/>
          <w:sz w:val="28"/>
          <w:sz w:val="28"/>
          <w:szCs w:val="28"/>
          <w:rtl w:val="true"/>
          <w:lang w:bidi="ar-SA"/>
        </w:rPr>
        <w:t>، أو على العمل المقيد؟ ومفاد الخبرين نفي الثواب عن المطلق فلا تجبرهما صحيحة هشام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بحاجة إلى تأمل أكثر، حيث لم أرَ من تعرض للإشكال على الروايات المقيدة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Style w:val="FootnoteAnchor"/>
          <w:rtl w:val="true"/>
        </w:rPr>
        <w:footnoteReference w:id="866"/>
      </w:r>
      <w:r>
        <w:rPr>
          <w:rFonts w:ascii="Amiri" w:hAnsi="Amiri" w:eastAsia="Amiri" w:cs="Amiri"/>
          <w:color w:val="111111"/>
          <w:sz w:val="28"/>
          <w:sz w:val="28"/>
          <w:szCs w:val="28"/>
          <w:rtl w:val="true"/>
          <w:lang w:bidi="ar-SA"/>
        </w:rPr>
        <w:t>من أنه لا موجب للتقييد؛ لعدم المنافاة بين المفادين، فإنه إنما يكون تقييد المطلق تاماً فيما لو كان مفاده منافياً لمفاد المقيد، فيقتضي التوفيق العرفي حمل المطلق على المقيد، ولا منافاة بين المفادين في المقام، فمفاد صحيحة هشام ثبوت الثواب على ذات العمل، ومفاد رواية مروان ثبوت الثواب على العمل الذي أتي به برجاء إدراك الثواب، وثبوت الثواب على العمل بما هو هو لا ينافي ثبوت الثواب على العمل المتلون بلون، فمفاد صحيحة هشام حكم مولوي، ومفاد رواية مروان حكم 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المولوي موضوعه الماهية المطلقة، والحكم الإرشادي موضوعه الماهية المقيدة، ولا تنافي بين المفادين حتى نضطر إلى الجمع بين الدليلين بحمل المطلق على المقيد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يبقى المطلق على إطلاقه، وهو مساوق لثبوت الاستحباب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أشكل عليه في النهاية</w:t>
      </w:r>
      <w:r>
        <w:rPr>
          <w:rStyle w:val="FootnoteAnchor"/>
          <w:rtl w:val="true"/>
        </w:rPr>
        <w:footnoteReference w:id="867"/>
      </w:r>
      <w:r>
        <w:rPr>
          <w:rFonts w:ascii="Amiri" w:hAnsi="Amiri" w:eastAsia="Amiri" w:cs="Amiri"/>
          <w:color w:val="111111"/>
          <w:sz w:val="28"/>
          <w:sz w:val="28"/>
          <w:szCs w:val="28"/>
          <w:rtl w:val="true"/>
          <w:lang w:bidi="ar-SA"/>
        </w:rPr>
        <w:t>بوحدة السياق، وأنّ الروايات في مقام ترتب سنخ واحد من الثواب على موضوع واحد، وتبعه في ذلك السيد الروحاني</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وحدة موضوع الأخبار بما يؤدي إلى حمل المطلق على المقيد، وصرف الأخبار المطلقة عن المولوية إلى الإرشادية مما لا تطمئن به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روايات كثيرة في مختلف أبواب الفقه، بعضها مطلقة وبعضها مقيدة، ولا مانع من إبقاء المطلق على إطلاقه مع عدم المنافاة بينهما</w:t>
      </w:r>
      <w:r>
        <w:rPr>
          <w:rStyle w:val="FootnoteAnchor"/>
          <w:rtl w:val="true"/>
        </w:rPr>
        <w:footnoteReference w:id="869"/>
      </w:r>
      <w:r>
        <w:rPr>
          <w:rFonts w:ascii="Amiri" w:hAnsi="Amiri" w:eastAsia="Amiri" w:cs="Amiri"/>
          <w:color w:val="111111"/>
          <w:sz w:val="28"/>
          <w:sz w:val="28"/>
          <w:szCs w:val="28"/>
          <w:rtl w:val="true"/>
          <w:lang w:bidi="ar-SA"/>
        </w:rPr>
        <w:t>، فإنّ الماهية اللا بشرط والماهية بشرط شيء موضوعان وجداناً، وفي صحيحة هشام الماهية لا بشرط، وفي رواية مروان الماهية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السياق يوحد الموضوع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87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عدم جريان حمل المطلق على المقيّد في باب المستحبات</w:t>
      </w:r>
      <w:r>
        <w:rPr>
          <w:rStyle w:val="FootnoteAnchor"/>
          <w:rtl w:val="true"/>
        </w:rPr>
        <w:footnoteReference w:id="871"/>
      </w:r>
      <w:r>
        <w:rPr>
          <w:rFonts w:ascii="Amiri" w:hAnsi="Amiri" w:eastAsia="Amiri" w:cs="Amiri"/>
          <w:color w:val="111111"/>
          <w:sz w:val="28"/>
          <w:sz w:val="28"/>
          <w:szCs w:val="28"/>
          <w:rtl w:val="true"/>
          <w:lang w:bidi="ar-SA"/>
        </w:rPr>
        <w:t>، وإنما يحمل على تعدد مراتب الاستحباب</w:t>
      </w:r>
      <w:r>
        <w:rPr>
          <w:rStyle w:val="FootnoteAnchor"/>
          <w:rtl w:val="true"/>
        </w:rPr>
        <w:footnoteReference w:id="872"/>
      </w:r>
      <w:r>
        <w:rPr>
          <w:rFonts w:ascii="Amiri" w:hAnsi="Amiri" w:eastAsia="Amiri" w:cs="Amiri"/>
          <w:color w:val="111111"/>
          <w:sz w:val="28"/>
          <w:sz w:val="28"/>
          <w:szCs w:val="28"/>
          <w:rtl w:val="true"/>
          <w:lang w:bidi="ar-SA"/>
        </w:rPr>
        <w:t>، فإنّ المقيّد مرتبة أعلى من مراتب الاستحباب، وهو لا ينافي استحباب المطلق، فتبقى الصحيحة والروايتان على ما هي عليه</w:t>
      </w:r>
      <w:r>
        <w:rPr>
          <w:rFonts w:eastAsia="Amiri" w:cs="Amiri" w:ascii="Amiri" w:hAnsi="Amiri"/>
          <w:color w:val="111111"/>
          <w:sz w:val="28"/>
          <w:szCs w:val="28"/>
          <w:rtl w:val="true"/>
          <w:lang w:bidi="ar-SA"/>
        </w:rPr>
        <w:t xml:space="preserve">. </w:t>
      </w:r>
      <w:bookmarkStart w:id="388" w:name="pg15608_167229"/>
    </w:p>
    <w:p>
      <w:pPr>
        <w:pStyle w:val="BookText"/>
        <w:rPr/>
      </w:pPr>
      <w:bookmarkEnd w:id="388"/>
      <w:r>
        <w:rPr>
          <w:rFonts w:ascii="Amiri" w:hAnsi="Amiri" w:eastAsia="Amiri" w:cs="Amiri"/>
          <w:color w:val="111111"/>
          <w:sz w:val="28"/>
          <w:sz w:val="28"/>
          <w:szCs w:val="28"/>
          <w:rtl w:val="true"/>
          <w:lang w:bidi="ar-SA"/>
        </w:rPr>
        <w:t>وأشكل عليه في النهاية</w:t>
      </w:r>
      <w:r>
        <w:rPr>
          <w:rStyle w:val="FootnoteAnchor"/>
          <w:rtl w:val="true"/>
        </w:rPr>
        <w:footnoteReference w:id="873"/>
      </w:r>
      <w:r>
        <w:rPr>
          <w:rFonts w:ascii="Amiri" w:hAnsi="Amiri" w:eastAsia="Amiri" w:cs="Amiri"/>
          <w:color w:val="111111"/>
          <w:sz w:val="28"/>
          <w:sz w:val="28"/>
          <w:szCs w:val="28"/>
          <w:rtl w:val="true"/>
          <w:lang w:bidi="ar-SA"/>
        </w:rPr>
        <w:t>بما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المشترك بين المطلق والمقيد في باب المستحبات سبب عدم حمل الأول على الثاني، فإنّ الماهية المشتركة لها مراتب،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مراتباً غنىً وفقراً تختلف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كالنور حيثما تقوى وضعف</w:t>
      </w:r>
    </w:p>
    <w:p>
      <w:pPr>
        <w:pStyle w:val="BookText"/>
        <w:rPr/>
      </w:pPr>
      <w:r>
        <w:rPr>
          <w:rFonts w:ascii="Amiri" w:hAnsi="Amiri" w:eastAsia="Amiri" w:cs="Amiri"/>
          <w:color w:val="111111"/>
          <w:sz w:val="28"/>
          <w:sz w:val="28"/>
          <w:szCs w:val="28"/>
          <w:rtl w:val="true"/>
          <w:lang w:bidi="ar-SA"/>
        </w:rPr>
        <w:t>لكن فيما نحن فيه لا جامع مشترك بينهما، لأنّ المقيد راجح عقلي، والمطلق مستحب شرعي، فليس المقيد من مراتب المستحب الشرعي، فهما حقيقتان، ولا معنى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الراجح العقلي مرتبة عليا من مراتب الرجحان الشرعي، وكيف يكون المباين مرتبة من مراتب مباينه؟ فلا يجري الملاك المذكور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لأنه مبتن على أنه كلما ورد الأمر شرعي في مورد الأمر العقلي حمل على الإرشاد، والمستفاد من كلام المحقق النائيني إبقاء المقيد على الاستحباب الشرعي، فمفاد عبارته أنّ المطلق والمقيد مستحبان شرعيان، فيحمل على المراتب، والإشكال المذكور خروج عن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الدليل الثاني على الاستحباب الشرعي</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10086727_2142443653"/>
      <w:bookmarkStart w:id="390" w:name="_Toc148"/>
      <w:bookmarkEnd w:id="389"/>
      <w:r>
        <w:rPr>
          <w:rtl w:val="true"/>
        </w:rPr>
        <w:t>الدليل الثالث</w:t>
      </w:r>
      <w:bookmarkEnd w:id="390"/>
    </w:p>
    <w:p>
      <w:pPr>
        <w:pStyle w:val="BookText"/>
        <w:rPr/>
      </w:pPr>
      <w:r>
        <w:rPr>
          <w:rFonts w:ascii="Amiri" w:hAnsi="Amiri" w:eastAsia="Amiri" w:cs="Amiri"/>
          <w:color w:val="111111"/>
          <w:sz w:val="28"/>
          <w:sz w:val="28"/>
          <w:szCs w:val="28"/>
          <w:rtl w:val="true"/>
          <w:lang w:bidi="ar-SA"/>
        </w:rPr>
        <w:t>كون المولى في مقام الترغيب على العمل كاشف عن استحبابه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كاشف عن المحبوبية، وهي ملازمة للأمر؛ لأنها </w:t>
      </w:r>
    </w:p>
    <w:p>
      <w:pPr>
        <w:pStyle w:val="BookText"/>
        <w:rPr/>
      </w:pPr>
      <w:r>
        <w:rPr>
          <w:rFonts w:ascii="Amiri" w:hAnsi="Amiri" w:eastAsia="Amiri" w:cs="Amiri"/>
          <w:color w:val="111111"/>
          <w:sz w:val="28"/>
          <w:sz w:val="28"/>
          <w:szCs w:val="28"/>
          <w:rtl w:val="true"/>
          <w:lang w:bidi="ar-SA"/>
        </w:rPr>
        <w:t>تقتضيه، إلا أنّ تأثير المقتضي في المقتضى</w:t>
      </w:r>
      <w:r>
        <w:rPr>
          <w:rStyle w:val="FootnoteAnchor"/>
          <w:rtl w:val="true"/>
        </w:rPr>
        <w:footnoteReference w:id="875"/>
      </w:r>
      <w:r>
        <w:rPr>
          <w:rFonts w:ascii="Amiri" w:hAnsi="Amiri" w:eastAsia="Amiri" w:cs="Amiri"/>
          <w:color w:val="111111"/>
          <w:sz w:val="28"/>
          <w:sz w:val="28"/>
          <w:szCs w:val="28"/>
          <w:rtl w:val="true"/>
          <w:lang w:bidi="ar-SA"/>
        </w:rPr>
        <w:t>موقوف على عدم المانع، وكون المولى في مقام الحث والتحريض والترغيب كاشف عن انتفاء المانع، وبعد تحقق المقتضي للأمر وانتفاء المانع تتم العلة، فيكون وجود المعلول حتمياً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هذا الوجه من ثنايا كلمات المحقق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عليه في المنتقى</w:t>
      </w:r>
      <w:r>
        <w:rPr>
          <w:rStyle w:val="FootnoteAnchor"/>
          <w:rtl w:val="true"/>
        </w:rPr>
        <w:footnoteReference w:id="876"/>
      </w:r>
      <w:r>
        <w:rPr>
          <w:rFonts w:ascii="Amiri" w:hAnsi="Amiri" w:eastAsia="Amiri" w:cs="Amiri"/>
          <w:color w:val="111111"/>
          <w:sz w:val="28"/>
          <w:sz w:val="28"/>
          <w:szCs w:val="28"/>
          <w:rtl w:val="true"/>
          <w:lang w:bidi="ar-SA"/>
        </w:rPr>
        <w:t>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في المسألة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الترغيب والتحريض،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بيان التفضل الإلهي، والأول ملازم لمحبوبية العمل واستحبابه، أما الثاني فلا، وأخبار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مقام بيان التفضل الإلهي وإحسانه، وأنّ المولى الجليل لا يخيب من أمله ورجاه، ولا يضيع تعب من تعب لأجل الثواب الذي تخيله، فمن يرجو المولى الجليل وينادي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قرعت باب رحمتك بيد رجائي</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لا يخيب أمله ورجاه، فلا يلازم ذلك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هذا المعنى الشواهد العرفية، فهذه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داري بتخيل وجود الطعام فيه لا أخيب رجاءه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النفسية الرفيعة لصاحب الدار، فلا تدل على محبوبية قصد داره، بل من الممكن أن يكون ذلك مبغوضاً له لضيق ذات يده ووقوعه في الكلفة، لكنه لا يقطع أمل الآملين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تكون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التفضل الإلهي ثبوتاً، وهو لا يلازم استحباب العمل، بل قد يكون العمل مباحاً أو مكروهاً</w:t>
      </w:r>
      <w:r>
        <w:rPr>
          <w:rFonts w:eastAsia="Amiri" w:cs="Amiri" w:ascii="Amiri" w:hAnsi="Amiri"/>
          <w:color w:val="111111"/>
          <w:sz w:val="28"/>
          <w:szCs w:val="28"/>
          <w:rtl w:val="true"/>
          <w:lang w:bidi="ar-SA"/>
        </w:rPr>
        <w:t xml:space="preserve">. </w:t>
      </w:r>
      <w:bookmarkStart w:id="391" w:name="pg15608_167231"/>
    </w:p>
    <w:p>
      <w:pPr>
        <w:pStyle w:val="BookText"/>
        <w:rPr/>
      </w:pPr>
      <w:bookmarkEnd w:id="391"/>
      <w:r>
        <w:rPr>
          <w:rFonts w:ascii="Amiri" w:hAnsi="Amiri" w:eastAsia="Amiri" w:cs="Amiri"/>
          <w:color w:val="111111"/>
          <w:sz w:val="28"/>
          <w:sz w:val="28"/>
          <w:szCs w:val="28"/>
          <w:rtl w:val="true"/>
          <w:lang w:bidi="ar-SA"/>
        </w:rPr>
        <w:t>ويستفاد هذا المعنى أو نظيره من أواخر كلام الشيخ الأعظم في الرسائل</w:t>
      </w:r>
      <w:r>
        <w:rPr>
          <w:rStyle w:val="FootnoteAnchor"/>
          <w:rtl w:val="true"/>
        </w:rPr>
        <w:footnoteReference w:id="878"/>
      </w:r>
      <w:r>
        <w:rPr>
          <w:rFonts w:ascii="Amiri" w:hAnsi="Amiri" w:eastAsia="Amiri" w:cs="Amiri"/>
          <w:color w:val="111111"/>
          <w:sz w:val="28"/>
          <w:sz w:val="28"/>
          <w:szCs w:val="28"/>
          <w:rtl w:val="true"/>
          <w:lang w:bidi="ar-SA"/>
        </w:rPr>
        <w:t>، حيث استشهد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فليست الآية في مقام الحث والتحريض بإتيان الحسنة، بل في مقام بيان الفضل الإلهي، وأنه تعالى عطوف حنان منان، وذلك بدليل الجملة الثانية،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بِالسَّيِّئَةِ فَلاَ يُجْزَى إِلاَّ مِثْلَهَا</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فهي في مقام بيان العدل الإلهي، فلا تفيد الجملتان لا الترغيب ولا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الاحتمال في كون روايات الباب في هذا المقام، وهو مسقط لاستدلال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يصلح إيراداً على الدليل الثاني أيضاً، فالقول إنّ ترتيب الثواب على ذات العمل دليل على استحبابه، إنما يكون تاماً فيما لو لم يكن المقام مقام بيان التفضل، وإلا فلا يفيد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وارد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المولى في مقام الحث والترغيب، وهذا الظهور العرفي لا ينافيه الاحتمال العقلي، فإنّ احتمال التفضل عقلي دقي</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10086729_2142443653"/>
      <w:bookmarkStart w:id="393" w:name="_Toc149"/>
      <w:bookmarkEnd w:id="392"/>
      <w:r>
        <w:rPr>
          <w:rtl w:val="true"/>
        </w:rPr>
        <w:t>الدليل الرابع</w:t>
      </w:r>
      <w:bookmarkEnd w:id="393"/>
    </w:p>
    <w:p>
      <w:pPr>
        <w:pStyle w:val="BookText"/>
        <w:rPr/>
      </w:pPr>
      <w:r>
        <w:rPr>
          <w:rFonts w:ascii="Amiri" w:hAnsi="Amiri" w:eastAsia="Amiri" w:cs="Amiri"/>
          <w:color w:val="111111"/>
          <w:sz w:val="28"/>
          <w:sz w:val="28"/>
          <w:szCs w:val="28"/>
          <w:rtl w:val="true"/>
          <w:lang w:bidi="ar-SA"/>
        </w:rPr>
        <w:t xml:space="preserve">فهم المشهور، فإنّ المشهور بين الفقهاء إفادة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والتتبع في الفقه كفيل بإثباته، وقد أشار إليه جمع من الفقهاء </w:t>
      </w:r>
    </w:p>
    <w:p>
      <w:pPr>
        <w:pStyle w:val="BookText"/>
        <w:rPr/>
      </w:pPr>
      <w:r>
        <w:rPr>
          <w:rFonts w:ascii="Amiri" w:hAnsi="Amiri" w:eastAsia="Amiri" w:cs="Amiri"/>
          <w:color w:val="111111"/>
          <w:sz w:val="28"/>
          <w:sz w:val="28"/>
          <w:szCs w:val="28"/>
          <w:rtl w:val="true"/>
          <w:lang w:bidi="ar-SA"/>
        </w:rPr>
        <w:t>والأصوليين، منهم صاحب الكفاية</w:t>
      </w:r>
      <w:r>
        <w:rPr>
          <w:rStyle w:val="FootnoteAnchor"/>
          <w:rtl w:val="true"/>
        </w:rPr>
        <w:footnoteReference w:id="881"/>
      </w:r>
      <w:r>
        <w:rPr>
          <w:rFonts w:ascii="Amiri" w:hAnsi="Amiri" w:eastAsia="Amiri" w:cs="Amiri"/>
          <w:color w:val="111111"/>
          <w:sz w:val="28"/>
          <w:sz w:val="28"/>
          <w:szCs w:val="28"/>
          <w:rtl w:val="true"/>
          <w:lang w:bidi="ar-SA"/>
        </w:rPr>
        <w:t>والمحقق النائيني</w:t>
      </w:r>
      <w:r>
        <w:rPr>
          <w:rStyle w:val="FootnoteAnchor"/>
          <w:rtl w:val="true"/>
        </w:rPr>
        <w:footnoteReference w:id="882"/>
      </w:r>
      <w:r>
        <w:rPr>
          <w:rFonts w:ascii="Amiri" w:hAnsi="Amiri" w:eastAsia="Amiri" w:cs="Amiri"/>
          <w:color w:val="111111"/>
          <w:sz w:val="28"/>
          <w:sz w:val="28"/>
          <w:szCs w:val="28"/>
          <w:rtl w:val="true"/>
          <w:lang w:bidi="ar-SA"/>
        </w:rPr>
        <w:t>والسيد الروحاني</w:t>
      </w:r>
      <w:r>
        <w:rPr>
          <w:rStyle w:val="FootnoteAnchor"/>
          <w:rtl w:val="true"/>
        </w:rPr>
        <w:footnoteReference w:id="883"/>
      </w:r>
      <w:r>
        <w:rPr>
          <w:rFonts w:ascii="Amiri" w:hAnsi="Amiri" w:eastAsia="Amiri" w:cs="Amiri"/>
          <w:color w:val="111111"/>
          <w:sz w:val="28"/>
          <w:sz w:val="28"/>
          <w:szCs w:val="28"/>
          <w:rtl w:val="true"/>
          <w:lang w:bidi="ar-SA"/>
        </w:rPr>
        <w:t>حيث صرحوا بأنه قول المشهور، وقال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القول منسوب إلى المشهور</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وقال الشيخ الأعظم في رسالة التسامح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أصحابنا</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وقال الشهيد الثاني في الرعاية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اشتهر بين العلماء المحققين من التساهل في أدلة السنن</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 ما في الكتب الفقهية، كالشرائع والرسائل العملية من بيان المستحبات في كل باب، مع أنّ أدلة غالبها ربما تكون ضعيفة، وكأنّ الأمر مفروغ منه، نعم، قد شكك في ذلك في البرهة الأخيرة، وإلا فإنّ الكتب الفقهية من الشيخ إلى السيد</w:t>
      </w:r>
      <w:r>
        <w:rPr>
          <w:rStyle w:val="FootnoteAnchor"/>
          <w:rtl w:val="true"/>
        </w:rPr>
        <w:footnoteReference w:id="887"/>
      </w:r>
      <w:r>
        <w:rPr>
          <w:rFonts w:ascii="Amiri" w:hAnsi="Amiri" w:eastAsia="Amiri" w:cs="Amiri"/>
          <w:color w:val="111111"/>
          <w:sz w:val="28"/>
          <w:sz w:val="28"/>
          <w:szCs w:val="28"/>
          <w:rtl w:val="true"/>
          <w:lang w:bidi="ar-SA"/>
        </w:rPr>
        <w:t>مبنية على استحباب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فهم المشهور الاستحباب ثابت ظاهراً، وهو جابر للدلالة على فرض القصور الدلالي للخبر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في مباحث الشهرة أدلة حجية فهم المشهور، وأنّ الشهرة الروائية والعملية والفتوائية مشمولة للأدلة المتقدمة على حجية الشهرة، وقد نقلنا عن السيد السبزواري</w:t>
      </w:r>
      <w:r>
        <w:rPr>
          <w:rStyle w:val="FootnoteAnchor"/>
          <w:rtl w:val="true"/>
        </w:rPr>
        <w:footnoteReference w:id="888"/>
      </w:r>
      <w:r>
        <w:rPr>
          <w:rFonts w:ascii="Amiri" w:hAnsi="Amiri" w:eastAsia="Amiri" w:cs="Amiri"/>
          <w:color w:val="111111"/>
          <w:sz w:val="28"/>
          <w:sz w:val="28"/>
          <w:szCs w:val="28"/>
          <w:rtl w:val="true"/>
          <w:lang w:bidi="ar-SA"/>
        </w:rPr>
        <w:t xml:space="preserve">أنّ من أراد أن يفتي في الفقه بلا اعتماد على الشهرة </w:t>
      </w:r>
      <w:bookmarkStart w:id="394" w:name="pg15608_167233"/>
    </w:p>
    <w:p>
      <w:pPr>
        <w:pStyle w:val="BookText"/>
        <w:rPr/>
      </w:pPr>
      <w:bookmarkEnd w:id="394"/>
      <w:r>
        <w:rPr>
          <w:rFonts w:ascii="Amiri" w:hAnsi="Amiri" w:eastAsia="Amiri" w:cs="Amiri"/>
          <w:color w:val="111111"/>
          <w:sz w:val="28"/>
          <w:sz w:val="28"/>
          <w:szCs w:val="28"/>
          <w:rtl w:val="true"/>
          <w:lang w:bidi="ar-SA"/>
        </w:rPr>
        <w:t>لحصل له فقه جديد لا يقبله الشيعة ولا العامّة ولا أهل الكتاب</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10086731_2142443653"/>
      <w:bookmarkStart w:id="396" w:name="_Toc150"/>
      <w:bookmarkEnd w:id="395"/>
      <w:r>
        <w:rPr>
          <w:rtl w:val="true"/>
        </w:rPr>
        <w:t>الدليل الخامس</w:t>
      </w:r>
      <w:bookmarkEnd w:id="396"/>
    </w:p>
    <w:p>
      <w:pPr>
        <w:pStyle w:val="BookText"/>
        <w:rPr/>
      </w:pPr>
      <w:r>
        <w:rPr>
          <w:rFonts w:ascii="Amiri" w:hAnsi="Amiri" w:eastAsia="Amiri" w:cs="Amiri"/>
          <w:color w:val="111111"/>
          <w:sz w:val="28"/>
          <w:sz w:val="28"/>
          <w:szCs w:val="28"/>
          <w:rtl w:val="true"/>
          <w:lang w:bidi="ar-SA"/>
        </w:rPr>
        <w:t xml:space="preserve">إنه نوع احتياط، فتشمله 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مستحباً بأدلة الاحتياط لا بروايات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الاحتياط في العمل الذي بلغ عليه الثواب إنّما يكون بالإتيان به برجاء المطلوبية، وأما بعنوان الاستحباب فخلاف الاحتياط؛ لأنه تشريع، وهو إدخال ما لم يعلم كونه من الدين في الدين، فإنّ نسبة الاستحباب إلى المولى كنسبة الوجوب إليه تشريع، فلا يمكن الإفتاء باستحباب العمل، كما أنّ المكلف لا يمكنه الإتيان به بعنوان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به برجاء المحبوبية مستحب، بمعنى أنّ الإتيان بكل مستحب لم يثبت بخبر صحيح برجاء مطلوبيته مستحب بأوامر احتط، لكن لا يمكن إثبات استحبابه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أدلة القول الأول، وربما العمدة فيها فهم المشهور</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0086733_2142443653"/>
      <w:bookmarkStart w:id="398" w:name="_Toc151"/>
      <w:bookmarkEnd w:id="397"/>
      <w:r>
        <w:rPr>
          <w:rtl w:val="true"/>
        </w:rPr>
        <w:t>القول الثاني</w:t>
      </w:r>
      <w:r>
        <w:rPr>
          <w:rtl w:val="true"/>
        </w:rPr>
        <w:t xml:space="preserve">: </w:t>
      </w:r>
      <w:r>
        <w:rPr>
          <w:rtl w:val="true"/>
        </w:rPr>
        <w:t xml:space="preserve">مفاد أخبار </w:t>
      </w:r>
      <w:r>
        <w:rPr>
          <w:rtl w:val="true"/>
        </w:rPr>
        <w:t>(</w:t>
      </w:r>
      <w:r>
        <w:rPr>
          <w:rtl w:val="true"/>
        </w:rPr>
        <w:t>من بلغ</w:t>
      </w:r>
      <w:r>
        <w:rPr>
          <w:rtl w:val="true"/>
        </w:rPr>
        <w:t xml:space="preserve">) </w:t>
      </w:r>
      <w:r>
        <w:rPr>
          <w:rtl w:val="true"/>
        </w:rPr>
        <w:t>الإرشاد إلى حكم العقل بالانقياد</w:t>
      </w:r>
      <w:bookmarkEnd w:id="398"/>
    </w:p>
    <w:p>
      <w:pPr>
        <w:pStyle w:val="BookText"/>
        <w:rPr/>
      </w:pPr>
      <w:r>
        <w:rPr>
          <w:rFonts w:ascii="Amiri" w:hAnsi="Amiri" w:eastAsia="Amiri" w:cs="Amiri"/>
          <w:color w:val="111111"/>
          <w:sz w:val="28"/>
          <w:sz w:val="28"/>
          <w:szCs w:val="28"/>
          <w:rtl w:val="true"/>
          <w:lang w:bidi="ar-SA"/>
        </w:rPr>
        <w:t xml:space="preserve">إنّ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الإرشاد إلى حكم العقل، فإنه يأمر بالانقياد المقتضي للثواب، ومفاد الأخبار ترتيب الثواب على الانقياد، فتكون إرشاداً إلى حكمه، بناء على أنه كلما ورد أمر شرعي في مورد الأمر العقلي كان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الكبروي فقد مرّ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البحث الصغروي فقد أشكل عليه في النهاية بما خلاصته أنه لو كان مفاد الروايات الترتّب الطبيعي للثواب على العمل لكان إرشادياً، إلا أنّ مفادها ترتب الثواب الخاص على العمل، وهذا الثواب الخاص مما لا </w:t>
      </w:r>
    </w:p>
    <w:p>
      <w:pPr>
        <w:pStyle w:val="BookText"/>
        <w:rPr/>
      </w:pPr>
      <w:r>
        <w:rPr>
          <w:rFonts w:ascii="Amiri" w:hAnsi="Amiri" w:eastAsia="Amiri" w:cs="Amiri"/>
          <w:color w:val="111111"/>
          <w:sz w:val="28"/>
          <w:sz w:val="28"/>
          <w:szCs w:val="28"/>
          <w:rtl w:val="true"/>
          <w:lang w:bidi="ar-SA"/>
        </w:rPr>
        <w:t>يحكم به العقل، فتكون الروايات مولوية لا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حمل هذه الأخبار على الإرشاد إلى ثواب الانقياد بعيد عن السداد، وذلك أنّ الثواب الذي يمكن الإرشاد إليه لا بد من ثبوته لا من ناحية الإرشاد، بل بحكم العقل والعقلاء، وليس هو إلا أصل الثواب، وأما الوعد بالثواب الخاص فليس من الشارع بما هو عاقل، وإلا لحكم به سائر العقلاء، بل بما هو شارع؛ ترغيباً في فعل تعلق به غرض مولوي، فيكشف عن محبوبية مولوية ومطلوبية شرعية</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اختار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عليه نفس الشبهة الواردة في البحث المتقدم، وهي أننا نسلّم أنّ المولى بما هو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عاقل 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الثواب الخاص وأعمل المولوية في المقام، لكن هل هو في مقام الترغيب الملازم للاستحباب، أو أنه في مقام بيان التفضل، بل قد يكون مباحاً أو مبغوضاً لوجود مفسدة فيه، إلا أنه لا يخيب أمل من أمله لجوده وكرمه، فلا يفيد الاستحباب الشرعي؟</w:t>
      </w:r>
    </w:p>
    <w:p>
      <w:pPr>
        <w:pStyle w:val="BookText"/>
        <w:rPr/>
      </w:pPr>
      <w:r>
        <w:rPr>
          <w:rFonts w:ascii="Amiri" w:hAnsi="Amiri" w:eastAsia="Amiri" w:cs="Amiri"/>
          <w:color w:val="111111"/>
          <w:sz w:val="28"/>
          <w:sz w:val="28"/>
          <w:szCs w:val="28"/>
          <w:rtl w:val="true"/>
          <w:lang w:bidi="ar-SA"/>
        </w:rPr>
        <w:t>إلا أن يدفع هذا الاحتمال بالظهور العرفي أو بفهم المشهور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الكلام في الثمرة</w:t>
      </w:r>
      <w:r>
        <w:rPr>
          <w:rStyle w:val="FootnoteAnchor"/>
          <w:rtl w:val="true"/>
        </w:rPr>
        <w:footnoteReference w:id="890"/>
      </w:r>
      <w:r>
        <w:rPr>
          <w:rFonts w:ascii="Amiri" w:hAnsi="Amiri" w:eastAsia="Amiri" w:cs="Amiri"/>
          <w:color w:val="111111"/>
          <w:sz w:val="28"/>
          <w:sz w:val="28"/>
          <w:szCs w:val="28"/>
          <w:rtl w:val="true"/>
          <w:lang w:bidi="ar-SA"/>
        </w:rPr>
        <w:t xml:space="preserve">التي تترتب على كل واحد من القولين، بعد العلم بكون الثواب مضموناً قطعاً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كليهما، سواء كان مفاد الأخبار الاستحباب أم الإرشاد، فلا فرق بينهما 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والثمرات هي</w:t>
      </w:r>
      <w:r>
        <w:rPr>
          <w:rFonts w:eastAsia="Amiri" w:cs="Amiri" w:ascii="Amiri" w:hAnsi="Amiri"/>
          <w:color w:val="111111"/>
          <w:sz w:val="28"/>
          <w:szCs w:val="28"/>
          <w:rtl w:val="true"/>
          <w:lang w:bidi="ar-SA"/>
        </w:rPr>
        <w:t xml:space="preserve">: </w:t>
      </w:r>
      <w:bookmarkStart w:id="399" w:name="pg15608_167235"/>
    </w:p>
    <w:p>
      <w:pPr>
        <w:pStyle w:val="Heading6"/>
        <w:numPr>
          <w:ilvl w:val="5"/>
          <w:numId w:val="1"/>
        </w:numPr>
        <w:rPr/>
      </w:pPr>
      <w:bookmarkStart w:id="400" w:name="__RefHeading___Toc10086735_2142443653"/>
      <w:bookmarkStart w:id="401" w:name="_Toc152"/>
      <w:bookmarkEnd w:id="399"/>
      <w:bookmarkEnd w:id="400"/>
      <w:r>
        <w:rPr>
          <w:rtl w:val="true"/>
        </w:rPr>
        <w:t>الثمرات المترتبة على القولين</w:t>
      </w:r>
      <w:bookmarkEnd w:id="401"/>
    </w:p>
    <w:p>
      <w:pPr>
        <w:pStyle w:val="Heading6"/>
        <w:numPr>
          <w:ilvl w:val="5"/>
          <w:numId w:val="1"/>
        </w:numPr>
        <w:rPr/>
      </w:pPr>
      <w:bookmarkStart w:id="402" w:name="__RefHeading___Toc10086737_2142443653"/>
      <w:bookmarkStart w:id="403" w:name="_Toc153"/>
      <w:bookmarkEnd w:id="402"/>
      <w:r>
        <w:rPr>
          <w:rtl w:val="true"/>
        </w:rPr>
        <w:t>الثمرة الأولى</w:t>
      </w:r>
      <w:bookmarkEnd w:id="403"/>
    </w:p>
    <w:p>
      <w:pPr>
        <w:pStyle w:val="BookText"/>
        <w:rPr/>
      </w:pPr>
      <w:r>
        <w:rPr>
          <w:rFonts w:ascii="Amiri" w:hAnsi="Amiri" w:eastAsia="Amiri" w:cs="Amiri"/>
          <w:color w:val="111111"/>
          <w:sz w:val="28"/>
          <w:sz w:val="28"/>
          <w:szCs w:val="28"/>
          <w:rtl w:val="true"/>
          <w:lang w:bidi="ar-SA"/>
        </w:rPr>
        <w:t>وتظهر الثمرة في فتوى المفتي وعمل المستفتي،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تفيد الاستحباب أمكن للفقيه الفتوى بالاستحباب، وإن كانت الرواية ضعيفة، وأما مع اختيار القول الثاني فلا يمكنه الإفتاء كذلك، حيث لم يثبت أنه مستحب؛ لكون الخبر ضعيفاً، وأخبار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الاستحباب، فيكون تشريعاً، وهو إدخال ما لم يعلم كونه من الدين في الدين، حيث لا يخص دائرة الواجبات والمحرمات، بل يشمل الأحكام الخمسة، فلا بد أن يفتي بالإتيان به برجاء المطلوبية، وهكذا الأمر في عمل المستفتي، حيث يلزم أن يأتي به بعنوان رجاء المطلوبية لا بعنوان أنه من المستحبات الشرعية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4" w:name="__RefHeading___Toc10086739_2142443653"/>
      <w:bookmarkStart w:id="405" w:name="_Toc154"/>
      <w:bookmarkEnd w:id="404"/>
      <w:r>
        <w:rPr>
          <w:rtl w:val="true"/>
        </w:rPr>
        <w:t>الثمرة الثانية</w:t>
      </w:r>
      <w:bookmarkEnd w:id="40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الشيخ الأعظم</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دلالة الخبر الضعيف</w:t>
      </w:r>
      <w:r>
        <w:rPr>
          <w:rStyle w:val="FootnoteAnchor"/>
          <w:rtl w:val="true"/>
        </w:rPr>
        <w:footnoteReference w:id="893"/>
      </w:r>
      <w:r>
        <w:rPr>
          <w:rFonts w:ascii="Amiri" w:hAnsi="Amiri" w:eastAsia="Amiri" w:cs="Amiri"/>
          <w:color w:val="111111"/>
          <w:sz w:val="28"/>
          <w:sz w:val="28"/>
          <w:szCs w:val="28"/>
          <w:rtl w:val="true"/>
          <w:lang w:bidi="ar-SA"/>
        </w:rPr>
        <w:t>على غسل المسترسل من اللحية</w:t>
      </w:r>
      <w:r>
        <w:rPr>
          <w:rStyle w:val="FootnoteAnchor"/>
          <w:rtl w:val="true"/>
        </w:rPr>
        <w:footnoteReference w:id="894"/>
      </w:r>
      <w:r>
        <w:rPr>
          <w:rFonts w:ascii="Amiri" w:hAnsi="Amiri" w:eastAsia="Amiri" w:cs="Amiri"/>
          <w:color w:val="111111"/>
          <w:sz w:val="28"/>
          <w:sz w:val="28"/>
          <w:szCs w:val="28"/>
          <w:rtl w:val="true"/>
          <w:lang w:bidi="ar-SA"/>
        </w:rPr>
        <w:t>، فبناء على الاستحباب لو جفت اليد</w:t>
      </w:r>
      <w:r>
        <w:rPr>
          <w:rStyle w:val="FootnoteAnchor"/>
          <w:rtl w:val="true"/>
        </w:rPr>
        <w:footnoteReference w:id="895"/>
      </w:r>
      <w:r>
        <w:rPr>
          <w:rFonts w:ascii="IRNazanin" w:hAnsi="IRNazanin" w:eastAsia="IRNazanin"/>
          <w:color w:val="111111"/>
          <w:sz w:val="28"/>
          <w:sz w:val="28"/>
          <w:szCs w:val="28"/>
          <w:rtl w:val="true"/>
          <w:lang w:bidi="fa-IR"/>
        </w:rPr>
        <w:t xml:space="preserve">قبل مسح </w:t>
      </w:r>
    </w:p>
    <w:p>
      <w:pPr>
        <w:pStyle w:val="BookText"/>
        <w:rPr/>
      </w:pPr>
      <w:r>
        <w:rPr>
          <w:rFonts w:ascii="Amiri" w:hAnsi="Amiri" w:eastAsia="Amiri" w:cs="Amiri"/>
          <w:color w:val="111111"/>
          <w:sz w:val="28"/>
          <w:sz w:val="28"/>
          <w:szCs w:val="28"/>
          <w:rtl w:val="true"/>
          <w:lang w:bidi="ar-SA"/>
        </w:rPr>
        <w:t>الرأس والرجلين أمكن الأخذ من بلل المسترسل للمسح؛ لأنه بلل جزء مستحب من الوضوء، حيث ثبت أن غسل المسترسل جزء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الثاني فلم يثبت أنّ بلل المسترسل بلل الوضوء، فلا يمكنه الأخذ من المسترسل للمسح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هذه الثمرة بإشكالات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الأول ما ذكره صاحب الكفاية،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المسح لا بد أن يكون من بلل الوضوء ولا يصح ببلل ما ليس منه، ولو كان مستحباً فيه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الاستحباب على المشهور، إلا أنه لا يلازم الجزئية، فيمكن أن يكون غسل المسترسل مستحباً في ضمن واجب أو مستحب، كدعاء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 تسود 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جزء الوضوء، وإنما هو مستحب مستقل ظرفه الوضوء، وهنالك فرق بين أن يكون الشيء جزء الوضوء وبين أن يكون ظرفه الوضوء، وفي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الاستحباب لا الجزئية ولا يصح المسح إلا ببلة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لإمكان دعوى أنّ الاستحباب في مثل المقام ظاهر عرفاً في الجزئية، وأما كونه مستحباً نفسياً ظرفه الوضوء فبعيد عن الأذهان العرفية، فتصح الثمرة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وتمامية ذلك موقوف على إمكان وجود الجزء الاستحبابي، أما بناء على كونه محالاً فلا 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مستحب مستقل في ظرف الوضوء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المقام أمران لا بد من إثباتهما حتى يتم رد </w:t>
      </w:r>
    </w:p>
    <w:p>
      <w:pPr>
        <w:pStyle w:val="BookText"/>
        <w:rPr/>
      </w:pPr>
      <w:r>
        <w:rPr>
          <w:rFonts w:ascii="Amiri" w:hAnsi="Amiri" w:eastAsia="Amiri" w:cs="Amiri"/>
          <w:color w:val="111111"/>
          <w:sz w:val="28"/>
          <w:sz w:val="28"/>
          <w:szCs w:val="28"/>
          <w:rtl w:val="true"/>
          <w:lang w:bidi="ar-SA"/>
        </w:rPr>
        <w:t>الإشكال المذكور،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وجود الجزء الاستحبابي ثبوتاً،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أنّ غسل المسترسل جزء استحبابي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في المقام الأول إمكانه، فلا مانع من وجود الجزء الاستحبابي بلحاظ عالم الثبوت، وله نظائر عرفية، كوجود السرداب في البيت، حيث إنه ليس جزءاً مقوماً، بل جزء استحبابي إن وجد كان جزءاً من البيت، وإن لم يوجد كان مفهوم البيت صادقاً بلا أي نقص، ويوكل بحثه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الثاني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يفهم الجزئية، ولا يفهم أنه مستحب مستقل في ضمن واجب أو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الضعيف متضمن للاستحباب وللجزئية، وأخبار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استحباب العمل بالنحو البالغ، لا إنها تفيد طبيعي الاستحباب فحسب، فلو تضمن الخبر الضعيف خصوصية مكانية أو زمانية في المستحب، فإنّ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الاستحباب بنفس تلك الخصوصية، وهو واضح، وهكذا لو تضمن الخبر الضعيف الخصوصية الاستقلالية، بأن يكون مفاده الاستحباب على نحو الاستقلال أو الجزئية أو الشرطية، فأخبار من بلغ تمضي الاستحباب مع هذه الخصوصية، فيثبت الاستحباب وتثبت الاستقلالية أو الجزئية أو الشرطية، والسند في هذا المدعى الظهور العرفي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الأعظم</w:t>
      </w:r>
      <w:r>
        <w:rPr>
          <w:rStyle w:val="FootnoteAnchor"/>
          <w:rtl w:val="true"/>
        </w:rPr>
        <w:footnoteReference w:id="897"/>
      </w:r>
      <w:r>
        <w:rPr>
          <w:rFonts w:ascii="Amiri" w:hAnsi="Amiri" w:eastAsia="Amiri" w:cs="Amiri"/>
          <w:color w:val="111111"/>
          <w:sz w:val="28"/>
          <w:sz w:val="28"/>
          <w:szCs w:val="28"/>
          <w:rtl w:val="true"/>
          <w:lang w:bidi="ar-SA"/>
        </w:rPr>
        <w:t>،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أنّ </w:t>
      </w:r>
    </w:p>
    <w:p>
      <w:pPr>
        <w:pStyle w:val="BookText"/>
        <w:rPr/>
      </w:pPr>
      <w:r>
        <w:rPr>
          <w:rFonts w:ascii="Amiri" w:hAnsi="Amiri" w:eastAsia="Amiri" w:cs="Amiri"/>
          <w:color w:val="111111"/>
          <w:sz w:val="28"/>
          <w:sz w:val="28"/>
          <w:szCs w:val="28"/>
          <w:rtl w:val="true"/>
          <w:lang w:bidi="ar-SA"/>
        </w:rPr>
        <w:t>الاستحباب ملازم للجزئية، لكن لا دليل على جواز الأخذ من بلة كل جزء حتى من الأجزاء المستحب غسلها، وإنما الثابت صحة الأخذ من الأجزاء المقومة لماهية الوضوء، أما ما يكون كمالاً للوضوء فلم يثبت جواز الأخذ من 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في الإشكال المذكور جمع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لإمكان دعوى ظهور الأخبار في جواز المسح ببلة الوضوء مطلقاً، ولا دليل على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الحلبي عن أبي عبد اللّه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إذا ذكرت وأنت في صلاتك أنك قد تركت شيئاً من وضوئك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ويكفيك من مسح رأسك أن تأخذ من لحيتك بللها إذا نسيت أن تمسح رأسك فتمسح به مقدم رأسك</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يقيد فيها بكون البلة مقومة للماهية أو غير مقومة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سائر الروايات، فما ذكره الشيخ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الملازمة بين الاستحباب والجزئية، وتسليم جواز أخذ البلة من جميع الأجزاء، سواء كان غسلها واجباً أم مستحباً، إلا أنّ المقام خارج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الخروج الموضوعي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تفيد استحباب ما بلغ عليه الثواب، ولم يبلغ الثواب على غسل المسترسل؛ لأنّ الخبر الضعيف أفاد الاستحباب الضمني لغسل المسترسل، ولا ثواب عليه، بل الثواب ثابت على المجموع المركب، ولا </w:t>
      </w:r>
    </w:p>
    <w:p>
      <w:pPr>
        <w:pStyle w:val="BookText"/>
        <w:rPr/>
      </w:pPr>
      <w:r>
        <w:rPr>
          <w:rFonts w:ascii="Amiri" w:hAnsi="Amiri" w:eastAsia="Amiri" w:cs="Amiri"/>
          <w:color w:val="111111"/>
          <w:sz w:val="28"/>
          <w:sz w:val="28"/>
          <w:szCs w:val="28"/>
          <w:rtl w:val="true"/>
          <w:lang w:bidi="ar-SA"/>
        </w:rPr>
        <w:t xml:space="preserve">يتوزع على الأبعاض، أو لا أقل من عدم ثبوته عليها، وحيث لم يبلغ الثواب على غسل المسترسل فلا يثبت استحباب الغسل المزبور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إثبات استحباب غسل المسترسل لا بخبره لأنه ضعيف، ولا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يبلغ ثواب عليه، والمفروض أنّ المسح لا بد أن يكون ببلة الأجزاء الواجبة أو المستحبة الغسل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الضعيف الدال على الأمر الضمني، دال بالملازمة على ترتب الثواب على المجموع المركب من هذا الجزء وسائر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 فلما ثبت أنّ الإتيان بالمأمور به مستلزم للثواب ولو تفضلاً، لا استحقاقاً، وأما الدلالة فلما ثبت في محله أنّ الإخبار بالشيء إخبار بلوازمه وملزوماته وملازماته، سواء كانت اللوازم بينة بالمعنى الأخص أم بالمعنى الأعم أم غير بينة، حتى وإن لم يلتفت المتكلم إليها، وبناء عليه يدّل الخبر الضعيف بالملازمة على ترتب الثواب على 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استحباب المجموع المركب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لو تضمن الخبر الضعيف وجود الثواب على المجموع المركب فإنّ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استحباب المجموع المركب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استحباب المجموع المركب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لثبوت جزئية أبعاض المجموع المركب، فيثبت جزئية المشكوك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المسح ببلة المسترسل، وإن لم يثبت استحباب غسل المسترسل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جزء وقد فرض جواز المسح ببلة جميع </w:t>
      </w:r>
    </w:p>
    <w:p>
      <w:pPr>
        <w:pStyle w:val="BookText"/>
        <w:rPr/>
      </w:pPr>
      <w:r>
        <w:rPr>
          <w:rFonts w:ascii="IRNazanin" w:hAnsi="IRNazanin" w:eastAsia="IRNazanin"/>
          <w:color w:val="111111"/>
          <w:sz w:val="28"/>
          <w:sz w:val="28"/>
          <w:szCs w:val="28"/>
          <w:rtl w:val="true"/>
          <w:lang w:bidi="fa-IR"/>
        </w:rPr>
        <w:t>أعضاء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الرابع</w:t>
      </w:r>
      <w:r>
        <w:rPr>
          <w:rStyle w:val="FootnoteAnchor"/>
          <w:rtl w:val="true"/>
        </w:rPr>
        <w:footnoteReference w:id="899"/>
      </w:r>
      <w:r>
        <w:rPr>
          <w:rFonts w:ascii="Amiri" w:hAnsi="Amiri" w:eastAsia="Amiri" w:cs="Amiri"/>
          <w:color w:val="111111"/>
          <w:sz w:val="28"/>
          <w:sz w:val="28"/>
          <w:szCs w:val="28"/>
          <w:rtl w:val="true"/>
          <w:lang w:bidi="ar-SA"/>
        </w:rPr>
        <w:t>ما ذكره السيد الوالد في الفقه،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المشهور إلى جواز الأخذ منه؛ لصدق ماء الوضوء عليه، سواء قلنا باستحباب غسل المسترسل أم لم نقل باستحباب غسله؛ لإطلاق دليل الأخذ من اللحية مع تعارف الاسترسال، ولم ينبه على عدم جواز الأخذ من مسترسل اللحية، فالقول بأنه لو لم نقل باستحباب الغسل يكون حال بلل المسترسل كسائر البلل الخارج عن محال الوضوء لا وجه له</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تأخذ من لحيتك بللها</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والعرف يفهم تمام اللحية لا اللحية الداخلة في الحد، فإنّ إطلاقها وإطلاق سائر الروايات دليل على جواز الأخذ مطلقاً، سواء كان البلل الخارج من الحد جزء الوضوء أم لم يكن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أحد تقييدين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تقييد ما دل على الأخذ من بلة اللحية بكونها داخلة في الحد، وإما تقييد وجوب كون المسح ببلة الوضوء ببلة غير اللحية، فإما أن نقيد صحيحة الحلبي بالأدلة الدالة على لزوم كون المسح ببلة الوضوء، وإما أن نقيد تلك الأدلة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06" w:name="pg15608_167241"/>
    </w:p>
    <w:p>
      <w:pPr>
        <w:pStyle w:val="BookText"/>
        <w:rPr/>
      </w:pPr>
      <w:bookmarkEnd w:id="406"/>
      <w:r>
        <w:rPr>
          <w:rFonts w:ascii="IRNazanin" w:hAnsi="IRNazanin" w:eastAsia="IRNazanin"/>
          <w:color w:val="111111"/>
          <w:sz w:val="28"/>
          <w:sz w:val="28"/>
          <w:szCs w:val="28"/>
          <w:rtl w:val="true"/>
          <w:lang w:bidi="fa-IR"/>
        </w:rPr>
        <w:t>ولا مرجح لأحدهما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أمكن الجواب بأنّ الثاني أولى عرفاً، فإنّ العرف يرى من دليل صحيحة الحلبي جواز الأخذ من تمام اللحية، ولم يفهم مسألة داخل الحد وخارجه، ولو مع لحاظ أدلة بلة الوضوء، وعليه يجوز الأخذ مطلقاً، ولو لم يثبت الاستحباب فالثمرة الثانية غير تامة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10086741_2142443653"/>
      <w:bookmarkStart w:id="408" w:name="_Toc155"/>
      <w:bookmarkEnd w:id="407"/>
      <w:r>
        <w:rPr>
          <w:rtl w:val="true"/>
        </w:rPr>
        <w:t>الثمرة الثالثة</w:t>
      </w:r>
      <w:bookmarkEnd w:id="408"/>
    </w:p>
    <w:p>
      <w:pPr>
        <w:pStyle w:val="BookText"/>
        <w:rPr/>
      </w:pPr>
      <w:r>
        <w:rPr>
          <w:rFonts w:ascii="Amiri" w:hAnsi="Amiri" w:eastAsia="Amiri" w:cs="Amiri"/>
          <w:color w:val="111111"/>
          <w:sz w:val="28"/>
          <w:sz w:val="28"/>
          <w:szCs w:val="28"/>
          <w:rtl w:val="true"/>
          <w:lang w:bidi="ar-SA"/>
        </w:rPr>
        <w:t>ما ذكره الشيخ الأعظم</w:t>
      </w:r>
      <w:r>
        <w:rPr>
          <w:rStyle w:val="FootnoteAnchor"/>
          <w:rtl w:val="true"/>
        </w:rPr>
        <w:footnoteReference w:id="902"/>
      </w:r>
      <w:r>
        <w:rPr>
          <w:rFonts w:ascii="Amiri" w:hAnsi="Amiri" w:eastAsia="Amiri" w:cs="Amiri"/>
          <w:color w:val="111111"/>
          <w:sz w:val="28"/>
          <w:sz w:val="28"/>
          <w:szCs w:val="28"/>
          <w:rtl w:val="true"/>
          <w:lang w:bidi="ar-SA"/>
        </w:rPr>
        <w:t>من أنه لو دل خبر ضعيف على استحباب الوضوء لأجل غاية معينة، كالوضوء لأجل النوم، فهل يرتفع الحدث معه؟</w:t>
      </w:r>
    </w:p>
    <w:p>
      <w:pPr>
        <w:pStyle w:val="BookText"/>
        <w:rPr/>
      </w:pPr>
      <w:r>
        <w:rPr>
          <w:rFonts w:ascii="Amiri" w:hAnsi="Amiri" w:eastAsia="Amiri" w:cs="Amiri"/>
          <w:color w:val="111111"/>
          <w:sz w:val="28"/>
          <w:sz w:val="28"/>
          <w:szCs w:val="28"/>
          <w:rtl w:val="true"/>
          <w:lang w:bidi="ar-SA"/>
        </w:rPr>
        <w:t xml:space="preserve">إنّ ارتفاع الحدث منوط بالوضوء الذي أمر به شرعاً، سواء كان أمراً وجوبياً أم ندبياً، فلو قلنا بمبنى المشهور كان رافعاً للحدث، فيمكن مس خط القرآن الكريم به، وأما لو قلنا بالإرشاد فلا؛ لأنّ الخبر الدال على الاستحباب ضعيف، وأخبار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الاستحباب،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الوضوء مأمور به شرعاً، فلا يرفع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مناقشتان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الثمرة مبنية على دعوى الملازمة الكلية بين كون الوضوء مأموراً به شرعاً، وبين ارتفاع الحدث ولم تثبت، لتخلفها في موارد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الجنب للنوم الثابت استحبابه قطعاً بصحيحة زرارة أو الحلبي</w:t>
      </w:r>
      <w:r>
        <w:rPr>
          <w:rStyle w:val="FootnoteAnchor"/>
          <w:rtl w:val="true"/>
        </w:rPr>
        <w:footnoteReference w:id="903"/>
      </w:r>
      <w:r>
        <w:rPr>
          <w:rFonts w:ascii="Amiri" w:hAnsi="Amiri" w:eastAsia="Amiri" w:cs="Amiri"/>
          <w:color w:val="111111"/>
          <w:sz w:val="28"/>
          <w:sz w:val="28"/>
          <w:szCs w:val="28"/>
          <w:rtl w:val="true"/>
          <w:lang w:bidi="ar-SA"/>
        </w:rPr>
        <w:t>، لكنه لا يرفع الحدث،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الحائض في أوقات </w:t>
      </w:r>
    </w:p>
    <w:p>
      <w:pPr>
        <w:pStyle w:val="BookText"/>
        <w:rPr/>
      </w:pPr>
      <w:r>
        <w:rPr>
          <w:rFonts w:ascii="IRNazanin" w:hAnsi="IRNazanin" w:eastAsia="IRNazanin"/>
          <w:color w:val="111111"/>
          <w:sz w:val="28"/>
          <w:sz w:val="28"/>
          <w:szCs w:val="28"/>
          <w:rtl w:val="true"/>
          <w:lang w:bidi="fa-IR"/>
        </w:rPr>
        <w:t>الصلوات</w:t>
      </w:r>
      <w:r>
        <w:rPr>
          <w:rStyle w:val="FootnoteAnchor"/>
          <w:rtl w:val="true"/>
        </w:rPr>
        <w:footnoteReference w:id="904"/>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التجديدي، فدعوى الملازمة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بأنّ الملازمة الكلية تامة بعنوان الاقتضاء، فإنّ تأثير المقتضي في المقتضى تام مع عدم وجود المانع، وفي الموارد المذكورة ثبت المانع، وهو الحدث الأكبر، ولا يرفعه الوضوء، ومعه لا يمكن للجنب والحائض أن يفعلا ما يشترط فيه الطهارة، والوضوء التجديدي إنما لا يؤثر في رفع الحدث؛ لأنه تحصيل للحاصل؛ لارتفاع الحدث من قبل، ولا معنى لرفع المرتفع، وأما لو لم يكن هنالك مانع فلا إشكال في أنّ الوضوء المأمور به شرعاً رافع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الكلية ثابتة، وقد خرجت هذه الموارد بالدليل، ولا دليل على التخصيص الزائد، فتجري أصالة عدمه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عبادية الوضوء وشرعيته هو رجحانه الذاتي، سواء قصد الغاية الواجبة أم المستحبة أم لم يقصد</w:t>
      </w:r>
      <w:r>
        <w:rPr>
          <w:rStyle w:val="FootnoteAnchor"/>
          <w:rtl w:val="true"/>
        </w:rPr>
        <w:footnoteReference w:id="905"/>
      </w:r>
      <w:r>
        <w:rPr>
          <w:rFonts w:ascii="Amiri" w:hAnsi="Amiri" w:eastAsia="Amiri" w:cs="Amiri"/>
          <w:color w:val="111111"/>
          <w:sz w:val="28"/>
          <w:sz w:val="28"/>
          <w:szCs w:val="28"/>
          <w:rtl w:val="true"/>
          <w:lang w:bidi="ar-SA"/>
        </w:rPr>
        <w:t xml:space="preserve">، وكل ما هو راجح ذاتاً شرعاً يقع عبادة ويكون شرعياً، حتى لو لم يقصد به غاية معينة، وعليه سواء ثبت استحباب الوضوء لهذه الغاية التي دل عليها الخبر الضعيف أم لم يثبت، كان الوضوء شرعياً، فيترتب عليه ارتفاع الحدث، فعلى كلا القولين </w:t>
      </w:r>
    </w:p>
    <w:p>
      <w:pPr>
        <w:pStyle w:val="BookText"/>
        <w:rPr/>
      </w:pPr>
      <w:r>
        <w:rPr>
          <w:rFonts w:ascii="Amiri" w:hAnsi="Amiri" w:eastAsia="Amiri" w:cs="Amiri"/>
          <w:color w:val="111111"/>
          <w:sz w:val="28"/>
          <w:sz w:val="28"/>
          <w:szCs w:val="28"/>
          <w:rtl w:val="true"/>
          <w:lang w:bidi="ar-SA"/>
        </w:rPr>
        <w:t>يكون الوضوء للنوم رافعاً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لأنه لو توضأ للنوم بعنوان القيد لا الداعي، لم يكن هنالك دليل على شرعيته، حيث لم يقصد الاستحباب النفسي، ولم يثبت الاستحباب الغيري، فإنه يوجد لشرعية الوضوء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استحباب نفسي ولم يقصده، بل قصد عدمه لتقييد نيته، وإما استحباب غيري ولم يثبت، بناء على 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حكم العقل، فلم يثبت استحباب الوضوء للنوم، فلا يرتفع به الحدث، ولا يحق لمن توضأ كذلك أن يلمس أسماء اللّه، لما قد فرض أنّ الوضوء الشرعي المأمور به رافع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فتوى صاحب العروة</w:t>
      </w:r>
      <w:r>
        <w:rPr>
          <w:rStyle w:val="FootnoteAnchor"/>
          <w:rtl w:val="true"/>
        </w:rPr>
        <w:footnoteReference w:id="906"/>
      </w:r>
      <w:r>
        <w:rPr>
          <w:rFonts w:ascii="Amiri" w:hAnsi="Amiri" w:eastAsia="Amiri" w:cs="Amiri"/>
          <w:color w:val="111111"/>
          <w:sz w:val="28"/>
          <w:sz w:val="28"/>
          <w:szCs w:val="28"/>
          <w:rtl w:val="true"/>
          <w:lang w:bidi="ar-SA"/>
        </w:rPr>
        <w:t>بالبطلان فيمن توضأ بقيد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لكون التجديد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انكشف عدم كونه كذلك؛ لصدور الحدث بينه وبين الوضوء الأول، وإنما أفتى بالبطلان لأنّ الوضوء التجديدي لم يقع؛ لعدم كونه تجديدياً، والوضوء غير التجديدي لم يقصد، بل قصد عدمه، وإنما الأعمال بالنيات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بطريق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إثباته يوكل إلى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الجزئي الحقيقي الخارجي غير قابل للتقييد، فإنّ التقييد معقول في المفاهيم الكلية لا الجزئية الخارجية، حيث لا معنى لتقييدها، كمن يقرأ القرآن بقيد أنّ هذا اليوم يوم الجمعة، فإنّ هذه القراءة موجود شخصي جزئي خارجي، وما كان كذلك لا يكون له حصص، والتقييد تحصيص وتقسيم مما لا يعقل في الجزئي الخارجي، فلو انكشف أنه يوم السبت فهل ينكشف عدم الثواب </w:t>
      </w:r>
      <w:bookmarkStart w:id="409" w:name="pg15608_167244"/>
    </w:p>
    <w:p>
      <w:pPr>
        <w:pStyle w:val="BookText"/>
        <w:rPr/>
      </w:pPr>
      <w:bookmarkEnd w:id="409"/>
      <w:r>
        <w:rPr>
          <w:rFonts w:ascii="Amiri" w:hAnsi="Amiri" w:eastAsia="Amiri" w:cs="Amiri"/>
          <w:color w:val="111111"/>
          <w:sz w:val="28"/>
          <w:sz w:val="28"/>
          <w:szCs w:val="28"/>
          <w:rtl w:val="true"/>
          <w:lang w:bidi="ar-SA"/>
        </w:rPr>
        <w:t>وأنه غير مستحب، ولا تشمله عمومات قراءة القرآن؟ كلا فإنّ انطباق الطبيعي على فرده قهري، سواء تحققت النية أم لم تتحقق أم تحقق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الوضوء الذي تلبس به، فإنه جزئي حقيقي خارجي لا أفراد له حتى يقيد بهذه الحصة لا تلك، فلو توضأ ونوى الجزئي الخارجي كان مصداقاً لطبيعي الوضوء المطلوب شرعاً</w:t>
      </w:r>
      <w:r>
        <w:rPr>
          <w:rStyle w:val="FootnoteAnchor"/>
          <w:rtl w:val="true"/>
        </w:rPr>
        <w:footnoteReference w:id="907"/>
      </w:r>
      <w:r>
        <w:rPr>
          <w:rFonts w:ascii="Amiri" w:hAnsi="Amiri" w:eastAsia="Amiri" w:cs="Amiri"/>
          <w:color w:val="111111"/>
          <w:sz w:val="28"/>
          <w:sz w:val="28"/>
          <w:szCs w:val="28"/>
          <w:rtl w:val="true"/>
          <w:lang w:bidi="ar-SA"/>
        </w:rPr>
        <w:t>، وإن كان بقيد التجديد، وهو رافع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سيالة في موارد كثيرة من الفقه، كما لو صلّى خلف إمام بقيد أنه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لم يكن لم يصل خلفه، ثم تبين أنه غيره هو فهل الصلاة باطلة؟ أشكل البعض في ذلك، فإنّ هذه الصلاة موجود شخصي جزئي لا يقبل التقييد</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0086743_2142443653"/>
      <w:bookmarkStart w:id="411" w:name="_Toc156"/>
      <w:bookmarkEnd w:id="410"/>
      <w:r>
        <w:rPr>
          <w:rtl w:val="true"/>
        </w:rPr>
        <w:t>الثمرة الرابعة</w:t>
      </w:r>
      <w:bookmarkEnd w:id="41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ثبت أنّ كل غسل واجب أو مستحب مجز عن الوضوء، ودل خبر ضعيف على استحباب غسل، فعلى المشهور يثبت استحبابه ويجزي عن الوضوء، وعلى غيره لا يثبت الاستحباب، فلا يكفي عن الوضوء؛ ولذا أفتى بعض الأعلام</w:t>
      </w:r>
      <w:r>
        <w:rPr>
          <w:rStyle w:val="FootnoteAnchor"/>
          <w:rtl w:val="true"/>
        </w:rPr>
        <w:footnoteReference w:id="908"/>
      </w:r>
      <w:r>
        <w:rPr>
          <w:rFonts w:ascii="Amiri" w:hAnsi="Amiri" w:eastAsia="Amiri" w:cs="Amiri"/>
          <w:color w:val="111111"/>
          <w:sz w:val="28"/>
          <w:sz w:val="28"/>
          <w:szCs w:val="28"/>
          <w:rtl w:val="true"/>
          <w:lang w:bidi="ar-SA"/>
        </w:rPr>
        <w:t>باستحباب بعض الأغسال، لاعتبار جميع مشايخ ابن قولويه في كامل الزيارات، ولما عدل عن رأيه</w:t>
      </w:r>
      <w:r>
        <w:rPr>
          <w:rStyle w:val="FootnoteAnchor"/>
          <w:rtl w:val="true"/>
        </w:rPr>
        <w:footnoteReference w:id="909"/>
      </w:r>
      <w:r>
        <w:rPr>
          <w:rFonts w:ascii="IRNazanin" w:hAnsi="IRNazanin" w:eastAsia="IRNazanin"/>
          <w:color w:val="111111"/>
          <w:sz w:val="28"/>
          <w:sz w:val="28"/>
          <w:szCs w:val="28"/>
          <w:rtl w:val="true"/>
          <w:lang w:bidi="fa-IR"/>
        </w:rPr>
        <w:t>أفتى ببطلان</w:t>
      </w:r>
      <w:r>
        <w:rPr>
          <w:rStyle w:val="FootnoteAnchor"/>
          <w:rtl w:val="true"/>
        </w:rPr>
        <w:footnoteReference w:id="910"/>
      </w:r>
      <w:r>
        <w:rPr>
          <w:rFonts w:ascii="Amiri" w:hAnsi="Amiri" w:eastAsia="Amiri" w:cs="Amiri"/>
          <w:color w:val="111111"/>
          <w:sz w:val="28"/>
          <w:sz w:val="28"/>
          <w:szCs w:val="28"/>
          <w:rtl w:val="true"/>
          <w:lang w:bidi="ar-SA"/>
        </w:rPr>
        <w:t xml:space="preserve">كل الصلوات التي </w:t>
      </w:r>
      <w:bookmarkStart w:id="412" w:name="pg15608_167245"/>
    </w:p>
    <w:p>
      <w:pPr>
        <w:pStyle w:val="BookText"/>
        <w:rPr/>
      </w:pPr>
      <w:bookmarkEnd w:id="412"/>
      <w:r>
        <w:rPr>
          <w:rFonts w:ascii="Amiri" w:hAnsi="Amiri" w:eastAsia="Amiri" w:cs="Amiri"/>
          <w:color w:val="111111"/>
          <w:sz w:val="28"/>
          <w:sz w:val="28"/>
          <w:szCs w:val="28"/>
          <w:rtl w:val="true"/>
          <w:lang w:bidi="ar-SA"/>
        </w:rPr>
        <w:t>صليت بتلك الأغسال من دون وضوء؛ وذلك لعدم ثبوت استحباب تلك الأغسال بقاعدة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القولين الأولين</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10086745_2142443653"/>
      <w:bookmarkStart w:id="414" w:name="_Toc157"/>
      <w:bookmarkEnd w:id="413"/>
      <w:r>
        <w:rPr>
          <w:rtl w:val="true"/>
        </w:rPr>
        <w:t>القول الثالث</w:t>
      </w:r>
      <w:r>
        <w:rPr>
          <w:rtl w:val="true"/>
        </w:rPr>
        <w:t xml:space="preserve">: </w:t>
      </w:r>
      <w:r>
        <w:rPr>
          <w:rtl w:val="true"/>
        </w:rPr>
        <w:t xml:space="preserve">مفاد أخبار </w:t>
      </w:r>
      <w:r>
        <w:rPr>
          <w:rtl w:val="true"/>
        </w:rPr>
        <w:t>(</w:t>
      </w:r>
      <w:r>
        <w:rPr>
          <w:rtl w:val="true"/>
        </w:rPr>
        <w:t>من بلغ</w:t>
      </w:r>
      <w:r>
        <w:rPr>
          <w:rtl w:val="true"/>
        </w:rPr>
        <w:t xml:space="preserve">) </w:t>
      </w:r>
      <w:r>
        <w:rPr>
          <w:rtl w:val="true"/>
        </w:rPr>
        <w:t>إسقاط شرائط حجية الخبر</w:t>
      </w:r>
      <w:bookmarkEnd w:id="414"/>
    </w:p>
    <w:p>
      <w:pPr>
        <w:pStyle w:val="Heading6"/>
        <w:numPr>
          <w:ilvl w:val="5"/>
          <w:numId w:val="1"/>
        </w:numPr>
        <w:rPr/>
      </w:pPr>
      <w:bookmarkStart w:id="415" w:name="__RefHeading___Toc10086747_2142443653"/>
      <w:bookmarkStart w:id="416" w:name="_Toc158"/>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وهو مختار المحقق النائيني</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الشرائط</w:t>
      </w:r>
      <w:r>
        <w:rPr>
          <w:rStyle w:val="FootnoteAnchor"/>
          <w:rtl w:val="true"/>
        </w:rPr>
        <w:footnoteReference w:id="912"/>
      </w:r>
      <w:r>
        <w:rPr>
          <w:rFonts w:ascii="Amiri" w:hAnsi="Amiri" w:eastAsia="Amiri" w:cs="Amiri"/>
          <w:color w:val="111111"/>
          <w:sz w:val="28"/>
          <w:sz w:val="28"/>
          <w:szCs w:val="28"/>
          <w:rtl w:val="true"/>
          <w:lang w:bidi="ar-SA"/>
        </w:rPr>
        <w:t xml:space="preserve">التي اعتبرها الشارع لحجية الخبر الواحد، لم يعتبرها في خصوص باب المستحبات، فلا يشترط أن يكون المخبر ثقة أو عادلاً، وبناء عليه تكون النسبة بين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اعتبار تلك الشرائط في الخبر نسبة التخصيص، فتكون الشرائط معتبرة في الخبر إلا في باب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يُدعى التخصيص وشرطه تحقق نسبة العموم المطلق بين الدليلين، مع أنّ النسبة بينهما في المقام العموم من وجه؛ لأنّ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حجية الخبر في باب السنن، سواء كان الخبر واجداً لشرائط الحجية أم فاقداً لها، وما دل على اعتبار الشرائط في الخبر تدل على اعتبار هذه الشرائط، سواء كان مفاد الخبر الواجبات والمحرمات أم السنن والمستحبات، فيتعارض الدليلان في مورد الاجتماع، وهو الخبر الدال على المستحبات وهو فاقد لشرائط الحجية في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المحقق النائيني</w:t>
      </w:r>
      <w:r>
        <w:rPr>
          <w:rStyle w:val="FootnoteAnchor"/>
          <w:rtl w:val="true"/>
        </w:rPr>
        <w:footnoteReference w:id="913"/>
      </w:r>
      <w:r>
        <w:rPr>
          <w:rFonts w:ascii="Amiri" w:hAnsi="Amiri" w:eastAsia="Amiri" w:cs="Amiri"/>
          <w:color w:val="111111"/>
          <w:sz w:val="28"/>
          <w:sz w:val="28"/>
          <w:szCs w:val="28"/>
          <w:rtl w:val="true"/>
          <w:lang w:bidi="ar-SA"/>
        </w:rPr>
        <w:t>أجاب عن ذلك بأربعة أجوبة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تلاحظ النسبة بين الدليلين إذا لم يكن أحدهما ناظراً </w:t>
      </w:r>
    </w:p>
    <w:p>
      <w:pPr>
        <w:pStyle w:val="BookText"/>
        <w:rPr/>
      </w:pPr>
      <w:r>
        <w:rPr>
          <w:rFonts w:ascii="Amiri" w:hAnsi="Amiri" w:eastAsia="Amiri" w:cs="Amiri"/>
          <w:color w:val="111111"/>
          <w:sz w:val="28"/>
          <w:sz w:val="28"/>
          <w:szCs w:val="28"/>
          <w:rtl w:val="true"/>
          <w:lang w:bidi="ar-SA"/>
        </w:rPr>
        <w:t>إلى الآخر وإلا فلا، بل يكون الناظر حاكماً، وقد ثبت في محله تقدم الدليل الحاكم وتصرفه في الدليل المحكوم توسعة وتضييقاً وتفسيراً، وغير ذلك، وإن كانت النسبة بينه وبين الدليل المحكوم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الحكومة فإنّ الترجيح في مورد التعارض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المشهور بها، والشهرة من المرجحات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تقدم ما دل على اعتبار الشرائط على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يبق للثاني مورد، بخلاف العكس، حيث يبقى مورده الواجبات والمحرمات التي دلّ خبر الثقة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غير تام لبقاء مورد 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تقديم ما دل على اعتبار الشرائط، وهو الأخبار الواجدة لشرائط الحجية الدالة على المستحبات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مراد المحقق النائيني عدم بقاء خصوصية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الفقهاء</w:t>
      </w:r>
      <w:r>
        <w:rPr>
          <w:rStyle w:val="FootnoteAnchor"/>
          <w:rtl w:val="true"/>
        </w:rPr>
        <w:footnoteReference w:id="914"/>
      </w:r>
      <w:r>
        <w:rPr>
          <w:rFonts w:ascii="Amiri" w:hAnsi="Amiri" w:eastAsia="Amiri" w:cs="Amiri"/>
          <w:color w:val="111111"/>
          <w:sz w:val="28"/>
          <w:sz w:val="28"/>
          <w:szCs w:val="28"/>
          <w:rtl w:val="true"/>
          <w:lang w:bidi="ar-SA"/>
        </w:rPr>
        <w:t xml:space="preserve">نظيره في كتاب الطهارة في باب طهارة خرء الطائر، حيث إنّ بين دليل طهارته ودليل نجاسة خرء ما لا يؤكل لحمه عموماً من وجه؛ لأنّ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الطائر وغيره، 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خرء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ما يؤكل لحمه وما لا يؤكل لحمه، ويتعارض الدليلان 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 الذي لا يؤكل لحمه</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فلو قدمنا أدلة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خرء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مورد، أي تكون هذه الخصوصية لغواً؛ لأنّ الطائر لو كان مأكول اللحم لكان داخلاً في عمومات حرمة ما يخرج من مأكول اللحم، فأهمية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تكفله لحكم حرام اللحم من الطير، فلو ألغي هذا المورد فكأنه ألغي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وإن كانت النسبة واقعاً عموماً من وجه إلاّ أنّ المورد المهم لأدلة التسامح في أدلة السنن هو الأخبار الفاقدة للشرائط، وإلا فإنّ الواجد لها حجة قطعاً ومشمول لأدلة الحجية العامة، فإلغاء مورد الاجتماع كأنه إلغاء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الشيخ الأعظم، من أنّ ما دل على اعتبار الشرائط مختص بالواجبات والمحرمات ولا يشمل السنن والمستحبات</w:t>
      </w:r>
      <w:r>
        <w:rPr>
          <w:rStyle w:val="FootnoteAnchor"/>
          <w:rtl w:val="true"/>
        </w:rPr>
        <w:footnoteReference w:id="916"/>
      </w:r>
      <w:r>
        <w:rPr>
          <w:rFonts w:ascii="Amiri" w:hAnsi="Amiri" w:eastAsia="Amiri" w:cs="Amiri"/>
          <w:color w:val="111111"/>
          <w:sz w:val="28"/>
          <w:sz w:val="28"/>
          <w:szCs w:val="28"/>
          <w:rtl w:val="true"/>
          <w:lang w:bidi="ar-SA"/>
        </w:rPr>
        <w:t>وذلك لأنّ الدليل إن كان هو الإجماع فواضح اختصاصه بهما، وإن كان آية النبأ، فالتعليل</w:t>
      </w:r>
      <w:r>
        <w:rPr>
          <w:rStyle w:val="FootnoteAnchor"/>
          <w:rtl w:val="true"/>
        </w:rPr>
        <w:footnoteReference w:id="917"/>
      </w:r>
      <w:r>
        <w:rPr>
          <w:rFonts w:ascii="Amiri" w:hAnsi="Amiri" w:eastAsia="Amiri" w:cs="Amiri"/>
          <w:color w:val="111111"/>
          <w:sz w:val="28"/>
          <w:sz w:val="28"/>
          <w:szCs w:val="28"/>
          <w:rtl w:val="true"/>
          <w:lang w:bidi="ar-SA"/>
        </w:rPr>
        <w:t>يمنع ظهور الآية في العموم، حيث يدور مداره الحكم وجوداً وعدماً، فهو خاص بهما، فلا تعارض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عليه بأمور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ما ادعاه محل تأمل؛ لأنّ معنى الحجية على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مؤدّى الحجة هو الواقع، وإلغاء احتمال الخلاف</w:t>
      </w:r>
      <w:r>
        <w:rPr>
          <w:rFonts w:eastAsia="Amiri" w:cs="Amiri" w:ascii="Amiri" w:hAnsi="Amiri"/>
          <w:color w:val="111111"/>
          <w:sz w:val="28"/>
          <w:szCs w:val="28"/>
          <w:rtl w:val="true"/>
          <w:lang w:bidi="ar-SA"/>
        </w:rPr>
        <w:t>)</w:t>
      </w:r>
      <w:r>
        <w:rPr>
          <w:rStyle w:val="FootnoteAnchor"/>
          <w:rtl w:val="true"/>
        </w:rPr>
        <w:footnoteReference w:id="918"/>
      </w:r>
      <w:r>
        <w:rPr>
          <w:rFonts w:ascii="IRNazanin" w:hAnsi="IRNazanin" w:eastAsia="IRNazanin"/>
          <w:color w:val="111111"/>
          <w:sz w:val="28"/>
          <w:sz w:val="28"/>
          <w:szCs w:val="28"/>
          <w:rtl w:val="true"/>
          <w:lang w:bidi="fa-IR"/>
        </w:rPr>
        <w:t xml:space="preserve">ولا ظهور عرفاً </w:t>
      </w:r>
    </w:p>
    <w:p>
      <w:pPr>
        <w:pStyle w:val="BookText"/>
        <w:rPr/>
      </w:pPr>
      <w:r>
        <w:rPr>
          <w:rFonts w:ascii="Amiri" w:hAnsi="Amiri" w:eastAsia="Amiri" w:cs="Amiri"/>
          <w:color w:val="111111"/>
          <w:sz w:val="28"/>
          <w:sz w:val="28"/>
          <w:szCs w:val="28"/>
          <w:rtl w:val="true"/>
          <w:lang w:bidi="ar-SA"/>
        </w:rPr>
        <w:t xml:space="preserve">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الأخبار الضعيفة بهذا المعنى</w:t>
      </w:r>
      <w:r>
        <w:rPr>
          <w:rStyle w:val="FootnoteAnchor"/>
          <w:rtl w:val="true"/>
        </w:rPr>
        <w:footnoteReference w:id="919"/>
      </w:r>
      <w:r>
        <w:rPr>
          <w:rFonts w:ascii="Amiri" w:hAnsi="Amiri" w:eastAsia="Amiri" w:cs="Amiri"/>
          <w:color w:val="111111"/>
          <w:sz w:val="28"/>
          <w:sz w:val="28"/>
          <w:szCs w:val="28"/>
          <w:rtl w:val="true"/>
          <w:lang w:bidi="ar-SA"/>
        </w:rPr>
        <w:t>، بل إنها تتضمن نقيض المعنى المذكور،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رسول اللّه 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الأمر على 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المفاد نقيض تنزيل المؤدّى منزلة الواقع، ولذا لو جمع بين الكلامين في كلام واحد</w:t>
      </w:r>
      <w:r>
        <w:rPr>
          <w:rStyle w:val="FootnoteAnchor"/>
          <w:rtl w:val="true"/>
        </w:rPr>
        <w:footnoteReference w:id="920"/>
      </w:r>
      <w:r>
        <w:rPr>
          <w:rFonts w:ascii="Amiri" w:hAnsi="Amiri" w:eastAsia="Amiri" w:cs="Amiri"/>
          <w:color w:val="111111"/>
          <w:sz w:val="28"/>
          <w:sz w:val="28"/>
          <w:szCs w:val="28"/>
          <w:rtl w:val="true"/>
          <w:lang w:bidi="ar-SA"/>
        </w:rPr>
        <w:t>لم يكن مستساغاً، فإنّ الحجية بمعنى أنه الواقع، والأخبار تصرح بأنه وإن لم يكن هو الواقع، فبين المفادين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يكفي أنّ الأخبار المذكورة ليست ظاهرة في الحجية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مخصصية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الحجية فرع التعارض فيما بين المفادين</w:t>
      </w:r>
      <w:r>
        <w:rPr>
          <w:rStyle w:val="FootnoteAnchor"/>
          <w:rtl w:val="true"/>
        </w:rPr>
        <w:footnoteReference w:id="921"/>
      </w:r>
      <w:r>
        <w:rPr>
          <w:rFonts w:ascii="Amiri" w:hAnsi="Amiri" w:eastAsia="Amiri" w:cs="Amiri"/>
          <w:color w:val="111111"/>
          <w:sz w:val="28"/>
          <w:sz w:val="28"/>
          <w:szCs w:val="28"/>
          <w:rtl w:val="true"/>
          <w:lang w:bidi="ar-SA"/>
        </w:rPr>
        <w:t xml:space="preserve">، ولا تعارض بين المفادين حتى يخصص أحدهما الآخر، فإنّ مفاد أدلة الحجية حجية خبر الثقة، ومفاد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المخبر مطلقاً في باب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لإمكان العثور في الأدلة على ما يتضمن بعد النفي، كقوله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لا تأخذن معالم دينك عن غير شيعتنا</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فيتعارضان في مَن كان فطحياً مثلاً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الصحيحة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العمري ثقتي، فما أدّى إليك عني فعني </w:t>
      </w:r>
    </w:p>
    <w:p>
      <w:pPr>
        <w:pStyle w:val="BookText"/>
        <w:rPr/>
      </w:pPr>
      <w:r>
        <w:rPr>
          <w:rFonts w:ascii="Amiri" w:hAnsi="Amiri" w:eastAsia="Amiri" w:cs="Amiri"/>
          <w:color w:val="111111"/>
          <w:sz w:val="28"/>
          <w:sz w:val="28"/>
          <w:szCs w:val="28"/>
          <w:rtl w:val="true"/>
          <w:lang w:bidi="ar-SA"/>
        </w:rPr>
        <w:t>يؤدّي، وما قال لك عني فعني يقول، 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حيث يكون ظاهراً في بعد النفي للتفريع والتعليل الدائر مداره الحكم وجوداً وعدماً، وكذا 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العمري وابنه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فيتعارض الدليلان ولا بد من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الحكومة محل نظر، فإنّ قوام الحكومة بالنظر</w:t>
      </w:r>
      <w:r>
        <w:rPr>
          <w:rStyle w:val="FootnoteAnchor"/>
          <w:rtl w:val="true"/>
        </w:rPr>
        <w:footnoteReference w:id="924"/>
      </w:r>
      <w:r>
        <w:rPr>
          <w:rFonts w:ascii="Amiri" w:hAnsi="Amiri" w:eastAsia="Amiri" w:cs="Amiri"/>
          <w:color w:val="111111"/>
          <w:sz w:val="28"/>
          <w:sz w:val="28"/>
          <w:szCs w:val="28"/>
          <w:rtl w:val="true"/>
          <w:lang w:bidi="ar-SA"/>
        </w:rPr>
        <w:t xml:space="preserve">، وليست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أدلة الحجية، لتكون متأخرة عنها رتبة، أو يكونان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مرجحية الشهرة، وأنهم قدموا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الحجية، إلا أنّ التقديم المذكور هل هو بلحاظ التعارض أو لأنهم فهموا معناها، بحيث لا يصل الأمر إلى التعارض بينها وبين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المشهور لا يدل على الترجيح عند التعارض ليكون دالاً على ما اختاره المحقق النائيني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لغوية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 مورد اجتماع الدليلين عنها غير تام، فإنّ الثقة العادل لو أخبر بتحقق الثواب على عمل، فهو وإن كان حجة إلا أنه لا يضمن الثواب المذكور؛ لإمكان الخطأ في حقه، بل احتمال طروء الفسق عليه، ومع الاحتمال يكون مفاد الأخبار </w:t>
      </w:r>
      <w:bookmarkStart w:id="417" w:name="pg15608_167250"/>
    </w:p>
    <w:p>
      <w:pPr>
        <w:pStyle w:val="BookText"/>
        <w:rPr/>
      </w:pPr>
      <w:bookmarkEnd w:id="417"/>
      <w:r>
        <w:rPr>
          <w:rFonts w:ascii="Amiri" w:hAnsi="Amiri" w:eastAsia="Amiri" w:cs="Amiri"/>
          <w:color w:val="111111"/>
          <w:sz w:val="28"/>
          <w:sz w:val="28"/>
          <w:szCs w:val="28"/>
          <w:rtl w:val="true"/>
          <w:lang w:bidi="ar-SA"/>
        </w:rPr>
        <w:t>ضمان الثواب في الأخبار الواجدة لشرائط الحجية في باب المستحبات والسنن فلا تكون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بنفسه من أنّ الروايات المتواترة بالتواتر المعنوي أو الإجمالي تدل على حجية إخبار الثقاة مطلقاً، وإن كان في باب المستحبات والمكروهات، كقوله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العمري وابنه ثقتان</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بهذا الجالس</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فدليل حجية الخبر لا ينحصر في الإجماع وآية النبأ،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خاصة بباب الواجبات والمحرمات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الثالث قابل للتأمل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ثمرة الخلاف بين المشهور</w:t>
      </w:r>
      <w:r>
        <w:rPr>
          <w:rStyle w:val="FootnoteAnchor"/>
          <w:rtl w:val="true"/>
        </w:rPr>
        <w:footnoteReference w:id="927"/>
      </w:r>
      <w:r>
        <w:rPr>
          <w:rFonts w:ascii="Amiri" w:hAnsi="Amiri" w:eastAsia="Amiri" w:cs="Amiri"/>
          <w:color w:val="111111"/>
          <w:sz w:val="28"/>
          <w:sz w:val="28"/>
          <w:szCs w:val="28"/>
          <w:rtl w:val="true"/>
          <w:lang w:bidi="ar-SA"/>
        </w:rPr>
        <w:t>وبين ما ذكره المحقق النائيني</w:t>
      </w:r>
      <w:r>
        <w:rPr>
          <w:rStyle w:val="FootnoteAnchor"/>
          <w:rtl w:val="true"/>
        </w:rPr>
        <w:footnoteReference w:id="928"/>
      </w:r>
      <w:r>
        <w:rPr>
          <w:rFonts w:ascii="Amiri" w:hAnsi="Amiri" w:eastAsia="Amiri" w:cs="Amiri"/>
          <w:color w:val="111111"/>
          <w:sz w:val="28"/>
          <w:sz w:val="28"/>
          <w:szCs w:val="28"/>
          <w:rtl w:val="true"/>
          <w:lang w:bidi="ar-SA"/>
        </w:rPr>
        <w:t>، فهل هي ثمرة عملية أم صرف اختلاف علمي؟</w:t>
      </w:r>
    </w:p>
    <w:p>
      <w:pPr>
        <w:pStyle w:val="BookText"/>
        <w:rPr/>
      </w:pPr>
      <w:r>
        <w:rPr>
          <w:rFonts w:ascii="Amiri" w:hAnsi="Amiri" w:eastAsia="Amiri" w:cs="Amiri"/>
          <w:color w:val="111111"/>
          <w:sz w:val="28"/>
          <w:sz w:val="28"/>
          <w:szCs w:val="28"/>
          <w:rtl w:val="true"/>
          <w:lang w:bidi="ar-SA"/>
        </w:rPr>
        <w:t>ذكر في الدراسات</w:t>
      </w:r>
      <w:r>
        <w:rPr>
          <w:rStyle w:val="FootnoteAnchor"/>
          <w:rtl w:val="true"/>
        </w:rPr>
        <w:footnoteReference w:id="929"/>
      </w:r>
      <w:r>
        <w:rPr>
          <w:rFonts w:ascii="Amiri" w:hAnsi="Amiri" w:eastAsia="Amiri" w:cs="Amiri"/>
          <w:color w:val="111111"/>
          <w:sz w:val="28"/>
          <w:sz w:val="28"/>
          <w:szCs w:val="28"/>
          <w:rtl w:val="true"/>
          <w:lang w:bidi="ar-SA"/>
        </w:rPr>
        <w:t>أنه لا فرق بينهما، حيث إنه على القولين يحق للفقيه الفتوى باستحباب العمل، فيكون الأثر مشتركاً والنتيجة متحدة، فلا ثمرة عملية</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0086749_2142443653"/>
      <w:bookmarkStart w:id="419" w:name="_Toc159"/>
      <w:bookmarkEnd w:id="418"/>
      <w:r>
        <w:rPr>
          <w:rtl w:val="true"/>
        </w:rPr>
        <w:t>لكن يمكن تصوير جملة من الثمرات في المقام</w:t>
      </w:r>
      <w:bookmarkEnd w:id="41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دل الخبر الضعيف على استحباب ما ثبتت حرمته بعموم أو إطلاق، فعلى مبنى حجيته كان </w:t>
      </w:r>
    </w:p>
    <w:p>
      <w:pPr>
        <w:pStyle w:val="BookText"/>
        <w:rPr/>
      </w:pPr>
      <w:r>
        <w:rPr>
          <w:rFonts w:ascii="Amiri" w:hAnsi="Amiri" w:eastAsia="Amiri" w:cs="Amiri"/>
          <w:color w:val="111111"/>
          <w:sz w:val="28"/>
          <w:sz w:val="28"/>
          <w:szCs w:val="28"/>
          <w:rtl w:val="true"/>
          <w:lang w:bidi="ar-SA"/>
        </w:rPr>
        <w:t>مخصصاً له لفرض حجيته، ولكن بناءً على المشهور يقع التزاحم بين الحرمة الثابتة للفعل بالعنوان الأولي الذاتي، والاستحباب الثابت له بالعنوان الثانوي العرضي، فيقدم أقواهما، كما يمكن القول بعدم التزاحم بين الملاكين لانصراف الأدلة التي تفيد الاستحباب عن دائرة الواجبات والمحرمات الثابتة للأشياء بعنوانها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محل تأمل؛ لأنّ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مفادها إثبات حجية الخبر الضعيف، إلا أنّ ظاهرها أو المنصرف منها أوقدرها المتيقن هو ما بلغ فيه الثواب ولم يثبت فيه العقاب، وأما ما ثبتت حرمته بالقطع الوجداني أو بالقطع التعبدي، وثبت استحقاق العقاب فيه فلا تشمله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دليل عام على حرمة الغناء، ودل الخبر الضعيف على استحباب التغني بقراءة القرآن، فلا يمكن القول بالتخصيص لبلوغ الثواب عليه؛ لانصراف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ثبت فيه استحقاق العقاب، وإلا لزم منه تأسيس فقه جديد، ولا يظن بالمحقق ولا أحد من الفقهاء أن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الخبر الضعيف على استحباب المغيّا بغاية معينة، فهل يمكن استصحاب استحبابه بعد تحقق الغاية</w:t>
      </w:r>
      <w:r>
        <w:rPr>
          <w:rStyle w:val="FootnoteAnchor"/>
          <w:rtl w:val="true"/>
        </w:rPr>
        <w:footnoteReference w:id="930"/>
      </w:r>
      <w:r>
        <w:rPr>
          <w:rFonts w:ascii="IRNazanin" w:hAnsi="IRNazanin" w:eastAsia="IRNazanin"/>
          <w:color w:val="111111"/>
          <w:sz w:val="28"/>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اختاره المحقق النائيني أمكن ذلك؛ لفرض حجية الخبر الضعيف الدال على استحباب العمل بما له من العنوان الذاتي، أي أنّ الفعل بنفسه مستحب، ووزان الخبر الضعيف وزان بقية الحجج، وكما يجري </w:t>
      </w:r>
      <w:bookmarkStart w:id="420" w:name="pg15608_167252"/>
    </w:p>
    <w:p>
      <w:pPr>
        <w:pStyle w:val="BookText"/>
        <w:rPr/>
      </w:pPr>
      <w:bookmarkEnd w:id="420"/>
      <w:r>
        <w:rPr>
          <w:rFonts w:ascii="Amiri" w:hAnsi="Amiri" w:eastAsia="Amiri" w:cs="Amiri"/>
          <w:color w:val="111111"/>
          <w:sz w:val="28"/>
          <w:sz w:val="28"/>
          <w:szCs w:val="28"/>
          <w:rtl w:val="true"/>
          <w:lang w:bidi="ar-SA"/>
        </w:rPr>
        <w:t>الاستصحاب فيها يجري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الدليل على وجوب صلاة الجمعة في عهد الظهور</w:t>
      </w:r>
      <w:r>
        <w:rPr>
          <w:rStyle w:val="FootnoteAnchor"/>
          <w:rtl w:val="true"/>
        </w:rPr>
        <w:footnoteReference w:id="931"/>
      </w:r>
      <w:r>
        <w:rPr>
          <w:rFonts w:ascii="Amiri" w:hAnsi="Amiri" w:eastAsia="Amiri" w:cs="Amiri"/>
          <w:color w:val="111111"/>
          <w:sz w:val="28"/>
          <w:sz w:val="28"/>
          <w:szCs w:val="28"/>
          <w:rtl w:val="true"/>
          <w:lang w:bidi="ar-SA"/>
        </w:rPr>
        <w:t>، وشك في استمرار الحكم لما بعد الغاية جرى الاستصحاب لتمامية أركانه، فكذلك المقام، فلو دل الخبر الضعيف على استحباب الجلوس في المسجد إلى العصر، وشك في استمرار الاستحباب الواقعي لما بعد العصر 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مختار المشهور فلا؛ لأنّ الاستحباب ثابت للشيء بما له من العنوان العرضي، أي عنوان البلوغ، فلو ارتفع العنوان ارتفع الحكم قطعاً؛ لتبدل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الدليل على استحباب قضاء حاجة المؤمن، فطلب المؤمن الجلوس في محل تجارته حتى الظهر، فبعد تحقق الغاية والشك في استمرار الحكم لا مجال للاستصحاب؛ لتبدل الموضوع، فإنّ الفعل مستحب بالعنوان الثانوي العرضي أي البلوغ، وما بلغ فيه الثواب كان إلى الظهر، وأما بعده فالعنوان الثانوي مرتفع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القول الثالث، ويبقى الكلام على نحو الإجمال في قولين</w:t>
      </w:r>
      <w:r>
        <w:rPr>
          <w:rStyle w:val="FootnoteAnchor"/>
          <w:rtl w:val="true"/>
        </w:rPr>
        <w:footnoteReference w:id="932"/>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10086751_2142443653"/>
      <w:bookmarkStart w:id="422" w:name="_Toc160"/>
      <w:bookmarkEnd w:id="421"/>
      <w:r>
        <w:rPr>
          <w:rtl w:val="true"/>
        </w:rPr>
        <w:t>القول الرابع</w:t>
      </w:r>
      <w:r>
        <w:rPr>
          <w:rtl w:val="true"/>
        </w:rPr>
        <w:t xml:space="preserve">: </w:t>
      </w:r>
      <w:r>
        <w:rPr>
          <w:rtl w:val="true"/>
        </w:rPr>
        <w:t xml:space="preserve">مفاد أخبار </w:t>
      </w:r>
      <w:r>
        <w:rPr>
          <w:rtl w:val="true"/>
        </w:rPr>
        <w:t>(</w:t>
      </w:r>
      <w:r>
        <w:rPr>
          <w:rtl w:val="true"/>
        </w:rPr>
        <w:t>من بلغ</w:t>
      </w:r>
      <w:r>
        <w:rPr>
          <w:rtl w:val="true"/>
        </w:rPr>
        <w:t xml:space="preserve">) </w:t>
      </w:r>
      <w:r>
        <w:rPr>
          <w:rtl w:val="true"/>
        </w:rPr>
        <w:t>إخبار بفضل اللّه تعالى</w:t>
      </w:r>
      <w:bookmarkEnd w:id="42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الإخبار بفضل اللّه تعالى، وأنه لا يخيب رجاء من رجاه، ولا يقطع أمل من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العمل مبغوضاً للمولى، </w:t>
      </w:r>
      <w:bookmarkStart w:id="423" w:name="pg15608_167253"/>
    </w:p>
    <w:p>
      <w:pPr>
        <w:pStyle w:val="BookText"/>
        <w:rPr/>
      </w:pPr>
      <w:bookmarkEnd w:id="423"/>
      <w:r>
        <w:rPr>
          <w:rFonts w:ascii="Amiri" w:hAnsi="Amiri" w:eastAsia="Amiri" w:cs="Amiri"/>
          <w:color w:val="111111"/>
          <w:sz w:val="28"/>
          <w:sz w:val="28"/>
          <w:szCs w:val="28"/>
          <w:rtl w:val="true"/>
          <w:lang w:bidi="ar-SA"/>
        </w:rPr>
        <w:t>لا محبوباً بالعنوان الأولي ولا بالعنوان الثانوي، إلا أنّ اللّه تعالى تفضلاً وكرماً ومنة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أخيب رجاء من رجاني، فالحديث في مقام الإخبار عن الفضل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وجيهاً ثبوتاً وقابلا للقبول، إلا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في مقام الحث والترغيب، ولو بقرينة فهم المشهور، فتفيد استحباب العمل بالعنوان الثانوي الطارئ</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0086753_2142443653"/>
      <w:bookmarkStart w:id="425" w:name="_Toc161"/>
      <w:bookmarkEnd w:id="424"/>
      <w:r>
        <w:rPr>
          <w:rtl w:val="true"/>
        </w:rPr>
        <w:t>القول الخامس</w:t>
      </w:r>
      <w:r>
        <w:rPr>
          <w:rtl w:val="true"/>
        </w:rPr>
        <w:t xml:space="preserve">: </w:t>
      </w:r>
      <w:r>
        <w:rPr>
          <w:rtl w:val="true"/>
        </w:rPr>
        <w:t xml:space="preserve">أخبار </w:t>
      </w:r>
      <w:r>
        <w:rPr>
          <w:rtl w:val="true"/>
        </w:rPr>
        <w:t>(</w:t>
      </w:r>
      <w:r>
        <w:rPr>
          <w:rtl w:val="true"/>
        </w:rPr>
        <w:t>من بلغ</w:t>
      </w:r>
      <w:r>
        <w:rPr>
          <w:rtl w:val="true"/>
        </w:rPr>
        <w:t xml:space="preserve">) </w:t>
      </w:r>
      <w:r>
        <w:rPr>
          <w:rtl w:val="true"/>
        </w:rPr>
        <w:t>تجبر ضعف المحركية</w:t>
      </w:r>
      <w:bookmarkEnd w:id="425"/>
    </w:p>
    <w:p>
      <w:pPr>
        <w:pStyle w:val="BookText"/>
        <w:rPr/>
      </w:pPr>
      <w:r>
        <w:rPr>
          <w:rFonts w:ascii="Amiri" w:hAnsi="Amiri" w:eastAsia="Amiri" w:cs="Amiri"/>
          <w:color w:val="111111"/>
          <w:sz w:val="28"/>
          <w:sz w:val="28"/>
          <w:szCs w:val="28"/>
          <w:rtl w:val="true"/>
          <w:lang w:bidi="ar-SA"/>
        </w:rPr>
        <w:t>وهو ما احتمله في مقباس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 ضعف محركية الأوامر الاستحبابية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البلوغ العقلائي المطمئن به نحو البلوغ في الإلزاميات</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بلغ الثواب على مستحب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كانت الرواية مستجمعة لشرائط الحجية، إلا أنّ الحجة قد تتخلف عن الواقع ولا تطابقه، فيحتمل المكلف عدم ترتب الثواب مع العلم بالاستحباب، وثبوت الثواب الموعود بأدلة معتبرة، وذلك لاحتمال الخطأ، فتضمن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الثواب لتكميل محركية الأوامر الاستحبابية الثابت استحبابها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لا بد من ثبوت الخيرية في رتبة سابقة،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صفوان</w:t>
      </w:r>
      <w:r>
        <w:rPr>
          <w:rStyle w:val="FootnoteAnchor"/>
          <w:rtl w:val="true"/>
        </w:rPr>
        <w:footnoteReference w:id="934"/>
      </w:r>
      <w:r>
        <w:rPr>
          <w:rFonts w:ascii="Amiri" w:hAnsi="Amiri" w:eastAsia="Amiri" w:cs="Amiri"/>
          <w:color w:val="111111"/>
          <w:sz w:val="28"/>
          <w:sz w:val="28"/>
          <w:szCs w:val="28"/>
          <w:rtl w:val="true"/>
          <w:lang w:bidi="ar-SA"/>
        </w:rPr>
        <w:t xml:space="preserve">، ولا يعلم أنّ مفاد الخبر الضعيف </w:t>
      </w:r>
      <w:bookmarkStart w:id="426" w:name="pg15608_167254"/>
    </w:p>
    <w:p>
      <w:pPr>
        <w:pStyle w:val="BookText"/>
        <w:rPr/>
      </w:pPr>
      <w:bookmarkEnd w:id="426"/>
      <w:r>
        <w:rPr>
          <w:rFonts w:ascii="Amiri" w:hAnsi="Amiri" w:eastAsia="Amiri" w:cs="Amiri"/>
          <w:color w:val="111111"/>
          <w:sz w:val="28"/>
          <w:sz w:val="28"/>
          <w:szCs w:val="28"/>
          <w:rtl w:val="true"/>
          <w:lang w:bidi="ar-SA"/>
        </w:rPr>
        <w:t>خير، ولا يمكن التمسك بالعام في الشبهة المصداقية، إلا أنّ هذا التقييد</w:t>
      </w:r>
      <w:r>
        <w:rPr>
          <w:rStyle w:val="FootnoteAnchor"/>
          <w:rtl w:val="true"/>
        </w:rPr>
        <w:footnoteReference w:id="935"/>
      </w:r>
      <w:r>
        <w:rPr>
          <w:rFonts w:ascii="Amiri" w:hAnsi="Amiri" w:eastAsia="Amiri" w:cs="Amiri"/>
          <w:color w:val="111111"/>
          <w:sz w:val="28"/>
          <w:sz w:val="28"/>
          <w:szCs w:val="28"/>
          <w:rtl w:val="true"/>
          <w:lang w:bidi="ar-SA"/>
        </w:rPr>
        <w:t>لا ينافي إطلاق أو عموم سائر الروايات في الباب، كصحيحة هشام</w:t>
      </w:r>
      <w:r>
        <w:rPr>
          <w:rStyle w:val="FootnoteAnchor"/>
          <w:rtl w:val="true"/>
        </w:rPr>
        <w:footnoteReference w:id="936"/>
      </w:r>
      <w:r>
        <w:rPr>
          <w:rFonts w:ascii="Amiri" w:hAnsi="Amiri" w:eastAsia="Amiri" w:cs="Amiri"/>
          <w:color w:val="111111"/>
          <w:sz w:val="28"/>
          <w:sz w:val="28"/>
          <w:szCs w:val="28"/>
          <w:rtl w:val="true"/>
          <w:lang w:bidi="ar-SA"/>
        </w:rPr>
        <w:t>، حيث لم يفرض فيها الخيرية في رتبة سابقة، وهكذا صحيحته الأخرى</w:t>
      </w:r>
      <w:r>
        <w:rPr>
          <w:rStyle w:val="FootnoteAnchor"/>
          <w:rtl w:val="true"/>
        </w:rPr>
        <w:footnoteReference w:id="9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موجب لتقييد الصحيحتين برواية صفوان، حيث لا مفهوم لها</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10086755_2142443653"/>
      <w:bookmarkStart w:id="428" w:name="_Toc162"/>
      <w:bookmarkEnd w:id="427"/>
      <w:r>
        <w:rPr>
          <w:rtl w:val="true"/>
        </w:rPr>
        <w:t>القول المختار</w:t>
      </w:r>
      <w:bookmarkEnd w:id="42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فالأظهر من الأقوال الخمسة هو القول الأول، وهو ثبوت استحباب الفعل بالعنوان الثانوي الطارئ</w:t>
      </w:r>
      <w:r>
        <w:rPr>
          <w:rFonts w:eastAsia="Amiri" w:cs="Amiri" w:ascii="Amiri" w:hAnsi="Amiri"/>
          <w:color w:val="111111"/>
          <w:sz w:val="28"/>
          <w:szCs w:val="28"/>
          <w:rtl w:val="true"/>
          <w:lang w:bidi="ar-SA"/>
        </w:rPr>
        <w:t xml:space="preserve">. </w:t>
      </w:r>
      <w:bookmarkStart w:id="429" w:name="pg15608_167255"/>
    </w:p>
    <w:p>
      <w:pPr>
        <w:pStyle w:val="Heading2"/>
        <w:numPr>
          <w:ilvl w:val="1"/>
          <w:numId w:val="1"/>
        </w:numPr>
        <w:rPr/>
      </w:pPr>
      <w:bookmarkStart w:id="430" w:name="__RefHeading___Toc10086757_2142443653"/>
      <w:bookmarkStart w:id="431" w:name="_Toc163"/>
      <w:bookmarkEnd w:id="429"/>
      <w:bookmarkEnd w:id="430"/>
      <w:r>
        <w:rPr>
          <w:rtl w:val="true"/>
        </w:rPr>
        <w:t>فهرس المحتويات</w:t>
      </w:r>
      <w:bookmarkEnd w:id="431"/>
    </w:p>
    <w:p>
      <w:pPr>
        <w:pStyle w:val="BookText"/>
        <w:rPr/>
      </w:pPr>
      <w:r>
        <w:rPr>
          <w:rFonts w:ascii="Amiri" w:hAnsi="Amiri" w:eastAsia="Amiri" w:cs="Amiri"/>
          <w:color w:val="111111"/>
          <w:sz w:val="28"/>
          <w:sz w:val="28"/>
          <w:szCs w:val="28"/>
          <w:rtl w:val="true"/>
          <w:lang w:bidi="ar-SA"/>
        </w:rPr>
        <w:t>تذنيبات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انحفاظ الملاكات الواقعية في موارد العناوين التسعة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طرق إحراز بقاء الملاك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نظائر للمقام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 حديث الرفع على أدلة الأحكام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وجوه تقديم دليل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حكومة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الأحكام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العناوين الثانوية ناظرة إلى عقد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التذنيب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الرفع لنسيان الجزء والشرط والسبب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بحديث الرفع لنسيان الجزء أو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أدلة نفي التمسك بحديث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لا فرق بين النسيان في تمام الوقت أو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النسيان بالأسباب التي لها آثار 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عدم شمول الرفع لنسيان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التفصيل بين نسيان الجزء المقوم للماهية وغير المقوم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الرفع خلاف الامتنان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التذنيب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رفع الإكراه للتكاليف الاستقلالية والضمنية والأسباب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الإكراه بالتكليف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الإكراه بالتكاليف الضمنية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المبحث</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الإكراه بالأسباب التي تترتب عليها آثار 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قرائن توثيق زكريا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الدلالي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الإشكال على الاستدلال بحديث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تقرير لدلالة حديث الحجب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حديث السعة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بين حديث السعة وأدلة وجوب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تعارض حديث السعة مع دليل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ورود دليل الاحتياط على حديث السعة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التفصيل بين طريقية أدلة الاحتياط وموضوعيتها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عدم لغوية حديث السعة بناء على ورود أدلة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عدم اللغوية بناء على 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تحقق اللغوية بناء على عدم 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حديث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إشكالات على الاستدلال بحديث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ترجيح معنى الوصول على الصدور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دلالة الحديث على البراءة حتى بناء على كون معنى 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التعبير الأول لروايات 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تصحيح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وجه تضعيف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ولكن أورد عليه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أخص من المدعى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شمول الحلال للشبهات 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الحديث بالشبهات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استناد الأمثلة إلى أصالة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الحلية في رواية مسعدة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تخصص الرواية بالشبهات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التعبير الثاني لروايات 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إشكالات على دلالة الرواية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الانقسام بالفعل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الانقسام سبب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التعبير الثالث لروايات 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أمراً بجهالة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الإشكال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الحديث للجاهل 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تقريرات ثلاثة للإشكال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التخصيص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أدلة الاحتياط على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اللّه على الناس بما آتاهم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طرق وثاقة 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وثاقة ابن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البحث في مفاد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توثيق عبد الأعلى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الناس بالجهالة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تمامية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عدم قبول الأحكام الوضعية للتشكيك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علم كفي ما لم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قبح العقاب بلا 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قاعدة قبح العقاب بلا 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 العقاب على مخالفة ما لا يقتضي التحريك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لكنه محل تأمل 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المحتمل قابل للمحركية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التصرف في ملك الغير من دون إحراز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العقاب على ما لا يستند إلى 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العقاب مع عدم التكليف ثبوتاً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 حكم العقل بقبح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المؤاخذة مع عدم الإعلام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بلا بيان قبيح بشهادة الوجدان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الرابطة بين الثواب والعقاب وبين الأعمال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وجوب دفع الضرر المحتمل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إنكار قاعدة وجوب دفع الضرر المحتمل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إثبات القاعدة وكون الوجوب فيها إرشادياً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عدم وجود إطلاق لقاعدة وجوب دفع الضرر المحتمل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الجمع بين القاعدتين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الإشكال على الورود المذكور بعكسه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دورية بيانية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دورية عدم بيانية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البيان وتعليقية احتمال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عدم جواز الاقتحام في الشبهات الموضوعية الخطيرة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التكليف بالمجهول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الاستدلال على البراءة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تقريرات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البراءة الثابتة حال الصغر أو الجنون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لكن يرد عليه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الإشكال الأول لصاحب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إشكال السيد الروحاني على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اتحاد الموضوع يخل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البراءة الثابتة قبل الشريعة أو أول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إشكال المحقق النائيني على التقريرين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عدم التكليف الثابت قبل تحقق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دليل البراءة مع جريان استصحاب عدم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استصحاب عدم الإلزام مع استصحاب عدم الترخيص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جعل التكليف 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أدلة الأخباريين على الاحتياط</w:t>
      </w:r>
    </w:p>
    <w:p>
      <w:pPr>
        <w:pStyle w:val="BookText"/>
        <w:rPr/>
      </w:pPr>
      <w:r>
        <w:rPr>
          <w:rFonts w:ascii="Amiri" w:hAnsi="Amiri" w:eastAsia="Amiri" w:cs="Amiri"/>
          <w:color w:val="111111"/>
          <w:sz w:val="28"/>
          <w:sz w:val="28"/>
          <w:szCs w:val="28"/>
          <w:rtl w:val="true"/>
          <w:lang w:bidi="ar-SA"/>
        </w:rPr>
        <w:t>أدلة الأخباريين على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بالكتاب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فيه بالوقوف عند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فقد أشكل عليها بإشكالات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روايات التوقف إرشادي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التحريم ببيان الهلكة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غيري أو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طريقي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الطريقي غير معقول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أمر ثالث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المرحلة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السيد الروحاني على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المرحلة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ما ذكر في المنتقى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المرحلة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المحقق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المرحلة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المحقق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المرحلة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للمحقق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الإشكال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الإشكال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الإشكال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الآمرة بالاحتياط في موارد الشبهات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وثاقة الحسن بن محمد بن الحسن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جهالة علي بن محمد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الأجوبة الإجمالية على روايات وجوب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ضابطة تشخيص الحكم الإرشادي عن المولوي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التثليث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الدليل</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بوجود محرمات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بعدة 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الجواب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الجواب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تقريرات لتقريب انحلال العلم الإجمالي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التكويني الطارئ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الحقيقي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كبروياً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صغروياً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الانحلال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الإشكال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أفيد في المقام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الحكمي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بالحظر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الحرمة محتمل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تنبيهات البراءة</w:t>
      </w:r>
    </w:p>
    <w:p>
      <w:pPr>
        <w:pStyle w:val="BookText"/>
        <w:rPr/>
      </w:pPr>
      <w:r>
        <w:rPr>
          <w:rFonts w:ascii="Amiri" w:hAnsi="Amiri" w:eastAsia="Amiri" w:cs="Amiri"/>
          <w:color w:val="111111"/>
          <w:sz w:val="28"/>
          <w:sz w:val="28"/>
          <w:szCs w:val="28"/>
          <w:rtl w:val="true"/>
          <w:lang w:bidi="ar-SA"/>
        </w:rPr>
        <w:t>تنبيهات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جريان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التسامح في أدلة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قاعدة التسامح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التسامح مسألة 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الاستحباب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حكم العقل بالانقياد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الثمرات المترتبة على القولين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الثمرة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شرائط حجية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لكن يمكن تصوير جملة من الثمرات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بفضل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 ضعف المحركية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القول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يضاف دليل آخر، وهو الاستصحاب، فبعد ارتفاع الحكم بحديث الرفع يشك في بقاء ملاكه فيستصحب الملاك، فإن القدر المتيقن من الرفع رفع الحكم فحسب، ويكون أثره شرعياً حيث يحكم بصحة العمل المأتي به بعد ارتفاع الحكم، ولكن 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الحكومة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 المولى نائماً فسقط ابنه في البئر، فيحكم العقل بوجوب تحصيل ملاك المولى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نفي الماهية ممتنع في المقام، فالنسيان موجودٌ خارجاً، وأقرب المجازات رفع جميع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الضرر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ابتدعه معاوية حينما قدم إلى المدينة فصلى من دون بسملة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الأشعري العطار، شيخ الكليني ثقة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ثقة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 مشترك بين عدة بعضهم ثقة وبعضهم ممدوح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بن فرقد، ثقة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هذه الكلمة في بعض الطرق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ولا توجد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كحجب بعض المباحث في باب العقائد، فلسنا مكلفين بمعرفتها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عقد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المحكم في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الامتثال مرة في الأمر بالطبيعة؛ لأنّ انطباق الطبيعة على الفرد قهري، والإجزاء عقلي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إشارة إلى الولاية التشريعية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المراد الاستطاعة العرفية لا الدقية العقلية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تتكلفوا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كالشك في وجوب القنوت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كالشك في تحريم شرب التتن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معنى لقراءته مع 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في سعةٍ الذي لا يعلمون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أَوْصاني بِالصَّلاةِ وَ الزَّكاةِ ما دُمْتُ 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مدة حياتي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وملاكه فرضاً إيجاد وإنماء ملكة التقوى في المؤمن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المكلف من جهة وجوب الاحتياط في ضيق، ومن جهة حديث السعة في سعة، فيقع التعارض بين الدليلين، فلا بد من الجمع الدلالي أو إعمال التراجيح، هذا على مبنى الكفاية، وهو الطريقية، ولعله مبنى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فيرتفع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في سعة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بحث موسع له صور متعددة محله باب التعادل والتراجيح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عليكم المسألة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 في قلبي إنها ذات بعل فقال له لم 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لحفظ الملاكات والأوامر الواقعية، بل للأمر بالاحتياط ملاك وثواب وعقاب مستقل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تامة، أي تحقق وقوع المكلف في ضيق الاحتياط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يحتوي الفقيه على ستة آلاف رواية تقريباً حوالي ألفين منها مراسيل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وذكروا القرائن الخارجية في كتب الرجال كما ذكرت في المعالم في موت ابن الملك</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وثاقة المخبر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وصلت النوبة إلى الاستظهار انقطع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بمعنى الصدور لكن لازماً، كصدر الأمر، أما الورود فهو متعدي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بين الوارد والمورد التضايف، والمتضايفان متكافئان تحققاً وتعقلاً، كما ثبت في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الممكن أن يكون شرب الماء لا اقتضائياً في حد ذاته، لكن يطرأ عليه عنوان يقتضي تحريمه فيرد فيه نهي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يرد فيه النهي هو العنوان الطارئ على الموضوع اللا اقتضائي، فلو انطبق عنوان الغصب على شرب الماء فليس الشرب منهياً عنه، بل العنوان المنطبق عليه منهي عنه، فإن النهي وارد على عنوان الغصب، والذي يقتضي الحرمة بنفسه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كعدم تحمل الناس للأحكام، كما هو الحال في شرب الخمر، مع أنه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نبياً إلاّ بتحريم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لم يصدر الحكم بالحرمة حتى هاجر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واحتمال صدور النهي عنه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 شيء يقال له التتن فهو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كأنياب أغوال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يقولون بالبراءة في الشبهات التحريمية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أحاديث الاحتياط والتوقف عند 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 والشواهد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التواريخ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 أكلها لمكان الحاجة إليها في ظرف الحرب وأباحها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أحاديث الحل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ثقة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مسلم، ثقة وجه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غض النظر عن أصالة عدم التذكية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بعنوان الإشكال على الإشكال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تقييد العلم به احتراز أيضاً عن الظن والوهم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تعلم لا أن تظن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خلاف الظاهر، ففي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يحتمل مجيء وزيره يقيد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احترازياً ، وأما 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يحتمل أن يكون المراد منه غير العلم كالظن بأن يحتمل المخاطب أن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يحصل لك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يقيد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ليكون احترازاً عن الظن والوهم و ما أشبه، فلا بد أن يكون تأكيداً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فالأخباري قد يقول بجريان البراءة في الشبهات الوجوبية، أما التحريمية فلا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دراسات في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المبنيين في ذلك</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الطولية فتلاحظ إذا كان مؤدى الأصول متناقضة أو متضادة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الشيخ الصدوق إلى الحسن بن محبوب صحيح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من أصحاب الإجماع من الطبقة الثالثة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ثقة عظيم جليل، ومن العجائب في تاريخه أنه كان على خزائن المنصور والمهدي والهادي والرشيد وكأنه كان وزير الاقتصاد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بعنوان المؤيد، لجهالة عبد اللّه بن سليمان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الأشعري العطار، ثقة جليل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الأشعري القمي، ثقة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الوسائل، وأما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ابن محبوب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سليمان، مشترك بين تسعة وكلهم مجاهيل، وقال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الصيرفي، ولكنه مجهول أيضاً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كان محل البحث والخلاف آنذاك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إثبات الحلية عملاً ليكون قاطعاً للشبهة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لم يكفه الإثبات العملي، أو أراد ضميمة اللفظ إليه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بعنوان المؤيد أيضاً للإرسال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استخدام كلمة الكلي بمعنى الأوْل، أي يؤول إليه، وإلا فإنّ الخارج لا يكون ظرفاً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بحثه في المطول، وجامعه عود الضمير على المرجع بمعنى آخر، وقد مثلنا له سابقاً بقول الشاعر في المطول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كانت العبارة صريحة كما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الجبن الخارجي فيه حلال وحرام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معناه في نوعه حلال وحرام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 في 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أَرْسَلْنَا إِلَى فِرْعَوْنَ رَسُولًا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فَعَصَى فِرْعَوْنُ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نفس الرسول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ثقة ثقة، وطريق الشيخ الطوسي إليه صحيح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في الرجال بثقة ثقة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ينزع المخيط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الظاهر</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لصعوبة الحج ومشقته، فكان عليه أن يعيده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تضطرب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هي مشكلتك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ظاهرها أن لبس المخيط إن كان قبل الإحرام وكان الإحرام متأخراً فلا بأس بنزع القميص من الرأس، وإن كان بعد الإحرام فينزعه من قبل رجليه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ونقلت العبارة في بعض الكتب الأصولية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امرئ ركب أمراً بجهالة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مالك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 شرب التتن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أنه مشكوك</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التَّوْبَةُ عَلَى اللّهِ لِلَّذِينَ يَعْمَلُونَ السُّوَءَ بِجَهَالَةٍ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مِنكُمْ سُوءًا بِجَهَالَةٍ ثُمَّ تَابَ مِن بَعْدِهِ وَأَصْلَحَ فَأَنَّهُ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الجهل بالحكم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الجهل بالموضوع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جاء نفران من الغابة فسئلا عما فيها؟ فأجاب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شيء فيها، بينما أجاب الثاني فيها كل شيء، ولا تناقض بينهما، حيث النظر في دائرة معينة، فإنّ الأول صياد لم يعثر على أي صيد، والثاني حطاب والغابة مليئة به، كما في المطول وبعض شروحه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هنالك عمومات آبية عن التخصيص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يَجْعَلَ اللّهُ لِلْكَافِرِينَ عَلَى الْمُؤْمِنِينَ سَبِيلاً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ثقة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من أصحاب الإجماع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ثقة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بخلاف ما لو كان النقل عن الراوي محدوداً، فإنه لا ملازمة بين الاعتماد عليها وبين الوثاقة المخبرية، حيث يمكن القول بوجود قرائن خارجية لصحة الخبر واجتهاده غير حجة علينا، كما لو اعتمد على خبر شخص، فإنه لا يكشف عن الوثاقة المخبرية؛ لاحتمال كون الخبر محفوفاً بالقرائن الخارجية، كموت ابن الملك المذكور في المعالم، لكن لو اعتمد عليه في موارد متعددة فيبعد أن يكون كلها محفوفاً بالقرائن، بل الاعتماد يكشف عن وثاقة المخبِر عند المخبَر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ثقة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ثقة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ثقة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ثقة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ثقة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ويختلف عن السندين السابقين إلا في حمزة ابن الطيار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عدة الكليني بحث مطول، وقد ثبت في محله أن في كل عدة يوجد ثقة من الثقات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البرقي، ثقة وفي عدة الكليني عن البرقي يوجد علي بن إبراهيم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 ثقة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الأحمر هو أبان بن عثمان، من أصحاب الإجماع من الطبقة الثانية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الكلام فيه في السند السابق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أمران يمكن اجتماعهما بلا تضاد بينهما كالسواد والحلاوة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الكليني عن أحمد بن محمد بن عيسى فيهم محمد بن يحيى الأشعري العطار وهو ثقة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 ثقة ثقة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ميمون، ثقة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قراءته بصيغة المعلوم المجرد، ويحتمل أن يكون من باب التفعيل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يُعرّف شيئاً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في العدد والرؤية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الترديد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أنه نكرة في سياق النفي وهي تفيد العموم فيشمل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يعرف شيئاً أبداً، ومن لم يعرف شيئاً بخصوصه، وذلك لمكان التعميم، فلا ينهض رداً على المدعى،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الأشعري، أحمد بن إدريس أحد مشايخ الكليني، ثقة جليل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الجبار، ثقة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شيخ الكليني وقد مرّ البحث في توثيقه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ثقة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المراد منه هنا صفوان بن يحيى، من أصحاب الإجماع من الطبقة الثالثة، وذلك بقرينة رواية محمد بن عبد الجبار والفضل بن شاذان عنه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 ثقة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الجهالة أو مقرونة بها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مقيد بالروايات التي تحكم بالحرمة الأبدية فيما لو تحقق الدخول، فعلة التحريم الأبدي الدخول أو العلم، وأما العقد المجرد مع افتقادهما فلا يوجب الحرمة الأبدية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فالجهالة عذر في المقام وفيما هو أعظم، وقد مثل له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بالجهالة بأصول الدين، فلو كان معذوراً فيها فبطريق أولى يكون معذوراً في فروع الدين، وهكذا لو قتل محقون الدم بجهالة فهو معذور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الكتب الأصولية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وإن لم يجدِ في المقام إلا أنه يثبت أنَّ الحصر المذكور غير حاصر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كالأكول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أنه لم نجد الأعذرية في الرواية،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فرضه لم يعلم أنه بمعنى أفعل التفضيل، بل يمكن أن يكون فعلاً ماضياً مجهولاً أو معلوماً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بغض النظر عن الملتزمين والذين لا يبالون بالحكم الشرعي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كان محشوراً مع المتدينين فهو يعرف الحكم عادة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كان بعيداً عن الأجواء الدينية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مع الفحص يرتفع الشك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نقلاً عن توحيد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بالعنوان الذاتي ولا بالعنوان العرضي، وبتعبير ثالث لا بالوجه ولا بالكنه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الأفكار ومطرح الأنظار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 والشواهد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فالأسد بوجوده الواقعي لا يقتضي الفرار إلا مع وجود صورته العلمية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محل الكلام في البراءة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 الضميمة الخارجية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على مبنى وجود الوجوب التعليقي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التقسيم الذي ذكره السيد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التقسيم الذي ذكره السيد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العقل بقبح العقاب بلا بيان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الأحكام العقلية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والعملية، فلو تعلق إدراك العقل بما ينبغي أن يعلم فالحكم نظري، كإدراك العقل عدم اجتماع النقيضين، ولو تعلق بما ينبغي أن يعمل أو لا يعمل فالحكم عقلي عملي، وفي المقام حينما يحكم العقل بقبح العقاب بلا بيان فهو حكم العقل العملي؛ لأنه متعلق بما ينبغي أن لا يعمل، فإن العقاب عمل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التحسين والتقبيح العقليين ملاك الأحكام العقلية العملية، ومع إنكار المبنى لا معنى للقول بقبح العقاب بلا بيان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الأحكام العقلية العملية مآلها إلى الأحكام العقلائية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حقيقة الأحكام العقلائية الأشياء التي تطابقت عليها آراء العقلاء؛ لعلة حفظ النظام وإبقاء النوع البشري، وهي مرجع الأحكام العقلية العملية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جميع الأحكام العقلية العملية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كقبح الكذب وحسن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تندرج تحت حكمين عقليين عمليين، وهما قبح الظلم وحسن العدل، فالخيانة والكذب وسلب حقوق الغير وغيرها، نوع من أنواع الظلم، وفي المقام حكم العقل بقبح العقاب بلا بيان ليس حكماً عقلياً منفرداً عن سائر الأحكام العقلية العملية، بل هو مصداق من مصاديق قبح الظلم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لحكم العقل بقبح العقاب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قامت الحجة على حكم فمقتضى العبودية الامتثال، ومع المخالفة يخرج العبد عن زي العبودية وهو ظلم، فالعبد ظالم، والعقوبة على الظلم ليست ظلماً، فلا يقبح العقاب مع البيان؛ لأنَّ العقاب ليس ظلماً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شرب الخمر، الذي لم تقم على خمريته الحجة، كما لو كان جاهلاً، فليس من ظلم العبد لمولاه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شرب الخمر الواقعي الذي لم تقم عليه الحجة لا ينافي العبودية، وعليه لو شرب الخمر جاهلاً لم يخرج عن طريق العبودية، فلم يظلم مولاه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عاقب المولى عبده على شرب الخمر كان ظلماً منه؛ لأن العبد لم يخرج عن جادة العبودية بشربه الخمر المجهول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مخالفة ما لم تقم عليه الحجة ليست من أفراد الظلم، وليست خروجاً عن رسم العبودية وزي الرقية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وللتقريب إلى الذهن نمثل بالأم الرحيمة الشفيقة على رضيعها، حيث يمكن ذاتاً أن تقتله، ولكن بلحاظ عقلها وشفقتها ورأفتها يكون ذلك ممتنعاً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نفس من يفعل ذلك يدرك بعقله قبح فعله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كنهي الطبيب عن أكل الطعام، والذي ظاهره الإنشاء ومآله الإخبار عن ضرره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فينكشف الضرر الاحتمالي مع الاحتمال في رتبة الموضوع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كأكل الدجاج المبتلى احتمالاً بمرض أنفلونزا الطيور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يعترف به السيد الروحاني أيضاً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هو الشبهة البدوية بعد الفحص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والبحث في المقام حول خصوص العقاب، فإنه عمدة الضرر المحتمل، وستأتي بقية الأضرار في المباحث القادمة، إن شاء اللّه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يقول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التتن حرام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قال المولى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احتملت أن أحداً عدوي فلا تدخله 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فموضوع هذا البيان هو الاحتمال، وكون الموضوع الاحتمال لا ينافي كون القضية بياناً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احتمال الضرر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كشرب التتن وأكل العظم وأكل الطعام المحترق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تكون كلها تعليقية أو بعضها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تخرج المقدمة من حالة التعليقية إلى الفعلية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أن المراد البيان الواصل أو البيان في معرض الوصول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الضرر المحتمل أو احتمال الضرر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العقوبة الأخروية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يفحص أو فحص ناقصاً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العقاب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يمكن أن يكون متأخراً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 معلولها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احتمال الضرر بمعنى العقاب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 دفعه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لمحتمل الضرر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احتمال الضرر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الضرر غير العقوبة الموعودة من الشارع جزاء للأعمال، سواء كان دنيوياً أم أخروياً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جواب صغروي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الأمر يحتاج إلى تحقيق وتتبع أكثر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الحرمة ووجود المفسدة والمضرة في المتعلق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الحرمة واحتمال وجود المفسدة أو المضرة في المتعلق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يقوم بانقلاب عسكري ولا يحتمل على نفسه الضرر، ولكن يحتمل المفسدة لنظام المجتمع، ومن الواضح أنَّ مراد الكفاية من المضرة الشخصية العائدة إلى المكلف، ومن المفسدة النوعية أو غيرها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الآية كما 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تلقوا أنفسكم بأيديكم إلى التهلكة، وقال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الباء زائدة فأيديكم بمعنى أنفسكم، فمن يذهب إلى المسبعة مع عدم كون الهلاك قطعياً يطلق عليه أنه ألقى بنفسه إلى التهلكة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ذكری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يشك أنه متطهر أم لا؟ وهل يجوز له الدخول في الصلاة بعد الخفقة أم لا؟</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كانقلاب الخمر خلاً أم لا؟</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التتبع الناقص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خلاف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كالتاجر الذي يعلم أنه لا يربح في هذه التجارة، حيث لا يعقل أن يتاجر بداعي حصول الربح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يتاجر بداعي آخر، أما داعي الربح فلا يعقل أن يكون غرضاً ومحركاً 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لم يكن مستطيعاً، فوعده باذل لا يثق بوفاء وعده، فوجوب الحج عليه محل بحث، ومع الشك في البذل يستصحب عدم التكليف بوجوب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 احتمال استحقاق العقاب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في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العقل هو الحاكم على الإطلاق في باب الاستحقاق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فلازم عدم منع الشارع من شرب التتن إذنه في شربه، وأثر الإذن عدم استحقاق العقاب، إلا أن الإذن من مقارنات المستصحب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استصحب وجوب صلاة الجمعة، فتثبت الآثار العقلية للمستصحب، كوجوب الطاعة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لو قال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أمنع شرب الماء واقعاً، فأثره العقلي عدم استحقاق العقاب واقعاً، ولو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أمنع شرب المشكوك ظاهراً، فأثره العقلي الحكم بعدم استحقاق العقاب على شربه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المطر ووجود الزرع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يعقل أن تكون علقة العلية ثابتة بين العدمين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المطر وعدم الزرع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العدم لا يعقل أن يكون مجعولاً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يقول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جعلت الوجوب وعدم الوجوب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إشكال ترتبي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يثبت أن كونه في مقام الامتنان علة، بل هو علة مستنبطة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كانت الطهارة أثر عدم الملاقاة فمع الشك فيها نستصحب عدمها، كما أنّ وجوب الحج مترتب على الاستطاعة فمع الشك في حصولها يجري الاستصحاب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شك المكلف في الإتيان بصلاة الظهر قبل الغروب، فوجوب الإتيان مترتب على صرف الشك فيه؛ لأن الاشتغال اليقيني يقتضي البراءة اليقينية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التعبد الاستصحابي من أردأ أنواع تحصيل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عدم الجعل، فلا مجعول فلا أثر شرعي وعقلي من آثار المجعول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يمكن أن يورد عليه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مثلنا له بالشك في وجوب الحج فيما لو بذل من لا يوثق ببذله، فيستصحب عدمه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والدليل الحاكم لا يرفع واقعاً موضوع الدليل المحكوم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 ابن مالك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أشكلوا في صحة استصحاب عدم التكليف قبل البلوغ لتغير الموضوع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لا ثالث لهما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تم لكان جواباً عن المصباح، وعن الإشكال الأول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أملاك الأب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أحياناً يعبر عن المرحلة الأولى بالمجعول بالذات، وعن الثانية بالمجعول بالعرض</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يعتبر إشكالاً رابعاً على كلامه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الحكم محمول على الماهية الكلية، والعقل يحكم بتطبيقها على كل فرد من أفرادها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هو مراد السيد الروحاني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 الأمير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 عن الشبهات خوف الوقوع في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 الأمير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خاف العاقبة تثبت عن التوغل فيما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ثقة، وطريق الطوسي إليه صحيح</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مسلم، ثقة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زياد، ثقة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فأرجه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 عند الشبهة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مشهور الأخباريين لا يرون وجوب الاحتياط في الشبهات الحكمية الوجوبية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وردت عدة روايات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القرعة لكل أمر 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أمر مجهول ففيه 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القرعة لكل أمر 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كالماء المشكوك، فإنه مع وجود أصالة الطهارة لا شبهة فيه ولا جهالة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الوقوف عند الشبهة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الأصولي يقول افعل، والأخباري يقول لا تفعل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الهلاك عرفاً حسبما نفهمه بمعنى الموت أو ما يقاربه، و قد ورد ذلك في القرآن في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امْرُؤٌ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قَالَتْ أُمَّةٌ مِّنْهُمْ لِمَ تَعِظُونَ قَوْمًا اللّهُ مُهْلِكُهُمْ أَوْ مُعَذِّبُهُمْ عَذَابًا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لِّيَهْلِكَ مَنْ هَلَكَ عَن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هَلَكَ قُلْتُمْ لَن يَبْعَثَ اللَّهُ مِن بَعْدِهِ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وعشرات الآيات الأخرى التي استخدمت فيها مادة الهلكة بمعنى الموت، فتكون الهلكة الدنيوية بمعنى الموت وأما الأخروية فتكون بمعنى العقاب والخلود في النار، وقد ورد الهلاك بمعنى العذاب في القرآن أيضا، 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أَرَأَيْتَكُمْ إِنْ أَتَاكُمْ عَذَابُ اللّهِ بَغْتَةً أَوْ جَهْرَةً هَلْ يُهْلَكُ إِلاَّ الْقَوْمُ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أَنَّا أَهْلَكْنَاهُم بِعَذَابٍ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أيضا بمعنى العذاب الأخروي، 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كَأَنَّهُمْ يَوْمَ يَرَوْنَ مَا يُوعَدُونَ لَمْ يَلْبَثُوا إِلَّا سَاعَةً مِّن نَّهَارٍ بَلَاغٌ فَهَلْ يُهْلَكُ إِلَّا الْقَوْمُ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بعض كتب اللغة ذلك أيضا، ففي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أي مات، ولا يكون إلا في ميتة سوء، وهكلت النفس أي سقطت في جهنم، وكذلك في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هلك</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مقول 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تفسير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الشبهة وإن كانت موضوعية إلا أنه بعد بلوغه ذلك بعدلين أو بمن يوثق بكلامه لم يحق له الاقتحام فيها، لا أقل من أن الرواية أعم من ذلك تشمل ما ذكرناه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شرح كافية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عنه بالمقدمي، لكن الظاهر أن المراد ما ذكرناه، ولا فرق بين التعبيرين في المقام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انكشف أن شرب التتن كان حراماً في الواقع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فاستحقاق العقوبة معلول للأمر الطريقي، ولولاه لما ثبت استحقاق العقوبة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جميع المباحث المتقدمة كانت مبنية على وجود أمرين فقط،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الواقعي المجهول المدون في اللوح المحفوظ</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الأخباريين بأخبار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وجوب الاحتياط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كائنة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للسببية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 من أن الأول مجهول لا عقاب عليه، والثاني إما إرشادي أو نفسي أو غيري أو طريقي، وكلها غير صالحة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فرض وجود أمرين فقط ملازم للغوية كلامه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الشبهات البدوية، والعلم الإجمالي في المقام أنه في العلم الإجمالي قد حكم العقل في مرتبة سابقة بمعرضية الهلكة،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 إليه، وأما في البدوية فحيث لم يحكم العقل بالهلكة فلا أثر له، فيكون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الطريقي المكشوف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منجزاً للأمر الواقعي المجهول،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 إليه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كان معلولاً لظاهر التعليل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الإطلاق أو العموم في 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 الهلكة ظاهرة في العقوبة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تسليم المقدمتين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المحقق العراقي غير ناظر لما في النهاية ولكنه صالح لرد كلماته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اللام زائدة و الصحيح إدخال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الشبهة الحكمية البدوية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العموم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يصح التشكيك في وجود النار مع إحراز وجود الدخان، الذي هو كاشف إني عن النار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الموضوع إما علة للمحمول أو كالعلة له، وكما أن العلة متقدمة رتبة على المعلول كذلك الموضوع متقدم رتبة على المحمول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به البعض وقد سبق بيانه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كالوهابية فإنهم يرفعون شعار الحق والدعوة إلى التوحيد الخالص، ونبذ الشرك الجلي والخفي، فلهم بعض مظاهر وشعارات الحق، لكنه في الواقع باطل محض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بنو العباس يدعون للحق ويرفعون شعار يا لثارات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أورع الناس من وقف عند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دليل على وجوب الأورعية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ثقة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 ثقة أو ممدوح والمختار أنه ثقة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مشترك بين ابن بزيع والبرمكي، وهما ثقتان، والبندقي وهو مجهول، وقد مرّ سابقاً طرق لإثبات وثاقته، فإن تم اعتبارها فالطريق الثاني معتبر أيضا، وإلا فيكفينا الطريق الأوّل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معروف لا يحتاج إلى توثيق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فللكليني طريقان الأول عن علي بن إبراهيم عن أبيه،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إسماعيل، عن الفضل بن شاذان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من أصحاب الإجماع من الطبقة الثالثة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من أصحاب الإجماع من الطبقة الثالثة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إبراهيم بن هاشم وفضل بن شاذان رويا هذه الرواية عن ابن أبي عمير وصفوان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 ثقة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اشتركا في صيده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لا بهذه العبارة في ضمن كلمات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تفصيل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مسألة الدين لو تردد بين الأقل والأكثر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شرح كافية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موثقة لوجود أحد الواقفية في السند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وقد رواها الحر العاملي في المقام مختصراً، وأما الرواية الكاملة فقد وردت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ورواها الشيخ الطوسي في التهذيب والاستبصار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الشيخ في المشيخة إلى الحسن بن محمد بن سماعة صحيح</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بن سماعة، من شيوخ الواقفة لكنه ثقة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وضاح، ثقة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السؤال إبهام شديد ولا يعلم مراد السائل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الشمس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حصول ظلمة أو شبه ظلمة أول الغروب في قرب الأرض، ثم ترتفع شيئاً فشيئاً حتى تملأ السماء</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وأما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المكتبة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 وأما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توجد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وترتفع فوق الجبل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لكن المشهور في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المراد العامة منهم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 أن المراد الحمرة المغربية أو المشرقية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لك أن توفي دينك وتخلص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فتخلص نفسك بيان لعلة الحكم، فيفيد أن تخليص النفس مطلقاً مطلوب لا في خصوص المورد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يهمنا الأقرب منهما في المقام، لاختلاف استظهارات الفقهاء والأصوليين في المراد منها في الفقه والأصول، فإنها وردت في أحكام الأوقات وتضاربت الآراء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مذهب العامة ومجموعة كبيرة من الخاصة من المتقدمين والمتأخرين، وإن كان ذلك خلاف المشهور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يحيى التميمي، ثقة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داود بن القاسم الجعفري، ثقة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المستحبات والمكروهات والتاريخ فصرف الرواية لا يدل على الوثاقة؛ لعدم ترتب إلزام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شوهد اعتماد المرجع على خبر شخص مجهول، فيمكن أن يكون ذلك لوجود قرائن خارجية لوثاقة الخبر، أما الاعتماد في عشرات الموارد فعادة يفيد الاطمئنان بالوثاقة المخبرية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أمالي ابن الشيخ الطوسي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الخامسة مندكة مع الصورة الأولى، فلا وجه لاعتبارها صورة مستقلة فتكون الصور أربعاً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دخول الألف واللام عليها لإيغالها في الإبهام، كما في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لم يخصص</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صاحب الكفاية أو يحتمل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بعض تلك الأدلة يحتمل فيها الناظرية فما بال البعض الآخر، فلا مجال لما ذكر، إللهم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تلك الأدلة ناظرة إلى الواقع فيتم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 كان حكم عقلي في مورد الحكم الشرعي كان الحكم الشرعي إرشادياً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لم يأمر الأب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لحكم العقل بالإطاعة معنى</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الرمان لا شحم الحيوان، كما كان الثاني يفعل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بتعبير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المجعول الطريقية، كما هو مبنى المحقق النائيني، أو المتيقن لا اليقين والطريقية، كما هو مبنى الشيخ الأعظم وصاحب الكفاية، أو أي مبنى آخر في المجعول في باب الاستصحاب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 كان التخريج الفني للتقديم حكومة أو وروداً أو توفيقاً عرفياً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القول بكونهما أصلين عمليين، وقد ذهب الشيخ في موضع من الرسائل إلى أنهما مقدمان على الاستصحاب حتى لو قلنا إنه أمارة، وأنهما أصلان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فلحم الشاة حلال بيّن، ولحم الخنزير حرام بيّن، وشرب التتن مشتبه فيجب تركه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واليا من قبل معاوية على الكوفة، ومن قبل يزيد على حمص</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دأب الملوك قديماً وحديثاً على تحجير اراضٍ، فلا يحق لأحد إحياؤها أو الدخول فيها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اللّه وإلى رسوله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المجمع عليه لا ريب فيه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الجواب الأول عدم وجود العلم الإجمالي، ومفاد هذا الجواب انحلاله بعد التسليم به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قطع النظر عن روايات القرعة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كمورد موثقة عمار الساباطي الذي وجد في إنائه فأرة متفسخة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يستثنى منهم شخص واحد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فأجزنا إجراء جميع المعاملات المشتبهة، وأجزنا دخول المرأة في المسجد؛ لأ‌نّ اليوم الأول مشكوك تجري فيه البراءة، وسائر الأيام خارجة عن محل الابتلاء إلى اليوم الثالث والعشرين مثلا، ففيه أيضا يجوز الدخول؛ لأنها تعلم إما أنه الحرام أو ما سبقه كان حراماً، أما ما سبق فقد مضى، وأما اليوم فهو مشكوك بالشك البدوي، فتجري فيه البراءة، نعم، بعد الارتكاب تعلم بصدور الحرام، وتحصيل العلم بصدور الحرام ليس محرماً، وهكذا الأمر في إجراء جميع المعاملات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انحلال العلم بالأمارات التعبدية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القسم الثاني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الإفراز لا تؤثر في المقام، سواء كان بإفراز تفصيلي أم إجمالي بإفراز كل الشياه السوداء من القطيع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أخرجنا الخمس تفصيلا أو أخرجناها إجمالاً ضمن إخراج كل الشياه السوداء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الشهرة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جريان الشهرة الفتوائية أو العملية على حرمته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 إما لاقى هذا الإناء أو ذاك</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حرمة هذه الموارد الثمانمائة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معنى حجية الخبر جعل حكم مماثل للواقع، فحينما يقول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الجمعة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الشارع جعل وجوباً ظاهرياً للجمعة مماثلا للحكم الواقعي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العلم بسقوط الفأرة الذي يولد الفعلية 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فينحل العلم الإجمالي به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ثبتت حرمة العصير العنبي والغراب وغيرهما بالطرق فلا ينفي ذلك حرمة العظم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 الباقي علی الإجماله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ويتضح الأمر في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إما زيد أو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إجمال في المجيء، وإنما الإجمال في المتعلق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بين الكرم والغنى، وبين الهدر عموماً من وجه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مع الكشف عن إذنه فهو خروج عن الموضوع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التسالم أقوى من دعوى الإجماع، فمعناه أنه من بديهيات الفقه المفروغ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تَقْرَبُوهُنَّ حَتَّىَ يَطْهُرْنَ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الاجتناب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قال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الغراب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علم لنا بالواقع، ومع ذلك لا يمكن التمسك بالرفع؛ لأن العلم أعم، و هكذا لو قامت البينة على خمرية المائع فلا علم وجداناً؛ لاحتمال خطئها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منتهى الدراية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ورادة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واردة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الوصول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مباحث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أيضاً إشكال سندي، ولكن نذكرها بلحاظ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الشيخ الصدوق المدفون في قم المقدسة بجوار مسجد الإمام زين العابدين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موسى القمي، شيخ المحدث الكليني وشيخ والد الصدوق</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بلغه شيء من الثواب على خير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يكن على ما 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والمفاد واحد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عبد اللّه البرقي، صاحب كتاب المحاسن، ثقة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 ثقة جليل القدر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ثقة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ثقة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 ثقة على المختار ممدوح على بعض المباني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ثقة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ثقة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الإتيان بالعمل بداعي احتمال المحبوبية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شرح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بدائع الافكار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عبارة أخرى عن العمل الانقيادي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الظلم سلب ذي الحق حقه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وهو أول من وجدناه يذكر الإشكال، وربما طرح قبله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الذي ادعاه صاحب الكفاية، والظهور المدعى للشيخ الأعظم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مآله إلى الجواب الأول أو قريباً إليه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يصرح فيه بالتسليم، وهذا الجواب بخلاف الجوابين الأولين، حيث لم يسلم فيهما بإفادة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للداعوية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 هو الثواب المحتمل، والمدعو إليه هو العمل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فالبناء مثلاً يبني الدار للسكنى فيها، والسكنى بماهيتها متقدمة على العمل، وهذا الأمر جار في كل غاية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يراه بعض الفقهاء</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رفع اليد عن جميع الأجوبة المتقدمة، والتسليم بأنه تفريع المعلول على العلة، وأنه من تعنون العمل بعنوان الثواب المحتمل، وأن الثواب المحتمل حيثية تقييدية، وأنه مساوق للانقياد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التفريع، المقتضي لداعوية الثواب المحتمل إلى العمل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ظاهر الصحيحة ترتب الثواب على ذات العمل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صاحب الكفاية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كان الإشكال الأول مستنداً إلى القرينة الداخلية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عبد اللّه البرقي، صاحب كتاب المحاسن، ثقة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خالد البرقي، ثقة و إن كان يعتمد المراسيل ويروي الضعاف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النضر، ثقة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غير الرواية الأولى لاختلاف المروي عنه، فالأولى رويت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وهذه عن الإمام الباقر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مفاد صحيحة هشام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قال المولى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بدعاء كميل فلك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بدعاء كميل ليلة الجمعة فلك كذا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الإشارة لا الرضى والقبول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كقولي المولى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صلاة الليل خاشعاً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استدلال على الاستحباب بالمقام، فإن هدف المولى وغرضه الحث والتحريض على الفعل، وهذا المقام يفيد استحباب العمل، بخلاف الدليلين السابقين حيث استدلا بالمتن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الأمر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التسامح في ادلّة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إلى السيد محمد كاظم اليزدي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الثمرات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والعجيب أن الشيخ لم يذكر هذه الثمرة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يوجد خبر ضعيف في المقام حسب الاستقراء الناقص، وإنما فتوى فقيهين فحسب، وهما الإسكافي والشهيد في الذكرى، وسيأتي أن فتوى الفقيه كافية لشمول أخبار من 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اللحية الخارجة عن حد الوجه، وهو في طرف الطول المنتهي إلى الذقن، وفي طرف العرض مادارت عليه الابهام والوسطی، فما خرج عن الحدّ المذكور كان مسترسلاً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حتى لو لم تجف حسب فتوى صاحب العروة وجمع من الفقهاء، فالملاك مسح الرأس والرجلين ببلة الوضوء لا بلة الكف، فيصح أخذ البلل من محال الوضوء والمسح به وإن لم تجف اليد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ومفاده عكس مفاد الإشكالات الثلاثة المتقدمة، حيث كان مفادها عدم الفرق بين القولين في عدم جواز الأخذ من المسترسل، وأما هذا الإشكال فمآله إلى عدم الفرق بين القولين في جواز الأخذ، سواء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أخبار من بلغ تفيد الاستحباب المولوي، وإن غسل المسترسل مستحب شرعاً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تتوضأ وتجلس في مصلاها وتذكر اللّه تعالى، وربما تكون حكمته أنها لو تركت الصلاة في هذه الفترة شق عليها الالتزام بها بعد الطهر، فإن الإنسان لو ترك ما اعتاد عليه كان الرجوع إليه صعباً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أدلته في الفقه، ومنها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التَّوَّابِينَ وَيُحِبُّ الْمُتَطَهِّرِينَ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بضميمة صحيحة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الوقت وجب الطهور والصلاة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فنفس الطهور مستحب ومحبوب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أحدث و لم يتوضأ فقد جفاني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يُحِبُّ التَّوَّابِينَ وَيُحِبُّ الْمُتَطَهِّرِينَ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عبارته تدل على توثيق خصوص المشايخ المباشرين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الطهارة شرط واقعي، ولا مدخلية للعلم والجهل والمعذورية وعدمها في الصحة والبطلان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كالوثاقة أو العدالة أو مجموعهما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كالغراب بناء على حرمته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تُصِيبُوا قَوْمًا بِجَهَالَةٍ فَتُصْبِحُوا عَلَى مَا فَعَلْتُمْ نَادِمِينَ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كالأخبار الواردة في حجية الخبر الواحد،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 وابنه ثقتان، فما أديا إليك عني فعني يؤديان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معناه أن قول العمري قولي، فهو تنزيل المؤدى منزلة الواقع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مفادها مجرد ضمان الثواب واستحباب العمل على المشهور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العمري كلامي وإن لم يكن كلامي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تعارضاً بدوياً غير مستقر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نظر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ربا بين الوالد وولده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ذَرُوا ما بَقِيَ مِنَ 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لاشك لكثير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الناظر إلى أدلة أحكام الشك، وقد عبر عنه البعض بأنه لو لم يكن هنالك دليل محكوم كان دليل حاكم لغواً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العمل بالعنوان الثانوي وهو البلوغ</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الأخبار الضعاف في باب السنن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يكن للدليل مفهوم ينتفي عند الانتفاء، بل كان الخبر الضعيف مثبتاً للحكم فحسب حتى يمكن فرض جريان الاستصحاب، وأما لو كان نافياً فلا كلام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قيدناه بعهد الظهور لا الحضور، لأنّ كل الأزمنة هي عهد الحضور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احتمالين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بلغه شيء من الثواب على شيء من الخير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بلغه شيء من الثواب على شيء من الخير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بلغه عن النبي شيء من الثواب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سمع شيئاً من الثواب على شيء فصنعه كان 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63735</Words>
  <Characters>302147</Characters>
  <CharactersWithSpaces>363312</CharactersWithSpaces>
  <Paragraphs>2954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2026-08-25T02:24:55Z</dcterms:created>
  <dc:creator>ghaemiyeh.com</dc:creator>
  <dc:description/>
  <dc:language>en-US</dc:language>
  <cp:lastModifiedBy/>
  <dcterms:modified xsi:type="dcterms:W3CDTF">2026-08-25T05:55:08Z</dcterms:modified>
  <cp:revision>1</cp:revision>
  <dc:subject/>
  <dc:title>موسوعة الفقیه الشیرازی جلد 9</dc:title>
</cp:coreProperties>
</file>

<file path=docProps/custom.xml><?xml version="1.0" encoding="utf-8"?>
<Properties xmlns="http://schemas.openxmlformats.org/officeDocument/2006/custom-properties" xmlns:vt="http://schemas.openxmlformats.org/officeDocument/2006/docPropsVTypes"/>
</file>