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7.jpeg" ContentType="image/jpeg"/>
  <Override PartName="/word/media/image38.jpeg" ContentType="image/jpeg"/>
  <Override PartName="/word/media/image12.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media/image59.jpeg" ContentType="image/jpeg"/>
  <Override PartName="/word/media/image43.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عبداللّه بن عباس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7243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54724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47247_2142443653">
            <w:r>
              <w:rPr>
                <w:webHidden/>
                <w:rStyle w:val="IndexLink"/>
                <w:rtl w:val="true"/>
              </w:rPr>
              <w:t>الشخصية وعناصرها</w:t>
            </w:r>
            <w:r>
              <w:rPr>
                <w:rStyle w:val="IndexLink"/>
                <w:rtl w:val="true"/>
              </w:rPr>
              <w:tab/>
            </w:r>
            <w:r>
              <w:rPr>
                <w:rStyle w:val="IndexLink"/>
              </w:rPr>
              <w:t>9</w:t>
            </w:r>
          </w:hyperlink>
        </w:p>
        <w:p>
          <w:pPr>
            <w:pStyle w:val="Contents2"/>
            <w:tabs>
              <w:tab w:val="clear" w:pos="8743"/>
              <w:tab w:val="right" w:pos="9026" w:leader="dot"/>
            </w:tabs>
            <w:rPr/>
          </w:pPr>
          <w:hyperlink w:anchor="__RefHeading___Toc3547249_2142443653">
            <w:r>
              <w:rPr>
                <w:webHidden/>
                <w:rStyle w:val="IndexLink"/>
                <w:rtl w:val="true"/>
              </w:rPr>
              <w:t>أولاً</w:t>
            </w:r>
            <w:r>
              <w:rPr>
                <w:rStyle w:val="IndexLink"/>
                <w:rtl w:val="true"/>
              </w:rPr>
              <w:t xml:space="preserve">: </w:t>
            </w:r>
            <w:r>
              <w:rPr>
                <w:rStyle w:val="IndexLink"/>
                <w:rtl w:val="true"/>
              </w:rPr>
              <w:t>صفاته الجسمية والمزاجية</w:t>
            </w:r>
            <w:r>
              <w:rPr>
                <w:rStyle w:val="IndexLink"/>
                <w:rtl w:val="true"/>
              </w:rPr>
              <w:tab/>
            </w:r>
            <w:r>
              <w:rPr>
                <w:rStyle w:val="IndexLink"/>
              </w:rPr>
              <w:t>11</w:t>
            </w:r>
          </w:hyperlink>
        </w:p>
        <w:p>
          <w:pPr>
            <w:pStyle w:val="Contents2"/>
            <w:tabs>
              <w:tab w:val="clear" w:pos="8743"/>
              <w:tab w:val="right" w:pos="9026" w:leader="dot"/>
            </w:tabs>
            <w:rPr/>
          </w:pPr>
          <w:hyperlink w:anchor="__RefHeading___Toc3547251_2142443653">
            <w:r>
              <w:rPr>
                <w:webHidden/>
                <w:rStyle w:val="IndexLink"/>
                <w:rtl w:val="true"/>
              </w:rPr>
              <w:t>ثانياً</w:t>
            </w:r>
            <w:r>
              <w:rPr>
                <w:rStyle w:val="IndexLink"/>
                <w:rtl w:val="true"/>
              </w:rPr>
              <w:t xml:space="preserve">: </w:t>
            </w:r>
            <w:r>
              <w:rPr>
                <w:rStyle w:val="IndexLink"/>
                <w:rtl w:val="true"/>
              </w:rPr>
              <w:t>استعداداته الفطرية</w:t>
            </w:r>
            <w:r>
              <w:rPr>
                <w:rStyle w:val="IndexLink"/>
                <w:rtl w:val="true"/>
              </w:rPr>
              <w:tab/>
            </w:r>
            <w:r>
              <w:rPr>
                <w:rStyle w:val="IndexLink"/>
              </w:rPr>
              <w:t>15</w:t>
            </w:r>
          </w:hyperlink>
        </w:p>
        <w:p>
          <w:pPr>
            <w:pStyle w:val="Contents3"/>
            <w:tabs>
              <w:tab w:val="clear" w:pos="8459"/>
              <w:tab w:val="right" w:pos="9026" w:leader="dot"/>
            </w:tabs>
            <w:rPr/>
          </w:pPr>
          <w:hyperlink w:anchor="__RefHeading___Toc3547253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547255_2142443653">
            <w:r>
              <w:rPr>
                <w:webHidden/>
                <w:rStyle w:val="IndexLink"/>
              </w:rPr>
              <w:t>1</w:t>
            </w:r>
            <w:r>
              <w:rPr>
                <w:rStyle w:val="IndexLink"/>
                <w:rtl w:val="true"/>
              </w:rPr>
              <w:t xml:space="preserve">- </w:t>
            </w:r>
            <w:r>
              <w:rPr>
                <w:rStyle w:val="IndexLink"/>
                <w:rtl w:val="true"/>
              </w:rPr>
              <w:t>علائقه بربه</w:t>
            </w:r>
            <w:r>
              <w:rPr>
                <w:rStyle w:val="IndexLink"/>
                <w:rtl w:val="true"/>
              </w:rPr>
              <w:t>.</w:t>
              <w:tab/>
            </w:r>
            <w:r>
              <w:rPr>
                <w:rStyle w:val="IndexLink"/>
              </w:rPr>
              <w:t>17</w:t>
            </w:r>
          </w:hyperlink>
        </w:p>
        <w:p>
          <w:pPr>
            <w:pStyle w:val="Contents4"/>
            <w:tabs>
              <w:tab w:val="clear" w:pos="8176"/>
              <w:tab w:val="right" w:pos="9026" w:leader="dot"/>
            </w:tabs>
            <w:rPr/>
          </w:pPr>
          <w:hyperlink w:anchor="__RefHeading___Toc3547257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547259_2142443653">
            <w:r>
              <w:rPr>
                <w:webHidden/>
                <w:rStyle w:val="IndexLink"/>
                <w:rtl w:val="true"/>
              </w:rPr>
              <w:t>عبادته</w:t>
            </w:r>
            <w:r>
              <w:rPr>
                <w:rStyle w:val="IndexLink"/>
                <w:rtl w:val="true"/>
              </w:rPr>
              <w:tab/>
            </w:r>
            <w:r>
              <w:rPr>
                <w:rStyle w:val="IndexLink"/>
              </w:rPr>
              <w:t>18</w:t>
            </w:r>
          </w:hyperlink>
        </w:p>
        <w:p>
          <w:pPr>
            <w:pStyle w:val="Contents3"/>
            <w:tabs>
              <w:tab w:val="clear" w:pos="8459"/>
              <w:tab w:val="right" w:pos="9026" w:leader="dot"/>
            </w:tabs>
            <w:rPr/>
          </w:pPr>
          <w:hyperlink w:anchor="__RefHeading___Toc3547261_2142443653">
            <w:r>
              <w:rPr>
                <w:webHidden/>
                <w:rStyle w:val="IndexLink"/>
              </w:rPr>
              <w:t>2</w:t>
            </w:r>
            <w:r>
              <w:rPr>
                <w:rStyle w:val="IndexLink"/>
                <w:rtl w:val="true"/>
              </w:rPr>
              <w:t xml:space="preserve">- </w:t>
            </w:r>
            <w:r>
              <w:rPr>
                <w:rStyle w:val="IndexLink"/>
                <w:rtl w:val="true"/>
              </w:rPr>
              <w:t>علائقه بمجتمعه وبيئته</w:t>
            </w:r>
            <w:r>
              <w:rPr>
                <w:rStyle w:val="IndexLink"/>
                <w:rtl w:val="true"/>
              </w:rPr>
              <w:tab/>
            </w:r>
            <w:r>
              <w:rPr>
                <w:rStyle w:val="IndexLink"/>
              </w:rPr>
              <w:t>21</w:t>
            </w:r>
          </w:hyperlink>
        </w:p>
        <w:p>
          <w:pPr>
            <w:pStyle w:val="Contents4"/>
            <w:tabs>
              <w:tab w:val="clear" w:pos="8176"/>
              <w:tab w:val="right" w:pos="9026" w:leader="dot"/>
            </w:tabs>
            <w:rPr/>
          </w:pPr>
          <w:hyperlink w:anchor="__RefHeading___Toc3547263_2142443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547265_2142443653">
            <w:r>
              <w:rPr>
                <w:webHidden/>
                <w:rStyle w:val="IndexLink"/>
                <w:rtl w:val="true"/>
              </w:rPr>
              <w:t>المشاركة الوجدانية</w:t>
            </w:r>
            <w:r>
              <w:rPr>
                <w:rStyle w:val="IndexLink"/>
                <w:rtl w:val="true"/>
              </w:rPr>
              <w:tab/>
            </w:r>
            <w:r>
              <w:rPr>
                <w:rStyle w:val="IndexLink"/>
              </w:rPr>
              <w:t>24</w:t>
            </w:r>
          </w:hyperlink>
        </w:p>
        <w:p>
          <w:pPr>
            <w:pStyle w:val="Contents4"/>
            <w:tabs>
              <w:tab w:val="clear" w:pos="8176"/>
              <w:tab w:val="right" w:pos="9026" w:leader="dot"/>
            </w:tabs>
            <w:rPr/>
          </w:pPr>
          <w:hyperlink w:anchor="__RefHeading___Toc3547267_2142443653">
            <w:r>
              <w:rPr>
                <w:webHidden/>
                <w:rStyle w:val="IndexLink"/>
                <w:rtl w:val="true"/>
              </w:rPr>
              <w:t>الغيريّة</w:t>
            </w:r>
            <w:r>
              <w:rPr>
                <w:rStyle w:val="IndexLink"/>
                <w:rtl w:val="true"/>
              </w:rPr>
              <w:tab/>
            </w:r>
            <w:r>
              <w:rPr>
                <w:rStyle w:val="IndexLink"/>
              </w:rPr>
              <w:t>25</w:t>
            </w:r>
          </w:hyperlink>
        </w:p>
        <w:p>
          <w:pPr>
            <w:pStyle w:val="Contents4"/>
            <w:tabs>
              <w:tab w:val="clear" w:pos="8176"/>
              <w:tab w:val="right" w:pos="9026" w:leader="dot"/>
            </w:tabs>
            <w:rPr/>
          </w:pPr>
          <w:hyperlink w:anchor="__RefHeading___Toc3547269_2142443653">
            <w:r>
              <w:rPr>
                <w:webHidden/>
                <w:rStyle w:val="IndexLink"/>
                <w:rtl w:val="true"/>
              </w:rPr>
              <w:t>كرمه</w:t>
            </w:r>
            <w:r>
              <w:rPr>
                <w:rStyle w:val="IndexLink"/>
                <w:rtl w:val="true"/>
              </w:rPr>
              <w:tab/>
            </w:r>
            <w:r>
              <w:rPr>
                <w:rStyle w:val="IndexLink"/>
              </w:rPr>
              <w:t>27</w:t>
            </w:r>
          </w:hyperlink>
        </w:p>
        <w:p>
          <w:pPr>
            <w:pStyle w:val="Contents4"/>
            <w:tabs>
              <w:tab w:val="clear" w:pos="8176"/>
              <w:tab w:val="right" w:pos="9026" w:leader="dot"/>
            </w:tabs>
            <w:rPr/>
          </w:pPr>
          <w:hyperlink w:anchor="__RefHeading___Toc3547271_2142443653">
            <w:r>
              <w:rPr>
                <w:webHidden/>
                <w:rStyle w:val="IndexLink"/>
                <w:rtl w:val="true"/>
              </w:rPr>
              <w:t>الشجاعة</w:t>
            </w:r>
            <w:r>
              <w:rPr>
                <w:rStyle w:val="IndexLink"/>
                <w:rtl w:val="true"/>
              </w:rPr>
              <w:tab/>
            </w:r>
            <w:r>
              <w:rPr>
                <w:rStyle w:val="IndexLink"/>
              </w:rPr>
              <w:t>34</w:t>
            </w:r>
          </w:hyperlink>
        </w:p>
        <w:p>
          <w:pPr>
            <w:pStyle w:val="Contents3"/>
            <w:tabs>
              <w:tab w:val="clear" w:pos="8459"/>
              <w:tab w:val="right" w:pos="9026" w:leader="dot"/>
            </w:tabs>
            <w:rPr/>
          </w:pPr>
          <w:hyperlink w:anchor="__RefHeading___Toc3547273_2142443653">
            <w:r>
              <w:rPr>
                <w:webHidden/>
                <w:rStyle w:val="IndexLink"/>
              </w:rPr>
              <w:t>3</w:t>
            </w:r>
            <w:r>
              <w:rPr>
                <w:rStyle w:val="IndexLink"/>
                <w:rtl w:val="true"/>
              </w:rPr>
              <w:t xml:space="preserve">- </w:t>
            </w:r>
            <w:r>
              <w:rPr>
                <w:rStyle w:val="IndexLink"/>
                <w:rtl w:val="true"/>
              </w:rPr>
              <w:t>علائقه بذاته</w:t>
            </w:r>
            <w:r>
              <w:rPr>
                <w:rStyle w:val="IndexLink"/>
                <w:rtl w:val="true"/>
              </w:rPr>
              <w:tab/>
            </w:r>
            <w:r>
              <w:rPr>
                <w:rStyle w:val="IndexLink"/>
              </w:rPr>
              <w:t>40</w:t>
            </w:r>
          </w:hyperlink>
        </w:p>
        <w:p>
          <w:pPr>
            <w:pStyle w:val="Contents2"/>
            <w:tabs>
              <w:tab w:val="clear" w:pos="8743"/>
              <w:tab w:val="right" w:pos="9026" w:leader="dot"/>
            </w:tabs>
            <w:rPr/>
          </w:pPr>
          <w:hyperlink w:anchor="__RefHeading___Toc3547275_2142443653">
            <w:r>
              <w:rPr>
                <w:webHidden/>
                <w:rStyle w:val="IndexLink"/>
                <w:rtl w:val="true"/>
              </w:rPr>
              <w:t>ثالثاً</w:t>
            </w:r>
            <w:r>
              <w:rPr>
                <w:rStyle w:val="IndexLink"/>
                <w:rtl w:val="true"/>
              </w:rPr>
              <w:t xml:space="preserve">: </w:t>
            </w:r>
            <w:r>
              <w:rPr>
                <w:rStyle w:val="IndexLink"/>
                <w:rtl w:val="true"/>
              </w:rPr>
              <w:t>قدراته العقلية</w:t>
            </w:r>
            <w:r>
              <w:rPr>
                <w:rStyle w:val="IndexLink"/>
                <w:rtl w:val="true"/>
              </w:rPr>
              <w:tab/>
            </w:r>
            <w:r>
              <w:rPr>
                <w:rStyle w:val="IndexLink"/>
              </w:rPr>
              <w:t>45</w:t>
            </w:r>
          </w:hyperlink>
        </w:p>
        <w:p>
          <w:pPr>
            <w:pStyle w:val="Contents3"/>
            <w:tabs>
              <w:tab w:val="clear" w:pos="8459"/>
              <w:tab w:val="right" w:pos="9026" w:leader="dot"/>
            </w:tabs>
            <w:rPr/>
          </w:pPr>
          <w:hyperlink w:anchor="__RefHeading___Toc3547277_2142443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547279_2142443653">
            <w:r>
              <w:rPr>
                <w:webHidden/>
                <w:rStyle w:val="IndexLink"/>
                <w:rtl w:val="true"/>
              </w:rPr>
              <w:t>الذكاء</w:t>
            </w:r>
            <w:r>
              <w:rPr>
                <w:rStyle w:val="IndexLink"/>
                <w:rtl w:val="true"/>
              </w:rPr>
              <w:tab/>
            </w:r>
            <w:r>
              <w:rPr>
                <w:rStyle w:val="IndexLink"/>
              </w:rPr>
              <w:t>45</w:t>
            </w:r>
          </w:hyperlink>
        </w:p>
        <w:p>
          <w:pPr>
            <w:pStyle w:val="Contents3"/>
            <w:tabs>
              <w:tab w:val="clear" w:pos="8459"/>
              <w:tab w:val="right" w:pos="9026" w:leader="dot"/>
            </w:tabs>
            <w:rPr/>
          </w:pPr>
          <w:hyperlink w:anchor="__RefHeading___Toc3547281_2142443653">
            <w:r>
              <w:rPr>
                <w:webHidden/>
                <w:rStyle w:val="IndexLink"/>
                <w:rtl w:val="true"/>
              </w:rPr>
              <w:t>الألمعية</w:t>
            </w:r>
            <w:r>
              <w:rPr>
                <w:rStyle w:val="IndexLink"/>
                <w:rtl w:val="true"/>
              </w:rPr>
              <w:tab/>
            </w:r>
            <w:r>
              <w:rPr>
                <w:rStyle w:val="IndexLink"/>
              </w:rPr>
              <w:t>47</w:t>
            </w:r>
          </w:hyperlink>
        </w:p>
        <w:p>
          <w:pPr>
            <w:pStyle w:val="Contents3"/>
            <w:tabs>
              <w:tab w:val="clear" w:pos="8459"/>
              <w:tab w:val="right" w:pos="9026" w:leader="dot"/>
            </w:tabs>
            <w:rPr/>
          </w:pPr>
          <w:hyperlink w:anchor="__RefHeading___Toc3547283_2142443653">
            <w:r>
              <w:rPr>
                <w:webHidden/>
                <w:rStyle w:val="IndexLink"/>
                <w:rtl w:val="true"/>
              </w:rPr>
              <w:t>النبوغ</w:t>
            </w:r>
            <w:r>
              <w:rPr>
                <w:rStyle w:val="IndexLink"/>
                <w:rtl w:val="true"/>
              </w:rPr>
              <w:tab/>
            </w:r>
            <w:r>
              <w:rPr>
                <w:rStyle w:val="IndexLink"/>
              </w:rPr>
              <w:t>49</w:t>
            </w:r>
          </w:hyperlink>
        </w:p>
        <w:p>
          <w:pPr>
            <w:pStyle w:val="Contents3"/>
            <w:tabs>
              <w:tab w:val="clear" w:pos="8459"/>
              <w:tab w:val="right" w:pos="9026" w:leader="dot"/>
            </w:tabs>
            <w:rPr/>
          </w:pPr>
          <w:hyperlink w:anchor="__RefHeading___Toc3547285_2142443653">
            <w:r>
              <w:rPr>
                <w:webHidden/>
                <w:rStyle w:val="IndexLink"/>
                <w:rtl w:val="true"/>
              </w:rPr>
              <w:t>معارف وتقييم</w:t>
            </w:r>
            <w:r>
              <w:rPr>
                <w:rStyle w:val="IndexLink"/>
                <w:rtl w:val="true"/>
              </w:rPr>
              <w:tab/>
            </w:r>
            <w:r>
              <w:rPr>
                <w:rStyle w:val="IndexLink"/>
              </w:rPr>
              <w:t>50</w:t>
            </w:r>
          </w:hyperlink>
        </w:p>
        <w:p>
          <w:pPr>
            <w:pStyle w:val="Contents3"/>
            <w:tabs>
              <w:tab w:val="clear" w:pos="8459"/>
              <w:tab w:val="right" w:pos="9026" w:leader="dot"/>
            </w:tabs>
            <w:rPr/>
          </w:pPr>
          <w:hyperlink w:anchor="__RefHeading___Toc3547287_2142443653">
            <w:r>
              <w:rPr>
                <w:webHidden/>
                <w:rStyle w:val="IndexLink"/>
              </w:rPr>
              <w:t>1</w:t>
            </w:r>
            <w:r>
              <w:rPr>
                <w:rStyle w:val="IndexLink"/>
                <w:rtl w:val="true"/>
              </w:rPr>
              <w:t xml:space="preserve">- </w:t>
            </w:r>
            <w:r>
              <w:rPr>
                <w:rStyle w:val="IndexLink"/>
                <w:rtl w:val="true"/>
              </w:rPr>
              <w:t>القرآن</w:t>
            </w:r>
            <w:r>
              <w:rPr>
                <w:rStyle w:val="IndexLink"/>
                <w:rtl w:val="true"/>
              </w:rPr>
              <w:tab/>
            </w:r>
            <w:r>
              <w:rPr>
                <w:rStyle w:val="IndexLink"/>
              </w:rPr>
              <w:t>57</w:t>
            </w:r>
          </w:hyperlink>
        </w:p>
        <w:p>
          <w:pPr>
            <w:pStyle w:val="Contents4"/>
            <w:tabs>
              <w:tab w:val="clear" w:pos="8176"/>
              <w:tab w:val="right" w:pos="9026" w:leader="dot"/>
            </w:tabs>
            <w:rPr/>
          </w:pPr>
          <w:hyperlink w:anchor="__RefHeading___Toc3547289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547291_2142443653">
            <w:r>
              <w:rPr>
                <w:webHidden/>
                <w:rStyle w:val="IndexLink"/>
                <w:rtl w:val="true"/>
              </w:rPr>
              <w:t>مصحف ابن عباس</w:t>
            </w:r>
            <w:r>
              <w:rPr>
                <w:rStyle w:val="IndexLink"/>
                <w:rtl w:val="true"/>
              </w:rPr>
              <w:tab/>
            </w:r>
            <w:r>
              <w:rPr>
                <w:rStyle w:val="IndexLink"/>
              </w:rPr>
              <w:t>58</w:t>
            </w:r>
          </w:hyperlink>
        </w:p>
        <w:p>
          <w:pPr>
            <w:pStyle w:val="Contents4"/>
            <w:tabs>
              <w:tab w:val="clear" w:pos="8176"/>
              <w:tab w:val="right" w:pos="9026" w:leader="dot"/>
            </w:tabs>
            <w:rPr/>
          </w:pPr>
          <w:hyperlink w:anchor="__RefHeading___Toc3547293_2142443653">
            <w:r>
              <w:rPr>
                <w:webHidden/>
                <w:rStyle w:val="IndexLink"/>
                <w:rtl w:val="true"/>
              </w:rPr>
              <w:t>التحريف في القرآن</w:t>
            </w:r>
            <w:r>
              <w:rPr>
                <w:rStyle w:val="IndexLink"/>
                <w:rtl w:val="true"/>
              </w:rPr>
              <w:tab/>
            </w:r>
            <w:r>
              <w:rPr>
                <w:rStyle w:val="IndexLink"/>
              </w:rPr>
              <w:t>62</w:t>
            </w:r>
          </w:hyperlink>
        </w:p>
        <w:p>
          <w:pPr>
            <w:pStyle w:val="Contents4"/>
            <w:tabs>
              <w:tab w:val="clear" w:pos="8176"/>
              <w:tab w:val="right" w:pos="9026" w:leader="dot"/>
            </w:tabs>
            <w:rPr/>
          </w:pPr>
          <w:hyperlink w:anchor="__RefHeading___Toc3547295_2142443653">
            <w:r>
              <w:rPr>
                <w:webHidden/>
                <w:rStyle w:val="IndexLink"/>
                <w:rtl w:val="true"/>
              </w:rPr>
              <w:t>اختلاف القراءات</w:t>
            </w:r>
            <w:r>
              <w:rPr>
                <w:rStyle w:val="IndexLink"/>
                <w:rtl w:val="true"/>
              </w:rPr>
              <w:tab/>
            </w:r>
            <w:r>
              <w:rPr>
                <w:rStyle w:val="IndexLink"/>
              </w:rPr>
              <w:t>65</w:t>
            </w:r>
          </w:hyperlink>
        </w:p>
        <w:p>
          <w:pPr>
            <w:pStyle w:val="Contents4"/>
            <w:tabs>
              <w:tab w:val="clear" w:pos="8176"/>
              <w:tab w:val="right" w:pos="9026" w:leader="dot"/>
            </w:tabs>
            <w:rPr/>
          </w:pPr>
          <w:hyperlink w:anchor="__RefHeading___Toc3547297_2142443653">
            <w:r>
              <w:rPr>
                <w:webHidden/>
                <w:rStyle w:val="IndexLink"/>
                <w:rtl w:val="true"/>
              </w:rPr>
              <w:t>فضل القرآن</w:t>
            </w:r>
            <w:r>
              <w:rPr>
                <w:rStyle w:val="IndexLink"/>
                <w:rtl w:val="true"/>
              </w:rPr>
              <w:tab/>
            </w:r>
            <w:r>
              <w:rPr>
                <w:rStyle w:val="IndexLink"/>
              </w:rPr>
              <w:t>69</w:t>
            </w:r>
          </w:hyperlink>
        </w:p>
        <w:p>
          <w:pPr>
            <w:pStyle w:val="Contents4"/>
            <w:tabs>
              <w:tab w:val="clear" w:pos="8176"/>
              <w:tab w:val="right" w:pos="9026" w:leader="dot"/>
            </w:tabs>
            <w:rPr/>
          </w:pPr>
          <w:hyperlink w:anchor="__RefHeading___Toc3547299_2142443653">
            <w:r>
              <w:rPr>
                <w:webHidden/>
                <w:rStyle w:val="IndexLink"/>
                <w:rtl w:val="true"/>
              </w:rPr>
              <w:t>شبه حول القرآن</w:t>
            </w:r>
            <w:r>
              <w:rPr>
                <w:rStyle w:val="IndexLink"/>
                <w:rtl w:val="true"/>
              </w:rPr>
              <w:tab/>
            </w:r>
            <w:r>
              <w:rPr>
                <w:rStyle w:val="IndexLink"/>
              </w:rPr>
              <w:t>70</w:t>
            </w:r>
          </w:hyperlink>
        </w:p>
        <w:p>
          <w:pPr>
            <w:pStyle w:val="Contents3"/>
            <w:tabs>
              <w:tab w:val="clear" w:pos="8459"/>
              <w:tab w:val="right" w:pos="9026" w:leader="dot"/>
            </w:tabs>
            <w:rPr/>
          </w:pPr>
          <w:hyperlink w:anchor="__RefHeading___Toc3547301_2142443653">
            <w:r>
              <w:rPr>
                <w:webHidden/>
                <w:rStyle w:val="IndexLink"/>
              </w:rPr>
              <w:t>2</w:t>
            </w:r>
            <w:r>
              <w:rPr>
                <w:rStyle w:val="IndexLink"/>
                <w:rtl w:val="true"/>
              </w:rPr>
              <w:t xml:space="preserve">- </w:t>
            </w:r>
            <w:r>
              <w:rPr>
                <w:rStyle w:val="IndexLink"/>
                <w:rtl w:val="true"/>
              </w:rPr>
              <w:t>التفسير</w:t>
            </w:r>
            <w:r>
              <w:rPr>
                <w:rStyle w:val="IndexLink"/>
                <w:rtl w:val="true"/>
              </w:rPr>
              <w:tab/>
            </w:r>
            <w:r>
              <w:rPr>
                <w:rStyle w:val="IndexLink"/>
              </w:rPr>
              <w:t>75</w:t>
            </w:r>
          </w:hyperlink>
        </w:p>
        <w:p>
          <w:pPr>
            <w:pStyle w:val="Contents4"/>
            <w:tabs>
              <w:tab w:val="clear" w:pos="8176"/>
              <w:tab w:val="right" w:pos="9026" w:leader="dot"/>
            </w:tabs>
            <w:rPr/>
          </w:pPr>
          <w:hyperlink w:anchor="__RefHeading___Toc3547303_2142443653">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547305_2142443653">
            <w:r>
              <w:rPr>
                <w:webHidden/>
                <w:rStyle w:val="IndexLink"/>
                <w:rtl w:val="true"/>
              </w:rPr>
              <w:t>ثروته اللغويّة</w:t>
            </w:r>
            <w:r>
              <w:rPr>
                <w:rStyle w:val="IndexLink"/>
                <w:rtl w:val="true"/>
              </w:rPr>
              <w:tab/>
            </w:r>
            <w:r>
              <w:rPr>
                <w:rStyle w:val="IndexLink"/>
              </w:rPr>
              <w:t>79</w:t>
            </w:r>
          </w:hyperlink>
        </w:p>
        <w:p>
          <w:pPr>
            <w:pStyle w:val="Contents4"/>
            <w:tabs>
              <w:tab w:val="clear" w:pos="8176"/>
              <w:tab w:val="right" w:pos="9026" w:leader="dot"/>
            </w:tabs>
            <w:rPr/>
          </w:pPr>
          <w:hyperlink w:anchor="__RefHeading___Toc3547307_2142443653">
            <w:r>
              <w:rPr>
                <w:webHidden/>
                <w:rStyle w:val="IndexLink"/>
                <w:rtl w:val="true"/>
              </w:rPr>
              <w:t>معارف القرآن</w:t>
            </w:r>
            <w:r>
              <w:rPr>
                <w:rStyle w:val="IndexLink"/>
                <w:rtl w:val="true"/>
              </w:rPr>
              <w:tab/>
            </w:r>
            <w:r>
              <w:rPr>
                <w:rStyle w:val="IndexLink"/>
              </w:rPr>
              <w:t>88</w:t>
            </w:r>
          </w:hyperlink>
        </w:p>
        <w:p>
          <w:pPr>
            <w:pStyle w:val="Contents3"/>
            <w:tabs>
              <w:tab w:val="clear" w:pos="8459"/>
              <w:tab w:val="right" w:pos="9026" w:leader="dot"/>
            </w:tabs>
            <w:rPr/>
          </w:pPr>
          <w:hyperlink w:anchor="__RefHeading___Toc3547309_2142443653">
            <w:r>
              <w:rPr>
                <w:webHidden/>
                <w:rStyle w:val="IndexLink"/>
              </w:rPr>
              <w:t>3</w:t>
            </w:r>
            <w:r>
              <w:rPr>
                <w:rStyle w:val="IndexLink"/>
                <w:rtl w:val="true"/>
              </w:rPr>
              <w:t xml:space="preserve">- </w:t>
            </w:r>
            <w:r>
              <w:rPr>
                <w:rStyle w:val="IndexLink"/>
                <w:rtl w:val="true"/>
              </w:rPr>
              <w:t>الحديث</w:t>
            </w:r>
            <w:r>
              <w:rPr>
                <w:rStyle w:val="IndexLink"/>
                <w:rtl w:val="true"/>
              </w:rPr>
              <w:tab/>
            </w:r>
            <w:r>
              <w:rPr>
                <w:rStyle w:val="IndexLink"/>
              </w:rPr>
              <w:t>107</w:t>
            </w:r>
          </w:hyperlink>
        </w:p>
        <w:p>
          <w:pPr>
            <w:pStyle w:val="Contents3"/>
            <w:tabs>
              <w:tab w:val="clear" w:pos="8459"/>
              <w:tab w:val="right" w:pos="9026" w:leader="dot"/>
            </w:tabs>
            <w:rPr/>
          </w:pPr>
          <w:hyperlink w:anchor="__RefHeading___Toc3547311_2142443653">
            <w:r>
              <w:rPr>
                <w:webHidden/>
                <w:rStyle w:val="IndexLink"/>
              </w:rPr>
              <w:t>4</w:t>
            </w:r>
            <w:r>
              <w:rPr>
                <w:rStyle w:val="IndexLink"/>
                <w:rtl w:val="true"/>
              </w:rPr>
              <w:t xml:space="preserve">- </w:t>
            </w:r>
            <w:r>
              <w:rPr>
                <w:rStyle w:val="IndexLink"/>
                <w:rtl w:val="true"/>
              </w:rPr>
              <w:t>الفقه</w:t>
            </w:r>
            <w:r>
              <w:rPr>
                <w:rStyle w:val="IndexLink"/>
                <w:rtl w:val="true"/>
              </w:rPr>
              <w:tab/>
            </w:r>
            <w:r>
              <w:rPr>
                <w:rStyle w:val="IndexLink"/>
              </w:rPr>
              <w:t>123</w:t>
            </w:r>
          </w:hyperlink>
        </w:p>
        <w:p>
          <w:pPr>
            <w:pStyle w:val="Contents4"/>
            <w:tabs>
              <w:tab w:val="clear" w:pos="8176"/>
              <w:tab w:val="right" w:pos="9026" w:leader="dot"/>
            </w:tabs>
            <w:rPr/>
          </w:pPr>
          <w:hyperlink w:anchor="__RefHeading___Toc3547313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547315_2142443653">
            <w:r>
              <w:rPr>
                <w:webHidden/>
                <w:rStyle w:val="IndexLink"/>
              </w:rPr>
              <w:t>1</w:t>
            </w:r>
            <w:r>
              <w:rPr>
                <w:rStyle w:val="IndexLink"/>
                <w:rtl w:val="true"/>
              </w:rPr>
              <w:t xml:space="preserve">- </w:t>
            </w:r>
            <w:r>
              <w:rPr>
                <w:rStyle w:val="IndexLink"/>
                <w:rtl w:val="true"/>
              </w:rPr>
              <w:t>شرائط الإفتاء والمرجعيّة، ومدى توفرها لديه</w:t>
            </w:r>
            <w:r>
              <w:rPr>
                <w:rStyle w:val="IndexLink"/>
                <w:rtl w:val="true"/>
              </w:rPr>
              <w:t>.</w:t>
              <w:tab/>
            </w:r>
            <w:r>
              <w:rPr>
                <w:rStyle w:val="IndexLink"/>
              </w:rPr>
              <w:t>125</w:t>
            </w:r>
          </w:hyperlink>
        </w:p>
        <w:p>
          <w:pPr>
            <w:pStyle w:val="Contents4"/>
            <w:tabs>
              <w:tab w:val="clear" w:pos="8176"/>
              <w:tab w:val="right" w:pos="9026" w:leader="dot"/>
            </w:tabs>
            <w:rPr/>
          </w:pPr>
          <w:hyperlink w:anchor="__RefHeading___Toc3547317_2142443653">
            <w:r>
              <w:rPr>
                <w:webHidden/>
                <w:rStyle w:val="IndexLink"/>
              </w:rPr>
              <w:t>2</w:t>
            </w:r>
            <w:r>
              <w:rPr>
                <w:rStyle w:val="IndexLink"/>
                <w:rtl w:val="true"/>
              </w:rPr>
              <w:t xml:space="preserve">- </w:t>
            </w:r>
            <w:r>
              <w:rPr>
                <w:rStyle w:val="IndexLink"/>
                <w:rtl w:val="true"/>
              </w:rPr>
              <w:t>مصادر التشريع التي يعتمدها في فتاواه</w:t>
            </w:r>
            <w:r>
              <w:rPr>
                <w:rStyle w:val="IndexLink"/>
                <w:rtl w:val="true"/>
              </w:rPr>
              <w:tab/>
            </w:r>
            <w:r>
              <w:rPr>
                <w:rStyle w:val="IndexLink"/>
              </w:rPr>
              <w:t>127</w:t>
            </w:r>
          </w:hyperlink>
        </w:p>
        <w:p>
          <w:pPr>
            <w:pStyle w:val="Contents4"/>
            <w:tabs>
              <w:tab w:val="clear" w:pos="8176"/>
              <w:tab w:val="right" w:pos="9026" w:leader="dot"/>
            </w:tabs>
            <w:rPr/>
          </w:pPr>
          <w:hyperlink w:anchor="__RefHeading___Toc3547319_2142443653">
            <w:r>
              <w:rPr>
                <w:webHidden/>
                <w:rStyle w:val="IndexLink"/>
                <w:rtl w:val="true"/>
              </w:rPr>
              <w:t>أ</w:t>
            </w:r>
            <w:r>
              <w:rPr>
                <w:rStyle w:val="IndexLink"/>
                <w:rtl w:val="true"/>
              </w:rPr>
              <w:t xml:space="preserve">- </w:t>
            </w:r>
            <w:r>
              <w:rPr>
                <w:rStyle w:val="IndexLink"/>
                <w:rtl w:val="true"/>
              </w:rPr>
              <w:t>القرآن والسنة</w:t>
            </w:r>
            <w:r>
              <w:rPr>
                <w:rStyle w:val="IndexLink"/>
                <w:rtl w:val="true"/>
              </w:rPr>
              <w:tab/>
            </w:r>
            <w:r>
              <w:rPr>
                <w:rStyle w:val="IndexLink"/>
              </w:rPr>
              <w:t>128</w:t>
            </w:r>
          </w:hyperlink>
        </w:p>
        <w:p>
          <w:pPr>
            <w:pStyle w:val="Contents4"/>
            <w:tabs>
              <w:tab w:val="clear" w:pos="8176"/>
              <w:tab w:val="right" w:pos="9026" w:leader="dot"/>
            </w:tabs>
            <w:rPr/>
          </w:pPr>
          <w:hyperlink w:anchor="__RefHeading___Toc3547321_2142443653">
            <w:r>
              <w:rPr>
                <w:webHidden/>
                <w:rStyle w:val="IndexLink"/>
                <w:rtl w:val="true"/>
              </w:rPr>
              <w:t>ب</w:t>
            </w:r>
            <w:r>
              <w:rPr>
                <w:rStyle w:val="IndexLink"/>
                <w:rtl w:val="true"/>
              </w:rPr>
              <w:t xml:space="preserve">- </w:t>
            </w:r>
            <w:r>
              <w:rPr>
                <w:rStyle w:val="IndexLink"/>
                <w:rtl w:val="true"/>
              </w:rPr>
              <w:t>اجتهاد الخليفتين</w:t>
            </w:r>
            <w:r>
              <w:rPr>
                <w:rStyle w:val="IndexLink"/>
                <w:rtl w:val="true"/>
              </w:rPr>
              <w:tab/>
            </w:r>
            <w:r>
              <w:rPr>
                <w:rStyle w:val="IndexLink"/>
              </w:rPr>
              <w:t>128</w:t>
            </w:r>
          </w:hyperlink>
        </w:p>
        <w:p>
          <w:pPr>
            <w:pStyle w:val="Contents4"/>
            <w:tabs>
              <w:tab w:val="clear" w:pos="8176"/>
              <w:tab w:val="right" w:pos="9026" w:leader="dot"/>
            </w:tabs>
            <w:rPr/>
          </w:pPr>
          <w:hyperlink w:anchor="__RefHeading___Toc3547323_2142443653">
            <w:r>
              <w:rPr>
                <w:webHidden/>
                <w:rStyle w:val="IndexLink"/>
                <w:rtl w:val="true"/>
              </w:rPr>
              <w:t xml:space="preserve">جـ </w:t>
            </w:r>
            <w:r>
              <w:rPr>
                <w:rStyle w:val="IndexLink"/>
                <w:rtl w:val="true"/>
              </w:rPr>
              <w:t xml:space="preserve">- </w:t>
            </w:r>
            <w:r>
              <w:rPr>
                <w:rStyle w:val="IndexLink"/>
                <w:rtl w:val="true"/>
              </w:rPr>
              <w:t>فتيا الإمام</w:t>
            </w:r>
            <w:r>
              <w:rPr>
                <w:rStyle w:val="IndexLink"/>
                <w:rtl w:val="true"/>
              </w:rPr>
              <w:tab/>
            </w:r>
            <w:r>
              <w:rPr>
                <w:rStyle w:val="IndexLink"/>
              </w:rPr>
              <w:t>129</w:t>
            </w:r>
          </w:hyperlink>
        </w:p>
        <w:p>
          <w:pPr>
            <w:pStyle w:val="Contents4"/>
            <w:tabs>
              <w:tab w:val="clear" w:pos="8176"/>
              <w:tab w:val="right" w:pos="9026" w:leader="dot"/>
            </w:tabs>
            <w:rPr/>
          </w:pPr>
          <w:hyperlink w:anchor="__RefHeading___Toc3547325_2142443653">
            <w:r>
              <w:rPr>
                <w:webHidden/>
                <w:rStyle w:val="IndexLink"/>
                <w:rtl w:val="true"/>
              </w:rPr>
              <w:t>د</w:t>
            </w:r>
            <w:r>
              <w:rPr>
                <w:rStyle w:val="IndexLink"/>
                <w:rtl w:val="true"/>
              </w:rPr>
              <w:t xml:space="preserve">- </w:t>
            </w:r>
            <w:r>
              <w:rPr>
                <w:rStyle w:val="IndexLink"/>
                <w:rtl w:val="true"/>
              </w:rPr>
              <w:t>الرأي والقياس</w:t>
            </w:r>
            <w:r>
              <w:rPr>
                <w:rStyle w:val="IndexLink"/>
                <w:rtl w:val="true"/>
              </w:rPr>
              <w:tab/>
            </w:r>
            <w:r>
              <w:rPr>
                <w:rStyle w:val="IndexLink"/>
              </w:rPr>
              <w:t>134</w:t>
            </w:r>
          </w:hyperlink>
        </w:p>
        <w:p>
          <w:pPr>
            <w:pStyle w:val="Contents4"/>
            <w:tabs>
              <w:tab w:val="clear" w:pos="8176"/>
              <w:tab w:val="right" w:pos="9026" w:leader="dot"/>
            </w:tabs>
            <w:rPr/>
          </w:pPr>
          <w:hyperlink w:anchor="__RefHeading___Toc3547327_2142443653">
            <w:r>
              <w:rPr>
                <w:webHidden/>
                <w:rStyle w:val="IndexLink"/>
                <w:rtl w:val="true"/>
              </w:rPr>
              <w:t>اجتهاد رأيه</w:t>
            </w:r>
            <w:r>
              <w:rPr>
                <w:rStyle w:val="IndexLink"/>
                <w:rtl w:val="true"/>
              </w:rPr>
              <w:tab/>
            </w:r>
            <w:r>
              <w:rPr>
                <w:rStyle w:val="IndexLink"/>
              </w:rPr>
              <w:t>135</w:t>
            </w:r>
          </w:hyperlink>
        </w:p>
        <w:p>
          <w:pPr>
            <w:pStyle w:val="Contents4"/>
            <w:tabs>
              <w:tab w:val="clear" w:pos="8176"/>
              <w:tab w:val="right" w:pos="9026" w:leader="dot"/>
            </w:tabs>
            <w:rPr/>
          </w:pPr>
          <w:hyperlink w:anchor="__RefHeading___Toc3547329_2142443653">
            <w:r>
              <w:rPr>
                <w:webHidden/>
                <w:rStyle w:val="IndexLink"/>
              </w:rPr>
              <w:t>3</w:t>
            </w:r>
            <w:r>
              <w:rPr>
                <w:rStyle w:val="IndexLink"/>
                <w:rtl w:val="true"/>
              </w:rPr>
              <w:t xml:space="preserve">- </w:t>
            </w:r>
            <w:r>
              <w:rPr>
                <w:rStyle w:val="IndexLink"/>
                <w:rtl w:val="true"/>
              </w:rPr>
              <w:t>طابع مدرسته الفقهية</w:t>
            </w:r>
            <w:r>
              <w:rPr>
                <w:rStyle w:val="IndexLink"/>
                <w:rtl w:val="true"/>
              </w:rPr>
              <w:tab/>
            </w:r>
            <w:r>
              <w:rPr>
                <w:rStyle w:val="IndexLink"/>
              </w:rPr>
              <w:t>137</w:t>
            </w:r>
          </w:hyperlink>
        </w:p>
        <w:p>
          <w:pPr>
            <w:pStyle w:val="Contents4"/>
            <w:tabs>
              <w:tab w:val="clear" w:pos="8176"/>
              <w:tab w:val="right" w:pos="9026" w:leader="dot"/>
            </w:tabs>
            <w:rPr/>
          </w:pPr>
          <w:hyperlink w:anchor="__RefHeading___Toc3547331_2142443653">
            <w:r>
              <w:rPr>
                <w:webHidden/>
                <w:rStyle w:val="IndexLink"/>
                <w:rtl w:val="true"/>
              </w:rPr>
              <w:t>مسح الأرجل</w:t>
            </w:r>
            <w:r>
              <w:rPr>
                <w:rStyle w:val="IndexLink"/>
                <w:rtl w:val="true"/>
              </w:rPr>
              <w:tab/>
            </w:r>
            <w:r>
              <w:rPr>
                <w:rStyle w:val="IndexLink"/>
              </w:rPr>
              <w:t>138</w:t>
            </w:r>
          </w:hyperlink>
        </w:p>
        <w:p>
          <w:pPr>
            <w:pStyle w:val="Contents4"/>
            <w:tabs>
              <w:tab w:val="clear" w:pos="8176"/>
              <w:tab w:val="right" w:pos="9026" w:leader="dot"/>
            </w:tabs>
            <w:rPr/>
          </w:pPr>
          <w:hyperlink w:anchor="__RefHeading___Toc3547333_2142443653">
            <w:r>
              <w:rPr>
                <w:webHidden/>
                <w:rStyle w:val="IndexLink"/>
                <w:rtl w:val="true"/>
              </w:rPr>
              <w:t>الجمع بين الصلاتين</w:t>
            </w:r>
            <w:r>
              <w:rPr>
                <w:rStyle w:val="IndexLink"/>
                <w:rtl w:val="true"/>
              </w:rPr>
              <w:tab/>
            </w:r>
            <w:r>
              <w:rPr>
                <w:rStyle w:val="IndexLink"/>
              </w:rPr>
              <w:t>139</w:t>
            </w:r>
          </w:hyperlink>
        </w:p>
        <w:p>
          <w:pPr>
            <w:pStyle w:val="Contents4"/>
            <w:tabs>
              <w:tab w:val="clear" w:pos="8176"/>
              <w:tab w:val="right" w:pos="9026" w:leader="dot"/>
            </w:tabs>
            <w:rPr/>
          </w:pPr>
          <w:hyperlink w:anchor="__RefHeading___Toc3547335_2142443653">
            <w:r>
              <w:rPr>
                <w:webHidden/>
                <w:rStyle w:val="IndexLink"/>
                <w:rtl w:val="true"/>
              </w:rPr>
              <w:t>التقصير في السفر</w:t>
            </w:r>
            <w:r>
              <w:rPr>
                <w:rStyle w:val="IndexLink"/>
                <w:rtl w:val="true"/>
              </w:rPr>
              <w:tab/>
            </w:r>
            <w:r>
              <w:rPr>
                <w:rStyle w:val="IndexLink"/>
              </w:rPr>
              <w:t>140</w:t>
            </w:r>
          </w:hyperlink>
        </w:p>
        <w:p>
          <w:pPr>
            <w:pStyle w:val="Contents4"/>
            <w:tabs>
              <w:tab w:val="clear" w:pos="8176"/>
              <w:tab w:val="right" w:pos="9026" w:leader="dot"/>
            </w:tabs>
            <w:rPr/>
          </w:pPr>
          <w:hyperlink w:anchor="__RefHeading___Toc3547337_2142443653">
            <w:r>
              <w:rPr>
                <w:webHidden/>
                <w:rStyle w:val="IndexLink"/>
                <w:rtl w:val="true"/>
              </w:rPr>
              <w:t>الصوم في السفر</w:t>
            </w:r>
            <w:r>
              <w:rPr>
                <w:rStyle w:val="IndexLink"/>
                <w:rtl w:val="true"/>
              </w:rPr>
              <w:tab/>
            </w:r>
            <w:r>
              <w:rPr>
                <w:rStyle w:val="IndexLink"/>
              </w:rPr>
              <w:t>141</w:t>
            </w:r>
          </w:hyperlink>
        </w:p>
        <w:p>
          <w:pPr>
            <w:pStyle w:val="Contents4"/>
            <w:tabs>
              <w:tab w:val="clear" w:pos="8176"/>
              <w:tab w:val="right" w:pos="9026" w:leader="dot"/>
            </w:tabs>
            <w:rPr/>
          </w:pPr>
          <w:hyperlink w:anchor="__RefHeading___Toc3547339_2142443653">
            <w:r>
              <w:rPr>
                <w:webHidden/>
                <w:rStyle w:val="IndexLink"/>
                <w:rtl w:val="true"/>
              </w:rPr>
              <w:t>المتعة في الحج</w:t>
            </w:r>
            <w:r>
              <w:rPr>
                <w:rStyle w:val="IndexLink"/>
                <w:rtl w:val="true"/>
              </w:rPr>
              <w:tab/>
            </w:r>
            <w:r>
              <w:rPr>
                <w:rStyle w:val="IndexLink"/>
              </w:rPr>
              <w:t>141</w:t>
            </w:r>
          </w:hyperlink>
        </w:p>
        <w:p>
          <w:pPr>
            <w:pStyle w:val="Contents4"/>
            <w:tabs>
              <w:tab w:val="clear" w:pos="8176"/>
              <w:tab w:val="right" w:pos="9026" w:leader="dot"/>
            </w:tabs>
            <w:rPr/>
          </w:pPr>
          <w:hyperlink w:anchor="__RefHeading___Toc3547341_2142443653">
            <w:r>
              <w:rPr>
                <w:webHidden/>
                <w:rStyle w:val="IndexLink"/>
                <w:rtl w:val="true"/>
              </w:rPr>
              <w:t>متعة النساء</w:t>
            </w:r>
            <w:r>
              <w:rPr>
                <w:rStyle w:val="IndexLink"/>
                <w:rtl w:val="true"/>
              </w:rPr>
              <w:tab/>
            </w:r>
            <w:r>
              <w:rPr>
                <w:rStyle w:val="IndexLink"/>
              </w:rPr>
              <w:t>144</w:t>
            </w:r>
          </w:hyperlink>
        </w:p>
        <w:p>
          <w:pPr>
            <w:pStyle w:val="Contents4"/>
            <w:tabs>
              <w:tab w:val="clear" w:pos="8176"/>
              <w:tab w:val="right" w:pos="9026" w:leader="dot"/>
            </w:tabs>
            <w:rPr/>
          </w:pPr>
          <w:hyperlink w:anchor="__RefHeading___Toc3547343_2142443653">
            <w:r>
              <w:rPr>
                <w:webHidden/>
                <w:rStyle w:val="IndexLink"/>
                <w:rtl w:val="true"/>
              </w:rPr>
              <w:t>الطلاق الثلاث</w:t>
            </w:r>
            <w:r>
              <w:rPr>
                <w:rStyle w:val="IndexLink"/>
                <w:rtl w:val="true"/>
              </w:rPr>
              <w:tab/>
            </w:r>
            <w:r>
              <w:rPr>
                <w:rStyle w:val="IndexLink"/>
              </w:rPr>
              <w:t>152</w:t>
            </w:r>
          </w:hyperlink>
        </w:p>
        <w:p>
          <w:pPr>
            <w:pStyle w:val="Contents4"/>
            <w:tabs>
              <w:tab w:val="clear" w:pos="8176"/>
              <w:tab w:val="right" w:pos="9026" w:leader="dot"/>
            </w:tabs>
            <w:rPr/>
          </w:pPr>
          <w:hyperlink w:anchor="__RefHeading___Toc3547345_2142443653">
            <w:r>
              <w:rPr>
                <w:webHidden/>
                <w:rStyle w:val="IndexLink"/>
                <w:rtl w:val="true"/>
              </w:rPr>
              <w:t>الفرائض</w:t>
            </w:r>
            <w:r>
              <w:rPr>
                <w:rStyle w:val="IndexLink"/>
                <w:rtl w:val="true"/>
              </w:rPr>
              <w:tab/>
            </w:r>
            <w:r>
              <w:rPr>
                <w:rStyle w:val="IndexLink"/>
              </w:rPr>
              <w:t>154</w:t>
            </w:r>
          </w:hyperlink>
        </w:p>
        <w:p>
          <w:pPr>
            <w:pStyle w:val="Contents4"/>
            <w:tabs>
              <w:tab w:val="clear" w:pos="8176"/>
              <w:tab w:val="right" w:pos="9026" w:leader="dot"/>
            </w:tabs>
            <w:rPr/>
          </w:pPr>
          <w:hyperlink w:anchor="__RefHeading___Toc3547347_2142443653">
            <w:r>
              <w:rPr>
                <w:webHidden/>
                <w:rStyle w:val="IndexLink"/>
                <w:rtl w:val="true"/>
              </w:rPr>
              <w:t>العول</w:t>
            </w:r>
            <w:r>
              <w:rPr>
                <w:rStyle w:val="IndexLink"/>
                <w:rtl w:val="true"/>
              </w:rPr>
              <w:tab/>
            </w:r>
            <w:r>
              <w:rPr>
                <w:rStyle w:val="IndexLink"/>
              </w:rPr>
              <w:t>154</w:t>
            </w:r>
          </w:hyperlink>
        </w:p>
        <w:p>
          <w:pPr>
            <w:pStyle w:val="Contents4"/>
            <w:tabs>
              <w:tab w:val="clear" w:pos="8176"/>
              <w:tab w:val="right" w:pos="9026" w:leader="dot"/>
            </w:tabs>
            <w:rPr/>
          </w:pPr>
          <w:hyperlink w:anchor="__RefHeading___Toc3547349_2142443653">
            <w:r>
              <w:rPr>
                <w:webHidden/>
                <w:rStyle w:val="IndexLink"/>
                <w:rtl w:val="true"/>
              </w:rPr>
              <w:t>مسألة الجبر</w:t>
            </w:r>
            <w:r>
              <w:rPr>
                <w:rStyle w:val="IndexLink"/>
                <w:rtl w:val="true"/>
              </w:rPr>
              <w:tab/>
            </w:r>
            <w:r>
              <w:rPr>
                <w:rStyle w:val="IndexLink"/>
              </w:rPr>
              <w:t>156</w:t>
            </w:r>
          </w:hyperlink>
        </w:p>
        <w:p>
          <w:pPr>
            <w:pStyle w:val="Contents4"/>
            <w:tabs>
              <w:tab w:val="clear" w:pos="8176"/>
              <w:tab w:val="right" w:pos="9026" w:leader="dot"/>
            </w:tabs>
            <w:rPr/>
          </w:pPr>
          <w:hyperlink w:anchor="__RefHeading___Toc3547351_2142443653">
            <w:r>
              <w:rPr>
                <w:webHidden/>
                <w:rStyle w:val="IndexLink"/>
                <w:rtl w:val="true"/>
              </w:rPr>
              <w:t>مسألة الرجعة</w:t>
            </w:r>
            <w:r>
              <w:rPr>
                <w:rStyle w:val="IndexLink"/>
                <w:rtl w:val="true"/>
              </w:rPr>
              <w:tab/>
            </w:r>
            <w:r>
              <w:rPr>
                <w:rStyle w:val="IndexLink"/>
              </w:rPr>
              <w:t>158</w:t>
            </w:r>
          </w:hyperlink>
        </w:p>
        <w:p>
          <w:pPr>
            <w:pStyle w:val="Contents4"/>
            <w:tabs>
              <w:tab w:val="clear" w:pos="8176"/>
              <w:tab w:val="right" w:pos="9026" w:leader="dot"/>
            </w:tabs>
            <w:rPr/>
          </w:pPr>
          <w:hyperlink w:anchor="__RefHeading___Toc3547353_2142443653">
            <w:r>
              <w:rPr>
                <w:webHidden/>
                <w:rStyle w:val="IndexLink"/>
              </w:rPr>
              <w:t>4</w:t>
            </w:r>
            <w:r>
              <w:rPr>
                <w:rStyle w:val="IndexLink"/>
                <w:rtl w:val="true"/>
              </w:rPr>
              <w:t xml:space="preserve"> . </w:t>
            </w:r>
            <w:r>
              <w:rPr>
                <w:rStyle w:val="IndexLink"/>
                <w:rtl w:val="true"/>
              </w:rPr>
              <w:t>تدوين العلم</w:t>
            </w:r>
            <w:r>
              <w:rPr>
                <w:rStyle w:val="IndexLink"/>
                <w:rtl w:val="true"/>
              </w:rPr>
              <w:tab/>
            </w:r>
            <w:r>
              <w:rPr>
                <w:rStyle w:val="IndexLink"/>
              </w:rPr>
              <w:t>160</w:t>
            </w:r>
          </w:hyperlink>
        </w:p>
        <w:p>
          <w:pPr>
            <w:pStyle w:val="Contents4"/>
            <w:tabs>
              <w:tab w:val="clear" w:pos="8176"/>
              <w:tab w:val="right" w:pos="9026" w:leader="dot"/>
            </w:tabs>
            <w:rPr/>
          </w:pPr>
          <w:hyperlink w:anchor="__RefHeading___Toc3547355_2142443653">
            <w:r>
              <w:rPr>
                <w:webHidden/>
                <w:rStyle w:val="IndexLink"/>
                <w:rtl w:val="true"/>
              </w:rPr>
              <w:t>رأيه في بعض المسائل الغريبة</w:t>
            </w:r>
            <w:r>
              <w:rPr>
                <w:rStyle w:val="IndexLink"/>
                <w:rtl w:val="true"/>
              </w:rPr>
              <w:tab/>
            </w:r>
            <w:r>
              <w:rPr>
                <w:rStyle w:val="IndexLink"/>
              </w:rPr>
              <w:t>161</w:t>
            </w:r>
          </w:hyperlink>
        </w:p>
        <w:p>
          <w:pPr>
            <w:pStyle w:val="Contents4"/>
            <w:tabs>
              <w:tab w:val="clear" w:pos="8176"/>
              <w:tab w:val="right" w:pos="9026" w:leader="dot"/>
            </w:tabs>
            <w:rPr/>
          </w:pPr>
          <w:hyperlink w:anchor="__RefHeading___Toc3547357_2142443653">
            <w:r>
              <w:rPr>
                <w:webHidden/>
                <w:rStyle w:val="IndexLink"/>
              </w:rPr>
              <w:t>5</w:t>
            </w:r>
            <w:r>
              <w:rPr>
                <w:rStyle w:val="IndexLink"/>
                <w:rtl w:val="true"/>
              </w:rPr>
              <w:t xml:space="preserve"> - </w:t>
            </w:r>
            <w:r>
              <w:rPr>
                <w:rStyle w:val="IndexLink"/>
                <w:rtl w:val="true"/>
              </w:rPr>
              <w:t>السيرة والتأريخ</w:t>
            </w:r>
            <w:r>
              <w:rPr>
                <w:rStyle w:val="IndexLink"/>
                <w:rtl w:val="true"/>
              </w:rPr>
              <w:tab/>
            </w:r>
            <w:r>
              <w:rPr>
                <w:rStyle w:val="IndexLink"/>
              </w:rPr>
              <w:t>163</w:t>
            </w:r>
          </w:hyperlink>
        </w:p>
        <w:p>
          <w:pPr>
            <w:pStyle w:val="Contents4"/>
            <w:tabs>
              <w:tab w:val="clear" w:pos="8176"/>
              <w:tab w:val="right" w:pos="9026" w:leader="dot"/>
            </w:tabs>
            <w:rPr/>
          </w:pPr>
          <w:hyperlink w:anchor="__RefHeading___Toc3547359_2142443653">
            <w:r>
              <w:rPr>
                <w:webHidden/>
                <w:rStyle w:val="IndexLink"/>
              </w:rPr>
              <w:t>6</w:t>
            </w:r>
            <w:r>
              <w:rPr>
                <w:rStyle w:val="IndexLink"/>
                <w:rtl w:val="true"/>
              </w:rPr>
              <w:t xml:space="preserve"> - </w:t>
            </w:r>
            <w:r>
              <w:rPr>
                <w:rStyle w:val="IndexLink"/>
                <w:rtl w:val="true"/>
              </w:rPr>
              <w:t>الأدب</w:t>
            </w:r>
            <w:r>
              <w:rPr>
                <w:rStyle w:val="IndexLink"/>
                <w:rtl w:val="true"/>
              </w:rPr>
              <w:tab/>
            </w:r>
            <w:r>
              <w:rPr>
                <w:rStyle w:val="IndexLink"/>
              </w:rPr>
              <w:t>165</w:t>
            </w:r>
          </w:hyperlink>
        </w:p>
        <w:p>
          <w:pPr>
            <w:pStyle w:val="Contents4"/>
            <w:tabs>
              <w:tab w:val="clear" w:pos="8176"/>
              <w:tab w:val="right" w:pos="9026" w:leader="dot"/>
            </w:tabs>
            <w:rPr/>
          </w:pPr>
          <w:hyperlink w:anchor="__RefHeading___Toc3547361_2142443653">
            <w:r>
              <w:rPr>
                <w:webHidden/>
                <w:rStyle w:val="IndexLink"/>
              </w:rPr>
              <w:t>1</w:t>
            </w:r>
            <w:r>
              <w:rPr>
                <w:rStyle w:val="IndexLink"/>
                <w:rtl w:val="true"/>
              </w:rPr>
              <w:t xml:space="preserve"> - </w:t>
            </w:r>
            <w:r>
              <w:rPr>
                <w:rStyle w:val="IndexLink"/>
                <w:rtl w:val="true"/>
              </w:rPr>
              <w:t>النقد والتقييم</w:t>
            </w:r>
            <w:r>
              <w:rPr>
                <w:rStyle w:val="IndexLink"/>
                <w:rtl w:val="true"/>
              </w:rPr>
              <w:tab/>
            </w:r>
            <w:r>
              <w:rPr>
                <w:rStyle w:val="IndexLink"/>
              </w:rPr>
              <w:t>168</w:t>
            </w:r>
          </w:hyperlink>
        </w:p>
        <w:p>
          <w:pPr>
            <w:pStyle w:val="Contents4"/>
            <w:tabs>
              <w:tab w:val="clear" w:pos="8176"/>
              <w:tab w:val="right" w:pos="9026" w:leader="dot"/>
            </w:tabs>
            <w:rPr/>
          </w:pPr>
          <w:hyperlink w:anchor="__RefHeading___Toc3547363_2142443653">
            <w:r>
              <w:rPr>
                <w:webHidden/>
                <w:rStyle w:val="IndexLink"/>
              </w:rPr>
              <w:t>2</w:t>
            </w:r>
            <w:r>
              <w:rPr>
                <w:rStyle w:val="IndexLink"/>
                <w:rtl w:val="true"/>
              </w:rPr>
              <w:t xml:space="preserve"> - </w:t>
            </w:r>
            <w:r>
              <w:rPr>
                <w:rStyle w:val="IndexLink"/>
                <w:rtl w:val="true"/>
              </w:rPr>
              <w:t>رصيده من حفظ ووعي التجارب الأدبية لسابقيه</w:t>
            </w:r>
            <w:r>
              <w:rPr>
                <w:rStyle w:val="IndexLink"/>
                <w:rtl w:val="true"/>
              </w:rPr>
              <w:t>.</w:t>
              <w:tab/>
            </w:r>
            <w:r>
              <w:rPr>
                <w:rStyle w:val="IndexLink"/>
              </w:rPr>
              <w:t>170</w:t>
            </w:r>
          </w:hyperlink>
        </w:p>
        <w:p>
          <w:pPr>
            <w:pStyle w:val="Contents4"/>
            <w:tabs>
              <w:tab w:val="clear" w:pos="8176"/>
              <w:tab w:val="right" w:pos="9026" w:leader="dot"/>
            </w:tabs>
            <w:rPr/>
          </w:pPr>
          <w:hyperlink w:anchor="__RefHeading___Toc3547365_2142443653">
            <w:r>
              <w:rPr>
                <w:webHidden/>
                <w:rStyle w:val="IndexLink"/>
              </w:rPr>
              <w:t>3</w:t>
            </w:r>
            <w:r>
              <w:rPr>
                <w:rStyle w:val="IndexLink"/>
                <w:rtl w:val="true"/>
              </w:rPr>
              <w:t xml:space="preserve"> -</w:t>
            </w:r>
            <w:r>
              <w:rPr>
                <w:rStyle w:val="IndexLink"/>
                <w:rtl w:val="true"/>
              </w:rPr>
              <w:t>نتاجه الأدبي</w:t>
            </w:r>
            <w:r>
              <w:rPr>
                <w:rStyle w:val="IndexLink"/>
                <w:rtl w:val="true"/>
              </w:rPr>
              <w:t>.</w:t>
              <w:tab/>
            </w:r>
            <w:r>
              <w:rPr>
                <w:rStyle w:val="IndexLink"/>
              </w:rPr>
              <w:t>172</w:t>
            </w:r>
          </w:hyperlink>
        </w:p>
        <w:p>
          <w:pPr>
            <w:pStyle w:val="Contents4"/>
            <w:tabs>
              <w:tab w:val="clear" w:pos="8176"/>
              <w:tab w:val="right" w:pos="9026" w:leader="dot"/>
            </w:tabs>
            <w:rPr/>
          </w:pPr>
          <w:hyperlink w:anchor="__RefHeading___Toc3547367_2142443653">
            <w:r>
              <w:rPr>
                <w:webHidden/>
                <w:rStyle w:val="IndexLink"/>
                <w:rtl w:val="true"/>
              </w:rPr>
              <w:t>أ</w:t>
            </w:r>
            <w:r>
              <w:rPr>
                <w:rStyle w:val="IndexLink"/>
                <w:rtl w:val="true"/>
              </w:rPr>
              <w:t xml:space="preserve">- </w:t>
            </w:r>
            <w:r>
              <w:rPr>
                <w:rStyle w:val="IndexLink"/>
                <w:rtl w:val="true"/>
              </w:rPr>
              <w:t>شعره</w:t>
            </w:r>
            <w:r>
              <w:rPr>
                <w:rStyle w:val="IndexLink"/>
                <w:rtl w:val="true"/>
              </w:rPr>
              <w:tab/>
            </w:r>
            <w:r>
              <w:rPr>
                <w:rStyle w:val="IndexLink"/>
              </w:rPr>
              <w:t>172</w:t>
            </w:r>
          </w:hyperlink>
        </w:p>
        <w:p>
          <w:pPr>
            <w:pStyle w:val="Contents4"/>
            <w:tabs>
              <w:tab w:val="clear" w:pos="8176"/>
              <w:tab w:val="right" w:pos="9026" w:leader="dot"/>
            </w:tabs>
            <w:rPr/>
          </w:pPr>
          <w:hyperlink w:anchor="__RefHeading___Toc3547369_2142443653">
            <w:r>
              <w:rPr>
                <w:webHidden/>
                <w:rStyle w:val="IndexLink"/>
                <w:rtl w:val="true"/>
              </w:rPr>
              <w:t>ب</w:t>
            </w:r>
            <w:r>
              <w:rPr>
                <w:rStyle w:val="IndexLink"/>
                <w:rtl w:val="true"/>
              </w:rPr>
              <w:t xml:space="preserve">- </w:t>
            </w:r>
            <w:r>
              <w:rPr>
                <w:rStyle w:val="IndexLink"/>
                <w:rtl w:val="true"/>
              </w:rPr>
              <w:t>الخطابة والمناظرة والرسائل</w:t>
            </w:r>
            <w:r>
              <w:rPr>
                <w:rStyle w:val="IndexLink"/>
                <w:rtl w:val="true"/>
              </w:rPr>
              <w:t>.</w:t>
              <w:tab/>
            </w:r>
            <w:r>
              <w:rPr>
                <w:rStyle w:val="IndexLink"/>
              </w:rPr>
              <w:t>175</w:t>
            </w:r>
          </w:hyperlink>
        </w:p>
        <w:p>
          <w:pPr>
            <w:pStyle w:val="Contents4"/>
            <w:tabs>
              <w:tab w:val="clear" w:pos="8176"/>
              <w:tab w:val="right" w:pos="9026" w:leader="dot"/>
            </w:tabs>
            <w:rPr/>
          </w:pPr>
          <w:hyperlink w:anchor="__RefHeading___Toc3547371_2142443653">
            <w:r>
              <w:rPr>
                <w:webHidden/>
                <w:rStyle w:val="IndexLink"/>
                <w:rtl w:val="true"/>
              </w:rPr>
              <w:t>جـ</w:t>
            </w:r>
            <w:r>
              <w:rPr>
                <w:rStyle w:val="IndexLink"/>
                <w:rtl w:val="true"/>
              </w:rPr>
              <w:t xml:space="preserve">- </w:t>
            </w:r>
            <w:r>
              <w:rPr>
                <w:rStyle w:val="IndexLink"/>
                <w:rtl w:val="true"/>
              </w:rPr>
              <w:t>كلمه القصار</w:t>
            </w:r>
            <w:r>
              <w:rPr>
                <w:rStyle w:val="IndexLink"/>
                <w:rtl w:val="true"/>
              </w:rPr>
              <w:tab/>
            </w:r>
            <w:r>
              <w:rPr>
                <w:rStyle w:val="IndexLink"/>
              </w:rPr>
              <w:t>175</w:t>
            </w:r>
          </w:hyperlink>
        </w:p>
        <w:p>
          <w:pPr>
            <w:pStyle w:val="Contents4"/>
            <w:tabs>
              <w:tab w:val="clear" w:pos="8176"/>
              <w:tab w:val="right" w:pos="9026" w:leader="dot"/>
            </w:tabs>
            <w:rPr/>
          </w:pPr>
          <w:hyperlink w:anchor="__RefHeading___Toc3547373_2142443653">
            <w:r>
              <w:rPr>
                <w:webHidden/>
                <w:rStyle w:val="IndexLink"/>
                <w:rtl w:val="true"/>
              </w:rPr>
              <w:t>د</w:t>
            </w:r>
            <w:r>
              <w:rPr>
                <w:rStyle w:val="IndexLink"/>
                <w:rtl w:val="true"/>
              </w:rPr>
              <w:t xml:space="preserve">- </w:t>
            </w:r>
            <w:r>
              <w:rPr>
                <w:rStyle w:val="IndexLink"/>
                <w:rtl w:val="true"/>
              </w:rPr>
              <w:t>أدبه القصصي</w:t>
            </w:r>
            <w:r>
              <w:rPr>
                <w:rStyle w:val="IndexLink"/>
                <w:rtl w:val="true"/>
              </w:rPr>
              <w:tab/>
            </w:r>
            <w:r>
              <w:rPr>
                <w:rStyle w:val="IndexLink"/>
              </w:rPr>
              <w:t>179</w:t>
            </w:r>
          </w:hyperlink>
        </w:p>
        <w:p>
          <w:pPr>
            <w:pStyle w:val="Contents4"/>
            <w:tabs>
              <w:tab w:val="clear" w:pos="8176"/>
              <w:tab w:val="right" w:pos="9026" w:leader="dot"/>
            </w:tabs>
            <w:rPr/>
          </w:pPr>
          <w:hyperlink w:anchor="__RefHeading___Toc3547375_2142443653">
            <w:r>
              <w:rPr>
                <w:webHidden/>
                <w:rStyle w:val="IndexLink"/>
                <w:rtl w:val="true"/>
              </w:rPr>
              <w:t>الجاذبيّة</w:t>
            </w:r>
            <w:r>
              <w:rPr>
                <w:rStyle w:val="IndexLink"/>
                <w:rtl w:val="true"/>
              </w:rPr>
              <w:tab/>
            </w:r>
            <w:r>
              <w:rPr>
                <w:rStyle w:val="IndexLink"/>
              </w:rPr>
              <w:t>182</w:t>
            </w:r>
          </w:hyperlink>
        </w:p>
        <w:p>
          <w:pPr>
            <w:pStyle w:val="Contents2"/>
            <w:tabs>
              <w:tab w:val="clear" w:pos="8743"/>
              <w:tab w:val="right" w:pos="9026" w:leader="dot"/>
            </w:tabs>
            <w:rPr/>
          </w:pPr>
          <w:hyperlink w:anchor="__RefHeading___Toc3547377_2142443653">
            <w:r>
              <w:rPr>
                <w:webHidden/>
                <w:rStyle w:val="IndexLink"/>
                <w:rtl w:val="true"/>
              </w:rPr>
              <w:t>شكر وتقدير</w:t>
            </w:r>
            <w:r>
              <w:rPr>
                <w:rStyle w:val="IndexLink"/>
                <w:rtl w:val="true"/>
              </w:rPr>
              <w:tab/>
            </w:r>
            <w:r>
              <w:rPr>
                <w:rStyle w:val="IndexLink"/>
              </w:rPr>
              <w:t>185</w:t>
            </w:r>
          </w:hyperlink>
        </w:p>
        <w:p>
          <w:pPr>
            <w:pStyle w:val="Contents2"/>
            <w:tabs>
              <w:tab w:val="clear" w:pos="8743"/>
              <w:tab w:val="right" w:pos="9026" w:leader="dot"/>
            </w:tabs>
            <w:rPr/>
          </w:pPr>
          <w:hyperlink w:anchor="__RefHeading___Toc3547379_2142443653">
            <w:r>
              <w:rPr>
                <w:webHidden/>
                <w:rStyle w:val="IndexLink"/>
                <w:rtl w:val="true"/>
              </w:rPr>
              <w:t>الفَهَارِس العَامَة</w:t>
            </w:r>
            <w:r>
              <w:rPr>
                <w:rStyle w:val="IndexLink"/>
                <w:rtl w:val="true"/>
              </w:rPr>
              <w:tab/>
            </w:r>
            <w:r>
              <w:rPr>
                <w:rStyle w:val="IndexLink"/>
              </w:rPr>
              <w:t>187</w:t>
            </w:r>
          </w:hyperlink>
        </w:p>
        <w:p>
          <w:pPr>
            <w:pStyle w:val="Contents3"/>
            <w:tabs>
              <w:tab w:val="clear" w:pos="8459"/>
              <w:tab w:val="right" w:pos="9026" w:leader="dot"/>
            </w:tabs>
            <w:rPr/>
          </w:pPr>
          <w:hyperlink w:anchor="__RefHeading___Toc3547381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547383_2142443653">
            <w:r>
              <w:rPr>
                <w:webHidden/>
                <w:rStyle w:val="IndexLink"/>
                <w:rtl w:val="true"/>
              </w:rPr>
              <w:t>فهرست الآیات القرآنیة</w:t>
            </w:r>
            <w:r>
              <w:rPr>
                <w:rStyle w:val="IndexLink"/>
                <w:rtl w:val="true"/>
              </w:rPr>
              <w:tab/>
            </w:r>
            <w:r>
              <w:rPr>
                <w:rStyle w:val="IndexLink"/>
              </w:rPr>
              <w:t>189</w:t>
            </w:r>
          </w:hyperlink>
        </w:p>
        <w:p>
          <w:pPr>
            <w:pStyle w:val="Contents3"/>
            <w:tabs>
              <w:tab w:val="clear" w:pos="8459"/>
              <w:tab w:val="right" w:pos="9026" w:leader="dot"/>
            </w:tabs>
            <w:rPr/>
          </w:pPr>
          <w:hyperlink w:anchor="__RefHeading___Toc3547385_2142443653">
            <w:r>
              <w:rPr>
                <w:webHidden/>
                <w:rStyle w:val="IndexLink"/>
                <w:rtl w:val="true"/>
              </w:rPr>
              <w:t>فهرست الحادیث النبویة</w:t>
            </w:r>
            <w:r>
              <w:rPr>
                <w:rStyle w:val="IndexLink"/>
                <w:rtl w:val="true"/>
              </w:rPr>
              <w:tab/>
            </w:r>
            <w:r>
              <w:rPr>
                <w:rStyle w:val="IndexLink"/>
              </w:rPr>
              <w:t>193</w:t>
            </w:r>
          </w:hyperlink>
        </w:p>
        <w:p>
          <w:pPr>
            <w:pStyle w:val="Contents3"/>
            <w:tabs>
              <w:tab w:val="clear" w:pos="8459"/>
              <w:tab w:val="right" w:pos="9026" w:leader="dot"/>
            </w:tabs>
            <w:rPr/>
          </w:pPr>
          <w:hyperlink w:anchor="__RefHeading___Toc3547387_2142443653">
            <w:r>
              <w:rPr>
                <w:webHidden/>
                <w:rStyle w:val="IndexLink"/>
                <w:rtl w:val="true"/>
              </w:rPr>
              <w:t>فهرست الابیات الشعریة و الاراجیز</w:t>
            </w:r>
            <w:r>
              <w:rPr>
                <w:rStyle w:val="IndexLink"/>
                <w:rtl w:val="true"/>
              </w:rPr>
              <w:tab/>
            </w:r>
            <w:r>
              <w:rPr>
                <w:rStyle w:val="IndexLink"/>
              </w:rPr>
              <w:t>198</w:t>
            </w:r>
          </w:hyperlink>
        </w:p>
        <w:p>
          <w:pPr>
            <w:pStyle w:val="Contents3"/>
            <w:tabs>
              <w:tab w:val="clear" w:pos="8459"/>
              <w:tab w:val="right" w:pos="9026" w:leader="dot"/>
            </w:tabs>
            <w:rPr/>
          </w:pPr>
          <w:hyperlink w:anchor="__RefHeading___Toc3547389_2142443653">
            <w:r>
              <w:rPr>
                <w:webHidden/>
                <w:rStyle w:val="IndexLink"/>
                <w:rtl w:val="true"/>
              </w:rPr>
              <w:t>فهرست الاعلام</w:t>
            </w:r>
            <w:r>
              <w:rPr>
                <w:rStyle w:val="IndexLink"/>
                <w:rtl w:val="true"/>
              </w:rPr>
              <w:tab/>
            </w:r>
            <w:r>
              <w:rPr>
                <w:rStyle w:val="IndexLink"/>
              </w:rPr>
              <w:t>202</w:t>
            </w:r>
          </w:hyperlink>
        </w:p>
        <w:p>
          <w:pPr>
            <w:pStyle w:val="Contents3"/>
            <w:tabs>
              <w:tab w:val="clear" w:pos="8459"/>
              <w:tab w:val="right" w:pos="9026" w:leader="dot"/>
            </w:tabs>
            <w:rPr/>
          </w:pPr>
          <w:hyperlink w:anchor="__RefHeading___Toc3547391_2142443653">
            <w:r>
              <w:rPr>
                <w:webHidden/>
                <w:rStyle w:val="IndexLink"/>
                <w:rtl w:val="true"/>
              </w:rPr>
              <w:t>فهرست الامکنة و البقاع</w:t>
            </w:r>
            <w:r>
              <w:rPr>
                <w:rStyle w:val="IndexLink"/>
                <w:rtl w:val="true"/>
              </w:rPr>
              <w:tab/>
            </w:r>
            <w:r>
              <w:rPr>
                <w:rStyle w:val="IndexLink"/>
              </w:rPr>
              <w:t>231</w:t>
            </w:r>
          </w:hyperlink>
        </w:p>
        <w:p>
          <w:pPr>
            <w:pStyle w:val="Contents3"/>
            <w:tabs>
              <w:tab w:val="clear" w:pos="8459"/>
              <w:tab w:val="right" w:pos="9026" w:leader="dot"/>
            </w:tabs>
            <w:rPr/>
          </w:pPr>
          <w:hyperlink w:anchor="__RefHeading___Toc3547393_2142443653">
            <w:r>
              <w:rPr>
                <w:webHidden/>
                <w:rStyle w:val="IndexLink"/>
                <w:rtl w:val="true"/>
              </w:rPr>
              <w:t>فهرست المک و النحل و الاقوام</w:t>
            </w:r>
            <w:r>
              <w:rPr>
                <w:rStyle w:val="IndexLink"/>
                <w:rtl w:val="true"/>
              </w:rPr>
              <w:tab/>
            </w:r>
            <w:r>
              <w:rPr>
                <w:rStyle w:val="IndexLink"/>
              </w:rPr>
              <w:t>238</w:t>
            </w:r>
          </w:hyperlink>
        </w:p>
        <w:p>
          <w:pPr>
            <w:pStyle w:val="Contents3"/>
            <w:tabs>
              <w:tab w:val="clear" w:pos="8459"/>
              <w:tab w:val="right" w:pos="9026" w:leader="dot"/>
            </w:tabs>
            <w:rPr/>
          </w:pPr>
          <w:hyperlink w:anchor="__RefHeading___Toc3547395_2142443653">
            <w:r>
              <w:rPr>
                <w:webHidden/>
                <w:rStyle w:val="IndexLink"/>
                <w:rtl w:val="true"/>
              </w:rPr>
              <w:t>فهرس المصادر والمراجع</w:t>
            </w:r>
            <w:r>
              <w:rPr>
                <w:rStyle w:val="IndexLink"/>
                <w:rtl w:val="true"/>
              </w:rPr>
              <w:tab/>
            </w:r>
            <w:r>
              <w:rPr>
                <w:rStyle w:val="IndexLink"/>
              </w:rPr>
              <w:t>246</w:t>
            </w:r>
          </w:hyperlink>
        </w:p>
        <w:p>
          <w:pPr>
            <w:pStyle w:val="Contents2"/>
            <w:tabs>
              <w:tab w:val="clear" w:pos="8743"/>
              <w:tab w:val="right" w:pos="9026" w:leader="dot"/>
            </w:tabs>
            <w:rPr/>
          </w:pPr>
          <w:hyperlink w:anchor="__RefHeading___Toc3547397_2142443653">
            <w:r>
              <w:rPr>
                <w:webHidden/>
                <w:rStyle w:val="IndexLink"/>
                <w:rtl w:val="true"/>
              </w:rPr>
              <w:t>المحتويات</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32_165661"/>
      <w:bookmarkStart w:id="1" w:name="pg15232_165661"/>
      <w:bookmarkEnd w:id="1"/>
    </w:p>
    <w:p>
      <w:pPr>
        <w:pStyle w:val="Heading2"/>
        <w:numPr>
          <w:ilvl w:val="1"/>
          <w:numId w:val="1"/>
        </w:numPr>
        <w:rPr/>
      </w:pPr>
      <w:bookmarkStart w:id="2" w:name="pg15232_165661"/>
      <w:bookmarkStart w:id="3" w:name="__RefHeading___Toc354724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العلام</w:t>
      </w:r>
    </w:p>
    <w:p>
      <w:pPr>
        <w:pStyle w:val="BookText"/>
        <w:rPr/>
      </w:pPr>
      <w:r>
        <w:rPr>
          <w:rFonts w:ascii="Amiri" w:hAnsi="Amiri" w:eastAsia="Amiri" w:cs="Amiri"/>
          <w:color w:val="111111"/>
          <w:sz w:val="28"/>
          <w:sz w:val="28"/>
          <w:szCs w:val="28"/>
          <w:rtl w:val="true"/>
          <w:lang w:bidi="ar-SA"/>
        </w:rPr>
        <w:t>عَبدُ الله بنِ عَبَّاس</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حياته وسيرته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وَحدَةُ الدِّرَاسَاتِ وَ النَّشَرَاتِ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7245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الايداع في دار الكتب والوثائق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المطبعة دار الكفيل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32_165665"/>
      <w:bookmarkStart w:id="8" w:name="pg15232_165665"/>
      <w:bookmarkEnd w:id="8"/>
    </w:p>
    <w:p>
      <w:pPr>
        <w:pStyle w:val="Heading2"/>
        <w:numPr>
          <w:ilvl w:val="1"/>
          <w:numId w:val="1"/>
        </w:numPr>
        <w:rPr/>
      </w:pPr>
      <w:bookmarkStart w:id="9" w:name="pg15232_165665"/>
      <w:bookmarkStart w:id="10" w:name="__RefHeading___Toc3547247_2142443653"/>
      <w:bookmarkStart w:id="11" w:name="_Toc3"/>
      <w:bookmarkEnd w:id="9"/>
      <w:bookmarkEnd w:id="10"/>
      <w:r>
        <w:rPr>
          <w:rtl w:val="true"/>
        </w:rPr>
        <w:t>الشخصية وعناصرها</w:t>
      </w:r>
      <w:bookmarkEnd w:id="11"/>
    </w:p>
    <w:p>
      <w:pPr>
        <w:pStyle w:val="BookText"/>
        <w:rPr/>
      </w:pPr>
      <w:r>
        <w:rPr>
          <w:rFonts w:ascii="Amiri" w:hAnsi="Amiri" w:eastAsia="Amiri" w:cs="Amiri"/>
          <w:color w:val="111111"/>
          <w:sz w:val="28"/>
          <w:sz w:val="28"/>
          <w:szCs w:val="28"/>
          <w:rtl w:val="true"/>
          <w:lang w:bidi="ar-SA"/>
        </w:rPr>
        <w:t xml:space="preserve">وأخالنا بعد هذه الجولة في مختلف أنحاء حياته، وبعد هذه الرفقة المتأنيّة لأغلب ما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سواء في مجالاته النفسية، أم الاجتماعية، ثم بعد هذه الاستعانة بما ألقى عليه معاصروه من اضواء التمسنا الكثير منها في بحثنا السابق، وما ألقى هو على نفسه الواعية وغير الواعية منها، أخالنا بعد هذا كله نستطيع أن نعود إليه؛ لنلتمس بعض معالم شخصيته ونحددها وندرسها دراسة واعية في حدود ما نملكه في هذه المجالات من معرفة ، وبخاصة بعد أن تكاملت هذه المعالم ، وبرزت جملة خصائصها بما اكتنفها من عوامل فسلجيّة أو بيئية أو بيولوجية، ظهر بعضها في أواخر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والشخصيّة في مدلولها النفسي التكاملي من أشد المفاهيم وأكثرها غموضاً؛لاشتمالها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الصفات الجسمانية والوجدانية والعقلية والخلقية، وفي حالة تفاعلها بعضها مع بعض وتكاملها في شخص معين يعيش في بيئة اجتماعية معينة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كالكهربائية أو الأثير أو المغناطيسية لا تعرف إلا بآثارها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ذكر لها من تعاريف فهي لا تعدو أن تكون من قبيل الرسوم الناقصة، التي تعمد إلى التحديد باللوازم والآثار ، وليس فيها ما يتلاءم وواقعها طرداً أو عكساً، وقد عرفها بعضهم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المنظمة من الأفكار والسجايا والميول والعادات التي </w:t>
      </w:r>
    </w:p>
    <w:p>
      <w:pPr>
        <w:pStyle w:val="BookText"/>
        <w:rPr/>
      </w:pPr>
      <w:r>
        <w:rPr>
          <w:rFonts w:ascii="Amiri" w:hAnsi="Amiri" w:eastAsia="Amiri" w:cs="Amiri"/>
          <w:color w:val="111111"/>
          <w:sz w:val="28"/>
          <w:sz w:val="28"/>
          <w:szCs w:val="28"/>
          <w:rtl w:val="true"/>
          <w:lang w:bidi="ar-SA"/>
        </w:rPr>
        <w:t>يتميز بها شخص ما عن غيره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وهو تعريف لا يتمشى مع واقعها كوحدة؛ لما توحي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تجزيئيّة وتجريديّة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كل ما ورد لها من 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لا نرضى للعلماء بهذه التجزيئيّة في مجال التعريف فإننا نساق إليها سوقاً حين نحاول دراسة صاحبنا، والتماس عناصر شخصيّته، فعرضها كوحدة مما يستحيل على الباحث مهما كان له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إذاً مضطرون إلى تفكيك أواصرها تفكيكاً قد لا يرضى عنه المعنيون بهذه البحوث</w:t>
      </w:r>
    </w:p>
    <w:p>
      <w:pPr>
        <w:pStyle w:val="BookText"/>
        <w:rPr/>
      </w:pPr>
      <w:r>
        <w:rPr>
          <w:rFonts w:ascii="Amiri" w:hAnsi="Amiri" w:eastAsia="Amiri" w:cs="Amiri"/>
          <w:color w:val="111111"/>
          <w:sz w:val="28"/>
          <w:sz w:val="28"/>
          <w:szCs w:val="28"/>
          <w:rtl w:val="true"/>
          <w:lang w:bidi="ar-SA"/>
        </w:rPr>
        <w:t>وتيسيراً للبحث نوزّعها كما وزّعها بعض العلماء النفسيين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الجسمية والمزاجية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الاستعدادات الفطرية المختلفة، وما ينشأ عنها عادة من عواطف وأخلاق وعقد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القدرات العقليّة فطرية ومكتسبة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حدود هذا التقسيم سنتكلّم عن أهم ما ورد من عناصر شخصية ابن عباس هذه المجالات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انطباعاته الذاتية وتأمله الباطني، ثم من انطباعات وتأملات معاصريه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 تمدّنا بالمزيد من هذا الحديث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ونختمها بعد ذلك في التحدّث عن جاذبيته والتماس عواملها</w:t>
      </w:r>
      <w:r>
        <w:rPr>
          <w:rFonts w:eastAsia="Amiri" w:cs="Amiri" w:ascii="Amiri" w:hAnsi="Amiri"/>
          <w:color w:val="111111"/>
          <w:sz w:val="28"/>
          <w:szCs w:val="28"/>
          <w:rtl w:val="true"/>
          <w:lang w:bidi="ar-SA"/>
        </w:rPr>
        <w:t xml:space="preserve">. </w:t>
      </w:r>
      <w:bookmarkStart w:id="12" w:name="pg15232_165667"/>
    </w:p>
    <w:p>
      <w:pPr>
        <w:pStyle w:val="Heading2"/>
        <w:numPr>
          <w:ilvl w:val="1"/>
          <w:numId w:val="1"/>
        </w:numPr>
        <w:rPr/>
      </w:pPr>
      <w:bookmarkStart w:id="13" w:name="__RefHeading___Toc3547249_2142443653"/>
      <w:bookmarkStart w:id="14" w:name="_Toc4"/>
      <w:bookmarkEnd w:id="12"/>
      <w:bookmarkEnd w:id="13"/>
      <w:r>
        <w:rPr>
          <w:rtl w:val="true"/>
        </w:rPr>
        <w:t>أولاً</w:t>
      </w:r>
      <w:r>
        <w:rPr>
          <w:rtl w:val="true"/>
        </w:rPr>
        <w:t xml:space="preserve">: </w:t>
      </w:r>
      <w:r>
        <w:rPr>
          <w:rtl w:val="true"/>
        </w:rPr>
        <w:t>صفاته الجسمية والمزاجية</w:t>
      </w:r>
      <w:bookmarkEnd w:id="14"/>
    </w:p>
    <w:p>
      <w:pPr>
        <w:pStyle w:val="BookText"/>
        <w:rPr/>
      </w:pPr>
      <w:r>
        <w:rPr>
          <w:rFonts w:ascii="Amiri" w:hAnsi="Amiri" w:eastAsia="Amiri" w:cs="Amiri"/>
          <w:color w:val="111111"/>
          <w:sz w:val="28"/>
          <w:sz w:val="28"/>
          <w:szCs w:val="28"/>
          <w:rtl w:val="true"/>
          <w:lang w:bidi="ar-SA"/>
        </w:rPr>
        <w:t>ذكر المؤرخون صفاته الجسمية وأطنبوا فيها على اختلاف بينهم في بعضها، واتفاق على تكاملها ، فهو فيما يصفه معاصروه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جسيماً ، إذا جلس يأخذ مكان رجلين جميلاً له وفرة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وسيما أبيض طويلًا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وقد اعترى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اصابته عاهة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الصفرة</w:t>
      </w:r>
      <w:r>
        <w:rPr>
          <w:rStyle w:val="FootnoteAnchor"/>
          <w:rtl w:val="true"/>
        </w:rPr>
        <w:footnoteReference w:id="8"/>
      </w:r>
      <w:r>
        <w:rPr>
          <w:rFonts w:ascii="Amiri" w:hAnsi="Amiri" w:eastAsia="Amiri" w:cs="Amiri"/>
          <w:color w:val="111111"/>
          <w:sz w:val="28"/>
          <w:sz w:val="28"/>
          <w:szCs w:val="28"/>
          <w:rtl w:val="true"/>
          <w:lang w:bidi="ar-SA"/>
        </w:rPr>
        <w:t xml:space="preserve">، وفي وصف الدار قطني له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مشرباً بشقرة جسيماً وسيماً صبيح الوجه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ولكنّ ابن مندة يقول 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مشرباً بصفرة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لا بشقرة، وربّما كان الاختلاف ناشئاً من تعدّد الزمن الذي وصف به، وفي الرواية السابقة أنّ الصفرة اعترته بعد أن أصيب بعاهته، أو أنّ الرؤية وقعت عليه بعد أن أبل من مرض أصيب به؛ فاعتراه ما اعتراه من الصفرة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ما سجّلوه له من الصفات يدلّ على حسنه وجماله، ولا أقلّ من رؤيتهم له كذلك، فقد كان يراه مسروق أجمل الناس وأفصحهم </w:t>
      </w:r>
      <w:r>
        <w:rPr>
          <w:rStyle w:val="FootnoteAnchor"/>
          <w:rtl w:val="true"/>
        </w:rPr>
        <w:footnoteReference w:id="11"/>
      </w:r>
      <w:r>
        <w:rPr>
          <w:rFonts w:ascii="Amiri" w:hAnsi="Amiri" w:eastAsia="Amiri" w:cs="Amiri"/>
          <w:color w:val="111111"/>
          <w:sz w:val="28"/>
          <w:sz w:val="28"/>
          <w:szCs w:val="28"/>
          <w:rtl w:val="true"/>
          <w:lang w:bidi="ar-SA"/>
        </w:rPr>
        <w:t xml:space="preserve">، ويراه عمر بن </w:t>
      </w:r>
    </w:p>
    <w:p>
      <w:pPr>
        <w:pStyle w:val="BookText"/>
        <w:rPr/>
      </w:pPr>
      <w:r>
        <w:rPr>
          <w:rFonts w:ascii="Amiri" w:hAnsi="Amiri" w:eastAsia="Amiri" w:cs="Amiri"/>
          <w:color w:val="111111"/>
          <w:sz w:val="28"/>
          <w:sz w:val="28"/>
          <w:szCs w:val="28"/>
          <w:rtl w:val="true"/>
          <w:lang w:bidi="ar-SA"/>
        </w:rPr>
        <w:t xml:space="preserve">الخطاب أصبح الفتيان وجهاً </w:t>
      </w:r>
      <w:r>
        <w:rPr>
          <w:rStyle w:val="FootnoteAnchor"/>
          <w:rtl w:val="true"/>
        </w:rPr>
        <w:footnoteReference w:id="12"/>
      </w:r>
      <w:r>
        <w:rPr>
          <w:rFonts w:ascii="Amiri" w:hAnsi="Amiri" w:eastAsia="Amiri" w:cs="Amiri"/>
          <w:color w:val="111111"/>
          <w:sz w:val="28"/>
          <w:sz w:val="28"/>
          <w:szCs w:val="28"/>
          <w:rtl w:val="true"/>
          <w:lang w:bidi="ar-SA"/>
        </w:rPr>
        <w:t>، وما أكثر ما ورد في حقه من أمثال 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نظر إلى هيأته وطوله فلفته ذلك، وسأل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وقد 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صفاته هذه كانت جلّها موروثة عن أبيه العباس، لتقارب ما يذكرون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البيت الهاشمي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طابع جمالي متميّز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ابن عباس كان يقيم لكماله الجسمي وزناً، فكان يعالج ما يطرأ عليه بالمحسنات، فهو يعالج كريمته بعد الشيب بالخضاب؛ لتحتفظ بطالعها الرائع، وكان خضابه الحنّاء على رواية والسوداء في أخرى والصفرة في ثالثة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وكان يعنى بالطيب، والمسك منه على الأخص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مولاه عكرمة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يطلي جسده بالمسك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وكان يقول الناس إذا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ابن عباس أم مرّ المسك؟</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وقد رآه الهاشمي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أحرم والغالية على صلعته كأنّها الرُّب</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يعنى بملبسه، فكان يلبس الرداء بألف</w:t>
      </w:r>
      <w:r>
        <w:rPr>
          <w:rStyle w:val="FootnoteAnchor"/>
          <w:rtl w:val="true"/>
        </w:rPr>
        <w:footnoteReference w:id="18"/>
      </w:r>
      <w:r>
        <w:rPr>
          <w:rFonts w:ascii="Amiri" w:hAnsi="Amiri" w:eastAsia="Amiri" w:cs="Amiri"/>
          <w:color w:val="111111"/>
          <w:sz w:val="28"/>
          <w:sz w:val="28"/>
          <w:szCs w:val="28"/>
          <w:rtl w:val="true"/>
          <w:lang w:bidi="ar-SA"/>
        </w:rPr>
        <w:t xml:space="preserve">، وكان يلبس المطرف من الخز المنصوب الحوافي بمزالف، ويأخذه بألف </w:t>
      </w:r>
      <w:r>
        <w:rPr>
          <w:rStyle w:val="FootnoteAnchor"/>
          <w:rtl w:val="true"/>
        </w:rPr>
        <w:footnoteReference w:id="19"/>
      </w:r>
      <w:r>
        <w:rPr>
          <w:rFonts w:ascii="Amiri" w:hAnsi="Amiri" w:eastAsia="Amiri" w:cs="Amiri"/>
          <w:color w:val="111111"/>
          <w:sz w:val="28"/>
          <w:sz w:val="28"/>
          <w:szCs w:val="28"/>
          <w:rtl w:val="true"/>
          <w:lang w:bidi="ar-SA"/>
        </w:rPr>
        <w:t xml:space="preserve">، وعلى كثرة ما عُرف من كرمه كان يضنّ </w:t>
      </w:r>
    </w:p>
    <w:p>
      <w:pPr>
        <w:pStyle w:val="BookText"/>
        <w:rPr/>
      </w:pPr>
      <w:r>
        <w:rPr>
          <w:rFonts w:ascii="Amiri" w:hAnsi="Amiri" w:eastAsia="Amiri" w:cs="Amiri"/>
          <w:color w:val="111111"/>
          <w:sz w:val="28"/>
          <w:sz w:val="28"/>
          <w:szCs w:val="28"/>
          <w:rtl w:val="true"/>
          <w:lang w:bidi="ar-SA"/>
        </w:rPr>
        <w:t xml:space="preserve">بالثياب الثمينة عن إهدائها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صديقاً أهدى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ثياباً من ثياب مصر وعنده أقوام، فأمر برفعها،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ألم تخبرنا أنّ من أهديت له هدية وعنده قوم فهم شركاؤه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فيما يؤكل ويشرب ويشم، فأما في ثياب مصر فلا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وربما آخذه بعض المتزمتين على شدّة ترفه في لباسه، فجبههم بالآية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يقول بعض الرواة وهو يصف موقفه من الخوارج حين بعث به الإمام علي علیه السلام المحاججتهم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لبس حلّتين من أحسن الحلل،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جميلاً جهيراً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يحدّث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فأتيت القوم فلما بصروا إلي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عباس فما هذه الحلّة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تنكرون من ذلك، لقد رأيت على رسول الله صلی الله علیه و آله وسلم حلّة من أحسن الحلل،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تلوت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جاء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لي أن قواه الجسميّة كانت متكاملة في أغلب سنيّ حياته، وفي حدود ما قرأت من تأريخه لم أعثر على مرض أصيب به، اللهم إلّا أيام عمر بن الخطاب، حين مرض وعاده وقال له – كما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 بنا مرضك، وإلّا حادثة العاهة التي أصيب بها، ومرض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ما شاهد من الحوادث المؤلمة ، فإنّه قابلها وتغلب على عوارضها، بما يملكه من صحّة قد تكون لجذورها الوراثية، ثمّ لحسن التغذية التي حصل عليها منذ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يسر أبيه ، ثم يسره هو وعدم اشتهاره بالزهد والتقشف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أعمق الأثر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مزاجه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أعتقده وتدلّني عليه جملة أخباره الماضية والقادمة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الانطواء، إذا صح تصنيف يونج للشخصية إلى هذين الصنفين </w:t>
      </w:r>
      <w:r>
        <w:rPr>
          <w:rStyle w:val="FootnoteAnchor"/>
          <w:rtl w:val="true"/>
        </w:rPr>
        <w:footnoteReference w:id="23"/>
      </w:r>
      <w:r>
        <w:rPr>
          <w:rFonts w:ascii="Amiri" w:hAnsi="Amiri" w:eastAsia="Amiri" w:cs="Amiri"/>
          <w:color w:val="111111"/>
          <w:sz w:val="28"/>
          <w:sz w:val="28"/>
          <w:szCs w:val="28"/>
          <w:rtl w:val="true"/>
          <w:lang w:bidi="ar-SA"/>
        </w:rPr>
        <w:t xml:space="preserve">، وربما كان أقرب إلى الانبساط منه إلى الانطواء، ففيه من مميزات الانبساط سرعة الملاءمة بينه وبين المواقف الجديدة الطارئة، وطبعاً في حدود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رأينا مواقفه في مراحل الشباب في الجزء الأول من هذا الكتاب من بعض الحوادث الجديدة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من مميزات تحقيق التوافق من طريق التعويض ، وقد سبق أن رأينا ذلك منه أيضاً حين كان عرضة لبعض العقد النفسيّة، التي ولّدت من الشعور ما يحتاج معه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واهتمامه بالأمور الخارجيّة، وتوجيه سلوكه إليها، هو الآخر من مميزات انبساطه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في الفصول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تلكم المميزات التي توفرت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ما اعتبروه من المميّزات الجسمية للمنبسط، فإنّ الكثير منها يتوفّر فيه أيضاً، فهذه السمنة التي مكنته من أن يأخذ مكان رجلين ، ثم هذا الصلع الذي اعتراه، كما تشعر به الرواية السابقة، كل ذلك من أمارات الانبساط فيه، وإذا كان فيه ما يبعده عن بعضها، كبعده عن السطحية في أفكاره، وتعمقه في المجالات التي تحتاج إلى عمق في معالجة مشاكلها، ونظرته إلى الغيب من ستر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وأمثاله مما سوّغ لنا أن نعتبره من الأنماط المتوسطة بين هذا وذاك، وليس المهم أن نطيل الوقوف في هذا الجانب من جوانب شخصيته؛ ما دامت أضواؤه في الغالب ماثلة فيما يأتي من فصول</w:t>
      </w:r>
      <w:r>
        <w:rPr>
          <w:rFonts w:eastAsia="Amiri" w:cs="Amiri" w:ascii="Amiri" w:hAnsi="Amiri"/>
          <w:color w:val="111111"/>
          <w:sz w:val="28"/>
          <w:szCs w:val="28"/>
          <w:rtl w:val="true"/>
          <w:lang w:bidi="ar-SA"/>
        </w:rPr>
        <w:t xml:space="preserve">. </w:t>
      </w:r>
      <w:bookmarkStart w:id="15" w:name="pg15232_165671"/>
    </w:p>
    <w:p>
      <w:pPr>
        <w:pStyle w:val="Heading2"/>
        <w:numPr>
          <w:ilvl w:val="1"/>
          <w:numId w:val="1"/>
        </w:numPr>
        <w:rPr/>
      </w:pPr>
      <w:bookmarkStart w:id="16" w:name="__RefHeading___Toc3547251_2142443653"/>
      <w:bookmarkStart w:id="17" w:name="_Toc5"/>
      <w:bookmarkEnd w:id="15"/>
      <w:bookmarkEnd w:id="16"/>
      <w:r>
        <w:rPr>
          <w:rtl w:val="true"/>
        </w:rPr>
        <w:t>ثانياً</w:t>
      </w:r>
      <w:r>
        <w:rPr>
          <w:rtl w:val="true"/>
        </w:rPr>
        <w:t xml:space="preserve">: </w:t>
      </w:r>
      <w:r>
        <w:rPr>
          <w:rtl w:val="true"/>
        </w:rPr>
        <w:t>استعداداته الفطرية</w:t>
      </w:r>
      <w:bookmarkEnd w:id="17"/>
    </w:p>
    <w:p>
      <w:pPr>
        <w:pStyle w:val="Heading3"/>
        <w:numPr>
          <w:ilvl w:val="2"/>
          <w:numId w:val="1"/>
        </w:numPr>
        <w:rPr/>
      </w:pPr>
      <w:bookmarkStart w:id="18" w:name="__RefHeading___Toc3547253_2142443653"/>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ویراد بالاستعدادات الفطرية تلك القوى الموروثة التي تدفع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للقيام بسلوك خاص إذا ما أدرك نفسه في موقف أو مجال معين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وعلى اختلاف العلماء في عددها، وفي مركز الثقل فيها، فإنّ رأي مكدوجل هو أكثرها شيوعاً وأقواها حتى الآن، وقد بلغ بها في أواخر مراحل حياته ثماني عشرة غريزة، لعل أهمها غريزة السيطرة، والمقاتلة، والخلاص، والوالدية، والاستطلاع، والغريزة الجنسيّة، والتملك، والضحك</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وقد أضاف إليها العلماء دوافع عامة، عدّوا من بينها المشاركة الوجدانية، والتقليد،والقابلية للاستهواء واللعب</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وهو مزوّد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الاستعدادات على اختلافها، وإن اختلف عن الكثير منهم في طرق تحقيقها والتعبير عنها، وهي تختلف باختلاف بيئات الأشخاص ومجتمعاتهم، وأساليب تربيتهم، تبعاً لما تخلقه من أثر الرقابة الدقيقة التي تقوم فيهم بوظيفة الموازن بين ما تهضمه عادات وتقاليد المحيط من أساليب التعبير عن هذه الدوافع وتحقيقها، وما لا تهضمه، فتأذن لما تكيف منها وفقها وتحول دون غيرها مما تأباها تقاليد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إذا طرأ على </w:t>
      </w:r>
    </w:p>
    <w:p>
      <w:pPr>
        <w:pStyle w:val="BookText"/>
        <w:rPr/>
      </w:pPr>
      <w:r>
        <w:rPr>
          <w:rFonts w:ascii="Amiri" w:hAnsi="Amiri" w:eastAsia="Amiri" w:cs="Amiri"/>
          <w:color w:val="111111"/>
          <w:sz w:val="28"/>
          <w:sz w:val="28"/>
          <w:szCs w:val="28"/>
          <w:rtl w:val="true"/>
          <w:lang w:bidi="ar-SA"/>
        </w:rPr>
        <w:t>الرقيب ما يعطّل وظيفته أو يضعفه أو يخدّره من العوامل، حسب ما نراه في قسم من الشواذ، أو في حالات شاذة للمستوين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الرقيب أو الضمير يستمد مثله عادة من المحيط الذي يعيش صاحبه فيه، مهما كان في تلكم المثل من المفارقات، ويظل حارساً أميناً عليها، يسير صاحبها وفقها في حدود ما يستطيع، فإذا شدّ صاحبه عن بعضها بتأثير بعض العوامل النفسية التي تتغلّب عليه اوقعه تحت وطأة من تأنيبه وتقريعه بصورة لا تعرف إلى الرحمة سبيلاً، وكثيراً ما يلتجئ صاحبه إلى خلق التبريرات النفسية، ليخفّف بها من ثقل ذلك التأنيب والتقريع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العباقرة والمصلحين هم الذين لا يخضعون لمثل وقيم المحيط وإنما يرسمون لضمائرهم مُثُلاً عليا، يخضعون لها التعبير عن تلكم الدوافع الأولية، ولولا هؤلاء لما أمكن تطوير المجتمعات ورفع مستواها الخلقي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هذا رجعنا إلى بيئة ابن عباس لالتماس مثلها وتقاليدها لنعرف مدى ما به ضميره منها ، ثم رجعنا إلى واقع صاحبنا للموازنة بين ما تقبل منها وسار عليه في سلوكه العام، وبين ما خرج عليه مما يراه من مفارقات، ثم مدى تحكّم هذا الضمير أو الرقيب الاجتماعي في ذلك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وبيئة صاحبنا بيئة إسلامية محافظة تستمد تعاليمها منذ بدايتها من 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قلنا في حديث مضى إن الإسلام دخل بيته قبل ولادته بإسلام أمه وأهل بيته، ومن لم يُسلم منهم إذ ذاك كأبيه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 بأجواء الإسلام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أنّ الإسلام فاجأ العرب بقيم جديدة، ولطف من قيم أخرى، وكان من جراء ذلك صراع قوي بين القديم منها والحديث أدرك ابن عباس خطوطه الواضحة </w:t>
      </w:r>
      <w:bookmarkStart w:id="20" w:name="pg15232_165673"/>
    </w:p>
    <w:p>
      <w:pPr>
        <w:pStyle w:val="BookText"/>
        <w:rPr/>
      </w:pPr>
      <w:bookmarkEnd w:id="20"/>
      <w:r>
        <w:rPr>
          <w:rFonts w:ascii="Amiri" w:hAnsi="Amiri" w:eastAsia="Amiri" w:cs="Amiri"/>
          <w:color w:val="111111"/>
          <w:sz w:val="28"/>
          <w:sz w:val="28"/>
          <w:szCs w:val="28"/>
          <w:rtl w:val="true"/>
          <w:lang w:bidi="ar-SA"/>
        </w:rPr>
        <w:t>حين وعى على نفسه وعلى مجتمعه، وشاهد بعض معالم ذلك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الأول من هذا الكتاب رافقناه مرحلة مرحلة، وسجّلنا الكثير من ملابسات ما شاهده من صراع، كان في أكثر أيام حياته طرفاً له من أنصار القيم الحديثة،وهذا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من اهتمام ضميره بتعلم تلكم القيم والمثل الجديدة، ويعطيه يقضة دائمة تحول بين صاحبها وما يتنافى معها من دوافعه واستعداداته الذاتيّة</w:t>
      </w:r>
    </w:p>
    <w:p>
      <w:pPr>
        <w:pStyle w:val="BookText"/>
        <w:rPr/>
      </w:pPr>
      <w:r>
        <w:rPr>
          <w:rFonts w:ascii="Amiri" w:hAnsi="Amiri" w:eastAsia="Amiri" w:cs="Amiri"/>
          <w:color w:val="111111"/>
          <w:sz w:val="28"/>
          <w:sz w:val="28"/>
          <w:szCs w:val="28"/>
          <w:rtl w:val="true"/>
          <w:lang w:bidi="ar-SA"/>
        </w:rPr>
        <w:t>فضميره إذاً وليد قِيَم الإسلام ومثله، وعلى ضوء هذه القيم تقوم محاولاته في تكييف دوافعه واستعداداته وفق ما تقتضيه وتدعو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بعض المثل التي رسمها لنفسه، وقيّد نفسه فيها ربّما تكون جذورها مستمدة من روح الإسلام، وإن لم نستطع إرجاعها إلى نصوص إسلامية في حدود ما وصل إلينا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تتعلّق غالباً بأدب اللياقة الاجتماعيّة التي تحدد صلاته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القيم والمثل يحدد بعضها علائقه بربّه، وبعضها علائقه بمجتمعه وبيئته، وثالثة بذاته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547255_2142443653"/>
      <w:bookmarkStart w:id="22" w:name="_Toc7"/>
      <w:bookmarkEnd w:id="21"/>
      <w:r>
        <w:rPr/>
        <w:t>1</w:t>
      </w:r>
      <w:r>
        <w:rPr>
          <w:rtl w:val="true"/>
        </w:rPr>
        <w:t xml:space="preserve">- </w:t>
      </w:r>
      <w:r>
        <w:rPr>
          <w:rtl w:val="true"/>
        </w:rPr>
        <w:t>علائقه بربه</w:t>
      </w:r>
      <w:r>
        <w:rPr>
          <w:rtl w:val="true"/>
        </w:rPr>
        <w:t>.</w:t>
      </w:r>
      <w:bookmarkEnd w:id="22"/>
    </w:p>
    <w:p>
      <w:pPr>
        <w:pStyle w:val="Heading4"/>
        <w:numPr>
          <w:ilvl w:val="3"/>
          <w:numId w:val="1"/>
        </w:numPr>
        <w:rPr/>
      </w:pPr>
      <w:bookmarkStart w:id="23" w:name="__RefHeading___Toc3547257_2142443653"/>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ونريد منها ما يدعوه الفقهاء بالأحكام الإسلامية سواء ما تعلّق منها بالمعاملات أم العبادات، ومدى التزامه 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حدود ما قرأته من تأريخ حياته لم أعثر على مفارقة واحدة صحت عنه تخرجه على هذه المبادئ ، اللّهم إلّا ما يبدو من حادثة بيت المال، وقد عرفنا واقعها في الجزء الأول من هذا الكتاب، وانتهينا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نخال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حكم </w:t>
      </w:r>
      <w:bookmarkStart w:id="25" w:name="pg15232_165674"/>
    </w:p>
    <w:p>
      <w:pPr>
        <w:pStyle w:val="BookText"/>
        <w:rPr/>
      </w:pPr>
      <w:bookmarkEnd w:id="25"/>
      <w:r>
        <w:rPr>
          <w:rFonts w:ascii="Amiri" w:hAnsi="Amiri" w:eastAsia="Amiri" w:cs="Amiri"/>
          <w:color w:val="111111"/>
          <w:sz w:val="28"/>
          <w:sz w:val="28"/>
          <w:szCs w:val="28"/>
          <w:rtl w:val="true"/>
          <w:lang w:bidi="ar-SA"/>
        </w:rPr>
        <w:t>إسلامي في حدود اجتهاده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معالم سيرته ما يشير إلى شدّة احتياطه في شؤون الدين، وربّما عرضته شدّته إلى نقمة بعض الانتهازيين من الشعراء، يوم كان والياً على شؤون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سنراه في موضعه من هذا الحديث، ولو صدر من مثله ما يتنافى مع هذه الأحكام؛ لأقام عليه الدنيا وأقعدها، وبخاصة وأنّ له ولولده من الخصوم ما لا يصبرون على أية فضيحة يرونها أو يمكنهم إلصاقها به، ومع ذلك لم نجد من هذا النوع، بل كلّ ما وجدناه على اختلاف مؤرخيه في القرب منه ،ومن آله، والبعد عنهم ما يرفعه إلى القمة، وبخاصة فيما يتعلّق بشؤون علائقه القريبة بربّه، فلنخصها بشيء من الحديث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547259_2142443653"/>
      <w:bookmarkStart w:id="27" w:name="_Toc9"/>
      <w:bookmarkEnd w:id="26"/>
      <w:r>
        <w:rPr>
          <w:rtl w:val="true"/>
        </w:rPr>
        <w:t>عبادته</w:t>
      </w:r>
      <w:bookmarkEnd w:id="27"/>
    </w:p>
    <w:p>
      <w:pPr>
        <w:pStyle w:val="BookText"/>
        <w:rPr/>
      </w:pPr>
      <w:r>
        <w:rPr>
          <w:rFonts w:ascii="Amiri" w:hAnsi="Amiri" w:eastAsia="Amiri" w:cs="Amiri"/>
          <w:color w:val="111111"/>
          <w:sz w:val="28"/>
          <w:sz w:val="28"/>
          <w:szCs w:val="28"/>
          <w:rtl w:val="true"/>
          <w:lang w:bidi="ar-SA"/>
        </w:rPr>
        <w:t>لقد اهتم مؤرخوه في التأكيد على هذا العنصر من عناصر شخصيته فأكثروا من الحديث عنه، وربّما دخل في بعضه عنصر المبالغة، وإن كنت لا أشك في أكثر ما ورد عنه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كثيراً على من ترسم خطى بطليه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وسلم والإمام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هما في عوالم العبادة أن يكون بهذا المستوى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أنّ العوامل التي أكدت فيه هذا الجانب تعود في أصولها إلى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لنا أن رأينا كيف كان أبوه يبعث به إلى النبي صلی الله علیه و آله وسلم ليبيت عنده ويحفظ له كل ما يأتي به من الأفعال العبادية كالصلوات والأدعية والأوراد، وكان يقوم له بهذه المهمة، ثم رأيناه كيف كان يتأثر خطاه، سواء عن طريق الاستهواء أم التقليد، فيصلّي كما يصلّي، ويدعو كما يدعو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صلی الله علیه و آله وسلم يرسل في حقه كلمات التشجيع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ويتعاهده بتعاليمه الخاصة في هذا المجال ثم ملازمته للإمام علي علیه السلام وترسّم خطاه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المحيط لها قيمة من أهم قيمه التي يقام للأشخاص بها أعظم الأوزان، وبخاصة بعد أن استتب الإسلام، وقضى على العهد الجاهلي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من وجهة عقلية بالله خالقاً ومدبّراً ومنعماً، ومن أيسر شكره أن يؤدّي له هذه الطقوس العبادية، كوسيلة من وسائل الشكر التي يؤمن بها أحرار العقلاء، ويرونها ضرورة عقليّة تقتضيها طبيعة الإنعام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باليوم الآخر بما فيه من وسائل الجزاء ثواباً وعقاباً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العوامل مجتمعة لا نستكثر عليه جلّ ما جاء عنه من أحاديث عباداته، بما رافق بعضها من ألوان الخضوع والخشوع والبكاء، يقول عبد الله بن أبي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فكان إذا نزل قام شطر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قراءته ؟</w:t>
      </w:r>
    </w:p>
    <w:p>
      <w:pPr>
        <w:pStyle w:val="BookText"/>
        <w:rPr/>
      </w:pPr>
      <w:r>
        <w:rPr>
          <w:rFonts w:ascii="Amiri" w:hAnsi="Amiri" w:eastAsia="Amiri" w:cs="Amiri"/>
          <w:color w:val="111111"/>
          <w:sz w:val="28"/>
          <w:sz w:val="28"/>
          <w:szCs w:val="28"/>
          <w:rtl w:val="true"/>
          <w:lang w:bidi="ar-SA"/>
        </w:rPr>
        <w:t>فيجيبه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تَعِيدُ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فجعل يرتّل ويكثر في ذاكم النشيج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ويقول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يوم الاثنين والخميس،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يرتفع عملي وأنا صائم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بالغوا في كثرة بكائه، حتى قال شعیب بن درهم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المكان، وأومأ </w:t>
      </w:r>
    </w:p>
    <w:p>
      <w:pPr>
        <w:pStyle w:val="BookText"/>
        <w:rPr/>
      </w:pPr>
      <w:r>
        <w:rPr>
          <w:rFonts w:ascii="Amiri" w:hAnsi="Amiri" w:eastAsia="Amiri" w:cs="Amiri"/>
          <w:color w:val="111111"/>
          <w:sz w:val="28"/>
          <w:sz w:val="28"/>
          <w:szCs w:val="28"/>
          <w:rtl w:val="true"/>
          <w:lang w:bidi="ar-SA"/>
        </w:rPr>
        <w:t xml:space="preserve">إلى مجرى الدموع من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الشراك البالي من البكاء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ولهذا ونظائره من عباداته الكثير، وتقيّده بالأحكام الشرعيّة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لطاووس أن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أشدّ تعظيماً لحرمات الله تعالى من ابن عباس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لاشتهاره بالتقوى وتركّزها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للموعظة والتوجيه،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إليه رجل يقال له جندب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بتوحيد الله والعمل له، إقام الصلاة وإيتاء الزكاة، فإن كلّ خير آتيه أنت بعد ذلك منك مقبول، وإلى الله مرفوع، يا جندب إنك لن تزداد من موتك إلا قرباً؛ فصل صلاة مودع، وأصبح في الدنيا كأنك غریب مسافر، فإنّك من أهل القبور وابكِ على ذنبك، وتب من خطيئتك، ولتكن الدنيا عليك أهون من شسع نعلك، فكأن قد فارقتها ، وصرت إلى عدل الله، ولن تنتفع بما خلّفت، ولن ينفعك إلا عملك</w:t>
      </w:r>
      <w:r>
        <w:rPr>
          <w:rFonts w:eastAsia="IRNazanin" w:cs="IRNazanin"/>
          <w:color w:val="111111"/>
          <w:sz w:val="28"/>
          <w:szCs w:val="28"/>
          <w:rtl w:val="true"/>
          <w:lang w:bidi="fa-IR"/>
        </w:rPr>
        <w:t>».</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وصاياه في أمثال هذه المجالات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الضحاك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صاحب الذنب لا تأمن من سوء عاقبته ، ولما يتبع الذنب أعظم من ذنب إذا عملته، فإنّ قلّة حيائك ممن على اليمين وعلى الشمال، وأنت على الذنب، أعظم من الذنب الذي عملته، وضحكك وأنت لا تدري ما الله صانع بك أعظم من الذنب، وفرحك بالذنب إذا ظفرت به أعظم من الذنب وحزنك على الذنب إذا فاتك أعظم من الذنب إذا ظفرت به، وخوفك من الريح إذا حرّكت ستر بابك وأنت على الذنب ولا يضطرب فؤادك من نظر الله إليك، أعظم من الذنب إذا عملته ويحك هل تدري ما كان ذنب أيوب علیه السلام </w:t>
      </w:r>
      <w:bookmarkStart w:id="28" w:name="pg15232_165677"/>
    </w:p>
    <w:p>
      <w:pPr>
        <w:pStyle w:val="BookText"/>
        <w:rPr/>
      </w:pPr>
      <w:bookmarkEnd w:id="28"/>
      <w:r>
        <w:rPr>
          <w:rFonts w:ascii="IRNazanin" w:hAnsi="IRNazanin" w:eastAsia="IRNazanin"/>
          <w:color w:val="111111"/>
          <w:sz w:val="28"/>
          <w:sz w:val="28"/>
          <w:szCs w:val="28"/>
          <w:rtl w:val="true"/>
          <w:lang w:bidi="fa-IR"/>
        </w:rPr>
        <w:t>فابتلاه الله تعالى بالبلاء في جسده وذهاب ماله؟ إنّما كان ذنب أيوب علیه السلام أنه استعان به مسكين على ظلم يدرؤه عنه، فلم يعنه، ولم يأمر بمعروف وينه الظالم عن ظلم هذا المسكين؛ فابتلاه الله عز وجل</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تزيد فيها الرواة وأضافوا إليها بعض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على تغلغل الروح الوعظية فيه، تدلّ على عمق نظرته بالتماس هذه الملابسات التي لو قدّر للمذنب أن يحسّ بها وهو مقيم على الذنب ولا يتألّمها، فإن دلالتها على استهتاره وفقدان ضميره الديني أعظم من دلالة ارتكاب الذنب نفسه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ويسأله بعضهم عن الخائفين الله فيجيبه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صدقوا الله في مخافة وعيده، وقلوبهم بالخوف فرحة ، وأعينهم على أنفسهم باكية، ودموعهم على خدودهم جارية،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نفرح والموت من وراءنا، والقبور من أمامنا، والقيامة موعدنا، وعلى جهنم طريقنا، وبين يدي ربنا موقفنا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وربما اتخذ في الوعظ أسلوباً قصصياً، ضرب فيه الأمثال بتجارب سابقة؛ ليصل منها إلى أعماق مخاطبيه ، ويطغى على الكثير منها عنصر التمثيل والخيال، ونرجو أن نقف عند قسم منها عندما نتحدّث عن أدبه في لاحق من الأحاديث</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547261_2142443653"/>
      <w:bookmarkStart w:id="30" w:name="_Toc10"/>
      <w:bookmarkEnd w:id="29"/>
      <w:r>
        <w:rPr/>
        <w:t>2</w:t>
      </w:r>
      <w:r>
        <w:rPr>
          <w:rtl w:val="true"/>
        </w:rPr>
        <w:t xml:space="preserve">- </w:t>
      </w:r>
      <w:r>
        <w:rPr>
          <w:rtl w:val="true"/>
        </w:rPr>
        <w:t>علائقه بمجتمعه وبيئته</w:t>
      </w:r>
      <w:bookmarkEnd w:id="30"/>
    </w:p>
    <w:p>
      <w:pPr>
        <w:pStyle w:val="Heading4"/>
        <w:numPr>
          <w:ilvl w:val="3"/>
          <w:numId w:val="1"/>
        </w:numPr>
        <w:rPr/>
      </w:pPr>
      <w:bookmarkStart w:id="31" w:name="__RefHeading___Toc3547263_2142443653"/>
      <w:bookmarkStart w:id="32" w:name="_Toc11"/>
      <w:bookmarkEnd w:id="31"/>
      <w:r>
        <w:rPr>
          <w:rtl w:val="true"/>
        </w:rPr>
        <w:t>اشارة</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يحدّد علائقه ،بمجتمعه، فإنّ ذلك مختلف باختلاف المجال الذي يجمعه بالآخرين، فمنها ما يرتبط بأدب اللياقة والمعاشرة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في هذا المجال قِيَم يكاد ينفرد بها بين معاصريه، فهو يحترم جليسه، ويرى أنّ له حقوقاً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الجليسي على ثلاث أن أرميه بطرفي إذا اقبل، وأن أوسع له إذا جلس، وأصغي إليه إذا تحدّث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ولا يرى أحداً أكرم عليه من جليسه،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الذباب يقع عليه فيشق علي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أدب لياقته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داخل إلا وله حيرة، فابدؤوه بالسلام، وما من مدعو إلّا وله حشمة، فابدؤوه باليمين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ومن وصاياه في أدب عيادة المحتضر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دخلتم على الرجل وهو في الموت فبشّروه بلقى ربه، وهو حسن الظن ولقنوه الشهادة ولا تضجروه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وكان يعود بعض المرضى في أشق الأوقات بالنسبة له؛ لما يشعر به من ارتياح المريض لذلك، واعتباره رمز اهتمام وتقدير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اعتل المسوّر فجاءه ابن عباس يعوده نصف النهار،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هلا ساعة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الساعات إليّ أن أؤدّي فيها الحق، أشقها عليّ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يرى من آدابها أيضاً أن يردّ التحية على من حيّاه، حتى إذا كان مختلفاً معه في </w:t>
      </w:r>
    </w:p>
    <w:p>
      <w:pPr>
        <w:pStyle w:val="BookText"/>
        <w:rPr/>
      </w:pPr>
      <w:r>
        <w:rPr>
          <w:rFonts w:ascii="Amiri" w:hAnsi="Amiri" w:eastAsia="Amiri" w:cs="Amiri"/>
          <w:color w:val="111111"/>
          <w:sz w:val="28"/>
          <w:sz w:val="28"/>
          <w:szCs w:val="28"/>
          <w:rtl w:val="true"/>
          <w:lang w:bidi="ar-SA"/>
        </w:rPr>
        <w:t>العقيدة،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لي فرعون خيراً لرددت عليه مثله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حكاه سعید بن جبير حين استفتي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المجوسي يوليني خيراً فأشكره، ويسلّم عليّ فأردّ عليه،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نحو هذا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لي فرعون مصر خيراً لرددت عليه، وقال ابن عباس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فرعون مصر أسدى إليّ يداً صالحة لشكرته عليها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وكان يكبر المعروف تمن يسديه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يرتبط ببحثنا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أكافئهم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بدأني بالسلام ورجل وسّع لي في المجلس، ورجل اغترت قدماه في المشي إلي؛ إرادة التسليم عليّ، فأما الرابع فلا يكافئه عني إلّا الله جل وعزّ،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به أمر فبات ليلته يفكر بمن ينزله، ثم رآني أهلاً لحاجته فأنزلها بي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وكان للمجلس الذي يجلسه آداباً خاصة، وقد وصف بعضهم مجلسه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في مجلس ابن عباس باطلاً قطّ</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والذي أخاله أنّ بعض وصاياه تكشف عما كان يأبى أن يدور في مجلسه من أحاديث، قال لبعض جلسائه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تكلّمني فيمن لا يعنيك حتى ترى له موضعاً، ولا تمار سفيهاً ولا حلياً ؛ فإنّ الحليم يغلبك والسفيه يزدريك، ولا تذكرنّ أخاك إلّا بمثل الذي تحبّ أن يتكلم فيك إذا تواريت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تركت هذه الكلمات أثر بليغاً في نفس صاحبها فقيّمها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من ة آلاف،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منه خير من عشرة آلاف</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ومن وصاياه في </w:t>
      </w:r>
      <w:bookmarkStart w:id="33" w:name="pg15232_165680"/>
    </w:p>
    <w:p>
      <w:pPr>
        <w:pStyle w:val="BookText"/>
        <w:rPr/>
      </w:pPr>
      <w:bookmarkEnd w:id="33"/>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أخاك بما تحبّ أن يذكرك به، ودع منه ما تحب أن يدع منك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وكان أبغض ما تكون إليه الماراة والمخاصمة، وفي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بك ظالماً أن لا تزال مخاصماً وكفى بك آثماً أن لا تزال ممارياً، وكفى بك كاذباً أن لا تزال محدثاً بغير ذكر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ورد عنه في هذا ومثله، مما لا يسعنا الإفاضة فيه، ولعلّ في الكثير من البحوث الآتية ما يضيف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أهم ما يربطه بالآخرين من الميول، وما ينشأ عنها من القيم هي المشاركة الوجدانية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547265_2142443653"/>
      <w:bookmarkStart w:id="35" w:name="_Toc12"/>
      <w:bookmarkEnd w:id="34"/>
      <w:r>
        <w:rPr>
          <w:rtl w:val="true"/>
        </w:rPr>
        <w:t>المشاركة الوجدانية</w:t>
      </w:r>
      <w:bookmarkEnd w:id="35"/>
    </w:p>
    <w:p>
      <w:pPr>
        <w:pStyle w:val="BookText"/>
        <w:rPr/>
      </w:pPr>
      <w:r>
        <w:rPr>
          <w:rFonts w:ascii="IRNazanin" w:hAnsi="IRNazanin" w:eastAsia="IRNazanin"/>
          <w:color w:val="111111"/>
          <w:sz w:val="28"/>
          <w:sz w:val="28"/>
          <w:szCs w:val="28"/>
          <w:rtl w:val="true"/>
          <w:lang w:bidi="fa-IR"/>
        </w:rPr>
        <w:t>ویراد بها انتقال الحالات الانفعالية من شخص أو جماعة إلى شخص انتقالاً تلقائياً لا دخل للإرادة فيه، كأن يشاهد منظراً من مناظر البؤس، أو مشهداً من مشاهد السرور، فيشارك الآخرين ما يجدونه من شعور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صاحبنا غنياً بأمثال هذه الانفعالات، وربّما شارك الآخرين انفعالاتهم وإن لم يشاهد الحادثة، وقد ضرب أعلى الأمثال في ذلك، حين حدّث عن نفسه وقد شتمه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لتشتمني 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بالحاكم من حكام المسلمين يعدل في حكمه فأحبّه، ولعلي لا أقاضي إليه أبداً، وإني لأسمع بالغيث يصيب البلاد من بلاد المسلمين فأفرح به، ومالي به سائمة ولا راعية، وإني لآتي على آية من كتاب الله تعالى فوددت أنّ المسلمين كلّهم يعلمون منها مثل ما أعلم</w:t>
      </w:r>
      <w:r>
        <w:rPr>
          <w:rFonts w:eastAsia="Amiri" w:cs="Amiri" w:ascii="Amiri" w:hAnsi="Amiri"/>
          <w:color w:val="111111"/>
          <w:sz w:val="28"/>
          <w:szCs w:val="28"/>
          <w:rtl w:val="true"/>
          <w:lang w:bidi="ar-SA"/>
        </w:rPr>
        <w:t>» .</w:t>
      </w:r>
      <w:r>
        <w:rPr>
          <w:rStyle w:val="FootnoteAnchor"/>
          <w:rtl w:val="true"/>
        </w:rPr>
        <w:footnoteReference w:id="47"/>
      </w:r>
      <w:bookmarkStart w:id="36" w:name="pg15232_165681"/>
    </w:p>
    <w:p>
      <w:pPr>
        <w:pStyle w:val="BookText"/>
        <w:rPr/>
      </w:pPr>
      <w:bookmarkEnd w:id="36"/>
      <w:r>
        <w:rPr>
          <w:rFonts w:ascii="Amiri" w:hAnsi="Amiri" w:eastAsia="Amiri" w:cs="Amiri"/>
          <w:color w:val="111111"/>
          <w:sz w:val="28"/>
          <w:sz w:val="28"/>
          <w:szCs w:val="28"/>
          <w:rtl w:val="true"/>
          <w:lang w:bidi="ar-SA"/>
        </w:rPr>
        <w:t xml:space="preserve">فهو يفرح هنا للغيث يصيب البلاد مشاركةً لأهلها في فرحهم، وإن لم يدخل عليه ذلك الغيث شيئاً، وإذا كنا نعجب لإنسانية الشاعر الذي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هطلت عليّ ولا بأرضي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سحائب ليس تنتظم البلادا</w:t>
      </w:r>
    </w:p>
    <w:p>
      <w:pPr>
        <w:pStyle w:val="BookText"/>
        <w:rPr/>
      </w:pPr>
      <w:r>
        <w:rPr>
          <w:rFonts w:ascii="Amiri" w:hAnsi="Amiri" w:eastAsia="Amiri" w:cs="Amiri"/>
          <w:color w:val="111111"/>
          <w:sz w:val="28"/>
          <w:sz w:val="28"/>
          <w:szCs w:val="28"/>
          <w:rtl w:val="true"/>
          <w:lang w:bidi="ar-SA"/>
        </w:rPr>
        <w:t>لأنه أراد للآخرين ما اراده لنفسه، فإنّ صاحبنا كان أبلغ منه في الدلالة على إنسانيته، حين تناسى ذاته وهو يشارك الآخرين بأفراحهم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الفقرات على نكرانه للذات وحبّه الخير للمجموع لا تقلّ عن دلالة بعضها بفحواها على تركّز المشاركة الوجدانية فيه، وبخاصة حبه في تعميم المعرفة</w:t>
      </w:r>
    </w:p>
    <w:p>
      <w:pPr>
        <w:pStyle w:val="BookText"/>
        <w:rPr/>
      </w:pPr>
      <w:r>
        <w:rPr>
          <w:rFonts w:ascii="IRNazanin" w:hAnsi="IRNazanin" w:eastAsia="IRNazanin"/>
          <w:color w:val="111111"/>
          <w:sz w:val="28"/>
          <w:sz w:val="28"/>
          <w:szCs w:val="28"/>
          <w:rtl w:val="true"/>
          <w:lang w:bidi="fa-IR"/>
        </w:rPr>
        <w:t xml:space="preserve">والعدل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وتأريخ حياته مليء بما يدلّ على مشاركاته الوجدانية للآخرين في مختلف انفعالاتهم، وقد سبق لنا أن رافقناه في سيرته، ولمسنا الكثير منها في تلكم الأحاديث، فلا نثقل بإعادتها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فلنتحوّل عنها إلى دراسة بعض معطياتها من القيم وأهمها الغيريّة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547267_2142443653"/>
      <w:bookmarkStart w:id="38" w:name="_Toc13"/>
      <w:bookmarkEnd w:id="37"/>
      <w:r>
        <w:rPr>
          <w:rtl w:val="true"/>
        </w:rPr>
        <w:t>الغيريّة</w:t>
      </w:r>
      <w:bookmarkEnd w:id="38"/>
    </w:p>
    <w:p>
      <w:pPr>
        <w:pStyle w:val="BookText"/>
        <w:rPr/>
      </w:pPr>
      <w:r>
        <w:rPr>
          <w:rFonts w:ascii="Amiri" w:hAnsi="Amiri" w:eastAsia="Amiri" w:cs="Amiri"/>
          <w:color w:val="111111"/>
          <w:sz w:val="28"/>
          <w:sz w:val="28"/>
          <w:szCs w:val="28"/>
          <w:rtl w:val="true"/>
          <w:lang w:bidi="ar-SA"/>
        </w:rPr>
        <w:t xml:space="preserve">ويراد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المرء حدود الانفعال والمشاركة الوجدانية إلى إسداء معونة ماديّة أو أدبيّة للغير؛ لتخفيف أزمة أو إسداء يد من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من القيم العربية قبل الإسلام ، وكان لها من الأهمية في مقاييسهم ما يرفعها إلى القمّة بالنسبة إلى بقية المثل، وربّما اعتبرت من أهمّ أدوات الزعامة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طبيعة البيئة التي كانوا يعيشون فيها، وما تجرّه عليهم من الفقر والفاقة، والتعرّض إلى اعتداء بعضهم على بعض عن طريق الغزو،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جاءتها هذه الأهمية، فالفقير الذي لا يجد القوت في بيته، والرائد الذي ينقطع به الطريق ولا يجد ما يسد به رمقه، والضعيف الذي يحتاج إلى النجدة عندما يتعرّض لظلم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هؤلاء يحتاجون إلى من يخفّف عنهم أزماتهم من القادرين على ذلك، فهم إذن محتاجون إلى خلقها قيمة عليا، يعرض عليها تقييم الرجال بحكم الحاجة إلى ذلك، 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الاختراع ، وربّما اعتبرت هذه القيمة لازمة من لوازم الاجتماع، فالمجتمع مهما كان شأنه لا يستغني أفراده عن معونة بعضهم بعضاً، وإن اختلفت جهات الاستعانة وتفاوتت بتفاوت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فالغيرية في الجاهليّة كرم، وضيافة، ونجدة، وحماية، وعلى مقدار ما يملكه الناس منها يكون التفاوت في مكانتهم الاجتماعية وربّما أسرفوا فيها فتجاوزوا الهدف من تشريعها، وجرّتهم إلى مشاكل اجتماعية ونفسيّة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الإسلام فاعترف بها من جملة ،قيمه، وأعطاها مكانتها اللائقة بها، وأكّد منها بعد أن رسم لها حدوداً لا تتجاوز في موضع دلالتها الحاجة إليها، وشجب جوانب الإسراف فيها شجباً لا هوادة فيه، وما أكثر ما ندّد بالإحسان لمن يسألون الناس وهم في غنى عن معونتهم ، لقدرتهم على الاكتساب من الطرق المشروعة لتحصيل القوت، ثم ما أكثر ما ندّد بإعانة الظالمين ومساعدتهم على الظلم، مهما أُلبست ذلك من ثياب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تربية صاحبنا على القيم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وتشبّع مثلها في نفسه كان من أكثر الناس غيريّة، ولكن في حدودها الإسلامية المعتدلة، فهو لا يؤمن بالكرم للكرم فحسب، وقصة واحدة وقعت له مع أخيه عبيد الله بن العباس وهو من أجواد العرب المشهورين، تدلّنا على مدى تشبثه بحقه، وسحقه لبعض الاعتبارات الغيرية التي لا تخضع لمنطق الحاجة، حدث غير واحد من قريش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عبد الله وعبيد الله ابنا العباس أن يقتسما ميراثهما من أبيهما بمكة، فدعي القاسم ليقسم، فلما مدّ الحبل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المطمر يعني الحبل الذي يُمدِّ</w:t>
      </w:r>
      <w:r>
        <w:rPr>
          <w:rFonts w:eastAsia="Amiri" w:cs="Amiri" w:ascii="Amiri" w:hAnsi="Amiri"/>
          <w:color w:val="111111"/>
          <w:sz w:val="28"/>
          <w:szCs w:val="28"/>
          <w:rtl w:val="true"/>
          <w:lang w:bidi="ar-SA"/>
        </w:rPr>
        <w:t xml:space="preserve">. </w:t>
      </w:r>
      <w:bookmarkStart w:id="39" w:name="pg15232_165683"/>
    </w:p>
    <w:p>
      <w:pPr>
        <w:pStyle w:val="BookText"/>
        <w:rPr/>
      </w:pPr>
      <w:bookmarkEnd w:id="39"/>
      <w:r>
        <w:rPr>
          <w:rFonts w:ascii="Amiri" w:hAnsi="Amiri" w:eastAsia="Amiri" w:cs="Amiri"/>
          <w:color w:val="111111"/>
          <w:sz w:val="28"/>
          <w:sz w:val="28"/>
          <w:szCs w:val="28"/>
          <w:rtl w:val="true"/>
          <w:lang w:bidi="ar-SA"/>
        </w:rPr>
        <w:t xml:space="preserve">فقال له عبيد الله يا أخي الدار دارك لا يمدّ والله فيها اليوم مطمر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فعبد الله هنا لا يتسامح بهذا المقدار الضئيل من حقه لأخيه؛ لأنه لا يرى حاجةً في أخيه إلى مثل هذا المقدار، بينما أنف عبيد الله أن يسمع منه هذا الحرص على الحق، فوهب له جملة حقه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يقرأ هذه الحادثة يعتقد أن صاحبنا كان بعيداً عما يدعونه بالكرم، فالذي يبخل على أخيه بمقدار جرّة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أينتظر منه من أن يفيض بكرمه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أن مفهوم الكرم لديه يختلف عن مفهومه لدى الآخرين، فهو في الوقت الذي يندد بأولئك الذين يسألون الناس على حساب كرامتهم بأمثال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المساكين لا يعودون مريضاً ولا يشهدون جنازة ولا يحضرون جمعة، وإذا اجتمع الناس في أعيادهم ومساجدهم يسألون الله من فضله، اجتمعوا يسألون الناس ما في أيديهم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ونرى له في التأريخ قصصاً تلحقه في الطليعة من أجواد العرب، وإليكم منها ما يحدّد لنا بعض جوانب كرمه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547269_2142443653"/>
      <w:bookmarkStart w:id="41" w:name="_Toc14"/>
      <w:bookmarkEnd w:id="40"/>
      <w:r>
        <w:rPr>
          <w:rtl w:val="true"/>
        </w:rPr>
        <w:t>كرمه</w:t>
      </w:r>
      <w:bookmarkEnd w:id="41"/>
    </w:p>
    <w:p>
      <w:pPr>
        <w:pStyle w:val="BookText"/>
        <w:rPr/>
      </w:pPr>
      <w:r>
        <w:rPr>
          <w:rFonts w:ascii="Amiri" w:hAnsi="Amiri" w:eastAsia="Amiri" w:cs="Amiri"/>
          <w:color w:val="111111"/>
          <w:sz w:val="28"/>
          <w:sz w:val="28"/>
          <w:szCs w:val="28"/>
          <w:rtl w:val="true"/>
          <w:lang w:bidi="ar-SA"/>
        </w:rPr>
        <w:t xml:space="preserve">يقول عبد الله بن علي بن سويد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عبد الله بن عباس بن عبد المطلب بمعن بن أوس المزني، وقد كف بصره وقال له يا معن كيف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بصري وكثر عيالي وغلبني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عشرة آلاف درهم فبعث بها إليه، ثمّ مر به من الغد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معن؟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أخذت بعين المال لمّا نهكته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وبالدين حتى وبالدين حتى ما أكاد أدان</w:t>
      </w:r>
    </w:p>
    <w:p>
      <w:pPr>
        <w:pStyle w:val="BookText"/>
        <w:rPr/>
      </w:pPr>
      <w:r>
        <w:rPr>
          <w:rFonts w:ascii="Amiri" w:hAnsi="Amiri" w:eastAsia="Amiri" w:cs="Amiri"/>
          <w:color w:val="111111"/>
          <w:sz w:val="28"/>
          <w:sz w:val="28"/>
          <w:szCs w:val="28"/>
          <w:rtl w:val="true"/>
          <w:lang w:bidi="ar-SA"/>
        </w:rPr>
        <w:t>وحتى سألت القرض عند ذوي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فلان حاجتي وفلان</w:t>
      </w:r>
    </w:p>
    <w:p>
      <w:pPr>
        <w:pStyle w:val="BookText"/>
        <w:rPr/>
      </w:pPr>
      <w:r>
        <w:rPr>
          <w:rFonts w:ascii="Amiri" w:hAnsi="Amiri" w:eastAsia="Amiri" w:cs="Amiri"/>
          <w:color w:val="111111"/>
          <w:sz w:val="28"/>
          <w:sz w:val="28"/>
          <w:szCs w:val="28"/>
          <w:rtl w:val="true"/>
          <w:lang w:bidi="ar-SA"/>
        </w:rPr>
        <w:t>فقال له عبد الله الله المستعان إنّا بعثنا إليك بالأمس لقيمة فمالكتها حتى انتزعت من يدك، فأيّ شيء للأهل والقرابة والجيران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بعشرة آلاف درهم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فرع من قريش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 الندى منها البحور الفوارع</w:t>
      </w:r>
    </w:p>
    <w:p>
      <w:pPr>
        <w:pStyle w:val="BookText"/>
        <w:rPr/>
      </w:pPr>
      <w:r>
        <w:rPr>
          <w:rFonts w:ascii="Amiri" w:hAnsi="Amiri" w:eastAsia="Amiri" w:cs="Amiri"/>
          <w:color w:val="111111"/>
          <w:sz w:val="28"/>
          <w:sz w:val="28"/>
          <w:szCs w:val="28"/>
          <w:rtl w:val="true"/>
          <w:lang w:bidi="ar-SA"/>
        </w:rPr>
        <w:t>ثووا قادة للناس بطحاء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وسقايات الحجيج الدوافع</w:t>
      </w:r>
    </w:p>
    <w:p>
      <w:pPr>
        <w:pStyle w:val="BookText"/>
        <w:rPr/>
      </w:pPr>
      <w:r>
        <w:rPr>
          <w:rFonts w:ascii="Amiri" w:hAnsi="Amiri" w:eastAsia="Amiri" w:cs="Amiri"/>
          <w:color w:val="111111"/>
          <w:sz w:val="28"/>
          <w:sz w:val="28"/>
          <w:szCs w:val="28"/>
          <w:rtl w:val="true"/>
          <w:lang w:bidi="ar-SA"/>
        </w:rPr>
        <w:t>فلما دعوا للموت لم تبك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حادث الدهر العيون الدوامع</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يبخل بهذه المساعدة السخية على شاعر عُرف بالمروءة وكرم النفس، ثم ركبه الدين فاحتاج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بني عبد المطلب أصيبوا بضائقة اقتصادية مرة، وجاءته صلته من معاوية وكانت أربعة آلاف دينار ففرّقها فيهم، وظنّوها صدقة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صدقة، وإنما هي هدية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أعول أهل بيت من المسلمين شهراً أو جمعة أو ما شاء الله أحبّ إلي من حجّة بعد حجّة، ولطبق بدانق أهديه إلى أخ لي في الله عز وجل أحب ألي من دينار أنفقه في سبيل الله عز وجل</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مأثوراته 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بمؤمن من بات شبعان ريان وجاره جائع طاو</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عنه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أنبئكم بشرار الناس قالو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w:t>
      </w:r>
    </w:p>
    <w:p>
      <w:pPr>
        <w:pStyle w:val="BookText"/>
        <w:rPr/>
      </w:pPr>
      <w:r>
        <w:rPr>
          <w:rFonts w:ascii="IRNazanin" w:hAnsi="IRNazanin" w:eastAsia="IRNazanin"/>
          <w:color w:val="111111"/>
          <w:sz w:val="28"/>
          <w:sz w:val="28"/>
          <w:szCs w:val="28"/>
          <w:rtl w:val="true"/>
          <w:lang w:bidi="fa-IR"/>
        </w:rPr>
        <w:t>وحده ومنع رفده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وكان يدعو إلى صدقة السرّ وتعجيلها،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المعروف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وتصغيره، وستره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عجله هناه، وإذا صغره ،عظمه، وإذا ستره تممه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وفي رواية البداية والنهاية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المعروف تعجيله وتصغيره وستره يعني أن تعجّل العطّية للمعطى وأن تصغر في عين المعطي، وأن تسترها عن الناس فلا تظهرها، فإنّ في إظهارها فتح باب الرياء، وكسر قلب المعطى واستحياؤه من الناس</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ولعلّ من أروع ما ورد عنه وأثر في مجال الإحسان قولته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الرابع فلا</w:t>
      </w:r>
    </w:p>
    <w:p>
      <w:pPr>
        <w:pStyle w:val="BookText"/>
        <w:rPr/>
      </w:pPr>
      <w:r>
        <w:rPr>
          <w:rFonts w:ascii="Amiri" w:hAnsi="Amiri" w:eastAsia="Amiri" w:cs="Amiri"/>
          <w:color w:val="111111"/>
          <w:sz w:val="28"/>
          <w:sz w:val="28"/>
          <w:szCs w:val="28"/>
          <w:rtl w:val="true"/>
          <w:lang w:bidi="ar-SA"/>
        </w:rPr>
        <w:t xml:space="preserve">يكافئه عني إلا الله جلّ وعزّ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قال رجل نزل به أمر فبات ليلته يفكّر بمن ينزله، ثم رآني أهلاً لحاجته فأنزلها بي</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مجاهد يبالغ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أعظمهم جفنة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ولو لم يكن فيه موضع للمبالغة لما صح إطلاق مثل هذا القول فيه، وقد قارن شاعر بين جفنته وجفنة ابن الزبير حين قصد إليهما، وكان الشاعر معن بن أوس، حدّث العتبي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معن بن أوس مكة على ابن الزبير فأنزله دار الضيفان، وكان ينزلها الغرباء وأبناء السبيل والضيفان، فأقام يومه لم يطعم شيئاً، حتى إذا كان الليل جاءهم ابن الزبير بتيس هرم هزيل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هذا، وهم نيف وسبعون رجلاً، فغضب معن وخرج من عنده </w:t>
      </w:r>
    </w:p>
    <w:p>
      <w:pPr>
        <w:pStyle w:val="BookText"/>
        <w:rPr/>
      </w:pPr>
      <w:r>
        <w:rPr>
          <w:rFonts w:ascii="Amiri" w:hAnsi="Amiri" w:eastAsia="Amiri" w:cs="Amiri"/>
          <w:color w:val="111111"/>
          <w:sz w:val="28"/>
          <w:sz w:val="28"/>
          <w:szCs w:val="28"/>
          <w:rtl w:val="true"/>
          <w:lang w:bidi="ar-SA"/>
        </w:rPr>
        <w:t xml:space="preserve">فأتى عبد الله بن العباس فقراه وحمله وكساه ، ثم أتى عبد الله بن جعفر وحدّثه حديثه فأعطاه حتى أرضاه، وأقام عنده ثلاثاً حتى رحل، فقال يهجو ابن الزبير ويمدح ابن جعفر وابن عباس رضي الله تعالى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ظللنا بمستن الرماح غديّة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تعالى اليوم في شرّ محضر</w:t>
      </w:r>
    </w:p>
    <w:p>
      <w:pPr>
        <w:pStyle w:val="BookText"/>
        <w:rPr/>
      </w:pPr>
      <w:r>
        <w:rPr>
          <w:rFonts w:ascii="Amiri" w:hAnsi="Amiri" w:eastAsia="Amiri" w:cs="Amiri"/>
          <w:color w:val="111111"/>
          <w:sz w:val="28"/>
          <w:sz w:val="28"/>
          <w:szCs w:val="28"/>
          <w:rtl w:val="true"/>
          <w:lang w:bidi="ar-SA"/>
        </w:rPr>
        <w:t>لدى ابن الزبير حابسين بمنزل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 والمعروف والرفد مقفر</w:t>
      </w:r>
    </w:p>
    <w:p>
      <w:pPr>
        <w:pStyle w:val="BookText"/>
        <w:rPr/>
      </w:pPr>
      <w:r>
        <w:rPr>
          <w:rFonts w:ascii="Amiri" w:hAnsi="Amiri" w:eastAsia="Amiri" w:cs="Amiri"/>
          <w:color w:val="111111"/>
          <w:sz w:val="28"/>
          <w:sz w:val="28"/>
          <w:szCs w:val="28"/>
          <w:rtl w:val="true"/>
          <w:lang w:bidi="ar-SA"/>
        </w:rPr>
        <w:t>رمانا أبو بكر وقد طال يومنا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بتيس من الشاء الحجازيّ أعفر</w:t>
      </w:r>
    </w:p>
    <w:p>
      <w:pPr>
        <w:pStyle w:val="BookText"/>
        <w:rPr/>
      </w:pPr>
      <w:r>
        <w:rPr>
          <w:rFonts w:ascii="Amiri" w:hAnsi="Amiri" w:eastAsia="Amiri" w:cs="Amiri"/>
          <w:color w:val="111111"/>
          <w:sz w:val="28"/>
          <w:sz w:val="28"/>
          <w:szCs w:val="28"/>
          <w:rtl w:val="true"/>
          <w:lang w:bidi="ar-SA"/>
        </w:rPr>
        <w:t>وقال اطعموا منه ونحن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وسبعون إنساناً فيا لؤم مخبر</w:t>
      </w:r>
    </w:p>
    <w:p>
      <w:pPr>
        <w:pStyle w:val="BookText"/>
        <w:rPr/>
      </w:pPr>
      <w:r>
        <w:rPr>
          <w:rFonts w:ascii="IRNazanin" w:hAnsi="IRNazanin" w:eastAsia="IRNazanin"/>
          <w:color w:val="111111"/>
          <w:sz w:val="28"/>
          <w:sz w:val="28"/>
          <w:szCs w:val="28"/>
          <w:rtl w:val="true"/>
          <w:lang w:bidi="fa-IR"/>
        </w:rPr>
        <w:t>فقلناله لا تقربا فأمامنا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ابن عباس العلا وابن جعفر</w:t>
      </w:r>
    </w:p>
    <w:p>
      <w:pPr>
        <w:pStyle w:val="BookText"/>
        <w:rPr/>
      </w:pPr>
      <w:r>
        <w:rPr>
          <w:rFonts w:ascii="IRNazanin" w:hAnsi="IRNazanin" w:eastAsia="IRNazanin"/>
          <w:color w:val="111111"/>
          <w:sz w:val="28"/>
          <w:sz w:val="28"/>
          <w:szCs w:val="28"/>
          <w:rtl w:val="true"/>
          <w:lang w:bidi="fa-IR"/>
        </w:rPr>
        <w:t>وکن آمناً وارفع بتيسك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أعتز ينزو عليها وابشر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ولهذه القصص في التأريخ أمثال لا أخالنا في حاجة إلى استيعابها،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 إلى مستوى الطليعة من أجواد العرب، وإن كان يختلف عن الكثير منهم في تحديد البواعث والأسباب الداعية إليه، فهو لدى الحاجة إلى الكرم من أكرم الناس، ومع عدم الحاجة إليه أبعد ما يكون عنه، وبخاصة إذا كان فيه بعض التشجيع على الجريمة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 نفسه لأقسى هجاء من شاعر كان بوسعه أن يشتري لسانه لقليل من العطاء، حدّث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عيينة بن مرداس، وهو ابن فسوة عبد الله بن العباس وهو عامل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وتحته يومئذ شميلة بنت جنادة ابن بنت أبي أزهر الزهرانية، وكانت قبله تحت مجاشع بن مسعود السلمي، فاستأذن عليه فأذن له، وكان لا يزال يأتي أمراء البصرة فيمدحهم فيعطونه ويخافون ،لسانه، فلما دخل على ابن عباس قال له ما جاء بك إلي يا ابن فسوة، فقال له وهل </w:t>
      </w:r>
    </w:p>
    <w:p>
      <w:pPr>
        <w:pStyle w:val="BookText"/>
        <w:rPr/>
      </w:pPr>
      <w:r>
        <w:rPr>
          <w:rFonts w:ascii="Amiri" w:hAnsi="Amiri" w:eastAsia="Amiri" w:cs="Amiri"/>
          <w:color w:val="111111"/>
          <w:sz w:val="28"/>
          <w:sz w:val="28"/>
          <w:szCs w:val="28"/>
          <w:rtl w:val="true"/>
          <w:lang w:bidi="ar-SA"/>
        </w:rPr>
        <w:t xml:space="preserve">عنك مقصراً ووراءك معدى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لتعينني على مروءتي وتصل قرابتي، فقال له ابن عباس وما مروءة من يعصي الرحمن ويقول البهتان ويقطع ما أمر الله به أن يوصل، والله لئن أعطيتك لأعيننك على الكفر والعصيان، انطلق فأنا أقسم بالله لئن بلغني أنك هجوت أحداً من العرب لأقطعن لسانك ، فأراد الكلام فمنعه من حضر، وحبسه يومه ذلك ثم أخرجه عن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فوفد إلى المدينة بعد مقتل علي علیه السلام فلقي الحسن بن علي علیه السلام وعبد الله بن جعفر، فسألاه عن خبره مع ابن عباس فأخبرهما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أنه أطلق لسانه في ابن عباس منذ تلك الحادثة،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فاشتريا عرضه بما أرضاه، فقال يمدح الحسن وابن جعفر عليهما السلام ويلوم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ابن عباس فلم يقض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يرج معروفي ولم يخش منكري</w:t>
      </w:r>
    </w:p>
    <w:p>
      <w:pPr>
        <w:pStyle w:val="BookText"/>
        <w:rPr/>
      </w:pPr>
      <w:r>
        <w:rPr>
          <w:rFonts w:ascii="Amiri" w:hAnsi="Amiri" w:eastAsia="Amiri" w:cs="Amiri"/>
          <w:color w:val="111111"/>
          <w:sz w:val="28"/>
          <w:sz w:val="28"/>
          <w:szCs w:val="28"/>
          <w:rtl w:val="true"/>
          <w:lang w:bidi="ar-SA"/>
        </w:rPr>
        <w:t>حبست فلم أنطق بعذر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خصاص البيت من كل منظر</w:t>
      </w:r>
    </w:p>
    <w:p>
      <w:pPr>
        <w:pStyle w:val="BookText"/>
        <w:rPr/>
      </w:pPr>
      <w:r>
        <w:rPr>
          <w:rFonts w:ascii="Amiri" w:hAnsi="Amiri" w:eastAsia="Amiri" w:cs="Amiri"/>
          <w:color w:val="111111"/>
          <w:sz w:val="28"/>
          <w:sz w:val="28"/>
          <w:szCs w:val="28"/>
          <w:rtl w:val="true"/>
          <w:lang w:bidi="ar-SA"/>
        </w:rPr>
        <w:t>وجئت وأصوات الخصوم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كصوت الحمام في القليب المغوّر</w:t>
      </w:r>
    </w:p>
    <w:p>
      <w:pPr>
        <w:pStyle w:val="BookText"/>
        <w:rPr/>
      </w:pPr>
      <w:r>
        <w:rPr>
          <w:rFonts w:ascii="Amiri" w:hAnsi="Amiri" w:eastAsia="Amiri" w:cs="Amiri"/>
          <w:color w:val="111111"/>
          <w:sz w:val="28"/>
          <w:sz w:val="28"/>
          <w:szCs w:val="28"/>
          <w:rtl w:val="true"/>
          <w:lang w:bidi="ar-SA"/>
        </w:rPr>
        <w:t>وما أنا إذ زاحمت مصراع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صولة باقٍ ولا بحزوّر</w:t>
      </w:r>
    </w:p>
    <w:p>
      <w:pPr>
        <w:pStyle w:val="BookText"/>
        <w:rPr/>
      </w:pPr>
      <w:r>
        <w:rPr>
          <w:rFonts w:ascii="Amiri" w:hAnsi="Amiri" w:eastAsia="Amiri" w:cs="Amiri"/>
          <w:color w:val="111111"/>
          <w:sz w:val="28"/>
          <w:sz w:val="28"/>
          <w:szCs w:val="28"/>
          <w:rtl w:val="true"/>
          <w:lang w:bidi="ar-SA"/>
        </w:rPr>
        <w:t>فلو كنت من زهران لم ينس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مولى جميل بن معمر</w:t>
      </w:r>
    </w:p>
    <w:p>
      <w:pPr>
        <w:pStyle w:val="BookText"/>
        <w:rPr/>
      </w:pPr>
      <w:r>
        <w:rPr>
          <w:rFonts w:ascii="Amiri" w:hAnsi="Amiri" w:eastAsia="Amiri" w:cs="Amiri"/>
          <w:color w:val="111111"/>
          <w:sz w:val="28"/>
          <w:sz w:val="28"/>
          <w:szCs w:val="28"/>
          <w:rtl w:val="true"/>
          <w:lang w:bidi="ar-SA"/>
        </w:rPr>
        <w:t>وباتت لعبد الله من دون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شميلة تلهو بالحديث المقّتر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جاء في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في إعطائه مثل هذا الشاعر تشجيعاً له على 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أعطيتك لأعيننك على الكفر والعصيان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تجلّت غيريته في أريحيّته وكرمه بماله تجلّت في كرمه بجاهه،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علائقه بالسلطة في مختلف أدوار حياته ومكانته الاجتماعية الواسعة – مفزعاً لذوي الحاجات، وما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ما قرأت في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 وافداً، أو اعتذر صاحب </w:t>
      </w:r>
    </w:p>
    <w:p>
      <w:pPr>
        <w:pStyle w:val="BookText"/>
        <w:rPr/>
      </w:pPr>
      <w:r>
        <w:rPr>
          <w:rFonts w:ascii="Amiri" w:hAnsi="Amiri" w:eastAsia="Amiri" w:cs="Amiri"/>
          <w:color w:val="111111"/>
          <w:sz w:val="28"/>
          <w:sz w:val="28"/>
          <w:szCs w:val="28"/>
          <w:rtl w:val="true"/>
          <w:lang w:bidi="ar-SA"/>
        </w:rPr>
        <w:t>حاجة، أو توقف عن إسداء ،معروف حدث حسان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لنا عند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فطلبناها إليه لجماعة من الصحابة، منهم ابن عباس، وكانت حاجة صعبة شديدة، فاعتل علينا فراجعوه إلى أن عذروه، وقاموا إلّا ابن عباس فلم يزل يراجعه بكلام جامع، حتى سدّ عليه كل حاجة، فلم ير بداً من أن يقضي حاجتنا، فخرجنا من عنده وأنا آخذ بيد ابن عباس فمررنا على أولئك الذين كانوا عذروا وضعفوا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أو لاكم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فقلت أمدحه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لم يترك مقالاً 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بمنتطمات لا يرى بينها فصلا</w:t>
      </w:r>
    </w:p>
    <w:p>
      <w:pPr>
        <w:pStyle w:val="BookText"/>
        <w:rPr/>
      </w:pPr>
      <w:r>
        <w:rPr>
          <w:rFonts w:ascii="Amiri" w:hAnsi="Amiri" w:eastAsia="Amiri" w:cs="Amiri"/>
          <w:color w:val="111111"/>
          <w:sz w:val="28"/>
          <w:sz w:val="28"/>
          <w:szCs w:val="28"/>
          <w:rtl w:val="true"/>
          <w:lang w:bidi="ar-SA"/>
        </w:rPr>
        <w:t>كفى وشفى ما في الصدور ولم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إربة في القول جدّاً ولا هزلا</w:t>
      </w:r>
    </w:p>
    <w:p>
      <w:pPr>
        <w:pStyle w:val="BookText"/>
        <w:rPr/>
      </w:pPr>
      <w:r>
        <w:rPr>
          <w:rFonts w:ascii="Amiri" w:hAnsi="Amiri" w:eastAsia="Amiri" w:cs="Amiri"/>
          <w:color w:val="111111"/>
          <w:sz w:val="28"/>
          <w:sz w:val="28"/>
          <w:szCs w:val="28"/>
          <w:rtl w:val="true"/>
          <w:lang w:bidi="ar-SA"/>
        </w:rPr>
        <w:t>سموت إلى العليا بغير شبيهة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فلنت ذراها لا دنياً ولا وعلا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خليقاً للمروءة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فليجاً ولم تخلق كهاماً ولا جبلا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الجوانب التي تجلّت فيها غيريته بذله المعرفة على اختلاف أصنافها لطالبيها، سواءً كانت في الفقه أم التأريخ أم الأدب أم غيرها من العلوم، يقول أبو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من ابن عباس مجلساً لو أنّ جميع قريش فخرت به لكان لها به الفخر، لقد رأيت الناس اجتمعوا على بابه حتى ضاق به الطريق، فما كان أحد يقدر أن يجيء ولا أن 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فأخبرته بمكانهم على بابه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 لهم من كان يريد أن يسأل عن القرآن وحروفه وما أريد منه فليدخل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فآذنتهم فدخلوا حتى ملؤوا البيت والحجرة، فما سألوه عن شيء إلّا أخبرهم عنه، وزادهم مثل ما سألوا عنه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الحلال والحرام والفقه فليدخل،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فآذنتهم فدخلوا حتى ملؤوا البيت والحجرة، فما سألوه عن شيء إلّا أخبرهم به وزادهم مثله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الفرائض وما أشبهها فليدخل، فخرجت فآذنتهم فدخلوا حتى ملؤوا البيت والحجرة، فما سألوه عن شيء إلّا أخبره وزادهم مثله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العربية والشعر والغريب من الكلام فليدخل، فخرجت فآذنتهم فدخلوا حتى ملؤوا البيت والحجرة، فما سألوه عن شيء إلا اخبرهم به وزداهم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إخوانكم، فخرجوا، 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قريشاً كلّها فخرت بذلك لكان فخراً، فما رأيت مثل هذا لأحد من الناس</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ونظائر هذا الحديث كثيرة، وربما دخل بعضها المبالغة في بعض جوانبها، كما تؤذن به العادة في أمثال هذه المواضع، إلّا أنّ الذي لا شكّ فيه أن غيريته في توزيع المعرفة كانت موقع إجماع المؤرخين، وسنقف من هذا الجانب عندما نعرض إلى ثقافته وتقييمها بشيء من الحديث، وقفة فيها شيء من الأناة، وربّما رأينا هنالك أن نزعته الإنسانية هي الطاغية عليه، حيث لم يكن ليفرّق في توزيع معارفه على طلابها بين من يقرب أو يبعد منه، ويتفق معه أو يختلف في المذهب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جانب مهم من جوانب غيريتّه، تجلّت فيها إنسانيته على أفضل صورها، هو جانب رعايته لعبيده ومواليه فقد كان يعمل على تربيتهم وتهذيبهم وتعليمهم وربّما فرض المعرفة على من يأنس فيه القابلية منهم فرضاً لا هوادة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عكرمة </w:t>
      </w:r>
      <w:bookmarkStart w:id="42" w:name="pg15232_165690"/>
    </w:p>
    <w:p>
      <w:pPr>
        <w:pStyle w:val="BookText"/>
        <w:rPr/>
      </w:pPr>
      <w:bookmarkEnd w:id="42"/>
      <w:r>
        <w:rPr>
          <w:rFonts w:ascii="Amiri" w:hAnsi="Amiri" w:eastAsia="Amiri" w:cs="Amiri"/>
          <w:color w:val="111111"/>
          <w:sz w:val="28"/>
          <w:sz w:val="28"/>
          <w:szCs w:val="28"/>
          <w:rtl w:val="true"/>
          <w:lang w:bidi="ar-SA"/>
        </w:rPr>
        <w:t xml:space="preserve">مولاه يحدّث عن لون تربيته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يجعل في رجلي الكبل يعلمني القرآن ويعلّمني السنّة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وكان من رعايته لمواليه، محاولة إبعادهم عن كلّ ما يشعرهم بأنهم عبيد حتى في أسمائهم فقد كان يسميهم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العرب كعكرمة وسميع وكريب</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وكان يأمرهم بالتزوج إبعاداً لهم عما ربما يقعون به من الزنا، وكان يعلل لهم ذلك بأن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نزع الله منه نور الإيمان، ردّه إليه أم أمسكه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جوانب الرعاية مما يدلّ على تأكد نزعته الإنسانية الواسعة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547271_2142443653"/>
      <w:bookmarkStart w:id="44" w:name="_Toc15"/>
      <w:bookmarkEnd w:id="43"/>
      <w:r>
        <w:rPr>
          <w:rtl w:val="true"/>
        </w:rPr>
        <w:t>الشجاعة</w:t>
      </w:r>
      <w:bookmarkEnd w:id="44"/>
    </w:p>
    <w:p>
      <w:pPr>
        <w:pStyle w:val="BookText"/>
        <w:rPr/>
      </w:pPr>
      <w:r>
        <w:rPr>
          <w:rFonts w:ascii="Amiri" w:hAnsi="Amiri" w:eastAsia="Amiri" w:cs="Amiri"/>
          <w:color w:val="111111"/>
          <w:sz w:val="28"/>
          <w:sz w:val="28"/>
          <w:szCs w:val="28"/>
          <w:rtl w:val="true"/>
          <w:lang w:bidi="ar-SA"/>
        </w:rPr>
        <w:t>وهي قيمة من أهم قيم عصره وأرقاها كانت هي الأخرى قيمة عربية جاهلية،</w:t>
      </w:r>
    </w:p>
    <w:p>
      <w:pPr>
        <w:pStyle w:val="BookText"/>
        <w:rPr/>
      </w:pPr>
      <w:r>
        <w:rPr>
          <w:rFonts w:ascii="Amiri" w:hAnsi="Amiri" w:eastAsia="Amiri" w:cs="Amiri"/>
          <w:color w:val="111111"/>
          <w:sz w:val="28"/>
          <w:sz w:val="28"/>
          <w:szCs w:val="28"/>
          <w:rtl w:val="true"/>
          <w:lang w:bidi="ar-SA"/>
        </w:rPr>
        <w:t xml:space="preserve">يعرض عليها الرجال في تقييماتهم، فإن زاد رصيد أحدهم منها، كان ثريّاً في قوّة الشخصيّة ورفعتها، ولكنّها كانت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صالح المجموع، وكان أصحابها يتخذون منها موضع استغلال للتحكم بالضعيف، والاستيلاء على مقدراته، سواء من طرق الغزو السافر أم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الإسلام فوجهها لصالح المجموع، واتّخذ منها ركيزةً للدفاع عن مبدأ أو نفس أو عرض أو كرامة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بالشجاعة هو مفهومها العام ، أعني قدرة تحكّم الشخص بمختلف قواه، </w:t>
      </w:r>
    </w:p>
    <w:p>
      <w:pPr>
        <w:pStyle w:val="BookText"/>
        <w:rPr/>
      </w:pPr>
      <w:r>
        <w:rPr>
          <w:rFonts w:ascii="Amiri" w:hAnsi="Amiri" w:eastAsia="Amiri" w:cs="Amiri"/>
          <w:color w:val="111111"/>
          <w:sz w:val="28"/>
          <w:sz w:val="28"/>
          <w:szCs w:val="28"/>
          <w:rtl w:val="true"/>
          <w:lang w:bidi="ar-SA"/>
        </w:rPr>
        <w:t xml:space="preserve">والسيطرة عليها وتوجيهها حسب ما يريد ولها مظاهر تختلف باختلاف مجالاتها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وعدم المواربة في المواضع التي تقتضيها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أمثولة طيبة في ذلك، فقد كان صريحاً إلى أبعد حدود الصراحة، حيث كانت الظروف تقتضيه المجاملة، والسكوت على مفارقات من يواجهه بالكلام الصريح، وقد سبق أن رأينا مواقفه من الخليفتين عمر وعثمان ثم مواقفه من معاوية ويزيد وابن الزبير وولاتهم، وهي ملأى بصور من الصراحة، تبعث على الإكبار ، وفيها مئات الشواهد على ذلك، وهي تغني عن إعادة بعضها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وضبط النفس عندما تواجه بما يؤلمها ويثيرها من الانفعالات، مع قدرته على ردع من يواجه بذلك وتأديبه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وصاحبنا كان ثرّياً جدّاً في هذه الخلّة الكريمة، وكان متماسكاً أمام من يحاولون أن يثيروه بإساءتهم، وهو يعلّل هذا التماسك والعفو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بلغني عن أخ لي مکروه ، إلّا نزلته إحدى ثلاث منازل، إما أن يكون فوقي؛ فأعرف له قدره، أو نظيري تفضلت عليه، أو يكون دوني فلم أحفل به</w:t>
      </w:r>
      <w:r>
        <w:rPr>
          <w:rFonts w:eastAsia="IRNazanin" w:cs="IRNazanin"/>
          <w:color w:val="111111"/>
          <w:sz w:val="28"/>
          <w:szCs w:val="28"/>
          <w:rtl w:val="true"/>
          <w:lang w:bidi="fa-IR"/>
        </w:rPr>
        <w:t>».</w:t>
      </w:r>
      <w:r>
        <w:rPr>
          <w:rStyle w:val="FootnoteAnchor"/>
          <w:rtl w:val="true"/>
        </w:rPr>
        <w:footnoteReference w:id="6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تعليل يدلّ على مبلغ قدرته وتمكنه من تحكيم عقله بعواطفه وانفعالاته، فهو يفلسف بعقله لقواه النفسية أفعالها، ويربّيها من طريق العادة على هذه الفلسفة وإن لم تع واقعها؛ لأن مبعثها دوافعها الفطرية، وهي لا شعورية غالباً، وإذا عدما إلى واقع هذه الفلسفة كشفت عن أهمّ جانب من جوانب كبر نفسيته، فهو لا يعلّل لها ذلك بتعليل نفعي، يبتني على المقايضة وقبض الثمن،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عفوت عنه فقد كسبت عطفه </w:t>
      </w:r>
    </w:p>
    <w:p>
      <w:pPr>
        <w:pStyle w:val="BookText"/>
        <w:rPr/>
      </w:pPr>
      <w:r>
        <w:rPr>
          <w:rFonts w:ascii="Amiri" w:hAnsi="Amiri" w:eastAsia="Amiri" w:cs="Amiri"/>
          <w:color w:val="111111"/>
          <w:sz w:val="28"/>
          <w:sz w:val="28"/>
          <w:szCs w:val="28"/>
          <w:rtl w:val="true"/>
          <w:lang w:bidi="ar-SA"/>
        </w:rPr>
        <w:t>وصداقته، أو حبّبت نفسي إلى الناس، وما يشبه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فوقي فأعرف له قدره فهذه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طبعاً في عرف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فوقية علم أو دين لا فوقيه مال ولا سياسة، كما سبق أن رأيناه في مواقفه ممن بيدهم الحكم والمال يتصرفون بهما كيف يشاؤون كيف كان يزدريهم إذا خالفوا له مبدأ من مبادئه، ويواجههم بالكلام ، ويصرع الذي لا يدلّ على عرفان قدر ولا إقامة وزن، وغير هؤلاء لا بد من احترامهم لما يحملونه من علم أو دين، وارتكاب مفارقة معه لا تصحح له تناسي ما يفضلونه به، والتغافل عنه واحترامهم بالتغاضي عن مساءتهم إليه، وإذا كان مساوياً له كانت الإساءة مبعث إسداء يد له وتفضّل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نظيري تفضّلت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أدون منه فإنّ مقابلته معناها النزول بمستوى نفسه إلى ما لا يليق بمكانتها الدينية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تصرفاته إزاء من قابلوه بالإساءة مبعث إكبار معاصريه، حتى صحّ لغير واحد منهم أن لا يرى أوسع حلماً منه </w:t>
      </w:r>
      <w:r>
        <w:rPr>
          <w:rStyle w:val="FootnoteAnchor"/>
          <w:rtl w:val="true"/>
        </w:rPr>
        <w:footnoteReference w:id="68"/>
      </w:r>
      <w:r>
        <w:rPr>
          <w:rFonts w:ascii="Amiri" w:hAnsi="Amiri" w:eastAsia="Amiri" w:cs="Amiri"/>
          <w:color w:val="111111"/>
          <w:sz w:val="28"/>
          <w:sz w:val="28"/>
          <w:szCs w:val="28"/>
          <w:rtl w:val="true"/>
          <w:lang w:bidi="ar-SA"/>
        </w:rPr>
        <w:t>، فهو يقول لمن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تشتمني وفي ثلاث خصال، ثم يعدد خصاله التي تدل على حبّه للخير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ذكرناه في الحديث عن غيريته – وكأنه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أتقابلني بالإساءة وأنا الذي أرجو لك نفعك، ولا أريد الاستئثار لنفسي بشيء دونك، وهو يقول للقوم الذين سألوا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كريب بن سليم الكندي وكان يأكل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مزرية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عباس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أخشن جواب أسمعه له في أمثال هذه المجالات؛ لما فيها من إيماءة خفية إلى شتم خصومه ولكن تعمى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ملابسات هذه الواقعة هي التي </w:t>
      </w:r>
    </w:p>
    <w:p>
      <w:pPr>
        <w:pStyle w:val="BookText"/>
        <w:rPr/>
      </w:pPr>
      <w:r>
        <w:rPr>
          <w:rFonts w:ascii="Amiri" w:hAnsi="Amiri" w:eastAsia="Amiri" w:cs="Amiri"/>
          <w:color w:val="111111"/>
          <w:sz w:val="28"/>
          <w:sz w:val="28"/>
          <w:szCs w:val="28"/>
          <w:rtl w:val="true"/>
          <w:lang w:bidi="ar-SA"/>
        </w:rPr>
        <w:t>اقتضته هذه الإيماءة إلى شتمهم، وكثيراً ما تجاوز في عفوه عمّن أساء إليه بالإحسان إلى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رجل ابن عباس فلما قضى مقالته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انظر هل للرجل حاجة، فتقضيها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الرجل رأسه استحياءً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وكأنه قدّر في نفسه أن كثيراً من بواعث هؤلاء إلى الإساءة إلى الآخرين هي بواعث تمليها الفاقة والحاجة لا الرغبة في الإساءة للإساءة، فإذا سدّ حاجتهم طهر نفوسهم من هذه الخلّة السيئة، ولعلّ من أروع ما قرأت له وينتظم في هذا البحث موقفه من النمامين في أيام ولايته للبصرة، والوالي عادة يكون أُذناً لتسقط الأخبار ، ومعرفة ما يضر بسياسته، ولكنّ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 الفراسة، يدرك من كلام الشخص ما يبّيت به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سعى ساع إلى ابن عباس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نظرنا ، فإن كنت كاذباً عاقبناك ، وإن كنت صادقاً نفيناك، وإن شئت أقلتك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فهو ينظر إلى أنّ هذا الشخص لم يزوده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لتسقّط الأخبار وجمعها له، فما باله يسعى بالآخرين لدى السلطان؟ أو ليس في ذلك مبعث لاتهامه بسوء النية النيّة معهم، لا عدم المحايدة في النقل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بواعثها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الخصال، فهو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،عاقبناك، وإن كنت صادقاً نفيناك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مثلك لا يصلح للمجالسة ولا يؤتمن على حديث، وما يدريني أن تنقل عني كما نقلت إلي، ثم فتح له باب الإقالة ليسلم على نفسه، وحسبه من فحوى هذا الحديث أن يعلم أن صاحبه لم يكن أُذناً لقبول النمائم والوشايات، وهذا لا يتنافى مع الحزم الذي تقتضيه السياسة، فربّما كان له من العيون من يأتمنه على واقع الناس؛ ليبلغه إليه، وليس من الحزم أن يكون مسرحاً لأطماع ذوي </w:t>
      </w:r>
    </w:p>
    <w:p>
      <w:pPr>
        <w:pStyle w:val="BookText"/>
        <w:rPr/>
      </w:pPr>
      <w:r>
        <w:rPr>
          <w:rFonts w:ascii="Amiri" w:hAnsi="Amiri" w:eastAsia="Amiri" w:cs="Amiri"/>
          <w:color w:val="111111"/>
          <w:sz w:val="28"/>
          <w:sz w:val="28"/>
          <w:szCs w:val="28"/>
          <w:rtl w:val="true"/>
          <w:lang w:bidi="ar-SA"/>
        </w:rPr>
        <w:t>الأحقاد من الناس، تمثل على رأسه أدوارهم الدنيئة في الإساءة إلى الآخرين، وأخال أن لهذا ومثله ورد وصفه بأحلم الناس في كثير من ألسنة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هو الآخر من مظاهر الشجاعة، وذلك عندما تواجهه مصيبة في نفسه، أو ولده أو أحد أقاربه، لا يجدي في دفعها الجزع، فيتماسك أمامها، ويحكم قواه في ،أعصابه، ويشدُّ منها، لتقف إزاءها موقف الصابر المتجلد، وليس معنى الصبر أن لا يتألم الشخص، أو لا يعبر عن ألمه بالطرق المألوفة، وإنّما معناه أن لا ينهار أمامها انهياراً يفقده توازنه وقد مرّت على صاحبنا مصائب عدّة، تماسك أمام بعضها، فلم يعبّر عن مدى ألمه إلّا ببعض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 إليه أخوه قثم، فاسترجع ثم أناخ عن الطريق وصلى ركعتين، فأطال فيهما، ثم قام فمشى إلى راحلته ،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إليه ابنه وهو في السفر، فاسترجع ثم قال مسلّياً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سترها الله ومؤنة كفاها الله وأجر ساقه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وغلبه الألم في بعضها الآخر ، ففزع إلى التعبير عن تألمه بالبكاء، والبكاء الشديد أحياناً، وقد سبق أن رأينا في مواضع من الجزء الأول من هذا الكتاب مواقفه المحزنة من بعض المصائب التي مرت عليه كحادثة يوم الخميس، وحوادث استشهاد الأئمة علي والحسن والحسين عليه السلام ، ولكننا لم نقرأ في تعبيراته ما يخرجه عن حدود اللياقة بالجزع، وقول ما يسخط خالقه وإمامه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أدب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 ويحزن القلب ولا نقول ما يسخط الرب</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ما يصلح لأن يتأثره في أمثال هذه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الأدبية صفة ربّما تكون من أبرز مظاهر الشجاعة، لعمق دلالتها على ثقة الإنسان بنفسه، وقدرته على التحكم بأعصابه، وذلك عند مواجهة الآخرين بآرائه ومبادئه سواء كان في مجالاته الخطابية أم الجدليّة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صاحبنا من الأمثال العالية في ذلك وفيما مر علينا من مواقفه الخطابية والجدلية ما يغني عن إطالة الكلام فيه، ويكفينا أن نسجل له أن مؤرخيه لم يسجلوا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لم يشاهدوا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واحداً حُصر فيه، أم لم يتدفق في بيانه، أو تدفق ولم يملك زمام التصرف في لسانه ينقله كيفما يشاء، وقد أجمع من عني بتأريخه، على إكباره في هذا المجال وحدّثوا عن إكبار معاصريه له وفيهم بعض خصومه ومناوئيه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معاوية نظر إليه يوماً يتكلم فأتبعه بصره وقال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لم يترك مقالاً 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 ولم يثن اللسان على هجر</w:t>
      </w:r>
    </w:p>
    <w:p>
      <w:pPr>
        <w:pStyle w:val="BookText"/>
        <w:rPr/>
      </w:pPr>
      <w:r>
        <w:rPr>
          <w:rFonts w:ascii="Amiri" w:hAnsi="Amiri" w:eastAsia="Amiri" w:cs="Amiri"/>
          <w:color w:val="111111"/>
          <w:sz w:val="28"/>
          <w:sz w:val="28"/>
          <w:szCs w:val="28"/>
          <w:rtl w:val="true"/>
          <w:lang w:bidi="ar-SA"/>
        </w:rPr>
        <w:t>يصرف بالقول اللسان إذا انتخى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 في أعطافه نظر الصقر</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وقد لفت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مجلس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الحطيئة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الجزء الأول من 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الذي برع الناس بعلمه ونزل عنهم بسنيّه؟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فقال فيه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بيان المرء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له ووجدت العيّ كالصمم</w:t>
      </w:r>
    </w:p>
    <w:p>
      <w:pPr>
        <w:pStyle w:val="BookText"/>
        <w:rPr/>
      </w:pPr>
      <w:r>
        <w:rPr>
          <w:rFonts w:ascii="Amiri" w:hAnsi="Amiri" w:eastAsia="Amiri" w:cs="Amiri"/>
          <w:color w:val="111111"/>
          <w:sz w:val="28"/>
          <w:sz w:val="28"/>
          <w:szCs w:val="28"/>
          <w:rtl w:val="true"/>
          <w:lang w:bidi="ar-SA"/>
        </w:rPr>
        <w:t>المرء يبلى ويبقى سائر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يلام الفتى يوماً ولم يلم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من فيهم من الخطباء المفوّهين وأهل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تحاموا مقامه حين أقبل عليهم للمحاججة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بعضهم لا تكلموه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قَوْمٌ </w:t>
      </w:r>
      <w:bookmarkStart w:id="45" w:name="pg15232_165696"/>
    </w:p>
    <w:p>
      <w:pPr>
        <w:pStyle w:val="BookText"/>
        <w:rPr/>
      </w:pPr>
      <w:bookmarkEnd w:id="45"/>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وما أكثر ما ورد في ذلك، والحديث فيه يعدّ من نافلة القول، وحسبنا منها ما مرّ من شهادة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لابن عباس ما رأيته لاحى واهاً لابن عباس ما رأيته لاحى أحداً قطّ إلّا خصمه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الحروب وهي من أظهر مظاهر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أقطابها في الصميم وقد تركت له قيادات هامة في جيوش الإمام علیه السلام سواء في البصرة، أم صفّين، أم النهروان، وأبلى فيها بلاءً حسناً بإجماع مؤرّخيه، وحسبه أن يكون موضع إعجاب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هو في شجاعته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فيه كلمة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حديث الزهري عن علي بن الحسين عن أبيه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أبي إلى ابن عباس يوم الجمل يمشي بين الصفّين،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عين من له ابن عم مثل هذا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وقد مرّت بنا مواقفه على اختلافها في مواضعها من الجزء الأول فلا حاجة لإعادة الحديث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من القيم التي تحدّد علائقه بالآخرين ربّما عرضنا لها في تضاعيف أحاديثنا القادمة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547273_2142443653"/>
      <w:bookmarkStart w:id="47" w:name="_Toc16"/>
      <w:bookmarkEnd w:id="46"/>
      <w:r>
        <w:rPr/>
        <w:t>3</w:t>
      </w:r>
      <w:r>
        <w:rPr>
          <w:rtl w:val="true"/>
        </w:rPr>
        <w:t xml:space="preserve">- </w:t>
      </w:r>
      <w:r>
        <w:rPr>
          <w:rtl w:val="true"/>
        </w:rPr>
        <w:t>علائقه بذاته</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يحدّد علائقه بذاته من المثل والقيم فكثيرة أيضاً ولعلّ أهمها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ونكران الذات والتواضع من الصفات التي باركها الإسلام وحتّ عليها، وكانت من أهم صفات نبيه محمد صلی الله علیه و آله وسلم ، وهو الذي اتخذه في سلوكه مثلاً أعلى يحتذيه، وقد رافقته هذه الصفة من طفولته فلم يطغه شرف بيته، ولا زعامة أبيه، ولا علائقه النَسَبية بالزعيم الاعلى للمسلمين، فكان يعرف لنفسه قدرها فلا يتعداه بحال، وإن لم يرض طموحه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تجاربه في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يجلس في الصغر حيث يكره، لم يجلس في الكبر حيث يحبّ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مدى صراعه مع نفسه، في إخضاعها لنكران ذاتها منذ صغره، وقد سبق أن رأيناه كيف كان يقبل على أبواب الأنصار ويتوسّد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يصف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تسفي الريح عليّ من التراب فيخرج فيراني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أرسلت إليّ فآتيك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وكيف كان يتأدبّ مع من يكبره سنّاً، حين كان يدعوه عمر مع كبار المهاجرين والأنصار؛ ليستشيرهم في حكم من أحكام الدين أو أمر من أمور الدنيا، وربما استحثّه على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يا ابن عباس صامت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تمنعك الحداثة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ولا تحقّرنّ نفسك</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لا يمنعه مقامه الاجتماعي، ولا قرابته ولا مكانته الاجتماعيّة من أن يأخذ بركاب زید بن ثابت تقديراً لمقامه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ركب زيد بن ثابت، فأخذ </w:t>
      </w:r>
    </w:p>
    <w:p>
      <w:pPr>
        <w:pStyle w:val="BookText"/>
        <w:rPr/>
      </w:pPr>
      <w:r>
        <w:rPr>
          <w:rFonts w:ascii="IRNazanin" w:hAnsi="IRNazanin" w:eastAsia="IRNazanin"/>
          <w:color w:val="111111"/>
          <w:sz w:val="28"/>
          <w:sz w:val="28"/>
          <w:szCs w:val="28"/>
          <w:rtl w:val="true"/>
          <w:lang w:bidi="fa-IR"/>
        </w:rPr>
        <w:t xml:space="preserve">ابن عباس ،بركابه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ابن عم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أمرنا أن نفعل بعلمائنا،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يداك ؟ فأخرج يديه فقبلهما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أمرنا أن نفعل بأهل بیت نبينا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وما أكثر ما ورد عن تواضعه ونكرانه لذاته، مع احتفاظه بالمستوى اللائق بها، وحتى في الحالات التعويضيّة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علينا قسم منها في الجزء الأول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يفزع إلى التكبّر والتعالي، بل إلى تأكيد ذاته من طريق العلم والمعرفة، كما سبق أن رأينا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 أنه كان يداري نفسه بحشد أكبر عدد ممكن من عوامل تأكيد الذات ولكن بتواضع واتزان كما كان يعمل على إبعاد كل ما يوجب لها القلق، كبعض العادات الغريبة التي لم تكن خاضعة لمنطق معروف وأظهرها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التشاؤم والتطير من بعض الظواهر كصياح بعض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ابن عمر وابن عباس، فمرّ طائر يصيح ، فقال رجل من القوم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ولا شرّ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وأية علاقة تربط بين صياح هذا الطائر وبين الشر الذي تخوّفه، لولا تحكّم هذه العادة الخرافية في النفوس، وقد سئل عن الطيرة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طير إلا طير الله، ولا خير إلا خير الله، ولا إله إلا الله، ولا قوة إلا بالله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السأم كان ابن عباس يبعد عن نفسه بواعث السأم، ويريحها جهده،حتى أنّه كان إذا أفاض بالحديث عن بعض العلوم والمعارف التي تطغى عليها صفة الجدية كالفقه، والتفسير، والحديث، وطرأ على نفسه السأم، قطع الحديث عنها وقال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نهاية ابن الأثير في حديث ابن عباس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أفاض من عنده في الحديث بعد القرآن والتفسير أحمضوا يقال أحمض القوم إحماضاً إذا أفاضوا فيما يؤنسهم من الكلام والأخبار، والأصل فيه الحمض من النبات، وهو للإبل كالفاكهة للإنسان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قال أبو حيان التوحيدي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أراه أراد بذلك إلا لتعديل النفس لئلا يلحقها كلال الجد؛ ولتقتبس نشاطاً في المستأنف ؛ ولتستعدّ لقبول ما يرد عليها فتسمع</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وسيأتي عرض بعض النماذج التي كان يروّح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حريصاً على البرّ بنفسه وإسعادها، ورفع مكانتها، وقد سبق أن سمعنا كيف كان يعنى بالمظهر الخارجي لجسمه، سواء بتطييبه، أم باختيار أفخر اللباس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أننا قد أطلنا في الوقوف عند هذا القسم من أقسام شخصيته، حيث عرضنا القسم من قيمه كنموذج لما كان يتصف به من كريم الأخلاق، واكتفينا بها عن استقصاء قيمه مّما تسالم عليه مؤرّخوه ودلّت عليه جملة ما حُرّر من سيرته، كالصدق، جميع والإخلاص، وأمثالهما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ونهاية الحديث أنّ عواطفه وأخلاقه التي رأيناها كانت تنتظم جميعاً في الإطار الذي وضعه الإسلام، أو أقره، من قيم وعادات العرب</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5232_165701"/>
      <w:bookmarkStart w:id="49" w:name="pg15232_165701"/>
      <w:bookmarkEnd w:id="49"/>
    </w:p>
    <w:p>
      <w:pPr>
        <w:pStyle w:val="Heading2"/>
        <w:numPr>
          <w:ilvl w:val="1"/>
          <w:numId w:val="1"/>
        </w:numPr>
        <w:rPr/>
      </w:pPr>
      <w:bookmarkStart w:id="50" w:name="pg15232_165701"/>
      <w:bookmarkStart w:id="51" w:name="__RefHeading___Toc3547275_2142443653"/>
      <w:bookmarkStart w:id="52" w:name="_Toc17"/>
      <w:bookmarkEnd w:id="50"/>
      <w:bookmarkEnd w:id="51"/>
      <w:r>
        <w:rPr>
          <w:rtl w:val="true"/>
        </w:rPr>
        <w:t>ثالثاً</w:t>
      </w:r>
      <w:r>
        <w:rPr>
          <w:rtl w:val="true"/>
        </w:rPr>
        <w:t xml:space="preserve">: </w:t>
      </w:r>
      <w:r>
        <w:rPr>
          <w:rtl w:val="true"/>
        </w:rPr>
        <w:t>قدراته العقلية</w:t>
      </w:r>
      <w:bookmarkEnd w:id="52"/>
    </w:p>
    <w:p>
      <w:pPr>
        <w:pStyle w:val="Heading3"/>
        <w:numPr>
          <w:ilvl w:val="2"/>
          <w:numId w:val="1"/>
        </w:numPr>
        <w:rPr/>
      </w:pPr>
      <w:bookmarkStart w:id="53" w:name="__RefHeading___Toc3547277_2142443653"/>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ويراد بالقدرات العقليّة تلك القوى التي تبعث بصاحبها على التصوّر والانتباه والإدراك والتذكّر والتخيّل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القوى ربّما تعتبر في بذورها الأولى موروثة غالباً، ولكنّها تتسع وتنمو تبعاً لما يطرأ عليها من تجارب وخبرات بحكم وضعها في بيئة وزمن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هذه القوى من القوى الداخليّة التي لا يمكن بلوغها بالملاحظة الخارجية، فإن طريقنا إليها ينحصر بملاحظاته الذاتية أولاً، ثمّ بمعطياتها من التجارب، سواء في مجالاته العلميّة أم الأدبية أم غيرهما، مما يمكن بلوغه بالملاحظة الخارجيّة المنظّمة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دراستنا لابن عباس في هذا القسم من أقسام شخصيته سوف تعتمد على ما أُثر عن انطباعاته الذاتية عنها، وانطباعات معاصريه على آثارها، ثمّ على آثاره التي تركها، والتي تحدد له مستواه الثقافي العام، وهذه القدرات يندرج جملة منها تحت عنوان الذكاء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547279_2142443653"/>
      <w:bookmarkStart w:id="56" w:name="_Toc19"/>
      <w:bookmarkEnd w:id="55"/>
      <w:r>
        <w:rPr>
          <w:rtl w:val="true"/>
        </w:rPr>
        <w:t>الذكاء</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فسّروا 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الذهن وسرعة الخاطر وصفاء القريحة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وعرّفه بعضهم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تحقيق التكيف بين الشخص والمواقف الجديدة</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وارتأى يوسف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ما تمدّه به اللغة من عناصر معنى عناصر معنى الذكاء، ومن الخبرة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حدّة الفهم الفطرية، التي تهيئ الإنسان لاكتساب أكبر قدر من المعارف، في أقصر مدة ممكنة ولاستخدام هذه المعارف على أحسن وجه لحلّ المشاكل الجديدة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ومهما كان شأن هذه التعريفات من الدقّة، فإنّها لا تخرج في مدلولها عن الرسوم الناقصة التي تحدّد معرّفاتها باللوازم الخاصة دون إدراك لواقعها إدراكاً محدداً، وحسبنا في هذا البحث أن ندركه بآثاره لنبلغ به إلى مرحلته التطبيقية بالنسبة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حدود هذه التعاريف، فإن ابن عباس من أكثر الناس حضور ذهن وصفاء قريحة وأقدرهم على تحقيق التكيف بينه وبين المواقف الجديدة، وأعظمهم قدرة على اكتساب المعارف في أقصر مدّة وقد أمدّنا الجزء الأول من هذا الكتاب بمختلف الشواهد على ذلك، وبخاصة في الفصلين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المراهقة ، ومراحل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بمحاوراته أم بسعيه الحثيث في طلب المعرفة، أم بتكيفه مع ما جد له من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الامثال في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وأخالنا على ذكرٍ من مواقفه مع النبي صلی الله علیه و آله وسلم حين كانت تبعث في نفسه بواعث النشوة، فيرسل فيه كلمة إعجاب أو دعاء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شيخ قريش</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الحكمة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زده فهماً وعلماً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ثم مدى وعيه عنه على صغره، وتتبعه لمختلف شؤونه، ثم مواقفه مع عمر، وما كان </w:t>
      </w:r>
      <w:bookmarkStart w:id="57" w:name="pg15232_165703"/>
    </w:p>
    <w:p>
      <w:pPr>
        <w:pStyle w:val="BookText"/>
        <w:rPr/>
      </w:pPr>
      <w:bookmarkEnd w:id="57"/>
      <w:r>
        <w:rPr>
          <w:rFonts w:ascii="Amiri" w:hAnsi="Amiri" w:eastAsia="Amiri" w:cs="Amiri"/>
          <w:color w:val="111111"/>
          <w:sz w:val="28"/>
          <w:sz w:val="28"/>
          <w:szCs w:val="28"/>
          <w:rtl w:val="true"/>
          <w:lang w:bidi="ar-SA"/>
        </w:rPr>
        <w:t xml:space="preserve">يرسل فيها من كلمات الثناء أمثال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أنه يرد بحوركم فيغوص فيها معكم  فقد ظنّ عجزاً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وكان يراه أحسن فتيانهم عقلا ويدعوه مع أكابر الصحابة، ولا يعدو رأيه كما كانت تقول الروايات</w:t>
      </w:r>
      <w:r>
        <w:rPr>
          <w:rStyle w:val="FootnoteAnchor"/>
          <w:rtl w:val="true"/>
        </w:rPr>
        <w:footnoteReference w:id="97"/>
      </w:r>
      <w:r>
        <w:rPr>
          <w:rFonts w:ascii="Amiri" w:hAnsi="Amiri" w:eastAsia="Amiri" w:cs="Amiri"/>
          <w:color w:val="111111"/>
          <w:sz w:val="28"/>
          <w:sz w:val="28"/>
          <w:szCs w:val="28"/>
          <w:rtl w:val="true"/>
          <w:lang w:bidi="ar-SA"/>
        </w:rPr>
        <w:t xml:space="preserve">مع صغر سنّه ، وقد كان موضع إعجاب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أدوار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بعض تقييماتهم له في مواضعها من الصفحات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ما قيل من أنّ الذكاء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الفهم وحدته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وأن السرعة عندما تصل إلى أقصى حد يقال عن الشخص أنه ألمعي</w:t>
      </w:r>
      <w:r>
        <w:rPr>
          <w:rStyle w:val="FootnoteAnchor"/>
          <w:rtl w:val="true"/>
        </w:rPr>
        <w:footnoteReference w:id="99"/>
      </w:r>
      <w:r>
        <w:rPr>
          <w:rFonts w:ascii="Amiri" w:hAnsi="Amiri" w:eastAsia="Amiri" w:cs="Amiri"/>
          <w:color w:val="111111"/>
          <w:sz w:val="28"/>
          <w:sz w:val="28"/>
          <w:szCs w:val="28"/>
          <w:rtl w:val="true"/>
          <w:lang w:bidi="ar-SA"/>
        </w:rPr>
        <w:t>، فصاحبنا كان موفور الحظ من الألمعيّة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547281_2142443653"/>
      <w:bookmarkStart w:id="59" w:name="_Toc20"/>
      <w:bookmarkEnd w:id="58"/>
      <w:r>
        <w:rPr>
          <w:rtl w:val="true"/>
        </w:rPr>
        <w:t>الألمعية</w:t>
      </w:r>
      <w:bookmarkEnd w:id="59"/>
    </w:p>
    <w:p>
      <w:pPr>
        <w:pStyle w:val="BookText"/>
        <w:rPr/>
      </w:pPr>
      <w:r>
        <w:rPr>
          <w:rFonts w:ascii="Amiri" w:hAnsi="Amiri" w:eastAsia="Amiri" w:cs="Amiri"/>
          <w:color w:val="111111"/>
          <w:sz w:val="28"/>
          <w:sz w:val="28"/>
          <w:szCs w:val="28"/>
          <w:rtl w:val="true"/>
          <w:lang w:bidi="ar-SA"/>
        </w:rPr>
        <w:t xml:space="preserve">والألمعي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 الذكي الذي يتبين عواقب الأمور بأدنى لمحة تلوح 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الألمعيّ الذي يظنّ بك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كأن قد رأى وقد سمعا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وكثيراً ما كان يقرأ أفكار أصحابه وينبئهم فتصدق فراسته، كما صنع مع الخليفة ،عمر، وسبق أن ذكرنا ذلك في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ما كان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يعرض في الأمور مع جلّة أصحاب رسول الله صلی الله علیه وآله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غص غواص</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وكانت قريش تعدّه من أهل الجزالة في الرأي </w:t>
      </w:r>
      <w:r>
        <w:rPr>
          <w:rStyle w:val="FootnoteAnchor"/>
          <w:rtl w:val="true"/>
        </w:rPr>
        <w:footnoteReference w:id="102"/>
      </w:r>
      <w:r>
        <w:rPr>
          <w:rFonts w:ascii="Amiri" w:hAnsi="Amiri" w:eastAsia="Amiri" w:cs="Amiri"/>
          <w:color w:val="111111"/>
          <w:sz w:val="28"/>
          <w:sz w:val="28"/>
          <w:szCs w:val="28"/>
          <w:rtl w:val="true"/>
          <w:lang w:bidi="ar-SA"/>
        </w:rPr>
        <w:t>، وله نظرات جد صائبة يرسلها بكلماته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الانصار أمروا عبد الله بن حنظلة وأمرت قريش عبد الله بن مطيع،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وذُكر الغوغاء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اجتمعوا قط إلّا ضرّوا ولا افترقوا إلّا نفعوا، قيل له قد علمنا ما ضر ،اجتماعهم، فما نفع افتراقهم؟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الحجام إلى دكانه، والحداد إلى أكياره، وكلّ صانع إلى صناعته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وما أروع وأصدق تصوير الإمام علیه السلام العبقريته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ابن عباس إن كان لينظر إلى الغيب من ستر رقيق</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ابن عباس إنّه لينظر إلى الغيب بستر 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ويقال أنه قالها على أثر تنبئه بغلبة معاوية، ففي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 الإمام علیه السلام وقد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أعطيه إلّا السيف حتى يغلبه 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لا يعطيك إلا السيف حتى يغلبك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تطاع اليوم وتعصى غداً، وإنه يطاع ولا يعصى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انتشر عن علي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بلاء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تنبؤه أمام عمر عن اختلاف أهل الكوفة، ونظائر ذلك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مليكة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أكثر صواباً ولا أحضر جواباً من ابن عباس</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bookmarkStart w:id="60" w:name="pg15232_165705"/>
    </w:p>
    <w:p>
      <w:pPr>
        <w:pStyle w:val="BookText"/>
        <w:rPr/>
      </w:pPr>
      <w:bookmarkEnd w:id="60"/>
      <w:r>
        <w:rPr>
          <w:rFonts w:ascii="Amiri" w:hAnsi="Amiri" w:eastAsia="Amiri" w:cs="Amiri"/>
          <w:color w:val="111111"/>
          <w:sz w:val="28"/>
          <w:sz w:val="28"/>
          <w:szCs w:val="28"/>
          <w:rtl w:val="true"/>
          <w:lang w:bidi="ar-SA"/>
        </w:rPr>
        <w:t xml:space="preserve">وربّما وردت عنه بعض الاخبار الغيبية، وهي لا ترتبط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تستقى من مورد آخر لا يخضع لما نعرفه من تعاليل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547283_2142443653"/>
      <w:bookmarkStart w:id="62" w:name="_Toc21"/>
      <w:bookmarkEnd w:id="61"/>
      <w:r>
        <w:rPr>
          <w:rtl w:val="true"/>
        </w:rPr>
        <w:t>النبوغ</w:t>
      </w:r>
      <w:bookmarkEnd w:id="62"/>
    </w:p>
    <w:p>
      <w:pPr>
        <w:pStyle w:val="BookText"/>
        <w:rPr/>
      </w:pPr>
      <w:r>
        <w:rPr>
          <w:rFonts w:ascii="Amiri" w:hAnsi="Amiri" w:eastAsia="Amiri" w:cs="Amiri"/>
          <w:color w:val="111111"/>
          <w:sz w:val="28"/>
          <w:sz w:val="28"/>
          <w:szCs w:val="28"/>
          <w:rtl w:val="true"/>
          <w:lang w:bidi="ar-SA"/>
        </w:rPr>
        <w:t>وإذا صحّ ما ذكره بعض العلماء من توسعة معنى الذكاء إلى القدرة على تحصيل</w:t>
      </w:r>
    </w:p>
    <w:p>
      <w:pPr>
        <w:pStyle w:val="BookText"/>
        <w:rPr/>
      </w:pPr>
      <w:r>
        <w:rPr>
          <w:rFonts w:ascii="Amiri" w:hAnsi="Amiri" w:eastAsia="Amiri" w:cs="Amiri"/>
          <w:color w:val="111111"/>
          <w:sz w:val="28"/>
          <w:sz w:val="28"/>
          <w:szCs w:val="28"/>
          <w:rtl w:val="true"/>
          <w:lang w:bidi="ar-SA"/>
        </w:rPr>
        <w:t xml:space="preserve">المعلومات، واعتباره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 هنا بين متوسط الذكاء وبين النابغة هو السرعة في التحصيل من جهة، وكثرة ما يحصل وحذقه من جهة أخرى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فإن ابن عباس ذو قدرة واسعة في تحصيل المعلومات وعلى درجة كبيرة من النبوغ، لسرعة تحصيله الفائقة لمختلف معلوماته ، وكثرتها كثرة كادت تستوعب مختلف معارف عصره، وله أساليب في تحصيلها يكاد ينفرد بها بين معاصريه</w:t>
      </w:r>
    </w:p>
    <w:p>
      <w:pPr>
        <w:pStyle w:val="BookText"/>
        <w:rPr/>
      </w:pPr>
      <w:r>
        <w:rPr>
          <w:rFonts w:ascii="Amiri" w:hAnsi="Amiri" w:eastAsia="Amiri" w:cs="Amiri"/>
          <w:color w:val="111111"/>
          <w:sz w:val="28"/>
          <w:sz w:val="28"/>
          <w:szCs w:val="28"/>
          <w:rtl w:val="true"/>
          <w:lang w:bidi="ar-SA"/>
        </w:rPr>
        <w:t>وقبل أن ندخل في تقييم هذا الجانب من جوانب شخصيّته، ونشخّص مستواه الثقافي العام، من طريق ما قيمه معاصروه، أو خلّفه هو من آثار ، أرى أن نعرض لمختلف معارف عصره بشيء من الحديث، كتمهيد لمعرفة مدى علقته بثقافة عصره تأثيراً وتأثّراً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أن الثقافة العربية قبل الإسلام في الحجاز كانت محدودة في غالبها، تبعاً لضيق حضارتهم، وكانت لا تعدو في واقعها الشعر نظماً ورواية، وبعض الفنون الأدبية الأخرى كالخطابة والكلم القصار ، ثمّ التأريخ وأخبار العرب في غزواتهم ومآثرهم بما فيها من جوانب أسطورية كان يعتمدها رواة الحديث والقصاصون غالباً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الإسلام فوسّع من حضارتهم، ونشأت تبعاً لذلك علوم أخرى، تناول بعضها القرآن تدويناً وتفسيراً، وبعضها السيرة، وسنّة النبي صلی الله علیه و آله وسلم جمعاً ورواية، وبعضها الثالث الفقه والتشريع</w:t>
      </w:r>
      <w:r>
        <w:rPr>
          <w:rFonts w:eastAsia="IRNazanin" w:cs="IRNazanin"/>
          <w:color w:val="111111"/>
          <w:sz w:val="28"/>
          <w:szCs w:val="28"/>
          <w:rtl w:val="true"/>
          <w:lang w:bidi="fa-IR"/>
        </w:rPr>
        <w:t xml:space="preserve">. </w:t>
      </w:r>
      <w:bookmarkStart w:id="63" w:name="pg15232_165706"/>
    </w:p>
    <w:p>
      <w:pPr>
        <w:pStyle w:val="BookText"/>
        <w:rPr/>
      </w:pPr>
      <w:bookmarkEnd w:id="63"/>
      <w:r>
        <w:rPr>
          <w:rFonts w:ascii="Amiri" w:hAnsi="Amiri" w:eastAsia="Amiri" w:cs="Amiri"/>
          <w:color w:val="111111"/>
          <w:sz w:val="28"/>
          <w:sz w:val="28"/>
          <w:szCs w:val="28"/>
          <w:rtl w:val="true"/>
          <w:lang w:bidi="ar-SA"/>
        </w:rPr>
        <w:t>وكثرت الفتوح وامتزجت الثقافات وتفاعلت، فتولّد من ذلك نواة علوم أخرى، يرتبط بعضها بالكلام والفلسفة، وبعضها بالأديان السابقة وملابساتها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توسّع التأريخ فشمل أمماً أخرى، وتناول في روايته أكثر من جانب من جوانبهم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547285_2142443653"/>
      <w:bookmarkStart w:id="65" w:name="_Toc22"/>
      <w:bookmarkEnd w:id="64"/>
      <w:r>
        <w:rPr>
          <w:rtl w:val="true"/>
        </w:rPr>
        <w:t>معارف وتقييم</w:t>
      </w:r>
      <w:bookmarkEnd w:id="65"/>
    </w:p>
    <w:p>
      <w:pPr>
        <w:pStyle w:val="BookText"/>
        <w:rPr/>
      </w:pPr>
      <w:r>
        <w:rPr>
          <w:rFonts w:ascii="IRNazanin" w:hAnsi="IRNazanin" w:eastAsia="IRNazanin"/>
          <w:color w:val="111111"/>
          <w:sz w:val="28"/>
          <w:sz w:val="28"/>
          <w:szCs w:val="28"/>
          <w:rtl w:val="true"/>
          <w:lang w:bidi="fa-IR"/>
        </w:rPr>
        <w:t>وقد قدّر لابن عباس أن يدرك هذا العصر بجميع معارفه، فيعيها وعياً كاملاً، ويضيف إليها من تجاربه ما يعمّق الكثير منها أو يزيد في رصيدها، وقد حدّد لنا بعض رواته ما وعاه منها ، وما طرقه من بحوث، يقول عبيد الله بن عبد الله 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ابن عباس قد فات الناس بخصال، بعلم ما سبقه، وفقه فيما احتيج إليه من رأيه، وحلم وسبب وتأويل، وما رأيت أحداً كان أعلم بما سبقه من حديث رسول الله صلی الله علیه و آله وسلم منه، ولا بقضاء أبي بكر وعمر وعثمان منه، ولا أفقه في رأي منه، ولا أعلم بشعر ولا عربية، ولا بتفسير القرآن، ولا بحساب ولا بفريضة منه، ولا أعلم بما مضى ولا أثقف رأياً فيما احتيج إليه منه، ولقد كان يجلس يوماً ولا يذكر فيه إلّا الفقه ويوماً التأويل ويوماً المغازي، ويوماً الشعر، ويوماً أيام العرب، وما رأيت عالماً قطّ جلس إليه إلّا خضع له، وما رأيت سائلاً قط سأله إلا وجد عنده علماً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نظائر سبق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لنا عدة أمور، يتعلق بعضها بتقييمه من وجهة نظره فيه،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فات الناس بخصال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أعلم بما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بتقييم معاصريه وبخضوعهم له، وثالثة بالمعارف التي يحسنها، وهي </w:t>
      </w:r>
    </w:p>
    <w:p>
      <w:pPr>
        <w:pStyle w:val="BookText"/>
        <w:rPr/>
      </w:pPr>
      <w:r>
        <w:rPr>
          <w:rFonts w:ascii="Amiri" w:hAnsi="Amiri" w:eastAsia="Amiri" w:cs="Amiri"/>
          <w:color w:val="111111"/>
          <w:sz w:val="28"/>
          <w:sz w:val="28"/>
          <w:szCs w:val="28"/>
          <w:rtl w:val="true"/>
          <w:lang w:bidi="ar-SA"/>
        </w:rPr>
        <w:t>ترجع في أصولها إلى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والتأريخ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والشعر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ونضيف إليها بعض المسائل الكلامية التي كان يطرقها ابن عباس ولم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قبل أن ندخل في دراسة هذه الجوانب وتقييمها أن نلتمس آراء معاصريه فيها جملة، ونلقيها كأضواء بين يدي بحثنا ، فربّما عثرنا فيها على ما يضيء لنا السبيل إلى الحكم له أو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عن هؤلاء أساتذة، وزملاء، وتلاميذ، يكاد يتفق على رفعه إلى القمة من أعلام ذلك العصر، وفي الكثير منها تفضيله على مختلف معاصريه، اللهم إلّا بعض الروايات، فقد استثنت كبير أساتذته بعد رسول الله صلی الله علیه و آله وسلم الإمام علي علیه السلام من ذلك</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تضاعيف حديثه ما يقرّ هذا الاستثناء ويعترف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فالخليفة عمر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علمت علماً ما علمناه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أنك تنطق عن بيت نبوّة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ابن عباس أسناننا ما عشره منّا رجل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جاء نظير هذا 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ابن عباس أسناننا ما عشره منا أحد</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إلا أن رواية النهاية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عاشره منا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عقب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لو كان في السن مثلنا ما بلغ أحد منّا عشر علمه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ويقول فيه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أحضر فهماً، ولا ألبّ لباً، ولا أكثر علماً، ولا أوسع حلماً من ابن عباس، ولقد رأيت عمر يدعوه للمعضلات،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قد جاءتك معضلة، ثم لا يجاوز قوله ، وإن حوله لأهل بدر من المهاجرين والأنصار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وكان ابن عمر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أعلمنا ابن عباس</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وترى فيه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أعلم من بقي قالتها حين قال لها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الناس على ابن عباس منقصفين</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أُثر عن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 ابن عباس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حبر هذه الأمة، أوتي عقلاً وعلماً وفهماً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وقال فيه طلحة بن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 ابن عباس فهماً ولقناً وعلماً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ويقول جابر بن عبد الله وقد بلغه موت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أعلم الناس وأحلم الناس</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 أمثالها صدرت عن أمثال هؤلاء في حقه، وهي تجمع أو تكاد على رفعه إلى المقام الأول من بين العلماء المعاصرين له، وربّما دخلت بعضها بعض المبالغات، وتُزيّد في الكثير منها، كما تقتضيه عادة أمثالها بالنسبة إلى أمثاله تمن كان موضعاً لازدحام العوامل للوضع عليه، على نحو ما شرحناه في مقدمة الجزء الأول من هذا الكتاب ولكن ذلك لا يمنعنا من الاعتراف بتواتر مضمونها ؛ لكثرة رواته وتنوّعهم وامتناع تواطئهم على الكذب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تلامذته ورواته فقد كانوا هم الآخرين أكثر إعجاباً بعلمه من أي أحد، وكلماتهم طافحة بالإكبار له بأمثال التقييمات السابقة، وما يفوقها إعجاباً وإكباراً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فأبن المسبب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أعلم الناس</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ويقول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مثله قط ولقد مات يوم مات وإنه لحبر هذه الأمّة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ويقول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مجلساً أكرم من مجلس ابن عباس، ولا أكثر فقهاً، ولا أعظم هيبة، أصحاب القرآن يسألونه، وأصحاب العربية يسألونه، وأصحاب الشعر يسألونه، فكلهم يصدر في واد أوسع</w:t>
      </w:r>
      <w:r>
        <w:rPr>
          <w:rFonts w:eastAsia="Amiri" w:cs="Amiri" w:ascii="Amiri" w:hAnsi="Amiri"/>
          <w:color w:val="111111"/>
          <w:sz w:val="28"/>
          <w:szCs w:val="28"/>
          <w:rtl w:val="true"/>
          <w:lang w:bidi="ar-SA"/>
        </w:rPr>
        <w:t>» ( ) .</w:t>
      </w:r>
      <w:r>
        <w:rPr>
          <w:rStyle w:val="FootnoteAnchor"/>
          <w:rtl w:val="true"/>
        </w:rPr>
        <w:footnoteReference w:id="1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رافع بن خديج يوم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اليوم من كان يحتاج إليه من بين المشرق </w:t>
      </w:r>
    </w:p>
    <w:p>
      <w:pPr>
        <w:pStyle w:val="BookText"/>
        <w:rPr/>
      </w:pPr>
      <w:r>
        <w:rPr>
          <w:rFonts w:ascii="Amiri" w:hAnsi="Amiri" w:eastAsia="Amiri" w:cs="Amiri"/>
          <w:color w:val="111111"/>
          <w:sz w:val="28"/>
          <w:sz w:val="28"/>
          <w:szCs w:val="28"/>
          <w:rtl w:val="true"/>
          <w:lang w:bidi="ar-SA"/>
        </w:rPr>
        <w:t>والمغرب في العالم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وقيل لطاووس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لزمت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الأكابر من</w:t>
      </w:r>
    </w:p>
    <w:p>
      <w:pPr>
        <w:pStyle w:val="BookText"/>
        <w:rPr/>
      </w:pPr>
      <w:r>
        <w:rPr>
          <w:rFonts w:ascii="IRNazanin" w:hAnsi="IRNazanin" w:eastAsia="IRNazanin"/>
          <w:color w:val="111111"/>
          <w:sz w:val="28"/>
          <w:sz w:val="28"/>
          <w:szCs w:val="28"/>
          <w:rtl w:val="true"/>
          <w:lang w:bidi="fa-IR"/>
        </w:rPr>
        <w:t xml:space="preserve">أصحاب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سبعين من أصحاب رسول الله صلی الله علیه و آله وسلم إذا تدارؤوا في شيء صاروا إلى قول ابن عباس</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نحو خمسمائة من أصحاب النبي صلی الله علیه و آله وسلم ، إذا ذكروا ابن عباس فخالفوه لم يزل يقرّرهم حتى ينتهوا إلى قوله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وكان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على الناس كما تسبق النخلة السحوق على الودي الصغار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وكان عطاء إذا حدّث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البحر وفعل البحر</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أمثال هذا الكلم، وهي كسابقاتها في دخول المبالغة لبعضها، إلّا أنّها متواترة مضموناً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كلمات خصّصت في إكباره في بعض العلوم، كالفقه والتفسير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في مواضعها من الأحاديث الآتية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انتهينا إليه أنّه كان موضع إكبار معاصريه من الصحابة والتابعين، وما رأيت من وهّن من مقامه العلمي حتى من قبل أعدائه، أو من لا يميل إليه، فهذا عبد الله بن عمرو بن العاص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أعلمنا بما مضى، وأفقهنا فيما نزل، مما لم يأت فيه شيء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يراه أفقه من مات وعاش</w:t>
      </w:r>
      <w:r>
        <w:rPr>
          <w:rStyle w:val="FootnoteAnchor"/>
          <w:rtl w:val="true"/>
        </w:rPr>
        <w:footnoteReference w:id="130"/>
      </w:r>
      <w:r>
        <w:rPr>
          <w:rFonts w:ascii="Amiri" w:hAnsi="Amiri" w:eastAsia="Amiri" w:cs="Amiri"/>
          <w:color w:val="111111"/>
          <w:sz w:val="28"/>
          <w:sz w:val="28"/>
          <w:szCs w:val="28"/>
          <w:rtl w:val="true"/>
          <w:lang w:bidi="ar-SA"/>
        </w:rPr>
        <w:t xml:space="preserve">، وسيأتي رأي عائشة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رأي من تأخّر عنه من العلماء والمؤلّفين فهو لا يختلف عن رأي معاصريه بشيء، وحسبك أن تعرض إلى أي كتاب من كتب الفقه أو التفسير أو الحديث أو التأريخ أو التراجم – وفيه تقييم لعلماء ذلك العصر وعرض لآرائهم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ما يحيطونه به من إكبار، وما رأيت من طعن أو شكك في مقامه العلميّ أو الأدبي في جملة ما رجعت له في دراستي من مراجع قديمة كانت أو حديثة، وفي قائمة ما رجعت إليه منها في ذيل الكتاب ما يغني عن الإطالة في عرضها لمن أراد التوسع في هذا الموضوع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 صاحب هذا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 له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يتضح من دراسته له في مختلف مجالاته الثقافية، وتقييمه في ضوء ما ينتهي إليه من رأي</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5232_165713"/>
      <w:bookmarkStart w:id="67" w:name="pg15232_165713"/>
      <w:bookmarkEnd w:id="67"/>
    </w:p>
    <w:p>
      <w:pPr>
        <w:pStyle w:val="Heading3"/>
        <w:numPr>
          <w:ilvl w:val="2"/>
          <w:numId w:val="1"/>
        </w:numPr>
        <w:rPr/>
      </w:pPr>
      <w:bookmarkStart w:id="68" w:name="pg15232_165713"/>
      <w:bookmarkStart w:id="69" w:name="__RefHeading___Toc3547287_2142443653"/>
      <w:bookmarkStart w:id="70" w:name="_Toc23"/>
      <w:bookmarkEnd w:id="68"/>
      <w:bookmarkEnd w:id="69"/>
      <w:r>
        <w:rPr/>
        <w:t>1</w:t>
      </w:r>
      <w:r>
        <w:rPr>
          <w:rtl w:val="true"/>
        </w:rPr>
        <w:t xml:space="preserve">- </w:t>
      </w:r>
      <w:r>
        <w:rPr>
          <w:rtl w:val="true"/>
        </w:rPr>
        <w:t>القرآن</w:t>
      </w:r>
      <w:bookmarkEnd w:id="70"/>
    </w:p>
    <w:p>
      <w:pPr>
        <w:pStyle w:val="Heading4"/>
        <w:numPr>
          <w:ilvl w:val="3"/>
          <w:numId w:val="1"/>
        </w:numPr>
        <w:rPr/>
      </w:pPr>
      <w:bookmarkStart w:id="71" w:name="__RefHeading___Toc3547289_2142443653"/>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فإنه كان يقدّم حديثه على غيره من معارفه، يقول بعض مؤرخيه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يبدأ في مجلسه بالقرآن ثم بالتفسير ثم بالحديث</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سنعطي هذا الجانب أهمية، ونبدأ بالتحدّث عنه، ثم نتبعه بالحديث عنها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هو الكتاب المنزل على رسول الله صلى الله عليه و آله وسلم في نوب متفرقة تبعاً لبواعث وأسباب النزول، وقد حدّث عن أكثر تلكم الاسباب، وهي تلقي كثيراً من الأضواء على فهم النصوص القرآنية فهماً كاملاً، وفي كتب التفسير عرض لأحاديثه المختلفة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كتاب المباني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يحدّث عن هذا الجانب من جوانب معرفته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ما يعرف من جهة الأسباب التي أنزلت الآيات فيها، والأحوال التي وجهت إليها، وذلك ما قد كان ابن عباس شاهد الكثير منها ، وما لم يشاهده، فقد كان يحدّث به ليلاً ونهاراً في بيت رسول الله صلى الله عليه و آله وسلم ، و في مجالسه، حتى كان ذلك عنده بمنزلة المشاهد الذي لا استرابة فيه، ومن هذا الوجه يعرف العام والخاص، وما هو من الأوامر</w:t>
      </w:r>
    </w:p>
    <w:p>
      <w:pPr>
        <w:pStyle w:val="BookText"/>
        <w:rPr/>
      </w:pPr>
      <w:r>
        <w:rPr>
          <w:rFonts w:ascii="Amiri" w:hAnsi="Amiri" w:eastAsia="Amiri" w:cs="Amiri"/>
          <w:color w:val="111111"/>
          <w:sz w:val="28"/>
          <w:sz w:val="28"/>
          <w:szCs w:val="28"/>
          <w:rtl w:val="true"/>
          <w:lang w:bidi="ar-SA"/>
        </w:rPr>
        <w:t>حتم وما ليس بختم و به يفرّق بين الناسخ والمنسوخ</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كلام متين جداً، وفي عرضنا العلائقه بالنبي صلى الله عليه و آله وسلم وتتبعه لمختلف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حتى المراهقة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من صحة هذا الكلام، ولو لم يكن هناك سند تأريخي </w:t>
      </w:r>
      <w:bookmarkStart w:id="73" w:name="pg15232_165714"/>
    </w:p>
    <w:p>
      <w:pPr>
        <w:pStyle w:val="BookText"/>
        <w:rPr/>
      </w:pPr>
      <w:bookmarkEnd w:id="73"/>
      <w:r>
        <w:rPr>
          <w:rFonts w:ascii="IRNazanin" w:hAnsi="IRNazanin" w:eastAsia="IRNazanin"/>
          <w:color w:val="111111"/>
          <w:sz w:val="28"/>
          <w:sz w:val="28"/>
          <w:szCs w:val="28"/>
          <w:rtl w:val="true"/>
          <w:lang w:bidi="fa-IR"/>
        </w:rPr>
        <w:t xml:space="preserve">يؤيد ما جاء فيه لكان لنا من فهمنا لنفسيته وذكاءه، وما تقتضيه طبيعة الأحوال بالنسبة إلى مثله من ذوي العلائق المؤكدة ببطليه النبي صلى الله عليه و آله وسلم والإمام علي علیه السلام ، ما يكفي لتأييده، وبخاصّة وأنه كان في سن قربته من درجة اكتمال ذكائه،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البحوث المختلفة على أن نمو الذكاء يقف حوالي سن الخامسة عشر</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 وإن لم يكن 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النمو العقليّ يقف، ولكن النمو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نمو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ما دامت عملية كسب الخبرة فعالة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ألزم الأكابر من أصحاب رسول الله صلى الله عليه و آله وسلم من المهاجرين والأنصار، فأسألهم عن مغازي رسول الله، وما نزل من القرآن في ذلك</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على أن كثيراً من الأسباب كانت تهمه معرفتها والحديث عنها؛ لعلاقتها ببطله أو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وقد مرّ الحديث عنهما وعن نظائرهما في موضعهما من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بعض المعنيين بهذه البحوث أن لصاحبنا مصحفاً خاصاً يختلف بعض جوانبه عن مصحف عثمان، وقد عنون له السجستاني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ابن عباس</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547291_2142443653"/>
      <w:bookmarkStart w:id="75" w:name="_Toc25"/>
      <w:bookmarkEnd w:id="74"/>
      <w:r>
        <w:rPr>
          <w:rtl w:val="true"/>
        </w:rPr>
        <w:t>مصحف ابن عباس</w:t>
      </w:r>
      <w:bookmarkEnd w:id="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مصحفه هذا أن هناك اختلافات في بعض مأثوراته من الآيات مع </w:t>
      </w:r>
    </w:p>
    <w:p>
      <w:pPr>
        <w:pStyle w:val="BookText"/>
        <w:rPr/>
      </w:pPr>
      <w:r>
        <w:rPr>
          <w:rFonts w:ascii="Amiri" w:hAnsi="Amiri" w:eastAsia="Amiri" w:cs="Amiri"/>
          <w:color w:val="111111"/>
          <w:sz w:val="28"/>
          <w:sz w:val="28"/>
          <w:szCs w:val="28"/>
          <w:rtl w:val="true"/>
          <w:lang w:bidi="ar-SA"/>
        </w:rPr>
        <w:t>مصحف عثمان، وقد سجّل له السجستاني في ستة عشر موضعاً خالف فيها المصحف المتداول</w:t>
      </w:r>
      <w:r>
        <w:rPr>
          <w:rStyle w:val="FootnoteAnchor"/>
          <w:rtl w:val="true"/>
        </w:rPr>
        <w:footnoteReference w:id="138"/>
      </w:r>
      <w:r>
        <w:rPr>
          <w:rFonts w:ascii="Amiri" w:hAnsi="Amiri" w:eastAsia="Amiri" w:cs="Amiri"/>
          <w:color w:val="111111"/>
          <w:sz w:val="28"/>
          <w:sz w:val="28"/>
          <w:szCs w:val="28"/>
          <w:rtl w:val="true"/>
          <w:lang w:bidi="ar-SA"/>
        </w:rPr>
        <w:t>، وكلّها لا تخلو من زيادة أو نقيصة، والآيات التي سجّلها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لا يطوف بهما، بزيادة لا، فالآية المقروءة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يَطَّوَفَ بِهِمَا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أن تبتغوا فضلاً من الله في مواسم الحج، والآية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الله في مواسم الحج، والآية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يخوّفكم أولياءه،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الشَّيْطَنُ يُخَوِّفُ أَوْلِيَاءَهُ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بحذف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الحج والعمرة للبيت والمرسوم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وشاروهم في بعض الأمر، والمرسوم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 وليس في القرآن المتداول ولا محدّث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العبادة و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يَاحَسْرَةً عَلَى الْعِبَادِ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حفي بها، وفي القرآن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السراح ،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ويقول الراسخون آمنا به والآية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وَالرَاّسِحُونَ فِي الْعِلْمِ يَقُولُونَ ءَامَنَّا بِهِ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آمنوا بالذي آمنتم به فقد اهتدوا،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ءَامَنُوا بِمِثْلِ مَا ءَامَنتُم بِهِ فَقَدِ اهْتَدَوا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حافظوا على الصلوات والصلاة الوسطى وصلاة العصر، بزيادة وصلاة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إلى أجل مسمى،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طيبات كانت أحلت لكم ،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عَلَيْهِمْ طَيِّبَاتٍ أُحِلَّتْ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فتح الله والنصر، والمقروء،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 نظيرها عنه، كما أثر قسم منها وغيرها من غيره من الصحابة، كعمر، </w:t>
      </w:r>
    </w:p>
    <w:p>
      <w:pPr>
        <w:pStyle w:val="BookText"/>
        <w:rPr/>
      </w:pPr>
      <w:r>
        <w:rPr>
          <w:rFonts w:ascii="Amiri" w:hAnsi="Amiri" w:eastAsia="Amiri" w:cs="Amiri"/>
          <w:color w:val="111111"/>
          <w:sz w:val="28"/>
          <w:sz w:val="28"/>
          <w:szCs w:val="28"/>
          <w:rtl w:val="true"/>
          <w:lang w:bidi="ar-SA"/>
        </w:rPr>
        <w:t>وعائشة، وأُبي بن كعب، وعبد الله بن مسعود وابن عمر، وابن الزبير، وأمثالهم،ممن حفل كتاب المصاحف وغيره من الكتب المعنية بتسجيل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وصاحبنا نفسه يروي عن عمر آية الرجم، ففي حديث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بن الخطاب وهو يخطب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بعث محمداً صلی الله علیه و آله وسلم بالحّق وأنزل معه الكتاب، فكان فيما أنزل عليه آية الرجم فرجم رسول الله ورجمنا بعده، وإني أخاف والله أن يطول بالناس زمان، فيقول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الرجم في كتاب الله، فيضلوا لترك فريضة أنزلها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لا ترغبوا عن آبائكم فإنه كفر بكم أو شران كفر بكم أن ترغبوا عن آبائكم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والمأثور عن ابن مسعود أنه كان يرى وجود الزيادة في القرآن المتداول، بالإضافة إلى ما يرى في بعض آياته من التحريف بالنقيصة، وقد حذف من مصحفه أمّ الكتاب، والمعوذتين،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تزيدون في كتاب الله ما ليس فيه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والغريب ما أثر عن ابن عباس، وزيد بن ثابت، وأُبيّ بن كعب من تسجيلهم بمصاحفهم سورتين غريبتين في اسلوبهما ومضامينهما،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إنا نستعينك ونستغفرك ونثني عليك الخير ولا نكفرك ونخلع ونترك من يفجر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إياك نعبد ولك نصلي ونسجد وإليك نسعى ونحفد نرجو رحمتك ونخشى عذابك الجدّ إن عذابك بالكافرين ملحق</w:t>
      </w:r>
      <w:r>
        <w:rPr>
          <w:rFonts w:eastAsia="Amiri" w:cs="Amiri" w:ascii="Amiri" w:hAnsi="Amiri"/>
          <w:color w:val="111111"/>
          <w:sz w:val="28"/>
          <w:szCs w:val="28"/>
          <w:rtl w:val="true"/>
          <w:lang w:bidi="ar-SA"/>
        </w:rPr>
        <w:t>».</w:t>
      </w:r>
      <w:r>
        <w:rPr>
          <w:rStyle w:val="FootnoteAnchor"/>
          <w:rtl w:val="true"/>
        </w:rPr>
        <w:footnoteReference w:id="154"/>
      </w:r>
      <w:bookmarkStart w:id="76" w:name="pg15232_165718"/>
    </w:p>
    <w:p>
      <w:pPr>
        <w:pStyle w:val="BookText"/>
        <w:rPr/>
      </w:pPr>
      <w:bookmarkEnd w:id="76"/>
      <w:r>
        <w:rPr>
          <w:rFonts w:ascii="Amiri" w:hAnsi="Amiri" w:eastAsia="Amiri" w:cs="Amiri"/>
          <w:color w:val="111111"/>
          <w:sz w:val="28"/>
          <w:sz w:val="28"/>
          <w:szCs w:val="28"/>
          <w:rtl w:val="true"/>
          <w:lang w:bidi="ar-SA"/>
        </w:rPr>
        <w:t>وقد سماها الراغب الأصفهاني بسورتي القنوت</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وسماهما غيره بسورتي الخلع والحفد؛ لورود مادّة هاتين الكلمتين فيهما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ولهذه الزيادات أو النقائص أمثال وردت عنه، لا يهم استقصاؤها الآن، والمهم أن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تجرنا إليه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تحريف القرآن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547293_2142443653"/>
      <w:bookmarkStart w:id="78" w:name="_Toc26"/>
      <w:bookmarkEnd w:id="77"/>
      <w:r>
        <w:rPr>
          <w:rtl w:val="true"/>
        </w:rPr>
        <w:t>التحريف في القرآن</w:t>
      </w:r>
      <w:bookmarkEnd w:id="78"/>
    </w:p>
    <w:p>
      <w:pPr>
        <w:pStyle w:val="BookText"/>
        <w:rPr/>
      </w:pPr>
      <w:r>
        <w:rPr>
          <w:rFonts w:ascii="Amiri" w:hAnsi="Amiri" w:eastAsia="Amiri" w:cs="Amiri"/>
          <w:color w:val="111111"/>
          <w:sz w:val="28"/>
          <w:sz w:val="28"/>
          <w:szCs w:val="28"/>
          <w:rtl w:val="true"/>
          <w:lang w:bidi="ar-SA"/>
        </w:rPr>
        <w:t xml:space="preserve">وقصة التحريف والزيادة والنقيصة فيه من القصص التي ملكت على العلماء كثيراً من أفكارهم وأقلامهم، فأطنبوا في البحث عنها، والحديث فيها، والاستدلال لها أو عليها، وقد استقرت كلمة محققيهم على دفعها سواء منهم الشيعة أم السنة، وانفرد قسم قليل من كل منهما بالقول بالنقيصة، كالحشوية من السنة وبعض المحدّثين من الشيعة </w:t>
      </w:r>
      <w:r>
        <w:rPr>
          <w:rStyle w:val="FootnoteAnchor"/>
          <w:rtl w:val="true"/>
        </w:rPr>
        <w:footnoteReference w:id="157"/>
      </w:r>
      <w:r>
        <w:rPr>
          <w:rFonts w:ascii="Amiri" w:hAnsi="Amiri" w:eastAsia="Amiri" w:cs="Amiri"/>
          <w:color w:val="111111"/>
          <w:sz w:val="28"/>
          <w:sz w:val="28"/>
          <w:szCs w:val="28"/>
          <w:rtl w:val="true"/>
          <w:lang w:bidi="ar-SA"/>
        </w:rPr>
        <w:t>، وكتب في نقض أقوالهم عشرات الصفحات من مختلف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زيادة السورة في القرآن فالظاهر إجماعهم على خلافها، ولم يعرف بها قائل يقام لرأيه ،وزن اللّهم إلّا ما نسب إلى ابن مسعود، وربّما اعتبر عدمها ضرورة من الضرورات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من البلغاء من يطيق مجاراة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المعجز بالإتيان بسورة من مثله لنحلق ،به ويخفى شأنها على المعنيين به جمعاً، وحفظاً، وتقييماً، مع ما عرف من تحدّيه للعرب وغيرهم بذلك، وعجزهم عن مجاراته ومحاكاته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النقيصة، أو زيادة كلمة أو كلمتين، فشأنهما أهون من شأن زيادة سورة كاملة، فقد استدل لدفعها بأدلّة وافرة من الكتاب 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بالإضافة إلى بعض الاعتبارات من لزوم تعطيل الكتاب عن الاستدلال بآياته، على ما ورد فيها من أحكام لاحتمال طرو النقص والتحريف عليها، وهو بمنزلة القرينة المتصلة التي لا ينعقد للكلام ظهور قبل الاعتماد على دفعها، ولو بأصل عقلائي، مثل أصالة عدم القرينة، وهو اصل لا يجريه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مستند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المقامات، كما هو مذهب المحققين من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خير ما يمكن أن يقال في دفع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القرآن لا يكون إلا بالتواتر، ومثله لا بد أن يتحقق ذلك فيه؛ لاهتمام المسلمين به على الإطلاق، وهذه الزيادات التي أُثرت سوا سواء عن ابن عباس أم عن غيره، مهما قيل في صحة نسبتها إليهم، فإنّها لا تخرجها عن أخبار الآحاد، وهي لا تنهض بالحجيّة في أمثال هذه الموارد، وإن نهضت حجيتها في موارد أخر مما لا يتهيّاً أو يتحقق فيه التواتر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هذا لوصح لكان الإنكار به على عثمان أولى من كثير مما أنكروه عليه من مفارقاته التي أدّت به إلى القتل، وقد سبق أن رأينا ما هو دونها في الأهمية، كيف كان موضعاً لإنكار أكابر الصحابة من أمثال الإمام علیه السلام وابن عباس، وأبي ذر وعمار وابن مسعود وطلحة والزبير وعائشة، وغيرهم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هم عن هذه النقائص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نبعد وصاحبنا نفسه ينكر على عثمان أن قرن بين سورة براءة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حملكم على أن عمدتم إلى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فقرنتم بينهما، ولم تكتبوا بينهما بسم الله الرحمن الرحيم، ووضعتموهما في السبع الطوال، ما حملكم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ما يأتي عليه الزمان وهو ينزّل عليه السور ذوات العدد، فكان إذا نزل عليه الشيء دعا بعض من كان يكتب فيقول ضعوا هذه الآيات في السورة التي يذكر فيها كذا وكذا ، وكانت الأنفال من أوائل ما أنزل بالمدينة، وكانت براءة من أواخر لقرآن وكانت قصتها شبيهة بقصتها، فظننت أنها منها ، فقبض رسول الله ولم يبيّن لنا أنها منها ، فمن أجل ذلك قرنت بينهما، ولم أكتب بينهما سطر بسم الله الرحمن الرحيم ووضعتهما في السبع الطوال</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فالذي ينكر على عثمان وضعه السورة في غير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يسكت على إسقاط آية أو سورة من الكتاب أو جملة ذات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حدود ما قرأت من تأريخه لم أجد له نقداً، أو إنكاراً عليه ينتظم في أمثال هذه المواضع ، على أنّ بعض ما أثر عنه في ذلك يمكن المناقشة في سنده، وبعضه يقطع بعدم صدوره عنه، كسورتي الخلع والحفد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أخبر الناس بنظم القرآن وأساليبه، وأعرفهم في الفصاحة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يمكن أن يدعي أن مثلها مما يمكن أن ينسب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فيها من ركّة الأسلوب وضعف التأليف، وسخف المضامين، والخروج على أبسط قواعد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يمكن أن يؤمن أنّ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ونثني عليك ولا نكفرك ونخلع ونترك من يفجرك وأمثالها تما مر عليكم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يتجاوز أن يكون من قبيل الإيضاحات والهوامش والتفاسير التي وضعها هو وأخذها من النبي صلى الله عليه و آله وسلم وسلم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مواسم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من صميم القرآن بشيء، واشتبه على الراوي، ولعلّ بعضها كان من قبيل سبق اللسان،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الله والنصر</w:t>
      </w:r>
      <w:r>
        <w:rPr>
          <w:rFonts w:eastAsia="Amiri" w:cs="Amiri" w:ascii="Amiri" w:hAnsi="Amiri"/>
          <w:color w:val="111111"/>
          <w:sz w:val="28"/>
          <w:szCs w:val="28"/>
          <w:rtl w:val="true"/>
          <w:lang w:bidi="ar-SA"/>
        </w:rPr>
        <w:t xml:space="preserve">» </w:t>
      </w:r>
      <w:bookmarkStart w:id="79" w:name="pg15232_165721"/>
    </w:p>
    <w:p>
      <w:pPr>
        <w:pStyle w:val="BookText"/>
        <w:rPr/>
      </w:pPr>
      <w:bookmarkEnd w:id="79"/>
      <w:r>
        <w:rPr>
          <w:rFonts w:ascii="Amiri" w:hAnsi="Amiri" w:eastAsia="Amiri" w:cs="Amiri"/>
          <w:color w:val="111111"/>
          <w:sz w:val="28"/>
          <w:sz w:val="28"/>
          <w:szCs w:val="28"/>
          <w:rtl w:val="true"/>
          <w:lang w:bidi="ar-SA"/>
        </w:rPr>
        <w:t>إذا صحت رواية أبي نوفل عن أبي عقرب عنه قال سمعت ابن عباس يقرأ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فتح الله والنصر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ومثله ليس بمعصوم، فما أيسر ورود السهو عليه، وعلى أنها لو صحت وصح إيمانه بها، لكان إيماننا باشتباهه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إيماننا باشتباه سائر المسلمين، مع امتناع تواطئهم على الكذب؛ لعدم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هناك فيما يؤثر عنه مخالفات للنص القرآني المتداول، وهي لا تتجاوز التغيير في هيأة الكلمة أو في إعرابها مما يرجع إلى اختلاف القراءات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547295_2142443653"/>
      <w:bookmarkStart w:id="81" w:name="_Toc27"/>
      <w:bookmarkEnd w:id="80"/>
      <w:r>
        <w:rPr>
          <w:rtl w:val="true"/>
        </w:rPr>
        <w:t>اختلاف القراءات</w:t>
      </w:r>
      <w:bookmarkEnd w:id="81"/>
    </w:p>
    <w:p>
      <w:pPr>
        <w:pStyle w:val="BookText"/>
        <w:rPr/>
      </w:pPr>
      <w:r>
        <w:rPr>
          <w:rFonts w:ascii="Amiri" w:hAnsi="Amiri" w:eastAsia="Amiri" w:cs="Amiri"/>
          <w:color w:val="111111"/>
          <w:sz w:val="28"/>
          <w:sz w:val="28"/>
          <w:szCs w:val="28"/>
          <w:rtl w:val="true"/>
          <w:lang w:bidi="ar-SA"/>
        </w:rPr>
        <w:t>أمثال اكتسب وكسب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سعيد بن 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أكريت نفسي إلى الحج، واشترطت عليهم أن أحجّ ، أفيجزيني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قال الله تعالى أولئك لهم نصيب مما اكتسبوا</w:t>
      </w:r>
      <w:r>
        <w:rPr>
          <w:rStyle w:val="FootnoteAnchor"/>
          <w:rtl w:val="true"/>
        </w:rPr>
        <w:footnoteReference w:id="161"/>
      </w:r>
      <w:r>
        <w:rPr>
          <w:rFonts w:ascii="Amiri" w:hAnsi="Amiri" w:eastAsia="Amiri" w:cs="Amiri"/>
          <w:color w:val="111111"/>
          <w:sz w:val="28"/>
          <w:sz w:val="28"/>
          <w:szCs w:val="28"/>
          <w:rtl w:val="true"/>
          <w:lang w:bidi="ar-SA"/>
        </w:rPr>
        <w:t>، والآية مرسومة في القرآن ممّا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قراءته لمالك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Style w:val="FootnoteAnchor"/>
          <w:rtl w:val="true"/>
        </w:rPr>
        <w:footnoteReference w:id="162"/>
      </w:r>
      <w:r>
        <w:rPr>
          <w:rFonts w:ascii="Amiri" w:hAnsi="Amiri" w:eastAsia="Amiri" w:cs="Amiri"/>
          <w:color w:val="111111"/>
          <w:sz w:val="28"/>
          <w:sz w:val="28"/>
          <w:szCs w:val="28"/>
          <w:rtl w:val="true"/>
          <w:lang w:bidi="ar-SA"/>
        </w:rPr>
        <w:t>، وقراءته لصراط الذين 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سراط الذين أنعمت </w:t>
      </w:r>
      <w:r>
        <w:rPr>
          <w:rStyle w:val="FootnoteAnchor"/>
          <w:rtl w:val="true"/>
        </w:rPr>
        <w:footnoteReference w:id="163"/>
      </w:r>
      <w:r>
        <w:rPr>
          <w:rFonts w:ascii="Amiri" w:hAnsi="Amiri" w:eastAsia="Amiri" w:cs="Amiri"/>
          <w:color w:val="111111"/>
          <w:sz w:val="28"/>
          <w:sz w:val="28"/>
          <w:szCs w:val="28"/>
          <w:rtl w:val="true"/>
          <w:lang w:bidi="ar-SA"/>
        </w:rPr>
        <w:t>، ثم قراءته واذكر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وادكر بعد أمه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ذلك كثير جداً، وقد وقع من أكثر قراء الصحابة، ومثله عادة يقع، وليس في أمثاله تواتر ليمنع من الأخذ بأخبار الآحاد، وربّما أشارت روايته عن نزول القرآن على </w:t>
      </w:r>
    </w:p>
    <w:p>
      <w:pPr>
        <w:pStyle w:val="BookText"/>
        <w:rPr/>
      </w:pPr>
      <w:r>
        <w:rPr>
          <w:rFonts w:ascii="Amiri" w:hAnsi="Amiri" w:eastAsia="Amiri" w:cs="Amiri"/>
          <w:color w:val="111111"/>
          <w:sz w:val="28"/>
          <w:sz w:val="28"/>
          <w:szCs w:val="28"/>
          <w:rtl w:val="true"/>
          <w:lang w:bidi="ar-SA"/>
        </w:rPr>
        <w:t xml:space="preserve">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محاملها إلى هذه الاختلافات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البخاري ومسلم في صحيحيهما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جبريل على حرف فراجعته فلم أزل أستزيده ويزيدني حتى انتهى إلى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تلك السبعة في الأمر الذي يكون واحداً لا يختلف في حلال وحرام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وقد حمل أبو الفضل الرازي ما جاء عن السبعة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هذه الرواية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لا يخرج عن سبعة أحرف في الاختلاف</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كاختلاف الأسماء من إفراد وتثنية وجمع وتذكير وتأنيث ، واختلاف تصريف الأفعال من ماضٍ ومضارعٍ وأمر ، واختلافٍ وجوه الإعراب واختلافِ بالنقص والزيادة، واختلاف بالتقديم والتأخير، واختلاف بالإبدال، ثم اختلاف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 رواية له أخرى أنها أرادت بالسبعة أحرف هي الاختلاف باللغات، ففي رواية أبي صالح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 يردّد منها في هوازن خمسة أحرف وفي سائر العرب حرفان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وفي أخرى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 خمسة منها للعجوز من هوازن سعد بن بكر وجشم بن بكر ونصر بن معاوية وثقيف</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شغل حديث هذه السبعة، واختلاف الرواية فيها باختلاف الرواة أقلام الكتاب فحبّروا فيها وفي توجيهها مئات الأوراق ، وفيهم من أنكر صحّتها؛ لاضطراب </w:t>
      </w:r>
    </w:p>
    <w:p>
      <w:pPr>
        <w:pStyle w:val="BookText"/>
        <w:rPr/>
      </w:pPr>
      <w:r>
        <w:rPr>
          <w:rFonts w:ascii="Amiri" w:hAnsi="Amiri" w:eastAsia="Amiri" w:cs="Amiri"/>
          <w:color w:val="111111"/>
          <w:sz w:val="28"/>
          <w:sz w:val="28"/>
          <w:szCs w:val="28"/>
          <w:rtl w:val="true"/>
          <w:lang w:bidi="ar-SA"/>
        </w:rPr>
        <w:t>روايتها وتناقض و اختلاف مضامينها، وليس المهمّ تحقيقها الآن، وإن كان مضمون رواية ابن عباس من المراجعة لجبرائيل واستزادته ما يثير فيها بعض علائم التعجب والاستفهام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فاختلاف القراءات في ضمن هذه الحدود مما لا شك فيه، وربّما ادعى بعضهم أن هذه القراءات المعروفة بالقراءات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عاصم، وابن عامر، وابن كثير، وأبي عمرو، وحمزة، ونافع، والكسائي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العشر وهي نفسها بضميمة قراءة يزيد بن القعقاع، ويعقوب بن إسحق الحضرمي وخلف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يقول الزرقاني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الذي يؤيده الدليل هو أن القراءات العشرة كلّها متواترة، وهو رأي المحققين من الأصوليين والقراء كابن السبكي، وابن الجزري، والنويري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وخالف في ذلك أكثر الباحثين، وليس هنا موضع تحقيقها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صح مثل ذلك التواتر، وعلمنا أن النبي صلی الله علیه و آله وسلم ، جوّز هذه القراءات، وعنه وردت للتخفيف عن أمته أو غير ذلك من الأسباب التي ذكرت، ولا يمكن أن يطمأن إليها سهل علينا تأويل رجوع أكثر هؤلاء القراء بأسانيدهم المسلسلة إلى ابن عباس، ثم إلى أحد مقرئيه وهو أبي بن كعب، فقراءة نافع عن أبي جعفر القارئ وعن سبعين من التابعين، وهم أخذوا عن عبد الله بن العباس وأبي هريرة عن أبي بن كعب </w:t>
      </w:r>
      <w:r>
        <w:rPr>
          <w:rStyle w:val="FootnoteAnchor"/>
          <w:rtl w:val="true"/>
        </w:rPr>
        <w:footnoteReference w:id="170"/>
      </w:r>
      <w:r>
        <w:rPr>
          <w:rFonts w:ascii="Amiri" w:hAnsi="Amiri" w:eastAsia="Amiri" w:cs="Amiri"/>
          <w:color w:val="111111"/>
          <w:sz w:val="28"/>
          <w:sz w:val="28"/>
          <w:szCs w:val="28"/>
          <w:rtl w:val="true"/>
          <w:lang w:bidi="ar-SA"/>
        </w:rPr>
        <w:t xml:space="preserve">كما أن يزيد بن القعقاع أخذ عنهما عن أبي </w:t>
      </w:r>
      <w:r>
        <w:rPr>
          <w:rStyle w:val="FootnoteAnchor"/>
          <w:rtl w:val="true"/>
        </w:rPr>
        <w:footnoteReference w:id="171"/>
      </w:r>
      <w:r>
        <w:rPr>
          <w:rFonts w:ascii="IRNazanin" w:hAnsi="IRNazanin" w:eastAsia="IRNazanin"/>
          <w:color w:val="111111"/>
          <w:sz w:val="28"/>
          <w:sz w:val="28"/>
          <w:szCs w:val="28"/>
          <w:rtl w:val="true"/>
          <w:lang w:bidi="fa-IR"/>
        </w:rPr>
        <w:t xml:space="preserve">، وقد روى أبو عمرو زبان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مجاهد بن </w:t>
      </w:r>
    </w:p>
    <w:p>
      <w:pPr>
        <w:pStyle w:val="BookText"/>
        <w:rPr/>
      </w:pPr>
      <w:r>
        <w:rPr>
          <w:rFonts w:ascii="IRNazanin" w:hAnsi="IRNazanin" w:eastAsia="IRNazanin"/>
          <w:color w:val="111111"/>
          <w:sz w:val="28"/>
          <w:sz w:val="28"/>
          <w:szCs w:val="28"/>
          <w:rtl w:val="true"/>
          <w:lang w:bidi="fa-IR"/>
        </w:rPr>
        <w:t>جبر وسعيد بن جبير عن ابن عباس عن أبي بن كعب عن رسول الله صلی الله علیه و آله وسلم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وكذلك ابن كثير، فقد روى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عن ابن عباس عن أبي بن كعب عن رسول صلی الله علیه و آله وسلم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ومن البعيد أن يقع في هذا الاختلاف الذي تقتضيه طبيعة اختلاف قراءاتهم عنه بحكم وقوعه في سلسلة الإسناد، إذا كانت الواقعة واحدة لا تقبل أكثر من قراءة واحدة، وما يقال بالنسبة له يقال بالنسبة لمقرئه أُبيّ، أو لرسول الله صلی الله علیه و آله وسلم الذي يرجعون إليه جميعاً اللهم إلّا إذا كان في بعض أسانيدها ما يوجب القلق، وهي لا تخرج عن كونها أخبار آحاد، ولا أقل من كونها أخبار آحاد في بعض طبقات رواتها، ومن شروط التواتر أن يكون متسلسلاً في جميع الطبقات، ولا يكون في طبقة دون طبقة، ولو تسلسل في جميع الطبقات لكان انتهاؤها إلى أحد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واحد – يوجب اعتبارها من أخبار الآحاد حتماً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أخاله أن الواقعة لا تحتمل أكثر من قراءة فمع التعارض في ورودها عن صاحبنا، تأخذ بأوثق الروايتين سنداً وأرفعهما مضموناً وأبلغهما أسلوباً، تبعاً لما يتناسب مع صدق صاحبنا وعلقته بالمصادر الأولية للقرآن الكريم وتقييمه لمنزلته البلاغية التي لا تجارى، وحسبه في ضبطه لكل ما يتعلق بقراءة القرآن أن يكون مقرئاً على صغر سنّه لأمثال عمر بن الخطاب وعبد الرحمن بن عوف بالإضافة إلى رجال من المهاجرين </w:t>
      </w:r>
      <w:r>
        <w:rPr>
          <w:rStyle w:val="FootnoteAnchor"/>
          <w:rtl w:val="true"/>
        </w:rPr>
        <w:footnoteReference w:id="174"/>
      </w:r>
      <w:r>
        <w:rPr>
          <w:rFonts w:ascii="Amiri" w:hAnsi="Amiri" w:eastAsia="Amiri" w:cs="Amiri"/>
          <w:color w:val="111111"/>
          <w:sz w:val="28"/>
          <w:sz w:val="28"/>
          <w:szCs w:val="28"/>
          <w:rtl w:val="true"/>
          <w:lang w:bidi="ar-SA"/>
        </w:rPr>
        <w:t>، وعشرات من التابعين، ممن أخذوا عنه وقد مرت قبل قليل الرواية القائلة بتلقي سبعين تابعياً القراءة عنه</w:t>
      </w:r>
      <w:r>
        <w:rPr>
          <w:rFonts w:eastAsia="Amiri" w:cs="Amiri" w:ascii="Amiri" w:hAnsi="Amiri"/>
          <w:color w:val="111111"/>
          <w:sz w:val="28"/>
          <w:szCs w:val="28"/>
          <w:rtl w:val="true"/>
          <w:lang w:bidi="ar-SA"/>
        </w:rPr>
        <w:t xml:space="preserve">. </w:t>
      </w:r>
      <w:bookmarkStart w:id="82" w:name="pg15232_165725"/>
    </w:p>
    <w:p>
      <w:pPr>
        <w:pStyle w:val="BookText"/>
        <w:rPr/>
      </w:pPr>
      <w:bookmarkEnd w:id="82"/>
      <w:r>
        <w:rPr>
          <w:rFonts w:ascii="IRNazanin" w:hAnsi="IRNazanin" w:eastAsia="IRNazanin"/>
          <w:color w:val="111111"/>
          <w:sz w:val="28"/>
          <w:sz w:val="28"/>
          <w:szCs w:val="28"/>
          <w:rtl w:val="true"/>
          <w:lang w:bidi="fa-IR"/>
        </w:rPr>
        <w:t xml:space="preserve">ويبدو أن مصادره على الأكثر في قراءاته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استثنينا رسول الله صلی الله علیه و آله وسلم الذي جمع المحكم على عهده</w:t>
      </w:r>
      <w:r>
        <w:rPr>
          <w:rStyle w:val="FootnoteAnchor"/>
          <w:rtl w:val="true"/>
        </w:rPr>
        <w:footnoteReference w:id="175"/>
      </w:r>
      <w:r>
        <w:rPr>
          <w:rFonts w:ascii="IRNazanin" w:hAnsi="IRNazanin" w:eastAsia="IRNazanin"/>
          <w:color w:val="111111"/>
          <w:sz w:val="28"/>
          <w:sz w:val="28"/>
          <w:szCs w:val="28"/>
          <w:rtl w:val="true"/>
          <w:lang w:bidi="fa-IR"/>
        </w:rPr>
        <w:t xml:space="preserve">، والإمام علي علیه السلام بحكم علائقه بهما وسماعه بالطبع عنهما –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يعدّه من الراسخين في العلم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ثابت، وعبد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يؤثر عنه بالنسبة إلى الآخرين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قراءتي قراءة زيد، وأنا آخذ ببضعة عشر حرفاً من قراءة ابن مسعود، هذا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بقلها وقتائها وثومها وعدسها وبصلها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وهؤلاء أشهر قراء الصحابة على الإطلاق، وكان من إكباره لعلم زيد أنه حين دُلّي في قبره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يرى كيف ذهاب العلم فهكذا ذهاب العلم</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83" w:name="__RefHeading___Toc3547297_2142443653"/>
      <w:bookmarkStart w:id="84" w:name="_Toc28"/>
      <w:bookmarkEnd w:id="83"/>
      <w:r>
        <w:rPr>
          <w:rtl w:val="true"/>
        </w:rPr>
        <w:t>فضل القرآن</w:t>
      </w:r>
      <w:bookmarkEnd w:id="84"/>
    </w:p>
    <w:p>
      <w:pPr>
        <w:pStyle w:val="BookText"/>
        <w:rPr/>
      </w:pPr>
      <w:r>
        <w:rPr>
          <w:rFonts w:ascii="IRNazanin" w:hAnsi="IRNazanin" w:eastAsia="IRNazanin"/>
          <w:color w:val="111111"/>
          <w:sz w:val="28"/>
          <w:sz w:val="28"/>
          <w:szCs w:val="28"/>
          <w:rtl w:val="true"/>
          <w:lang w:bidi="fa-IR"/>
        </w:rPr>
        <w:t xml:space="preserve">والحث على حمله وقراءته موضوع أخذ من أحاديث ابن عباس كثيراً، ومن أحاديث الوضاع عليه كثيراً أيضاً، فمن مأثوراته 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 أمتي حملة القرآن</w:t>
      </w:r>
      <w:r>
        <w:rPr>
          <w:rFonts w:eastAsia="IRNazanin" w:cs="IRNazanin"/>
          <w:color w:val="111111"/>
          <w:sz w:val="28"/>
          <w:szCs w:val="28"/>
          <w:rtl w:val="true"/>
          <w:lang w:bidi="fa-IR"/>
        </w:rPr>
        <w:t>».</w:t>
      </w:r>
      <w:r>
        <w:rPr>
          <w:rStyle w:val="FootnoteAnchor"/>
          <w:rtl w:val="true"/>
        </w:rPr>
        <w:footnoteReference w:id="1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مأثورات الوضاع عليه ما جاء عن أبي عصمة المروزي، فقد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لك عن عكرمة عن ابن عباس فضل سور القرآن سورة سورة،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واشتغلوا بفقه أبي حنيفة ومغازي محمد بن إسحق، فوضعت هذا الحديث حسبة</w:t>
      </w:r>
      <w:r>
        <w:rPr>
          <w:rFonts w:eastAsia="Amiri" w:cs="Amiri" w:ascii="Amiri" w:hAnsi="Amiri"/>
          <w:color w:val="111111"/>
          <w:sz w:val="28"/>
          <w:szCs w:val="28"/>
          <w:rtl w:val="true"/>
          <w:lang w:bidi="ar-SA"/>
        </w:rPr>
        <w:t>».</w:t>
      </w:r>
      <w:r>
        <w:rPr>
          <w:rStyle w:val="FootnoteAnchor"/>
          <w:rtl w:val="true"/>
        </w:rPr>
        <w:footnoteReference w:id="180"/>
      </w:r>
      <w:bookmarkStart w:id="85" w:name="pg15232_165726"/>
    </w:p>
    <w:p>
      <w:pPr>
        <w:pStyle w:val="BookText"/>
        <w:rPr/>
      </w:pPr>
      <w:bookmarkEnd w:id="85"/>
      <w:r>
        <w:rPr>
          <w:rFonts w:ascii="Amiri" w:hAnsi="Amiri" w:eastAsia="Amiri" w:cs="Amiri"/>
          <w:color w:val="111111"/>
          <w:sz w:val="28"/>
          <w:sz w:val="28"/>
          <w:szCs w:val="28"/>
          <w:rtl w:val="true"/>
          <w:lang w:bidi="ar-SA"/>
        </w:rPr>
        <w:t>ونظائره كثير ممّا صرحوا أو صرّح راويه بكذبه ووضعه من قبله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547299_2142443653"/>
      <w:bookmarkStart w:id="87" w:name="_Toc29"/>
      <w:bookmarkEnd w:id="86"/>
      <w:r>
        <w:rPr>
          <w:rtl w:val="true"/>
        </w:rPr>
        <w:t>شبه حول القرآن</w:t>
      </w:r>
      <w:bookmarkEnd w:id="87"/>
    </w:p>
    <w:p>
      <w:pPr>
        <w:pStyle w:val="BookText"/>
        <w:rPr/>
      </w:pPr>
      <w:r>
        <w:rPr>
          <w:rFonts w:ascii="Amiri" w:hAnsi="Amiri" w:eastAsia="Amiri" w:cs="Amiri"/>
          <w:color w:val="111111"/>
          <w:sz w:val="28"/>
          <w:sz w:val="28"/>
          <w:szCs w:val="28"/>
          <w:rtl w:val="true"/>
          <w:lang w:bidi="ar-SA"/>
        </w:rPr>
        <w:t>وكان من أهم ما يُعني به صاحبنا بالنسبة للكتاب دفع شبه حول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محاولات تشكيكية كانت ترسل حول ما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النظر من اختلاف القرآن وتضارب آياته ونقض بعضها البعض، وربّما كان منشأ هذه 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كثير من ذوي الأديان الأخر، وفيهم من لا يرجو لهذا الدين خيراً، أو يرجو له الخير، ولا يدرك أسرار لغته، وأصول الجمع بين الكلام بعضه مع بعض ، ويرى أمثال تلكم الآيات فيثير التساؤل حولها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مفزعاً للكثير ممن يتأثرون بأمثال هذه التساؤلات، يقول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أشياء تختلف من القرآن فقال ابن عباس ما هو ؟ أشكّ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بشكَ ولكنه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اختلف عليك من ذلك، قال أسمع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فقد كتموا واسمعه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لَتَكْفُرُونَ بِالَّذِى خَلَقَ الْأَرْضَ فِي يَوْمَيْنِ وَتَجْعَلُونَ لَهُ أَندَادًا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w:t>
      </w:r>
    </w:p>
    <w:p>
      <w:pPr>
        <w:pStyle w:val="BookText"/>
        <w:rPr/>
      </w:pPr>
      <w:r>
        <w:rPr>
          <w:rFonts w:ascii="Amiri" w:hAnsi="Amiri" w:eastAsia="Amiri" w:cs="Amiri"/>
          <w:color w:val="111111"/>
          <w:sz w:val="28"/>
          <w:sz w:val="28"/>
          <w:szCs w:val="28"/>
          <w:rtl w:val="true"/>
          <w:lang w:bidi="ar-SA"/>
        </w:rPr>
        <w:t>سَوَاءٌ لِلسَّائِلِينَ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حتى بلغ طائعين، ثم قال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أَشَدُّ خَلْقًا أَمِ السَّمَاءُ بَنَاها</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واسمعه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ما شأنه أن يقول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لما رأوا يوم القيامة وأنّ الله يغفر لأهل الإسلام، ويغفر الذنوب ولا يغفر شركاً، ولا يتعاظمه ذنب أن يغفره، جحده المشركون –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يغفر لهم،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فختم الله على أفواههم، وتكلّمت أيديهم وأرجلهم بما كانوا يعملون، فعند ذلك يود الذين عصوا الرسول لو تسوّى بهم الأرض ولا يكتمون الله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نفخ في الصور فصعق من في السموات ومن في الأرض 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الأرض في يومين، فإن الارض قبل السماء، وكانت السماء دخاناً، فسواهن سبع سموات في يومين بعد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جعل فيها جبلاً، وجعل فيها نهراً وجعل فيها شجراً، وجعل فيها بحوراً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فإن الله كان، ولم يزل كذلك، كذلك وهو عزیز حکیم علیم قدير لم يزل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عقب ابن عباس على ذلك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اختلف عليك من </w:t>
      </w:r>
    </w:p>
    <w:p>
      <w:pPr>
        <w:pStyle w:val="BookText"/>
        <w:rPr/>
      </w:pPr>
      <w:r>
        <w:rPr>
          <w:rFonts w:ascii="Amiri" w:hAnsi="Amiri" w:eastAsia="Amiri" w:cs="Amiri"/>
          <w:color w:val="111111"/>
          <w:sz w:val="28"/>
          <w:sz w:val="28"/>
          <w:szCs w:val="28"/>
          <w:rtl w:val="true"/>
          <w:lang w:bidi="ar-SA"/>
        </w:rPr>
        <w:t>القرآن فهو يشبه ما ذكرت لك، وأن الله لم ينزل شيئاً إلا وقد اصاب به الذي أراد، ولكن أكثر الناس لا يعلمون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وقد شرح ابن حجر هذا الحديث بتلخيص الشبه والجواب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 ما فيه السؤال عن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المسألة يوم القيامة وإثباتها،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المشركين حالهم وإفشاؤه،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أو السماء أيهما تقدم،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بحرف كان الدالة على المضي مع أن الصفة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ابن عباس عن الأول أن نفي المسألة فيما قبل النفخة الثانية، وإثباتها فيما بعد ذلك، وعن الثاني أنهم يكتمون بألسنتهم فتنطق أيديهم وجوارحهم، وعن الثالث أنه بدأ خلق الأرض في يومين غير مدحوّة، ثم خلق السموات فسواهن في يومين، ثم دحا الارض بعد ذلك وجعل فيها الرواسي وغيرها في يومين، فتلك أربعة أيام للأرض، وعن الرابع بأنّ كان وإن كانت للماضي لكنّها لا تستلزم الانقطاع، بل المراد أنه لم يزل كذلك</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ومن شبه اليهود التي واجهوه بها ما حدثوا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يهودياً قال له إنّكم تزعمون أنّ الله كان عزيزاً حكيماً، فكيف هو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نفسه عزيزاً حكيماً</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أمثال ذلك جاءت عنه جملة منها يتعلّق بالمتشابه من القرآن، وكان يجيب ما وسعه الجواب، ولا يتأبى أن يعتذر عما لا يحسن الإجابة عليه، وهو الذي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العالم قول لا أدري أصيبت مقالته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يقول ابن أبي 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ابن 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كَانَ مِقْدَارُهُ أَلْفَ سَنَةٍ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تعالى في كتابه ألله أعلم بهما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وزاد ابن أبي حاتم على هذا المقدار حين خرج الحديث بهذا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هي وأكره أن أقول فيهما ما لا أعلم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يقول ابن أبي 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فضربت البعير حتى دخلت على سعيد بن المسيب فسئل عن ذلك فلم يدر ما يقول،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حضرت من ابن عباس، فأخبرته فقال ابن المسيب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قد اتقى أن يقول فيها وهو أعلم مني</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وهناك روايات تذكر له أنه أجاب على هذه المسألة بتعيين اليومين</w:t>
      </w:r>
      <w:r>
        <w:rPr>
          <w:rStyle w:val="FootnoteAnchor"/>
          <w:rtl w:val="true"/>
        </w:rPr>
        <w:footnoteReference w:id="198"/>
      </w:r>
      <w:r>
        <w:rPr>
          <w:rFonts w:ascii="IRNazanin" w:hAnsi="IRNazanin" w:eastAsia="IRNazanin"/>
          <w:color w:val="111111"/>
          <w:sz w:val="28"/>
          <w:sz w:val="28"/>
          <w:szCs w:val="28"/>
          <w:rtl w:val="true"/>
          <w:lang w:bidi="fa-IR"/>
        </w:rPr>
        <w:t>، وما أدري ما قيمة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إن صحت عنه فربّما كان طريق الجمع بينهما أنه فحص عن معناهما ممن أنس منه المعرفة من الصحابة وأهل البيت علیهم السلام بعد هذه الواقعة، ثم كان جوابه ثانياً على ضوء معرفته الجديدة، فتكون الروايات قد حدثت عن أكثر من واقعة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له طرق جمع بين الآيات يرجع بعضها إلى الجموع المتعارفة كالعموم والخصوص، وبعضها إلى علمه بالناسخ منها والمنسوخ، وما شابه ذلك تما سنعرض له في تفسيره وفقهه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أنه لم يترك شيئاً عن القرآن إلا وحدّث به، فقد حدّث عن نزول القرآن إلى </w:t>
      </w:r>
    </w:p>
    <w:p>
      <w:pPr>
        <w:pStyle w:val="BookText"/>
        <w:rPr/>
      </w:pPr>
      <w:r>
        <w:rPr>
          <w:rFonts w:ascii="Amiri" w:hAnsi="Amiri" w:eastAsia="Amiri" w:cs="Amiri"/>
          <w:color w:val="111111"/>
          <w:sz w:val="28"/>
          <w:sz w:val="28"/>
          <w:szCs w:val="28"/>
          <w:rtl w:val="true"/>
          <w:lang w:bidi="ar-SA"/>
        </w:rPr>
        <w:t>السماء الأولى جملة، ثم نزوله تفاريق في عشرين سنة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وحدّث عن السور المكية والمدنية منه </w:t>
      </w:r>
      <w:r>
        <w:rPr>
          <w:rStyle w:val="FootnoteAnchor"/>
          <w:rtl w:val="true"/>
        </w:rPr>
        <w:footnoteReference w:id="200"/>
      </w:r>
      <w:r>
        <w:rPr>
          <w:rFonts w:ascii="IRNazanin" w:hAnsi="IRNazanin" w:eastAsia="IRNazanin"/>
          <w:color w:val="111111"/>
          <w:sz w:val="28"/>
          <w:sz w:val="28"/>
          <w:szCs w:val="28"/>
          <w:rtl w:val="true"/>
          <w:lang w:bidi="fa-IR"/>
        </w:rPr>
        <w:t xml:space="preserve">وعن أول ما نزل </w:t>
      </w:r>
      <w:r>
        <w:rPr>
          <w:rStyle w:val="FootnoteAnchor"/>
          <w:rtl w:val="true"/>
        </w:rPr>
        <w:footnoteReference w:id="201"/>
      </w:r>
      <w:r>
        <w:rPr>
          <w:rFonts w:ascii="IRNazanin" w:hAnsi="IRNazanin" w:eastAsia="IRNazanin"/>
          <w:color w:val="111111"/>
          <w:sz w:val="28"/>
          <w:sz w:val="28"/>
          <w:szCs w:val="28"/>
          <w:rtl w:val="true"/>
          <w:lang w:bidi="fa-IR"/>
        </w:rPr>
        <w:t xml:space="preserve">وآخره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أحاديث تجدها مبثوثة في الكتب المعنيّة بهذه البحوث، ومنها تعرف مدى ما وضع عليه في ذلك كلّه، عندما تجد الواقعة منها لا تخلو عن أكثر من صورة من صور التضارب والاختلاف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وأخال أننا قد أطلنا في الوقوف عند هذا الجانب فلنتركه إلى ما يتعلق بتفسير القرآن</w:t>
      </w:r>
      <w:r>
        <w:rPr>
          <w:rFonts w:eastAsia="Amiri" w:cs="Amiri" w:ascii="Amiri" w:hAnsi="Amiri"/>
          <w:color w:val="111111"/>
          <w:sz w:val="28"/>
          <w:szCs w:val="28"/>
          <w:rtl w:val="true"/>
          <w:lang w:bidi="ar-SA"/>
        </w:rPr>
        <w:t xml:space="preserve">. </w:t>
      </w:r>
      <w:bookmarkStart w:id="88" w:name="pg15232_165731"/>
    </w:p>
    <w:p>
      <w:pPr>
        <w:pStyle w:val="Heading3"/>
        <w:numPr>
          <w:ilvl w:val="2"/>
          <w:numId w:val="1"/>
        </w:numPr>
        <w:rPr/>
      </w:pPr>
      <w:bookmarkStart w:id="89" w:name="__RefHeading___Toc3547301_2142443653"/>
      <w:bookmarkStart w:id="90" w:name="_Toc30"/>
      <w:bookmarkEnd w:id="88"/>
      <w:bookmarkEnd w:id="89"/>
      <w:r>
        <w:rPr/>
        <w:t>2</w:t>
      </w:r>
      <w:r>
        <w:rPr>
          <w:rtl w:val="true"/>
        </w:rPr>
        <w:t xml:space="preserve">- </w:t>
      </w:r>
      <w:r>
        <w:rPr>
          <w:rtl w:val="true"/>
        </w:rPr>
        <w:t>التفسير</w:t>
      </w:r>
      <w:bookmarkEnd w:id="90"/>
    </w:p>
    <w:p>
      <w:pPr>
        <w:pStyle w:val="Heading4"/>
        <w:numPr>
          <w:ilvl w:val="3"/>
          <w:numId w:val="1"/>
        </w:numPr>
        <w:rPr/>
      </w:pPr>
      <w:bookmarkStart w:id="91" w:name="__RefHeading___Toc3547303_2142443653"/>
      <w:bookmarkStart w:id="92" w:name="_Toc31"/>
      <w:bookmarkEnd w:id="91"/>
      <w:r>
        <w:rPr>
          <w:rtl w:val="true"/>
        </w:rPr>
        <w:t>اشارة</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نافلة القول أن نؤكّد على قيمته العلميّة في هذا المجال، وعظم مقامه بين معاصريه فإنّ معاصريه أنفسهم كانوا يرون له مقام الصدارة في التفسير، وربّما كان أكثرهم تأثيراً في تكوين رأي عام علمي فيه؛ لكثرة من أخذ عنه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وترجمان القرآن لقب يكاد يكون علماً عليه، إذا أطلق في كلام، وقد أطلقه عليه غير واحد من الصحابة كعمر</w:t>
      </w:r>
      <w:r>
        <w:rPr>
          <w:rStyle w:val="FootnoteAnchor"/>
          <w:rtl w:val="true"/>
        </w:rPr>
        <w:footnoteReference w:id="203"/>
      </w:r>
      <w:r>
        <w:rPr>
          <w:rFonts w:ascii="IRNazanin" w:hAnsi="IRNazanin" w:eastAsia="IRNazanin"/>
          <w:color w:val="111111"/>
          <w:sz w:val="28"/>
          <w:sz w:val="28"/>
          <w:szCs w:val="28"/>
          <w:rtl w:val="true"/>
          <w:lang w:bidi="fa-IR"/>
        </w:rPr>
        <w:t>وابن مسعود</w:t>
      </w:r>
      <w:r>
        <w:rPr>
          <w:rStyle w:val="FootnoteAnchor"/>
          <w:rtl w:val="true"/>
        </w:rPr>
        <w:footnoteReference w:id="204"/>
      </w:r>
      <w:r>
        <w:rPr>
          <w:rFonts w:ascii="IRNazanin" w:hAnsi="IRNazanin" w:eastAsia="IRNazanin"/>
          <w:color w:val="111111"/>
          <w:sz w:val="28"/>
          <w:sz w:val="28"/>
          <w:szCs w:val="28"/>
          <w:rtl w:val="true"/>
          <w:lang w:bidi="fa-IR"/>
        </w:rPr>
        <w:t xml:space="preserve">، ونسبت إليه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نعلم مداها من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تلقيبه بذلك كان من النبي صلی الله علیه و آله وسلم فعن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ترجمان القرآن أنت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وكان ابن عمر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أعلم الناس بما أنزل على محمد</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وقد أثنى أستاذه الإمام علیه السلام على تفسيره وحضّ على الأخذ عنه</w:t>
      </w:r>
      <w:r>
        <w:rPr>
          <w:rFonts w:eastAsia="IRNazanin" w:cs="IRNazanin"/>
          <w:color w:val="111111"/>
          <w:sz w:val="28"/>
          <w:szCs w:val="28"/>
          <w:rtl w:val="true"/>
          <w:lang w:bidi="fa-IR"/>
        </w:rPr>
        <w:t>.</w:t>
      </w:r>
      <w:r>
        <w:rPr>
          <w:rStyle w:val="FootnoteAnchor"/>
          <w:rtl w:val="true"/>
        </w:rPr>
        <w:footnoteReference w:id="2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اعتبره ابن عطية بعد الإمام علیه السلام بلا فصل في رتبته في التفسير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صدر </w:t>
      </w:r>
    </w:p>
    <w:p>
      <w:pPr>
        <w:pStyle w:val="BookText"/>
        <w:rPr/>
      </w:pPr>
      <w:r>
        <w:rPr>
          <w:rFonts w:ascii="Amiri" w:hAnsi="Amiri" w:eastAsia="Amiri" w:cs="Amiri"/>
          <w:color w:val="111111"/>
          <w:sz w:val="28"/>
          <w:sz w:val="28"/>
          <w:szCs w:val="28"/>
          <w:rtl w:val="true"/>
          <w:lang w:bidi="ar-SA"/>
        </w:rPr>
        <w:t>المفسّرين والمؤيد فيهم فعلي بن أبي طالب، ويتلوه عبد الله بن عباس وهو تجرّد للأمر وكمّله</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عشرات التقييمات صدرت عمّن عاصره وغيرهم من العلماء، وبخاصة تلامذته، وكلّها تُجمع على وضعه في مستوى لا يرقى إليه إلّا القليل من الأعلام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سمعه بعضهم وهو يفسّر آيات من الكتاب فاهتز إعجاباً، وضاقت عليه التعابير ، فالتمس أساليب من الكلام تختلف عن تلكم التقييمات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أنا وصاحب لي وابن عباس على الحجّ فجعل يقرأ سورة النور ويفسّرها، فقال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ماذا يخرج من راس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الترك لأسلمت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وفي رواية شقيق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ابن عباس وهو على الموسم، فافتتح سورة النور فجعل يقرأ ويفسّر،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سمعت كلام رجل مثله، لو سمعته فارس والروم لأسلمت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يقول جولد تسيهر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وتجلو للتصوّر الذهني رفيع اختصاصه بعمل المفسّر للقرآن كلمة منسوبة إلى تلميذه مجاهد كان إذا فسّر القرآن رأيت على وجهه النور</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الكلمة على إعجاب صاحبها وتأثّره بأستاذه بحيث كان يملك عليه حتى بصره، فلا يبصر فيه غير النور ينطلق من أساريره وهو يفسّر القرآن، أبلغ من دلالتها على تصوير واقع تأريخي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فسّر الآية الثالثة والعشرين من سورة النور وثب بعض مستمعيه فقبّل راسه إعجاباً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ويبدو أن تقبيل الرأس كان من أبلغ تعبيراتهم عن الإعجاب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أمر جولد بسيهر أنه حين عرض هذه القصّة عرضها بسخرية لاذعة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واختلافهم إلى هذا المفسّر القديم لم يعرض دائماً في أسلوب مدرّس جاف، بل أحياناً في مظهر مسرحي زاخر بالحياة، فقد روي مثلاً أن مستمعيه غمرتهم النشوة والسرور إذا فسّر الآية الثالثة والعشرين من 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وما أدري أين موضع الغرابة فيها إذا عرفنا أن هذه عادة كانوا يلجؤون إليها للتعبير عن إعجابهم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عمر رأس عبد الله بن سلام إعجاباً</w:t>
      </w:r>
      <w:r>
        <w:rPr>
          <w:rStyle w:val="FootnoteAnchor"/>
          <w:rtl w:val="true"/>
        </w:rPr>
        <w:footnoteReference w:id="214"/>
      </w:r>
      <w:r>
        <w:rPr>
          <w:rFonts w:ascii="Amiri" w:hAnsi="Amiri" w:eastAsia="Amiri" w:cs="Amiri"/>
          <w:color w:val="111111"/>
          <w:sz w:val="28"/>
          <w:sz w:val="28"/>
          <w:szCs w:val="28"/>
          <w:rtl w:val="true"/>
          <w:lang w:bidi="ar-SA"/>
        </w:rPr>
        <w:t>، وقال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ليحدثني ،الحديث ، فلو يأذن لي أن أقبل رأسه لفعلت</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اللهم إلّا إذا كان لا يرى في ابن عباس موضعاً لأي إعجاب، حتى إذا قيس إلى الزمن الذي جاء فيه، أو يرى في هذا المعجب ما يسمو به عن الإعجاب بأمثال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موضوعياً كما يرجى له أن يكون، وإنما كان صاحب هوى يطغى عليه هواه في عرضه لمختلف أنحاء ما بحثه من مذاهب التفسير، وقد نبه المترجم على كثير من مفارقاته في الهوامش، وأغفل الكثير منها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يهمنا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هذا الإعجاب والإكبار له من معاصريه أن ندخل في دراسة علم التفسير وبعض ما علق بها من ملابسات، ثم موقف ابن عباس منه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ويراد بالتفسير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الفناري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أحوال كلام الله سبحانه وتعالى من حيث القرآنية، ومن حيث دلالته على ما يُعلم أو يُظن أنه مراد الله سبحانه وتعالى، بقدر الطاقة الإنسانيّة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وعرّفه غيره بتعاريف لا تخلو كلّها من الإشكال عكساً وطرداً، وقد اعتبروا هذا التعريف أهمها على الإطلاق، وأسلمها من المؤاخذات، وناقش بعضهم فيه من حيث عدم كونه مانعاً لدخول البحث عن أحواله من حيث القرآنية فيه، وهي خارجة عن علم التفسير، وإنّما هي من شؤون علوم أخر كعلم القراءات وأسباب النزول ونظائرها، وقد قدمنا فيها الحديث لذلك مستقلة عن علم التفسير، وإن لابسته، وألقت الأضواء على بعض مباحثه</w:t>
      </w:r>
    </w:p>
    <w:p>
      <w:pPr>
        <w:pStyle w:val="BookText"/>
        <w:rPr/>
      </w:pPr>
      <w:r>
        <w:rPr>
          <w:rFonts w:ascii="Amiri" w:hAnsi="Amiri" w:eastAsia="Amiri" w:cs="Amiri"/>
          <w:color w:val="111111"/>
          <w:sz w:val="28"/>
          <w:sz w:val="28"/>
          <w:szCs w:val="28"/>
          <w:rtl w:val="true"/>
          <w:lang w:bidi="ar-SA"/>
        </w:rPr>
        <w:t>وكلمة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يُعلم أو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غير موقعها من التعريف لأن العلم والظن بمرادات الله ناشئان عن الدلالة ، لا أنها واقعة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فكلمة التفسير أوضح من أن تعرف بأمثال هذه التعاريف، وجلّها يعود إلى شرح الاسم لا التعريف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الدلالة على مرادات المولى من الآيات القرآنية تتوقف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مفردات القرآن ودلالتها اللغوية على معانيها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الجمل التركيبية وأساليب أدائها، بما تكشف عنه من استعمالات حقيقية أو مجازيّة أو كنائيّة أو غيرها من أساليب البيان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بأساليب الجمع العرفية بين الأدلّة، إذا ظهر بينها ما يشعر بالتناقض والاختلاف</w:t>
      </w:r>
      <w:r>
        <w:rPr>
          <w:rFonts w:eastAsia="Amiri" w:cs="Amiri" w:ascii="Amiri" w:hAnsi="Amiri"/>
          <w:color w:val="111111"/>
          <w:sz w:val="28"/>
          <w:szCs w:val="28"/>
          <w:rtl w:val="true"/>
          <w:lang w:bidi="ar-SA"/>
        </w:rPr>
        <w:t xml:space="preserve">. </w:t>
      </w:r>
      <w:bookmarkStart w:id="93" w:name="pg15232_165735"/>
    </w:p>
    <w:p>
      <w:pPr>
        <w:pStyle w:val="BookText"/>
        <w:rPr/>
      </w:pPr>
      <w:bookmarkEnd w:id="9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بمختلف المعارف التي يعرض إليها القرآن بما فيها أحاديث الأمم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أساب النزول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 عرضناه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يلقى من الأضواء على مرادات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مجتمعة تشكل أهم الركائز للثقافة التي يحتاج إليها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موقع ابن عباس منها؟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547305_2142443653"/>
      <w:bookmarkStart w:id="95" w:name="_Toc32"/>
      <w:bookmarkEnd w:id="94"/>
      <w:r>
        <w:rPr>
          <w:rtl w:val="true"/>
        </w:rPr>
        <w:t>ثروته اللغويّة</w:t>
      </w:r>
      <w:bookmarkEnd w:id="95"/>
    </w:p>
    <w:p>
      <w:pPr>
        <w:pStyle w:val="BookText"/>
        <w:rPr/>
      </w:pPr>
      <w:r>
        <w:rPr>
          <w:rFonts w:ascii="Amiri" w:hAnsi="Amiri" w:eastAsia="Amiri" w:cs="Amiri"/>
          <w:color w:val="111111"/>
          <w:sz w:val="28"/>
          <w:sz w:val="28"/>
          <w:szCs w:val="28"/>
          <w:rtl w:val="true"/>
          <w:lang w:bidi="ar-SA"/>
        </w:rPr>
        <w:t>وفي حدود ما ذكر له المؤرخون، كان من أثرى معاصريه من العرب خبرة بمفردات اللغة، واطّلاعاً على معانيها، وحفظ الشواهد عليها من أشعار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طبيعي لمثله ممن ولد ونشأ بمكة عاصمة الثقافة العربية إذ ذاك، واتصل بأهلها</w:t>
      </w:r>
    </w:p>
    <w:p>
      <w:pPr>
        <w:pStyle w:val="BookText"/>
        <w:rPr/>
      </w:pPr>
      <w:r>
        <w:rPr>
          <w:rFonts w:ascii="Amiri" w:hAnsi="Amiri" w:eastAsia="Amiri" w:cs="Amiri"/>
          <w:color w:val="111111"/>
          <w:sz w:val="28"/>
          <w:sz w:val="28"/>
          <w:szCs w:val="28"/>
          <w:rtl w:val="true"/>
          <w:lang w:bidi="ar-SA"/>
        </w:rPr>
        <w:t xml:space="preserve">فوعى عليهم لغتهم منذ طفولته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ولغة القرآن في أكثرها هي لغة أهلها من قريش، ثم هاجر إلى المدينة، فتعرف على بلغائها وشعرائها، وكانت له من الحافظة ما جعلته مضرب الأمثال فيها، ولو لم يكن له إلّا بيته – وفيه من سادة البلغاء أمثال النبي صلی الله علیه و آله وسلم والإمام علي علیه السلام ، وأبيه، وأخيه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لكفاه ذلك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لا يسمع كلمة لغويّة يستعصي عليه فهمها دون أن يسأل عنها من أحد هؤلاء، أو غيرهم من معاصريه، وبخاصة إذا كانت في القرآن دستور المسلمين، وقد عرفنا مدى علقته به حين وعى منه محكمه، وجمعه، وهو بعد في سن المراهقة ومن هنا لا نستكثر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اللسان السؤول والقلب العقول كما كان يلقّبه عمر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أدرك جلّ ما في القرآن من ألفاظ لغويّة، وميّز بين ما يكون منها عربياً في أصله، وما يكون غير عربي، أو دخل إلى لغة العرب فتعرّب باستعمالاتهم، كالألفاظ التي وردت إليهم من الحبشة وغيرها، ثم ميّز العربي في لهجاته المختلفة كالقرشيّة واليمانية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ممّن عني بالبحث عن مفردات القرآن من المؤلّفين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تلكم الألفاظ، وابن عباس هو المصدر في الكثير منها، فمن الألفاظ التي نص على أنها وردت بلغات غير حجازية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حدّثوا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الفناء،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رب في لغة أهل اليمن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ولد الولد في لغة هذيل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مکتوب في لغة حمير</w:t>
      </w:r>
      <w:r>
        <w:rPr>
          <w:rStyle w:val="FootnoteAnchor"/>
          <w:rtl w:val="true"/>
        </w:rPr>
        <w:footnoteReference w:id="218"/>
      </w:r>
      <w:r>
        <w:rPr>
          <w:rFonts w:ascii="Amiri" w:hAnsi="Amiri" w:eastAsia="Amiri" w:cs="Amiri"/>
          <w:color w:val="111111"/>
          <w:sz w:val="28"/>
          <w:sz w:val="28"/>
          <w:szCs w:val="28"/>
          <w:rtl w:val="true"/>
          <w:lang w:bidi="ar-SA"/>
        </w:rPr>
        <w:t>، وما شابه ذلك ، وما شابه ذلك من عشرات الكلمات غير الحجازية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حدّث عن بعض الكلمات التي وردت بلغة أهل الحبشة وغيرهم من غير العرب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الإثم بلغة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سبّ بلسان</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شققهنّ بلغة أهل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ويبدو لي أنّ حركة قويّة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للتشكيك بعربية القرآن من طريق الشك بعربية الكثير من ألفاظه، وبدأت المطالبة في الاستدلال على عربيته بأمثال ألفاظه من الشعر العربي، وليس ببعيد أن يكون ابن عباس على علم من هذه الحركة، تما تدعوه الحاجة إلى أن يزوّد نفسه بالعدّة الكافية لذلك؛ فيبحث في الشعر العربي عن الألفاظ التي لم تعد كثيرة الاستعمال، وورد نظيرها في القرآن، فيحفظها للتدليل بها على عربية ألفاظ القرآن، دحضاً لتلكم الشبه التي يثيرها من لا يريد الخير للإسلام ودستوره بحال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بعد هذا ما يستبعد على صاحبنا استحضاره للإجابة على كل سؤال يوجّه </w:t>
      </w:r>
    </w:p>
    <w:p>
      <w:pPr>
        <w:pStyle w:val="BookText"/>
        <w:rPr/>
      </w:pPr>
      <w:r>
        <w:rPr>
          <w:rFonts w:ascii="Amiri" w:hAnsi="Amiri" w:eastAsia="Amiri" w:cs="Amiri"/>
          <w:color w:val="111111"/>
          <w:sz w:val="28"/>
          <w:sz w:val="28"/>
          <w:szCs w:val="28"/>
          <w:rtl w:val="true"/>
          <w:lang w:bidi="ar-SA"/>
        </w:rPr>
        <w:t>إليه في هذا الشأن، ما دامت الضرورة الزمنية تفرض عليه الإعداد والتحضير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ذلك منه للتأكد من صحة تفاسيره للكلمات اللغوية الواردة في القرآن لا من جهة التشكيك في صدقه وأمانته، فما كان موضعاً للشكّ فيهما في نظر أصحابه، وإنّما كان ذلك للتوثق والاطمئنان من عدم اشتباهه فيما يكثر فيه الاشتباه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نبعد في التماس أسباب روايته للشعر، وهو نفسه يحدثنا عن نفسه في اعتباره له من مصادر التفسير لما غمض عليه من ألفاظ القرآن ومن مأثوراته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ديوان العرب، فإذا خفي علينا الحرف من القرآن الذي أنزله الله بلغة العرب، رجعنا إلى ديوانها فالتمسنا معرفة ذلك منه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ثم هو نفسه كان يؤكد على سائليه عن غريب القرآن أن يلتمسوه في الشعر، وكان يحملهم على الإيمان بصحة ما يرويه، يقول عكرمة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فإنّ الشعر ديوان العرب</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وربّما استشهد ابتداءً على تفسيره بالمأثور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عبد الله بن عتبة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يسأل عن القرآن فينشد فيه الشعر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يستشهد به على التفسير</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 عنه في ذلك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ابن 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وَمَا وَسَقَ</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 ألم تسمع قول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لنا قلائصاً حقائقاً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مستوسقات لو يجدن سائقاً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ابن عباس ينشد للناس هذا البيت في قوله تعالى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تُبَدِّلُ الْأَرْضُ غَيْرَ الْأَرْضِ</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الناس بالناس الذي عهدتم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الدار بالدار التي كنت أعرف</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وعن المستدرك أنه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عليكم شيء من القرآن فابتغوه في الشعر، فإنه ديوان العرب أما سمعتم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إصبر عناقُ إنّه شرباق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سنّ لي قومك ضرب الأعناق</w:t>
      </w:r>
    </w:p>
    <w:p>
      <w:pPr>
        <w:pStyle w:val="BookText"/>
        <w:rPr/>
      </w:pPr>
      <w:r>
        <w:rPr>
          <w:rFonts w:ascii="IRNazanin" w:hAnsi="IRNazanin" w:eastAsia="IRNazanin"/>
          <w:color w:val="111111"/>
          <w:sz w:val="28"/>
          <w:sz w:val="28"/>
          <w:szCs w:val="28"/>
          <w:rtl w:val="true"/>
          <w:lang w:bidi="fa-IR"/>
        </w:rPr>
        <w:t>وقامت الحرب بنا على ساق</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كرب وشدّة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وفي العمدة لابن رشيق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شيئاً من كتاب الله فلم تعرفوه فاطلبوه في أشعار العرب فإن الشعر ديوان العرب، وكان إذا سئل عن شيء من القرآن أنشد فيه شعراً</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عن ابن عباس كثيراً في ذلك وأغرب ما رويناه عنه مسائل نافع بن الأزرق، وقد أخرج بعضها ابن الأنباري في كتاب الوقف، والطبراني </w:t>
      </w:r>
    </w:p>
    <w:p>
      <w:pPr>
        <w:pStyle w:val="BookText"/>
        <w:rPr/>
      </w:pPr>
      <w:r>
        <w:rPr>
          <w:rFonts w:ascii="Amiri" w:hAnsi="Amiri" w:eastAsia="Amiri" w:cs="Amiri"/>
          <w:color w:val="111111"/>
          <w:sz w:val="28"/>
          <w:sz w:val="28"/>
          <w:szCs w:val="28"/>
          <w:rtl w:val="true"/>
          <w:lang w:bidi="ar-SA"/>
        </w:rPr>
        <w:t>في معجمه الكبير ، وقد رأيت أن أسوقها هنا بتمامها لتستفاد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ويبدو من هذه القصة أنّ هذا الخارجي لم يقصد في اسئلته إليه إلّا طلباً في إحراجه، وربّما كان ذلك لما يحمله له من الرواسب عن مواقفه منهم أيام النخيلة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عبد الله بن عباس جالس بفناء الكعبة، قد اكتنفه الناس يسألونه عن تفسير القرآن فقال نافع بن الأزرق لنجدة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هذا الذي يجترئ على تفسير القرآن بما لا علم له به فقاما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نسألك عن أشياء من كتاب الله فتفسرها لنا، وتأتينا بمصاديقة من كلام العرب، فإن الله تعالى إنما أنزل القرآن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عما بدا لكما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وَعَنِ الشِّمَالِ عِزِينَ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العزون حلق الرفاق،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فجاؤا يهرعون إليه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يكونوا حول منبره عزینا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العرب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عنترة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الرجال لهم إليكِ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يأخذوكِ تكحلي وتخضّبي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الدين والمنهاج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أبا سفيان بن الحارث بن عبد المطلب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نطق المأمون بالصدق والهدى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للإسلام ديناً ومنهجا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أَثْمَرَ وَيَنْعِهِ</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مامشت وسط النساء تأودت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اهتز غصن ناعم النبت يانع</w:t>
      </w:r>
    </w:p>
    <w:p>
      <w:pPr>
        <w:pStyle w:val="BookText"/>
        <w:rPr/>
      </w:pPr>
      <w:r>
        <w:rPr>
          <w:rFonts w:ascii="Amiri" w:hAnsi="Amiri" w:eastAsia="Amiri" w:cs="Amiri"/>
          <w:color w:val="111111"/>
          <w:sz w:val="28"/>
          <w:sz w:val="28"/>
          <w:szCs w:val="28"/>
          <w:rtl w:val="true"/>
          <w:lang w:bidi="ar-SA"/>
        </w:rPr>
        <w:t xml:space="preserve">وهكذا ساق ما يقارب المائتي شاهد كلّها مائتي كلمة من كتاب الله تجدونها جميعاً في الإتقان </w:t>
      </w:r>
      <w:r>
        <w:rPr>
          <w:rStyle w:val="FootnoteAnchor"/>
          <w:rtl w:val="true"/>
        </w:rPr>
        <w:footnoteReference w:id="235"/>
      </w:r>
      <w:r>
        <w:rPr>
          <w:rFonts w:ascii="Amiri" w:hAnsi="Amiri" w:eastAsia="Amiri" w:cs="Amiri"/>
          <w:color w:val="111111"/>
          <w:sz w:val="28"/>
          <w:sz w:val="28"/>
          <w:szCs w:val="28"/>
          <w:rtl w:val="true"/>
          <w:lang w:bidi="ar-SA"/>
        </w:rPr>
        <w:t xml:space="preserve">، وقد حذف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عشر سؤالًا وهي أسئلة مشهورة أخرج الأئمة أفراداً منها بأسانيد مختلفة إلى ابن عباس</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وفي الكامل للمبرّد قطعة منها، رواها، وأطنب في التعليق عن بعض ما جاء فيها من أبيات، ومما قال في التعليق على بعضها هذا قول ابن عباس وهو الحق الذي لا يقدح فيه قادح</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وقد شكك تسيهر في هذه القصة وسخر منها على عادته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المبدأ المنهجي المنسوب إلى ابن عباس اقترنت على النمط العربي أسطورة مدرسية عظيمة الإفادة وجدت مدخلاً إلى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على قصة نافع باختصار، ويعقب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مبالغة من عالم اللغويين المتأخرين لأبي التفسير الذي نمّى الطريقة اللغويّة في تفسير القرآن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كانت هذه أسطورة؟ وأين موضع الكذب فيها؟ وهل هي خارجة على </w:t>
      </w:r>
    </w:p>
    <w:p>
      <w:pPr>
        <w:pStyle w:val="BookText"/>
        <w:rPr/>
      </w:pPr>
      <w:r>
        <w:rPr>
          <w:rFonts w:ascii="Amiri" w:hAnsi="Amiri" w:eastAsia="Amiri" w:cs="Amiri"/>
          <w:color w:val="111111"/>
          <w:sz w:val="28"/>
          <w:sz w:val="28"/>
          <w:szCs w:val="28"/>
          <w:rtl w:val="true"/>
          <w:lang w:bidi="ar-SA"/>
        </w:rPr>
        <w:t>طبيعة 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مالم يحدّثنا عنه تسيهر ، وحدّثنا عنه طه حسين في الأدب الجاهلي حين اعتبرها موضوعة في أكثر ابياتها ؛ وذلك بإرساله على طريقته الخاصة في التشكيك فيها، وكأنما إنما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أهم الأسباب التي ذكرها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لإثبات أنّ ألفاظ القرآن كلّها مطابقة للفصيح من لغة العرب، أو لإثبات أن عبد الله بن عباس كان من أقدر الناس على تأويل القرآن وتفسيره، ومن أحفظهم لكلام العرب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وضعت لغرض تعليمي يسير، وهو أن يسمع الطالب لفظاً من ألفاظ القرآن، ويجد الشاهد من غير مشقة ولا عناء، وأراد أحد العلماء أن يفسّر طائفة من ألفاظ القرآن فوضع هذه القصة واتخذها سبيلاً إلى ما أراد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أمّا لماذا بلغ نكران الذات بهذا العالم إلى هذا الحد بحيث تناسى نفسه وعبقريته، و نسب نتاجها إلى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بوسعه أن يخلق لنفسه مسائل ويجيب هو؛ ليوفّر لها هذا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لم يحدّثنا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هذا النهج في التشكيك والحكم على أساسه لا يكفي في إنكار القصّة في غالب أبياتها ، وقد كان يقتضيه الإنصاف أن يحاكمها من وجهة سندها أولاً، فإذا أطمأنّ إلى سلامة رواتها، نسبها إلى الزمن الذي وقعت فيه، فإن كانت ناشزة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لوضعها أحد هذه الأسباب أو غيرها، أما أن يعمد ابتداءً إلى شجبها ، وليس في واقع زمنها ما يأباها، والدواعي كما سبق متوفّرة لوجود مثلها، فهذا ما لا نتفق عليه معه بحال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أن نفتح أبواب هذه المحتملات لإيقاف الروايات، لم نستطيع أن نسلم </w:t>
      </w:r>
    </w:p>
    <w:p>
      <w:pPr>
        <w:pStyle w:val="BookText"/>
        <w:rPr/>
      </w:pPr>
      <w:r>
        <w:rPr>
          <w:rFonts w:ascii="Amiri" w:hAnsi="Amiri" w:eastAsia="Amiri" w:cs="Amiri"/>
          <w:color w:val="111111"/>
          <w:sz w:val="28"/>
          <w:sz w:val="28"/>
          <w:szCs w:val="28"/>
          <w:rtl w:val="true"/>
          <w:lang w:bidi="ar-SA"/>
        </w:rPr>
        <w:t>في التأريخ على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القصّة واقعة فعلاً، وربّما أوجد تنقلها بين الرواة تزيدها في بعض الشواهد، كما تقتضي العادة في أمثالها، ولكن الزيادة فيها لم تكن من الكثرة بحيث تطغى على أصلها، كما ربّما يبدو من طه حسين حين ختم كلامه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لهذه القصة اصلاً يسيراً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نافعاً سأل ابن عباس عن مسائل قليلة فزاد فيها هذا العالم ومدّها حتى أصبحت رسالة مستقلّة يتداولها الناس</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وإلّا فمن البعيد أن يقصد هذا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التحدّي والتعجيز له بمسائل يسيرة جداً ثم تنتهي المسألة عند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روايته في الكامل تصرح بأنه ساءله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في أكثر من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أمله، ومثله لا يمل عادة لسؤالات يسيرة جداً يجيب عليها بدقائق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من غير وجه أنّ ابن الأزرق أتى ابن عباس فجعل يسائله حتى مله، فجعل ابن عباس يظهر الضجر، وطلع عمر بن عبد الله بن أبي ربيعة على ابن عباس وهو يومئذ غلام ، فسلّم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تنشدنا شيئاً من شعرك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آل نعمٍ أنت غادٍ فمبكر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غدٍ أم رائح فمهجّر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في موضعه من هذا البحث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ابن الأزرق قد استاء لهذا الإعراض عنه، والاهتمام بهذا الشاعر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 يا ابن عباس أنضرب إليك أكباد الإبل، نسألك عن الدين فتعرض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ويأتيك </w:t>
      </w:r>
    </w:p>
    <w:p>
      <w:pPr>
        <w:pStyle w:val="BookText"/>
        <w:rPr/>
      </w:pPr>
      <w:r>
        <w:rPr>
          <w:rFonts w:ascii="Amiri" w:hAnsi="Amiri" w:eastAsia="Amiri" w:cs="Amiri"/>
          <w:color w:val="111111"/>
          <w:sz w:val="28"/>
          <w:sz w:val="28"/>
          <w:szCs w:val="28"/>
          <w:rtl w:val="true"/>
          <w:lang w:bidi="ar-SA"/>
        </w:rPr>
        <w:t xml:space="preserve">غلام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وهذه الثروة اللغوية التي كانت لديه لم تمنعه من التصريح بأنه كان يجهل الفاظاً من القرآن ولا يعرف معناها، فهو يُسأل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فلا يجيب ثمّ يسأله عكرمة عنها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أدري ما حنانا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وهو يجهل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يدلّه عليها أعرابيان جاءا يختصمان عنده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بئري أنا فطرتها،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مجاهد فاطر السموات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ويروى عكرمة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القرآن أعلمه إلا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وفي رواية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ولذلك نظائر لا يهمّ عرضها، وما دام بشراً فلا يبعد أن يقع عنده جهل ببعض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عن ثروته اللغوية يقال عن فهمه للأساليب وتقييمها، وقد يكون من نافلة القول، بعدما عرفنا ونعرف عن وعيه لأكثر ما أثر من بليغ</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التحدّث عن ذلك </w:t>
      </w:r>
      <w:bookmarkStart w:id="96" w:name="pg15232_165744"/>
    </w:p>
    <w:p>
      <w:pPr>
        <w:pStyle w:val="BookText"/>
        <w:rPr/>
      </w:pPr>
      <w:bookmarkEnd w:id="96"/>
      <w:r>
        <w:rPr>
          <w:rFonts w:ascii="IRNazanin" w:hAnsi="IRNazanin" w:eastAsia="IRNazanin"/>
          <w:color w:val="111111"/>
          <w:sz w:val="28"/>
          <w:sz w:val="28"/>
          <w:szCs w:val="28"/>
          <w:rtl w:val="true"/>
          <w:lang w:bidi="fa-IR"/>
        </w:rPr>
        <w:t>الكلام شعراً ونثراً، وحسبه أن يكون تلميذاً للعربي الأول في بلاغته رسول الله صلی الله علیه و آله وسلم، ثمّ لصاحب النهج ومن سنّ الفصاحة لقريش كما كانوا يقولون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في موضعه نماذج من كلمه وخطبه التي يرتفع بها إلى مستوى القمة من بلغاء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إن أصول الجموع العرفية بين كلام وكلام من شؤون وعيه لأساليبهم، وما تعارف فيها من أساليب الجمع، وما لنا نبعد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فكرة الخاص والعام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عنه تخصيص عموم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وإليه تنسب الكلمة المعروفة التي اشتهرت على ألسنة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قد خصّ</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وقد استثنى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وبالطبع ما كان ليضع هذه القواعد لولا وعيه على مختلف استعمالاتهم واستفاداتهم من أمثال هذه الجموع، وكان من أكثر من تكلّم بالنسخ وحدّد مواقعه من الكتاب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547307_2142443653"/>
      <w:bookmarkStart w:id="98" w:name="_Toc33"/>
      <w:bookmarkEnd w:id="97"/>
      <w:r>
        <w:rPr>
          <w:rtl w:val="true"/>
        </w:rPr>
        <w:t>معارف القرآن</w:t>
      </w:r>
      <w:bookmarkEnd w:id="98"/>
    </w:p>
    <w:p>
      <w:pPr>
        <w:pStyle w:val="BookText"/>
        <w:rPr/>
      </w:pPr>
      <w:r>
        <w:rPr>
          <w:rFonts w:ascii="Amiri" w:hAnsi="Amiri" w:eastAsia="Amiri" w:cs="Amiri"/>
          <w:color w:val="111111"/>
          <w:sz w:val="28"/>
          <w:sz w:val="28"/>
          <w:szCs w:val="28"/>
          <w:rtl w:val="true"/>
          <w:lang w:bidi="ar-SA"/>
        </w:rPr>
        <w:t>أمّا علاقته بمعارف القرآن بما فيه من أخبار الأمم السالفة فقد حدّثوا عنه بالشيء الكثير منها، وأكثر ما ورد عنه لا يُطمأن إلى صحة روايته لتناقض مداليله، وخروج الكثير منها على مقتضيات زمنه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والشيء الذي نستطيع أن نطمئنّ إليه منها هو ما كان جارياً على وفق ما اشتهر من معارف عصره، وما صح عن النبي صلی الله علیه و آله وسلم هو أستاذه الإمام علیه السلام 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الحديث عنه في كثير من أخبار الأمم السالفة وغيرها مما ينتظم في الإسرائيليات، وقرّبوا أن تكون قد دخلت عليه من اليهود الذين دخلوا في الإسلام أمثال كعب الأحبار ووهب بن منبه وأبي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الطبري والتفاسير ما يفيد أن ابن عباس كان له علم بالتوراة وأنه كان يقرأ التوراة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والذي أخاله أنه أعمق من أن يؤمن أو يحدّث بما ورد فيها من خرافات، وأنها أقحمت بعد ذلك عليه إقحاماً لغرض تبشيري بحت، وقد استغلت شهرته في التفسير ستاراً تخفي به عن السذج ما استهدفته من هذا الإقحام، وإلّا فمن البعيد جداً أن يحدّث بها، ومصدره الوحيد ،هم، ثم ينهى عن الأخذ عنهم ، ومن مأثوراته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أهل الكتاب عن شيء</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ينهاكم ما جاءكم من العلم عن مسألتهم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قال كيف تسألون أهل الكتاب عن شيء وكتابكم الذي أنزل على رسول الله صلی الله علیه و آله وسلم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تقرؤونه محضاً لم يشب، وقد حدّثكم أنّ أهل الكتاب بدلوا كتاب الله وغيّروه، وكتبوا بأيديهم الكتاب،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 ليشتروا به ثمناً قليلاً، الا ينهاكم ما جاءكم من العلم عن مسألتهم، لا والله ما رأينا منهم رجلاً يسألكم عن الذي أُنزل عليكم </w:t>
      </w:r>
      <w:r>
        <w:rPr>
          <w:rFonts w:eastAsia="IRNazanin" w:cs="IRNazanin"/>
          <w:color w:val="111111"/>
          <w:sz w:val="28"/>
          <w:szCs w:val="28"/>
          <w:rtl w:val="true"/>
          <w:lang w:bidi="fa-IR"/>
        </w:rPr>
        <w:t>..».</w:t>
      </w:r>
      <w:r>
        <w:rPr>
          <w:rStyle w:val="FootnoteAnchor"/>
          <w:rtl w:val="true"/>
        </w:rPr>
        <w:footnoteReference w:id="2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إيمانه بأن أهل الكتاب قد بدلوا كتابهم وغيّروه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 أن يتخذ منه مصدراً التفسير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يجتمع ذلك مع هذا الإصرار على ترك مسألتهم؟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أترونه كان </w:t>
      </w:r>
    </w:p>
    <w:p>
      <w:pPr>
        <w:pStyle w:val="BookText"/>
        <w:rPr/>
      </w:pPr>
      <w:r>
        <w:rPr>
          <w:rFonts w:ascii="Amiri" w:hAnsi="Amiri" w:eastAsia="Amiri" w:cs="Amiri"/>
          <w:color w:val="111111"/>
          <w:sz w:val="28"/>
          <w:sz w:val="28"/>
          <w:szCs w:val="28"/>
          <w:rtl w:val="true"/>
          <w:lang w:bidi="ar-SA"/>
        </w:rPr>
        <w:t xml:space="preserve">يسلم من مؤاخذة 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كثر في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سجل على نفسه هذا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الأحبار وابن منبه وأبو الجلد وعبد الله بن سلام وأمثال هؤلاء، وإن أسلموا، ولكنّ إسلامهم لم يعط المروياتهم عن كتبهم السابقة طابع الصحة، ما دامت الكتب نفسها محرّفة كما ورد في هذا الحديث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وعلاقته بهؤلاء على الخصوص، وهم الذين ذكرهم البعض في مصادر روايته، لم أجد تصريحاً واحداً يطمأنّ إليه في الأخذ عن أحدهم – فيما يخص الإسرائيليات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وجدته روايات تظهر الصنعة على الكثير منها تنسب إليه الأخذ عن بعضهم تفسير بعض الألفاظ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عمرو بن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حاضراً وأبا حاضر رجل من الأسد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معاوية إذ 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تَغْرُبُ 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تقرؤها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حَمِئَةٍ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فقال معاوية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تقرؤها ؟ فقال ما قرأتها يا أمير المؤمنين،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 شيء في الرواية طبيعي ولكنّ الجوانب غير الطبيعية في تتمّتها فيما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تجد الشمس تغرب في التوراة يا كعب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العربية فأنتم أعلم بها ، وأما الشمس فإني أجدها في التوراة تغرب في ماء وطين، وأشار كعب بيده إلى المغرب، أما إني لو كنت عندكما لرفدتك كلاماً تزداد بصيرة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 ، فقال ابن عباس وماهو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عاش من قول تبع، فيما ذكر ذو القرنين في تخلّقه للعلم وابتغائه إياه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المشارق والمغارب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أمر من حكيم مرشد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مغار الشمس عند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عين ذي خلب وتأط حرمد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الخلب؟ قلت الطين بكلامهم،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الثأط؟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الحرمد ؟ قلت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رجلاً أو غلاماً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ما يقول هذا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وأمر هذه الرواية أيسر من أن يطال في نقدها، والجهالة في سندها، ثم اضطراب مضامينها، وتحوّلها من ضمير المتكلم إلى الغيبة وهو يحدّث عن نفسه، وإقحام تبعّ وذي القرنين مع ارتباك عبارتها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يغني عن إطالة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أُثر عنه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مدى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كعباً عن أمّ الكتاب والمرجان</w:t>
      </w:r>
      <w:r>
        <w:rPr>
          <w:rStyle w:val="FootnoteAnchor"/>
          <w:rtl w:val="true"/>
        </w:rPr>
        <w:footnoteReference w:id="258"/>
      </w:r>
      <w:r>
        <w:rPr>
          <w:rFonts w:ascii="Amiri" w:hAnsi="Amiri" w:eastAsia="Amiri" w:cs="Amiri"/>
          <w:color w:val="111111"/>
          <w:sz w:val="28"/>
          <w:sz w:val="28"/>
          <w:szCs w:val="28"/>
          <w:rtl w:val="true"/>
          <w:lang w:bidi="ar-SA"/>
        </w:rPr>
        <w:t xml:space="preserve">، وأنه اختلف مع عمرو بن العاص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لَدُنّيِ</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هل هي بتشديد نون لدني أو تخفيفها، وأنهما قصدا إلى كعب الأحبار لتسوية هذا الخلاف</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ومثلها ما ورد عن سؤاله من أبي الجلد غيلان بن فروة الأسدي عن معنى كلمة برق، فكتب إليه أبو الجلد إن معناها هنا المطر </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أتكفي أمثال هذه الأسئلة والاستفسارات من امثالهم من مسلمة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تتجاوز الألفاظ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مدرسته التفسيرية طابعاً ذا مسحة يهوديّة، كما أراد لها المستشرقان أتولوث وتسيهر </w:t>
      </w:r>
      <w:r>
        <w:rPr>
          <w:rStyle w:val="FootnoteAnchor"/>
          <w:rtl w:val="true"/>
        </w:rPr>
        <w:footnoteReference w:id="2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فأين 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التفسيرية المتأثرة بالمسحة اليهودية؛ ليصح لهما الحكم على أساسها ، وحتى هذه أتروننا نستطيع أن نؤمن بسهولة ويسر بصدورها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هو في علمه وعلقته بكبار الصحابة وعلمائها – يفزع إلى أبي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مستفسراً عن أشياء قد تكون مطروحة في الطريق من أمثال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ويبلغ بها اهتمامه أن يكتب إليه بذلك، ويجيبه ذاك كتبياً؟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يختلف مع ابن العاص في قراءة كلمة قرآنية، فيفزعا معاً إلى رجل لم يكن معروفاً بالتخصص بالقراءات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هما عن عن أعلام الصحابة ليلجأ إليهم في فضّ هذه المشكلة، وهم أخبر بها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هذه الروايات فإنّ صحتها لا تدلّ على شيء، والذي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طبيعياً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سبق أن ذكرناه من نهيه عن الأخذ من أهل الكتاب، معللاً ذلك بأن أهل الكتاب بدلوا كتابهم المنزل ،وغيّروه، فلا يمكن الوثوق والاطمئنان إلى شيء من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يخصها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فهل يمكن لنا أن ننسب إليه الأخذ بالإسرائيليات لنلوّن تفسيره بها ونعطيه صبغة يهودية، كما أراد له هذان المستشرقان؟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 ما ذكرناه عن ركائزه التي زوّدته بثقافة المفسّر على أفضل صورها، لم نستكثر عليه بعد ذلك أن يخوض في فهم دقائق القرآن، وأن يكون ترجماناً له، كما لقبه معاصروه ومن تأخر عنه</w:t>
      </w:r>
      <w:r>
        <w:rPr>
          <w:rStyle w:val="FootnoteAnchor"/>
          <w:rtl w:val="true"/>
        </w:rPr>
        <w:footnoteReference w:id="263"/>
      </w:r>
      <w:r>
        <w:rPr>
          <w:rFonts w:ascii="IRNazanin" w:hAnsi="IRNazanin" w:eastAsia="IRNazanin"/>
          <w:color w:val="111111"/>
          <w:sz w:val="28"/>
          <w:sz w:val="28"/>
          <w:szCs w:val="28"/>
          <w:rtl w:val="true"/>
          <w:lang w:bidi="fa-IR"/>
        </w:rPr>
        <w:t>، وقد نال إعجاب أساتذة الإمام علیه السلام الذي أثنى على تفسيره وحضّ على الأخذ عنه وإعجاب الإمام علیه السلام له أهميته الواسعة بعدما عرف مقامه العلمي ومكانته الكبرى بين أعلام المفسرين، يقول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نزل على سبعة أحرف ما منها حرف إلا وله ظهر وبطن ، وإن علي بن أبي طالب عنده من الظاهر </w:t>
      </w:r>
    </w:p>
    <w:p>
      <w:pPr>
        <w:pStyle w:val="BookText"/>
        <w:rPr/>
      </w:pP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وهو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 أنزلت وأين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ولساناً سؤولاً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ثمّ يقول صاحبنا عنه ما رأيت أعلم من علي</w:t>
      </w:r>
      <w:r>
        <w:rPr>
          <w:rStyle w:val="FootnoteAnchor"/>
          <w:rtl w:val="true"/>
        </w:rPr>
        <w:footnoteReference w:id="266"/>
      </w:r>
      <w:r>
        <w:rPr>
          <w:rFonts w:ascii="IRNazanin" w:hAnsi="IRNazanin" w:eastAsia="IRNazanin"/>
          <w:color w:val="111111"/>
          <w:sz w:val="28"/>
          <w:sz w:val="28"/>
          <w:szCs w:val="28"/>
          <w:rtl w:val="true"/>
          <w:lang w:bidi="fa-IR"/>
        </w:rPr>
        <w:t>، وأمثالها مما سترد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المؤهلات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عن أستاذه بتفسير، وإنّما كان يعرض عليه آراءه في ذلك، أو ما يحصله من آراء الآخرين، فإذا وافقت آراء الإمام صح نسبتها إليه، هذا بالإضافة إلى ما كان يأخذه عنه من التفسيرات ابتداءً، حتى 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أن يصرح عن هذا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ابن عطية في مقدمة تفسيره الجامع المحرر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وبهذا النص حدّث الزرقاني عنه وعقب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هذه الشهادة من ترجمان القرآن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الأمر يكاد يكون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فطبيعة التلمذة عنه، والملازمة التي عرفنا خطوطها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إثبات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العلوم علم تفسير القرآن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ومنه فرع، وإذا رجعت إلى كتب التفسير علمت صحة ذلك، لأن أكثره عنه وعن عبد الله بن عباس، وقد علم الناس حال ابن عباس في ملازمته له وانقطاعه إليه، وأنه تلميذه </w:t>
      </w:r>
    </w:p>
    <w:p>
      <w:pPr>
        <w:pStyle w:val="BookText"/>
        <w:rPr/>
      </w:pPr>
      <w:r>
        <w:rPr>
          <w:rFonts w:ascii="Amiri" w:hAnsi="Amiri" w:eastAsia="Amiri" w:cs="Amiri"/>
          <w:color w:val="111111"/>
          <w:sz w:val="28"/>
          <w:sz w:val="28"/>
          <w:szCs w:val="28"/>
          <w:rtl w:val="true"/>
          <w:lang w:bidi="ar-SA"/>
        </w:rPr>
        <w:t>وخرّيجه وقيل له أين علمك من علم ابن عمك ؟ فقال كنسبة قطرة من المطر إلى البحر المحيط</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والتفسير بعد ذلك في الحدود التي قسّمه فيها يعود 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لا يعذر أحد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وتفسير تعرفه العرب بكلامها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وتفسير يعلمه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وتفسير لا يعلمه إلا الله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ثمّ عقب ناقل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بعض الأضواء على هذا التقسيم،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لا يعذر أحد بجهالته، فهو ما يلزم به الكافّة من الشرائع التي في القرآن وجل دلائل التوحيد، وأما الذي تعرفه العرب بلسانها فهو حقائق اللغة وموضوع كلامهم، وأما الذي يعلمه العلماء فهو تأويل المتشابه وفروع الأحكام، وأما الذي لا يعلمه إلا الله فهو ما يجري مجرى الغيوب وقيام الساعة</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أُثر عنه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الجهات الثلاث الأول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استأثر الله بعلمه ولم يطلع عليه أحداً من عباده، وكذب من يدعي العلم به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في رواية ابن جرير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على أربعة أحرف حلال وحرام لا يعذر أحد بجهالته، وتفسير تفسّره العرب، وتفسير تفسّره العلماء، ومتشابه لا يعلمه إلا الله، ومن ادعى علمه سوی الله فهو كاذب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 جملة أحاديثه أن المتشابه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يمكن إدراك مضامينه، ولو من طريق التمسّك بالمأثور من الحديث في تفسيره والقسم الآخر هو الذي لا يعلمه إلّا الله، وبخاصة إذا أخذنا بتفسيره 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علي بن أبي طلحة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المحكمات ناسخه وحلاله وحرامه وحدوده وفرائضه وما يؤمن به ويعمل به والمتشابهات منسوخه ومقدمه ومؤخره وأمثاله وأحكامه وأقسامه وما يؤمن به ولا يعمل به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فالمقدّم والمؤخّر والأمثال والأقسام والمنسوخ ، كلّها يمكن البلوغ إليها من طريق الجمع بينها بالمأثورات في تفسيرها، ولكن ما يؤمن به ولا يعمل به ربّما يدخل في ذلك القسم الذي استأثر الله بعلمه، فلم يطلع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وجهالته بهذا القسم لا تمنعه من الإيمان به ما دام يعتقد أنه من عند الله، كالمحكم تماماً، وفي ذلك تصريحه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بالمحكم وندين به، ونؤمن بالمتشابه ولا ندين به، وهو من عند الله كلّه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هذه الأحاديث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 أُثر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مجالاً للنزاع في جواز التفسير بالرأي ،وعدمه، فالقرآن بعضه يمكن البلوغ إلى معانيه من طريق الظهورات المتعارفة، وهو الذي عبّر عنه بالتفسير الذي تعرفه العرب بكلامها، ومثل هذا لا </w:t>
      </w:r>
    </w:p>
    <w:p>
      <w:pPr>
        <w:pStyle w:val="BookText"/>
        <w:rPr/>
      </w:pPr>
      <w:r>
        <w:rPr>
          <w:rFonts w:ascii="Amiri" w:hAnsi="Amiri" w:eastAsia="Amiri" w:cs="Amiri"/>
          <w:color w:val="111111"/>
          <w:sz w:val="28"/>
          <w:sz w:val="28"/>
          <w:szCs w:val="28"/>
          <w:rtl w:val="true"/>
          <w:lang w:bidi="ar-SA"/>
        </w:rPr>
        <w:t>يحتاج إلى الاستعانة بالمأثورات، وبخاصة إذا تجلّت هذه الظهورات بالإحاطة بأسباب النزول، والباقي يرجع فيه إلى المأثور عن أهله، وبخاصة القسم الثالث، وهو التفسير الذي يعلمه العلماء، كتفسير ما يمكن تفسيره من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عبّروا عن القادرين على تفسير هذا القسم بالراسخين بالعلم واعتبروا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بناءً على عطف الراسخين على اللهمشيرة إليهم، وقد أثر عنه في تفسير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ممن يعلم تأويله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يَعْلَمُهُمْ إِلَّا قَلِيلّ</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أولئك القليل وهم سبعة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وكانوا يرونه كذلك، يقول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من الراسخين في العلم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والذي يبدو من بعض مروياته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نعرف مدى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يستأثر ببعض علوم القرآن فلا يحدّث بها أحداً؛ لعقيدته أنّ عقول العامة لا تتحملها، أو على الأخص ما جاء منها في تفسير بعض الآيات المتعلّقة بأسلوب الخلق، فقد جاء في تعليقه على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يقول ابن عباس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ذكرت تفسيره لرجمتموني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لفظ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وقد اعتبر ذلك عبد الحليم النجار من وضع الباطنية، وقد استدل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ما يتعلّق من علم يجب بثّه ونشره، ويحرم حجبه وكتمانه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w:t>
      </w:r>
      <w:r>
        <w:rPr>
          <w:rFonts w:eastAsia="Amiri" w:cs="Amiri" w:ascii="Amiri" w:hAnsi="Amiri"/>
          <w:color w:val="111111"/>
          <w:sz w:val="28"/>
          <w:szCs w:val="28"/>
          <w:rtl w:val="true"/>
          <w:lang w:bidi="ar-SA"/>
        </w:rPr>
        <w:t xml:space="preserve">» .. </w:t>
      </w:r>
      <w:r>
        <w:rPr>
          <w:rStyle w:val="FootnoteAnchor"/>
          <w:rtl w:val="true"/>
        </w:rPr>
        <w:footnoteReference w:id="281"/>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عن أهله ألجم يوم القيامة بلجام من نار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وما أدري ما علاقة الاستدلال بالدعوى فابن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الرواية لم يكتم شيئاً مبيناً في الكتاب وإنما كتم منه ما حجب علمه عن العباد، إلّا أمثاله من خاصة العلماء، وحديث من كتم علماً عن أهله لا يتناولها أيضاً، فهو لم يكتم علماً عن أهله؛ لأنّه لم ير في العامّة أهلاً له حتى يبثّه بينهم ، فهو من قبيل السالبة بانتفاء الموضوع، وعقولهم أضيق من أن تتحمّل الخوض في شؤون ما وراء الطبيعة، وربّما جره الحديث فيها إلى تكفيره، أو كفر من يأخذها عنه من دون 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الرواية إن صحت سنداً فليس ما يمنعها من أمثال هذه الأدلّة والاعتبارات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عنه في تفسير كثير من المتشابهات أشياء لا يمكن الاطمئنان إليها؛ لاضطراب في مضامينها، وربّما ألحق بعضها بكلام المنحرفين من الباطنية وأشباههم منه بكلام أمثاله من نوابغ البلغاء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ابن عباس على كثرة ما أثر عنه في التفسير في مختلف مجالاته الثلاثة، إلّا أنّ ما سُجّل ووصل إلينا منه لا يمكن الإيمان بصدور أكثره عنه، وربّما استحال أن يصدر مثله عن شخص واحد ؛ لكثرته كثرة لا يتسع لها وقت رجل واحد مهما كان له من العمر، وتناقضه واضطراب محتوياته حتى أنك لا تكاد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لك أن تبحث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واقعة واحدة لم يرد فيها أكثر من قول، وبعضها تما يستحيل فيها أن ترقى بمضمونها إلى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على ذكر من التمهيد الذي دخل بنا إلى هذه البحوث، أدركنا أسباب هذا الاضطراب بإدراكنا لعوامل الوضع عليه، وهي متكثّرة كما سبق أن بحثنا أكثرها مفصلاً في ذلك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ساعد على ذلك ما عُرف عنه من أنه لم يترك تفسيراً مكتوباً يمكن أن يكون مرجعاً لدى اختلاف تلامذته بالرواية عنه، وإن قيل أنه ترك كتباً يقدر ما عند مولاه كريب بن مسلم منها بحمل بعير ، وإن ولده علي كان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الكتاب كتب إليه ابعث إلي بصحيفة كذا وكذا، فينسخها فيبعث إليه بأحداهما </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كما قيل أنّ بعض ثقات تلاميذه كانوا يكتبون عنه، وربّما أمرهم هو بذلك يقول ابن أبي مليكة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مجاهداً يسأل ابن عباس في تفسير القرآن ومعه ألواحه،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اين عباس أكتبه، حتى سأله عن التفسير كلّه</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 مجاهد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المصحف عليه ثلاث عرضات، من فاتحته إلى خاتمته، يوقفه عند كلّ آية منه ويسأله عنها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ولكن أين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عنه أو عن الثقات 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بقيت لتكون مرجعاً يمكن الوثوق به في مواضع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بقي هو ما دوّن من آرائه بعد ذلك من طريق المئات من تلامذته،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يؤتمن عليه في النقل، كعكرمة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ميّز لنا بعض النقاد من أئمة الجرح والتعديل ما اعتبروه صحيحاً من غيره، بما عيّنواله من الطرق التي وثقوها في البلوغ إليه، والطرق التي طعنوا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الطرق التي وتقوها طريق علي بن أبي طلحة الهاشمي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قال السيوطي في التعقيب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أسنده أبو جعفر النحاس في ناسخه،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 وهي عند البخاري عن أبي صالح، وقد اعتمد عليها في صحيحه كثيراً فيما يعلّقه عن ابن عباس</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وأهمّ نقد وجّه إليه أن ابن أبي طلحة لم يسمع من ابن عباس التفسير، وإنّما أخذه عن مجاهد أو سعيد بن جبير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وقال الخليلي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 الحفاظ على أن ابن أبي طلحة لم يسمعه من ابن عباس</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ابن حجر على ذلك بعد أن عرفت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مجاهداً وابن </w:t>
      </w:r>
    </w:p>
    <w:p>
      <w:pPr>
        <w:pStyle w:val="BookText"/>
        <w:rPr/>
      </w:pPr>
      <w:r>
        <w:rPr>
          <w:rFonts w:ascii="Amiri" w:hAnsi="Amiri" w:eastAsia="Amiri" w:cs="Amiri"/>
          <w:color w:val="111111"/>
          <w:sz w:val="28"/>
          <w:sz w:val="28"/>
          <w:szCs w:val="28"/>
          <w:rtl w:val="true"/>
          <w:lang w:bidi="ar-SA"/>
        </w:rPr>
        <w:t xml:space="preserve">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فلا يضير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جواب متين لو أن ابن أبي طلحة قد صرّح بأن جميع رواياته في التفسير مستندة إلى هذين، وأين لنا منه ذلك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عدا ذلك فإن تفسيره لا يخرج عن كونه مرسلاً تجري عليه أحكام الأحاديث المرسلة، صحيح أن الخلل لا يدخل إليه من جهته، مع كونه ثقة – كما يبدو من توثيقهم له واعتمادهم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يدخله من جهة الإرسال</w:t>
      </w:r>
    </w:p>
    <w:p>
      <w:pPr>
        <w:pStyle w:val="BookText"/>
        <w:rPr/>
      </w:pPr>
      <w:r>
        <w:rPr>
          <w:rFonts w:ascii="Amiri" w:hAnsi="Amiri" w:eastAsia="Amiri" w:cs="Amiri"/>
          <w:color w:val="111111"/>
          <w:sz w:val="28"/>
          <w:sz w:val="28"/>
          <w:szCs w:val="28"/>
          <w:rtl w:val="true"/>
          <w:lang w:bidi="ar-SA"/>
        </w:rPr>
        <w:t xml:space="preserve">ومن جيّد الطرق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صاحب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قيس بن مسلم الكوفي المتوفى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في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جيّد الطرق عن ابن عباس طريق قيس عن عطاء بن السائب، عن سعيد بن جبير، عنه، وهذه الطريق صحيحة على شرط الشيخين، وكثيراً ما يخرج منها الفريابي والحاكم في مستدركه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ومن ذلك فيما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ابن إسحق عن محمد بن أبي محمد مولى آل زيد بن ثابت عن عكرمة أو سعيد بن جبير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 جيدة، وإسنادها حسن، وقد أخرج منها ابن جرير وابن أبي حاتم كثيراً، وفي معجم الطبراني الكبير منها أشياء</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احترام هذا الطريق موقوف على ثبوت سلامة عكرمة عن الكذب على مولاه، وسيأتي موقف المؤرّخين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لعكرمة هذا تفسير عن ابن عباس</w:t>
      </w:r>
      <w:r>
        <w:rPr>
          <w:rStyle w:val="FootnoteAnchor"/>
          <w:rtl w:val="true"/>
        </w:rPr>
        <w:footnoteReference w:id="293"/>
      </w:r>
      <w:r>
        <w:rPr>
          <w:rFonts w:ascii="Amiri" w:hAnsi="Amiri" w:eastAsia="Amiri" w:cs="Amiri"/>
          <w:color w:val="111111"/>
          <w:sz w:val="28"/>
          <w:sz w:val="28"/>
          <w:szCs w:val="28"/>
          <w:rtl w:val="true"/>
          <w:lang w:bidi="ar-SA"/>
        </w:rPr>
        <w:t xml:space="preserve">أيضاً، كما ذُكر لسعيد بن جبير ذلك </w:t>
      </w:r>
      <w:r>
        <w:rPr>
          <w:rStyle w:val="FootnoteAnchor"/>
          <w:rtl w:val="true"/>
        </w:rPr>
        <w:footnoteReference w:id="294"/>
      </w:r>
      <w:r>
        <w:rPr>
          <w:rFonts w:ascii="Amiri" w:hAnsi="Amiri" w:eastAsia="Amiri" w:cs="Amiri"/>
          <w:color w:val="111111"/>
          <w:sz w:val="28"/>
          <w:sz w:val="28"/>
          <w:szCs w:val="28"/>
          <w:rtl w:val="true"/>
          <w:lang w:bidi="ar-SA"/>
        </w:rPr>
        <w:t>، وربّما كانا هما المرويين بأحد تلكم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تفاسير غير مرضية ورواتها مجاهيل، وأمثال تفسير جويبر عن الضحاك عن ابن عباس</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وأوهى طرق تفاسيره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الكلبي عن أبي صالح عن ابن عباس، فإن انضم إلى ذلك رواية محمد بن مروان السدّي الصغير، فهي سلسلة الكذب، وكثيراً ما يخرج منها الثعالبي والواحدي</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وقد دافع ابن عدي في الكامل عن الكلبي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للكلبي أحاديث صالحة وخاصة عن أبي صالح، وهو معروف بالتفسير، وليس لأحد تفسير أطول منه ولا أشبع، وبعده مقاتل بن سليمان، إلّا أن الكلبي يفضل عليه؛ لما في مقاتل من المذاهب الردية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وقد تبنّى الدفاع عنه صاحب مقدّمة كتاب المباني في كلام طويل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أبا صالح روى عن محمد بن السائب الكلبي، ولقد كان مشهوراً بعلم التفسير والبراعة فيه، وقد روى عنه الأئمّة، ولو لم يكن له راو غير أبي يوسف قاضي القضاة لكان كافياً، وطعن فيه قوم وسمّوه كذاباً ، وهذا ممن قاله إقدام عظيم لما ذكرناه، وقد روى عنه سفيان الثوري، ونظراؤه من العلماء الكبار من أهل الفقه والعلم، ولم يطعن فيه، وروى عنه سفيان بن عيينة وهمام بن يحيى، ومعمّر بن أسيد، وحمّاد بن </w:t>
      </w:r>
    </w:p>
    <w:p>
      <w:pPr>
        <w:pStyle w:val="BookText"/>
        <w:rPr/>
      </w:pPr>
      <w:r>
        <w:rPr>
          <w:rFonts w:ascii="Amiri" w:hAnsi="Amiri" w:eastAsia="Amiri" w:cs="Amiri"/>
          <w:color w:val="111111"/>
          <w:sz w:val="28"/>
          <w:sz w:val="28"/>
          <w:szCs w:val="28"/>
          <w:rtl w:val="true"/>
          <w:lang w:bidi="ar-SA"/>
        </w:rPr>
        <w:t>سلمة، وهشيم بن بشير ، وأبو بكر بن عيّاش وعبد الله بن المبارك، ووكيع بن الجرّاح، وذكره أئمة أهل الإعراب أمثال الكسائي وأبي عبيدة، والأخفش، والفرّاء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الجملة فإن من طعن فيه ولم يبين المعنى الموجب لذلك، فإنّه لا يقبل ذلك منه، فلسنا نأمن من أن يكون الشيطان أغرى بين علماء كل عصر سبيل التحاسد والتنافر، كما أغرى بين بني يعقوب من الأنبياء علیهم السلام، كما أغرى بين الحسن وابن سيرين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لم يذكر الكلبي في تفسيره إلا وقد نقله الثقات من غيره، إلّا أنه رضي الله عنه كان مّمن سعى في الروايات ولم يكن غيره بذلك المحل؛ فلذلك قيل فيه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ومهما يكن من شأن هذا النقد والردّ عليه، فإن الذي بين أيدينا من تفاسيره لا يخلو من القلق من مضامينه، وبخاصة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التفسير المتداول الذي يحمل على غلافه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حبر الأمة سيدنا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هو الذي قيّد بسلسلة الكذب التي يذكرها السيوطي 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الثقة ابن المأمون الهروي قال أخبرنا أبي قال أخبرنا أبو عبد الله قال أخبرنا أبو عبيد الله محمود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عبد المجيد الهروي قال أخبرنا علي بن إسحق السمرقندي عن محمد بن مروان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وقد جمعت هذه السلسلة بين محمد بن مروان والكلبي وهما موضع ريبة السيوطي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دفاع من سبق من الباحثين عن خصوص الكلبي، فإن المؤاخذة تصب </w:t>
      </w:r>
    </w:p>
    <w:p>
      <w:pPr>
        <w:pStyle w:val="BookText"/>
        <w:rPr/>
      </w:pPr>
      <w:r>
        <w:rPr>
          <w:rFonts w:ascii="Amiri" w:hAnsi="Amiri" w:eastAsia="Amiri" w:cs="Amiri"/>
          <w:color w:val="111111"/>
          <w:sz w:val="28"/>
          <w:sz w:val="28"/>
          <w:szCs w:val="28"/>
          <w:rtl w:val="true"/>
          <w:lang w:bidi="ar-SA"/>
        </w:rPr>
        <w:t>على خصوص محمد بن مروان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قلق في بعض مضامينه، يبعث على الشبهة والربية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على ذلك مثلاً تفسيره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نسبة هذه الرواية بذلك السند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الباء بهاؤه وبهجته وبلاؤه وبركته وابتداء اسمه باري، السين سناؤه وسموه أي ارتفاعه وابتداء اسمه سميع، الميم ملكه ومجده ومنته على عباده الذين هداهم الله تعالى للإيمان وابتداء اسمه مجيد، الله معناه الخلق يؤلّهون ويتألّهون إليه، أي يتضرعون إليه عند الحوائج ونزول الشدائد، الرحمن العاطف على البَرِّ والفاجر بالرزق لهم ودفع الآفات عنهم، الرحيم خاصة على المؤمنين بالمغفرة وإدخالهم الجنة، ومعناه الذي يستر عليهم الذنوب في الدنيا ويرحمهم في الآخرة فيدخلهم الجنة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وهذا الكلام إذا أمكن أن ينسب إلى قسم من مفسّري الصوفية والباطنية فإنّه لا يمكن أن ينسب إلى من يعيش في عصر ابن عباس، بل إليه من بين معاصريه وبخاصة هذا التقطيع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أمر هذا التفسير أهون من أن يطال فيه الحديث على أن الكثير من مضامينه السليمة لا يقع فيها الريب في إمكان نسبتها إلى مثله فهو كغيره من التفاسير تمن جمع أقوال ابن عباس جمعاً لا يبتني على موازنة وتمحيص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طرق أخرى شكك فيها السيوطي كطريق الضحاك بن مزاحم عن ابن عباس فإن الضحاك لم يلقه، فإن انضم إلى ذلك رواية بشر بن عمارة عن أبي روق عنه، </w:t>
      </w:r>
    </w:p>
    <w:p>
      <w:pPr>
        <w:pStyle w:val="BookText"/>
        <w:rPr/>
      </w:pPr>
      <w:r>
        <w:rPr>
          <w:rFonts w:ascii="Amiri" w:hAnsi="Amiri" w:eastAsia="Amiri" w:cs="Amiri"/>
          <w:color w:val="111111"/>
          <w:sz w:val="28"/>
          <w:sz w:val="28"/>
          <w:szCs w:val="28"/>
          <w:rtl w:val="true"/>
          <w:lang w:bidi="ar-SA"/>
        </w:rPr>
        <w:t>فضعيفة لضعف بشر، وقد أخرج من هذه النسخة كثيراً ابن جرير وابن أبي حاتم، وإن كان من زواية جويبر عن الضحاك فأشد ضعفاً ؛ لأنّ جويبراً شديد الضعف متروك، ولم يخرج ابن جرير ولا ابن أبي حاتم من هذا الطريق شيئاً، إنّما أخرجها ابن مردويه وأبو الشيخ ابن حيان، وطريق العوفي عن ابن عباس أخرج منها ابن جرير وابن أبي حاتم كثيراً، والعوفي ضعيف ليس بواءٍ، وربّما حسّن له الترمذي</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وهناك كتب في بعض جوانب المعرفة من القرآن منتهية في الرواية إليه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 للكلبي رواه عن ابن عباس</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وحكمها حكم سابقاتها، والحديث فيها واحد من حيث الاطمئنان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يجب أن تقال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نستطيع – بحكم منهجنا الذي رسمناه في بداية الجزء الأول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نأخذ بما صح سنده و تناقضت واضطربت ،مدالیله ولا ان نهمل ما سلمت ،مداليله وكانت وفق ما تقتضيه طبيعة الزمن، لا لشيء إلا لتهمة عامة توجّه إلى راويه، اللهم إلا إذا كانت التهمة موجهة إليه في وضع خصوص الرواية موضوعة البحث، وان لها من الاعتبارات والملابسات ما يساعد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الحدود فإن ما نسب إلى ابن عباس في ذلك لا يصح أن تتضمّنه وحدة لتكون مقياساً يرجع إليه في مقام التقييم، بل لكل رواية حكمها الخاص بها، فلا يصح إذا أن نلجأ إلى التعميمات في الأحكام على ما نسب إليه من تفاسير، فنأتي على جميع ما ورد في بعضها، ونصحح البعض الآخر جميعاً، مع ما في بعضه من مفارقات صريحة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ما ورد عن الشافعي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يثبت عن ابن عباس في التفسير إلا </w:t>
      </w:r>
    </w:p>
    <w:p>
      <w:pPr>
        <w:pStyle w:val="BookText"/>
        <w:rPr/>
      </w:pPr>
      <w:r>
        <w:rPr>
          <w:rFonts w:ascii="Amiri" w:hAnsi="Amiri" w:eastAsia="Amiri" w:cs="Amiri"/>
          <w:color w:val="111111"/>
          <w:sz w:val="28"/>
          <w:sz w:val="28"/>
          <w:szCs w:val="28"/>
          <w:rtl w:val="true"/>
          <w:lang w:bidi="ar-SA"/>
        </w:rPr>
        <w:t>شبيه بمائة حديث</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وكأنّ حكمه هذا جاء كردّ فعل للكثرة الخارقة التي وردت عنه في ذلك، وهي مبالغة في القلة لا تلتئم وواقع ما اعتمدوه من مأثورات في هذا الباب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واقع ما تقتضيه طبيعة الأحوال، وإلا فإنّ من البعيد جداً أن يعيش ضمن هذه المدّة، ويتفرّغ لأداء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الطلب عليه وهو ترجمان القرآن ووارث علمه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يثبت عنه غير هذا المقدار</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232_165763"/>
      <w:bookmarkStart w:id="100" w:name="pg15232_165763"/>
      <w:bookmarkEnd w:id="100"/>
    </w:p>
    <w:p>
      <w:pPr>
        <w:pStyle w:val="Heading3"/>
        <w:numPr>
          <w:ilvl w:val="2"/>
          <w:numId w:val="1"/>
        </w:numPr>
        <w:rPr/>
      </w:pPr>
      <w:bookmarkStart w:id="101" w:name="pg15232_165763"/>
      <w:bookmarkStart w:id="102" w:name="__RefHeading___Toc3547309_2142443653"/>
      <w:bookmarkStart w:id="103" w:name="_Toc34"/>
      <w:bookmarkEnd w:id="101"/>
      <w:bookmarkEnd w:id="102"/>
      <w:r>
        <w:rPr/>
        <w:t>3</w:t>
      </w:r>
      <w:r>
        <w:rPr>
          <w:rtl w:val="true"/>
        </w:rPr>
        <w:t xml:space="preserve">- </w:t>
      </w:r>
      <w:r>
        <w:rPr>
          <w:rtl w:val="true"/>
        </w:rPr>
        <w:t>الحديث</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وهو ثالث معارفه التي كان يقدّم التحدّث عنها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يبدأ في مجلسه بالقرآن ثمّ بالتفسير ثمّ بالحديث</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الآخر من أهمّ ما عُني به ورافقه طيلة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ویراد به نقل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قول المعصوم أو فعله أو تقريره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وقد عرفنا في الجزء الأول من هذا الكتاب في فصل حتى المراهقة مدى اهتمامه به على عهد رسول الله صلی الله علیه و آله وسلم ، وعهد أبي بكر، حين كان يتتبع الصحابة ليحدث بمأثوراتهم عنه، وبخاصة الأنصار منهم، وظل موضع اهتمامه نقلاً وأداءً حتى قبيل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عنه في هذا المجال بثير أمامنا عدة أبحاث يتعلّق بعضها بشرائط قبول الرواية، ومدى حصوله عليها، وبعضها بكميّة أحاديثه، وثالثة بنوعيّتها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شرائط قبول الرواية فأهمها شرطان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الراوي من آفة النسيان والسهو، والغفلة، والتخليط، كأمراض يُعرف بها </w:t>
      </w:r>
    </w:p>
    <w:p>
      <w:pPr>
        <w:pStyle w:val="BookText"/>
        <w:rPr/>
      </w:pPr>
      <w:r>
        <w:rPr>
          <w:rFonts w:ascii="Amiri" w:hAnsi="Amiri" w:eastAsia="Amiri" w:cs="Amiri"/>
          <w:color w:val="111111"/>
          <w:sz w:val="28"/>
          <w:sz w:val="28"/>
          <w:szCs w:val="28"/>
          <w:rtl w:val="true"/>
          <w:lang w:bidi="ar-SA"/>
        </w:rPr>
        <w:t xml:space="preserve">أمّا احتمال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طبيعي من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تدفعه، وهذا يكاد يكون موضع اتفاق أرباب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لدى بعض، وكونه ثقة لا يكذب لدى آخرين، وإن صدرت عنه ذنوب أخرى لا ترتبط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العدالة أضيق من شرط التوثيق لاعتباره بالإضافة إلى الصدق التزامه ببقية الواجبات، وانتهاءه عن الكبائر من المحرّمات أو هي والصغائر منها، على خلاف في الصغيرة والكبيرة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شؤون هذا الخلاف ما اختلفوا فيه من قبول قول صاحب البدعة فيما يخص بدعته، وإن عُرف بالصدق، فمن قائل يرفض قوله مطلقاً، خصّ بدعته في قوله أم لم يخصها ، ومن قائل بقبول قوله فيما لا يخصها من الأحاديث إذا كان ثقة في عوالم الصدق والكذب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وهو فيما يخص الشرط الأول كان مستوفياً لشروط الصحة، فما عُرف بالنسيان ولا التخليط والسهو ولا غيرها من الآفات التي تعرّضه للتزييد والتنقيص تزيداً أو تنقيصاً لا شعورياً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عنه من سرعة الحافظة وقوّة الذاكرة ما يعتبر مضرب الأمثال فيه، وقد مرّ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فيما يأتي الكثير مما ورد عنه ما ينتظم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إطالة الكلام فيه ما دام موضع اتفاق مؤرّخيه، وما رأيت من سجّل عليه في ذلك سهواً أو نسياناً أو تخليطاً أو تناقضاً، مع كثرة الدواعي المتوفّرة لتسجيل ذلك عليه لو وقع منه، على أنه كان يكتب الحديث أحياناً وقد حدّث عبيد الله بن علي عن جدته سلمى قالت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عبد الله بن عباس معه ألواح يكتب عليها عن أبي رافع شيئاً من فعل رسول الله صلی الله علیه و آله وسلم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وقد سبق حديث ما ترك من الكتب لدى بعض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مختلفة فيه وتعود في أساسها إلى أربعة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بعد الته وتوثيقه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بالوثاقة دون العدالة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بعدالته مع نسبة الكذب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بتكذيبه ونسبة البهتان إليه مع السكوت عن شؤونه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فهو القول السائد بين 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شبه إجماعهم على إكباره واحترامه، وعدم نسبة ما يوجب الطعن في عدالته في أكثر كتب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وينفرد بالقول الثاني بعض أرباب الجرح والتعديل من الشيعة، فيحكمون بحسنه، ولا يحكمون ،بعدالته ، استناداً إلى روايات وردت عن بعض أئمة أهل البيت عليهم السلام، وفي بعضها ما يدلّ على نفي العدالة عنه، وكلّها ضعيفة السند؛ لورودها عن رواة طعن فيهم أئمة الجرح والتعديل من الشيعة أنفسهم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الحلي في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عباس من أصحاب رسول الله صلی الله علیه و آله وسلم كان محباً لعلي وتلميذه حاله في الجلالة والإخلاص لأمير المؤمنين أشهر من أن يخفى، وقد ذكر الكشي أحاديث تتضمن قدحاً فيه، وهو أجلّ من ذلك، وقد ذكرناها في كتابنا </w:t>
      </w:r>
    </w:p>
    <w:p>
      <w:pPr>
        <w:pStyle w:val="BookText"/>
        <w:rPr/>
      </w:pPr>
      <w:r>
        <w:rPr>
          <w:rFonts w:ascii="Amiri" w:hAnsi="Amiri" w:eastAsia="Amiri" w:cs="Amiri"/>
          <w:color w:val="111111"/>
          <w:sz w:val="28"/>
          <w:sz w:val="28"/>
          <w:szCs w:val="28"/>
          <w:rtl w:val="true"/>
          <w:lang w:bidi="ar-SA"/>
        </w:rPr>
        <w:t>الكبير وأجبنا عنها ، رضي تعالى عنه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وقد عدّه في القسم الأول من كتابه وهو المختص بالثقات، وعلّق الشهيد الثاني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من الطعن فيه خمسة أحاديث كلها ضعيفة السند جداً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في الدرجات الرفيعة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اعتقده في ابن عباس أنه كان من أعظم المخلصين لأمير المؤمنين وأولاده، ولا شكّ في تشيّعه وإيمانه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وفي التحرير الطاووسي للسيد 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عباس حاله في المحبة والإخلاص لأمير المؤمنين والموالاة والنصرة والذبّ عنه والخصام في رضاه والمؤازرة ممّا لا شبهة فيه، وقد كان يعتمد ذلك مع من يحبّ اعتماده معه بعده على ما نطق به لسان السيرة، وقد روى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أخباراً شاذة ضعيفة تقتضي قدحاً أو جرحاً، ومثل الحبر موضع أن يحسده الناس وينافسوه، ويقولوا فيه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حسدوا الفتى إذ لم ينالوا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كضرائر الحسناء قلن لوجهها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ولو اعتبر العاقل حال الناس كافّة رأى أنه ليس أحد منهم خالياً من معترض، أو قائل فيه، أو مباهت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ذلك غير جارٍ عن قانون ونمط السداد، إذ فيهم من لا شبهة في نزاهته وبراءته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زلت أستصفي لك الودّ أبتغي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 حتى كأنّي محرم</w:t>
      </w:r>
    </w:p>
    <w:p>
      <w:pPr>
        <w:pStyle w:val="BookText"/>
        <w:rPr/>
      </w:pPr>
      <w:r>
        <w:rPr>
          <w:rFonts w:ascii="Amiri" w:hAnsi="Amiri" w:eastAsia="Amiri" w:cs="Amiri"/>
          <w:color w:val="111111"/>
          <w:sz w:val="28"/>
          <w:sz w:val="28"/>
          <w:szCs w:val="28"/>
          <w:rtl w:val="true"/>
          <w:lang w:bidi="ar-SA"/>
        </w:rPr>
        <w:t>الأسلم من قول الوشاة وتسلمي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وهل حيّ من الناس يسلم</w:t>
      </w:r>
    </w:p>
    <w:p>
      <w:pPr>
        <w:pStyle w:val="BookText"/>
        <w:rPr/>
      </w:pPr>
      <w:r>
        <w:rPr>
          <w:rFonts w:ascii="Amiri" w:hAnsi="Amiri" w:eastAsia="Amiri" w:cs="Amiri"/>
          <w:color w:val="111111"/>
          <w:sz w:val="28"/>
          <w:sz w:val="28"/>
          <w:szCs w:val="28"/>
          <w:rtl w:val="true"/>
          <w:lang w:bidi="ar-SA"/>
        </w:rPr>
        <w:t>ولو شكّ العاقل في كل شيء، لما شكّ في حال نفسه، عند قول باطل يقال فيه، و بهت يبهت به لا أصل له، وفي كلام مشاهد بأن السلامة من التعرّض بعيدة لأنّ الرفيع بمظنّة حسد المتوسط ومن دونه فيقولان فيه والمتوسط بمظنّة الحسد الساقط، فيقول فيه، الساقط بمنزلة قدح الرفيع والمتوسط حقاً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مورد ما رواه الكشي في خلاف ما مدحت به ومجيب عن ذلك إن شاء الله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وقد عرض الشيخ المامقاني في جملة الروايات فناقشها ووقف عند أسانيدها وقفة طويلة، ونقد أكثر محتوياتها، ولم تسلم منها إلّا رواية واحدة اعتبرها صحيحة، رغم تصريح الغضائري بضعف بعض رواتها، وفي مضامينها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تدلّ عليه الطعن في أبيه وليس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أكثر قلقه من أحاديث بيت المال، فقد عرضها وأطال فيها القول وانتهى منها إلى القول بإيمانه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غاية المدح، معلوم العدالة سابقاً، ومعلوم الزوال بأخذ بيت المال، ومشكوك حصول عدالته بعد ذلك فيجري على حديثه حكم الحديث الحسن</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سابقا أن قصّة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انتهينا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تستوجب له قدحاً في العدالة، وقد ذكرنا تفصيل ذلك في موضعه من الجزء الأول من هذا الكتاب،ولا نثقل بإعادته في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والغريب من صاحب إتقان المقال عدّه في القسم الثالث من كتابه، وهو قسم الضعفاء مع أنه عرض لأمره وانتهى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فالظاهر ما قاله العلامة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والعلامة يعدّه من الثقات كما سبق كلامه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فشأن روايات الكشي أهون من أن يطال فيها الحديث من وقوع جماعة من الوضّاع في طريقها وتصريح جملة الرجاليين بذلك، وما رأيت تصحيحاً لبعضها إلا من الشيخ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صحح واحدة منها مع نصّ الغضائري على ضعف بعض رواتها على أنّ ما في مضامينها من بواعث الريبة مع مخالفتها لروايات أخر أسلم منها محتويات وأبعد عن القلق كافٍ في طرحها وتحميل مسؤوليتها رواتها؛ للجزم بعدم صدورها من أهل البيت علیهم السلام، وفي عرضها ومناقشتها تطويل في غير موضعه، فلتراجع في تنقيح المقال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القول الثالث أعني بعدالته مع نسبة الكذب إليه فهو الذي يشعر به قول سعيد الأفغاني، حين عرض الحديث الحوأب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واعترف بصحته، وحاول صرفه عن عائشة؛ لرواية وردت في مادة حوأب من معجم البلدان وفحواها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صاحبة هذا الخطاب سلمى بنت مالك الفزارية، وكانت سبية وهبت لعائشة، وهي المقصودة بخطاب الرسول الذي زعموه، وقد ارتدت مع طليحة الأسدي، وقُتلت في حروب الردّة</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أين كان عن هذه الرواية أنصار السيّدة عائشة من المؤرّخين وأرباب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يصححوها ، كما صححوا نسبتها إليها، أو يعارضوا بينها وبين غيرها ممّا تظاهر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أدري أيضاً لِمَ لم يحاكم الأفغاني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مروية عن كتاب سيف كما جاء في تأريخ الطبري ومعجم البلدان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وسيف فيما جاء في كتب الجرح والتعديل يروي عن خلق كثير من المجهولين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الرواية ساقط يروي الموضوعات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حديثه منكسر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بالوضع والزندقة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وكيف عارض بين ما صح سنده لديه، وما كانت هذه قيمته من صحة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نقده الدلالي لتلكم الرواية الصحيحة، فقد جاء من وجهين نعرضها؛ لنعرف قيمتهما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عن الأول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الخبر صحيحاً لرجعت عائشة من فورها، فليست بالتي تلقي بنفسها في التهلكة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يتمّ على تقدير نسبة ما يشبه العصمة إليها، على أنها كادت تعود لولا أن يقدّم لها ابن الزبير خمسين قسّامة يحلفون لها على أنّهم اجتازوا ماء الحوأب، مع ما أغروه بها من طلب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حديثها في الجزء الأول من هذا الكتاب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سند الذهبي ينتهي في إحدى روايتيه إلى ابن عباس، وابن عباس على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خبّ وأوضع في الحزبية السياسية، فهو أكبر أنصار علي وألد خصوم عائشة في خلافها عليه، فلعل هذا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نسبة الحديث إليه يتسامح ويغضّ عما فيه لتأييد مذهبه السياسي وإلا فإنّي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ابن عباس </w:t>
      </w:r>
    </w:p>
    <w:p>
      <w:pPr>
        <w:pStyle w:val="BookText"/>
        <w:rPr/>
      </w:pPr>
      <w:r>
        <w:rPr>
          <w:rFonts w:ascii="IRNazanin" w:hAnsi="IRNazanin" w:eastAsia="IRNazanin"/>
          <w:color w:val="111111"/>
          <w:sz w:val="28"/>
          <w:sz w:val="28"/>
          <w:szCs w:val="28"/>
          <w:rtl w:val="true"/>
          <w:lang w:bidi="fa-IR"/>
        </w:rPr>
        <w:t>حاضراً قول النبي صلی الله علیه و آله وسلم هذا وهو بين نسائه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سكوت الرواية عن ذلك من جهة، وإلى ضرورة التصريح بذلك هنا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بالنفي، وإنّ على المثبت أن يأتي بدليل ينص على أنّ ابن عباس كان حاضراً مجلس النبي صلى الله عليه و آله وسلم مع نسائه، ولا يغني هنا خاصة قولهم أن مراسيل الصحابة يحتجّ بها؛ لأن وجود ابن عباس هنا مع النساء في حديث خاص بهنّ غير مألوف، فيحتاج إثباته إلى 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أذكر ما في ذوقي الخاص لقاء هاتين السجعتين في رواية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أيتكنّ صاحبة الجمل الأدبب تسير حتى تنبحها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بعد عن البلاغة النبوية، عند من كثر إلفه لها، ولست أدري لم لا يطبق أولئك الأفاضل قواعد المحدّثين على المتن والسند معاً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يميل إلى أن واضعها ابن عباس؛ لغرض سياسي وعدائي للسيّدة ،عائشة كما يشعر به كلامه وحجّته في ذلك سكوت الرواية عن حضور ابن عباس معهم في البيت، وما أدري ما يمنع من حضوره؟ وهو إذ ذاك طفل لم يبلغ الحلم بعد، وتأريخه يصرح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فصل حتى المراهقة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يرتاد بيوت النبي صلی الله علیه و آله وسلم كثيراً،وربّما بات عند النبي صلی الله علیه و آله وسلم، وطبيعة القرابة، وصغر السنّ تقتضيه ذلك، وليست هي من الأحاديث النسائية التي لا تقع أمام من هم بسنّه من المراهقين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لم يشاهد الحادثة بعينه، أفيمنع مانع من نقل النبي صلی الله علیه و آله وسلم لها لعلي علیه السلام وهو حاضر، ومثلها عادة مما يُنقل لمثل الإمام علیه السلام ، لأنها تخصه في الدرجة الأولى، وأن الإمام نقلها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دمنا قد اعتبرنا مرسلات الصحابي حجّة ، فلِمَ لم نعتبرها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w:t>
      </w:r>
    </w:p>
    <w:p>
      <w:pPr>
        <w:pStyle w:val="BookText"/>
        <w:rPr/>
      </w:pPr>
      <w:r>
        <w:rPr>
          <w:rFonts w:ascii="Amiri" w:hAnsi="Amiri" w:eastAsia="Amiri" w:cs="Amiri"/>
          <w:color w:val="111111"/>
          <w:sz w:val="28"/>
          <w:sz w:val="28"/>
          <w:szCs w:val="28"/>
          <w:rtl w:val="true"/>
          <w:lang w:bidi="ar-SA"/>
        </w:rPr>
        <w:t xml:space="preserve">شروط الإرسال أن يشهد المرسل ،الحادثة، وإلا لم يكن مرسلاً، ومعنى إرسالها أنّ هناك واسطة بينه وبين مصدرها الأول، والصحابي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يرسل إلّا عمّن يعتمده، فالرواية وإن تك مرسلة، فأي مانع يمنع من الأخذ بها، إذا كان يعتمد صاحبنا روايتها، كما هو شأن الصحابة في مرسلاتهم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المسألة لم تختص روايتها بابن عباس، فقد رويت عن عائشة نفسها كما في مستدرك الحاكم </w:t>
      </w:r>
      <w:r>
        <w:rPr>
          <w:rStyle w:val="FootnoteAnchor"/>
          <w:rtl w:val="true"/>
        </w:rPr>
        <w:footnoteReference w:id="319"/>
      </w:r>
      <w:r>
        <w:rPr>
          <w:rFonts w:ascii="Amiri" w:hAnsi="Amiri" w:eastAsia="Amiri" w:cs="Amiri"/>
          <w:color w:val="111111"/>
          <w:sz w:val="28"/>
          <w:sz w:val="28"/>
          <w:szCs w:val="28"/>
          <w:rtl w:val="true"/>
          <w:lang w:bidi="ar-SA"/>
        </w:rPr>
        <w:t xml:space="preserve">، ورويت عن أم سلمة، والأفغاني نفسه يقول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أحدى روايتيه، فما بال الرواية الثانية لم يتّهم راويها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وحديث السجع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كما يقول منافياً لبلاغة النبي صلی الله علیه و آله وسلم، فإنه لم يوجد جميع صورها، ولذلك اختار من بينها رواية الزمخشري ، وربّما كان النقل منه بالمعنى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المفارقات في نقده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 على المحدّثين عدم نقدهم للحديث نقداً دلالياً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أدري بعد ذلك هل سأل نفسه عن كيفية جمعه بين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اعترف 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أن يخبّ ويوضع في الاغراض السياسية حتى يبلغ الخب به إلى أن يجرأ بالوضع والكذب على رسول الله صلی الله علیه و آله وسلم، وهو نفسه المحدّث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w:t>
      </w:r>
    </w:p>
    <w:p>
      <w:pPr>
        <w:pStyle w:val="BookText"/>
        <w:rPr/>
      </w:pPr>
      <w:r>
        <w:rPr>
          <w:rFonts w:ascii="Amiri" w:hAnsi="Amiri" w:eastAsia="Amiri" w:cs="Amiri"/>
          <w:color w:val="111111"/>
          <w:sz w:val="28"/>
          <w:sz w:val="28"/>
          <w:szCs w:val="28"/>
          <w:rtl w:val="true"/>
          <w:lang w:bidi="ar-SA"/>
        </w:rPr>
        <w:t>الحديث إلا ما علمتم فإنّه 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ثم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على خطيئته فلا يتوب منها حتى الوفاة، بدليل أنه لم يؤثر تصريح أو تلميح بتوبته عن هذا الحديث، وتصريحه لبيان واقعه دفعاً للشبهة التي ألقاها في نفوس سامعيه بالنسبة إلى أم المؤمنين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عائشة وابن الزبير وجماعتهما من هذا الزور والبهتان؟ </w:t>
      </w:r>
    </w:p>
    <w:p>
      <w:pPr>
        <w:pStyle w:val="BookText"/>
        <w:rPr/>
      </w:pPr>
      <w:r>
        <w:rPr>
          <w:rFonts w:ascii="Amiri" w:hAnsi="Amiri" w:eastAsia="Amiri" w:cs="Amiri"/>
          <w:color w:val="111111"/>
          <w:sz w:val="28"/>
          <w:sz w:val="28"/>
          <w:szCs w:val="28"/>
          <w:rtl w:val="true"/>
          <w:lang w:bidi="ar-SA"/>
        </w:rPr>
        <w:t>ولم لم ينكروه ؟ على كثرة ما اختلفوا معه وأنكروا في أمور أخرى، وربّما تكون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نظر معاصريه وهم أخبر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الله من أن ينسب إليه أمثال هذا 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الرابع وهو الذي ينسب إليه الكذب دون تعرّض الجوانبه الأخر، فأمره أهون الأمور؛ لصدوره عن بعض المستشرقين غير المؤتمنين على تأريخ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هال هذا المستشرق أن يرى كثرة مروياته من ناحية، ودخول التناقض إليها من ناحية أخرى، فنسب إليه 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التحامل على ابن عباس فرماه بالكذب والبهتان، وأنا على يقين أنه لو أعمل عقله، ودرس هذه الأقوال المنسوبة إلى ابن عباس دراسة علمية دقيقة، ولو فكّر في العوامل السياسية التي يمكن أن تكون هي المسؤولة أولاً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فكر في ذلك وتعمّق في البحث عن هذه الأسباب ما تسرع في حكمه هذا الذي تخالفه أيسر قواعد الجرح والتعديل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وهو كلام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بحثنا لأسباب الوضع عليه في مقدمة الجزء الأول من هذا الكتاب ما يلقي بعض الأضواء على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ما انتهينا إليه من صدقه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w:t>
      </w:r>
    </w:p>
    <w:p>
      <w:pPr>
        <w:pStyle w:val="BookText"/>
        <w:rPr/>
      </w:pPr>
      <w:r>
        <w:rPr>
          <w:rFonts w:ascii="Amiri" w:hAnsi="Amiri" w:eastAsia="Amiri" w:cs="Amiri"/>
          <w:color w:val="111111"/>
          <w:sz w:val="28"/>
          <w:sz w:val="28"/>
          <w:szCs w:val="28"/>
          <w:rtl w:val="true"/>
          <w:lang w:bidi="ar-SA"/>
        </w:rPr>
        <w:t>إلى التماس ما أُثر عنه من الحديث في مختلف الكتب المعنية بذلك؛ لنلتمسها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عدّها على نحو الاستيعاب مما يتعذر على أي أحد، وعلى الأقل في عصرنا الذي كثرت فيه المؤلّفات وكتب الحديث كثرةً أصبح معها عدّها وتتبعها شبه متعذّر على مثلي، فضلاً عن التغلغل في أعماقها؛ لاستخراج ما ضمته في حناياها من مأثوراته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نعود إلى ما قام بهذه المهمة من الباحثين للاستعانة بهم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أنفسهم مختلفون في عدّها، وأكبر رقم وصل إلينا منهم هو ألف وستمائة وستون حديثاً، وهو الذي ذكره صاحب خلاصة تذهيب الكمال، 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إتفقا على خمس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مسلماً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 البخاري بثمانية وعشرين ومسلم بتسعة وأربعين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وفي رواية أنهما اتفقا على تسعين</w:t>
      </w:r>
      <w:r>
        <w:rPr>
          <w:rStyle w:val="FootnoteAnchor"/>
          <w:rtl w:val="true"/>
        </w:rPr>
        <w:footnoteReference w:id="323"/>
      </w:r>
      <w:r>
        <w:rPr>
          <w:rFonts w:ascii="Amiri" w:hAnsi="Amiri" w:eastAsia="Amiri" w:cs="Amiri"/>
          <w:color w:val="111111"/>
          <w:sz w:val="28"/>
          <w:sz w:val="28"/>
          <w:szCs w:val="28"/>
          <w:rtl w:val="true"/>
          <w:lang w:bidi="ar-SA"/>
        </w:rPr>
        <w:t>، بينما زاد فيها بعضهم إلى أربعمائة وخمسة أحاديث وقد احتاط صاحب هذا الرقم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حفظنا عنه نحو أربعمائة حديث</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وهناك أرقام متوسطة ذكرها غير هؤلاء لا يهم عرضها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أنّ صاحب خلاصة تذهيب الكمال يعتقد بأنّ مروياته التي سمعها من النبي صلی الله علیه و آله وسلم بلا فصل هي خمسة وعشرون حديثاً فقط، وباقي حديثه عن الصحابة عن النبي صلی الله علیه و آله وسلم،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واتفقوا على قبول مرسل الصحابي</w:t>
      </w:r>
      <w:r>
        <w:rPr>
          <w:rFonts w:eastAsia="IRNazanin" w:cs="IRNazanin"/>
          <w:color w:val="111111"/>
          <w:sz w:val="28"/>
          <w:szCs w:val="28"/>
          <w:rtl w:val="true"/>
          <w:lang w:bidi="fa-IR"/>
        </w:rPr>
        <w:t>».</w:t>
      </w:r>
      <w:r>
        <w:rPr>
          <w:rStyle w:val="FootnoteAnchor"/>
          <w:rtl w:val="true"/>
        </w:rPr>
        <w:footnoteReference w:id="3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من أين أخذ هذا العدد، ولم يؤثر له تصريح بذلك حتى يصح أن يعتمده، وطبيعة الأحوال تأبى الاقتصار على هذا المقدار، مع ما سبق أن عرفنا من </w:t>
      </w:r>
    </w:p>
    <w:p>
      <w:pPr>
        <w:pStyle w:val="BookText"/>
        <w:rPr/>
      </w:pPr>
      <w:r>
        <w:rPr>
          <w:rFonts w:ascii="IRNazanin" w:hAnsi="IRNazanin" w:eastAsia="IRNazanin"/>
          <w:color w:val="111111"/>
          <w:sz w:val="28"/>
          <w:sz w:val="28"/>
          <w:szCs w:val="28"/>
          <w:rtl w:val="true"/>
          <w:lang w:bidi="fa-IR"/>
        </w:rPr>
        <w:t>اهتمامه بالحديث مدة إقامتة معه صلی الله علیه و آله وسلم، وبواعث ذلك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عمّمنا السُنّة إلى 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تعريف الأصوليين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شاهده من أفعاله وأفعال معاصريه مع تقرير النبي صلی الله علیه و آله وسلم لهم، وما حدث به أضعاف ذلك بكثير، كما تقتضيه العادة لأمثاله، ومن هم في سنه وذكاءه إذ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الأحاديث التي أُثرت عنه فيها الصحيح والحسن، وفيها الضعيف والمتروك على اختلاف في بواعث الترك أو الضعف، فقد يكون الإرسال أو الانقطاع في سنده مانعاً من الأخذ به، وقد يكون وقوع بعض الكذابين أو المتهمين في سلسلته باعثاً على رميه بالضعف، وربّما كان الحديث صحيحاً، وإلّا أنّ القلق والارتباك في مضامينه هو الذي يمنع من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سابقاً إنّ لكلّ حديث حكمه الخاص ، وربّما أجرينا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بالخصوص، عند 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التعادل والتراجيح، من عرضها على الكتاب وما صح من السنة، فإن وافقتهما أخذ بها، وإلّا رُمي بها عرض الجدار، كما أمرت بذلك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لها شبهة في الموافقة عرضت على المرجّحات السنديّة أو الجهتية، وعمل بها على وفقها وإن تساوت من جميع الجهات حكم بتساقطها، أو التخيير بينها على اختلاف في المبنى، يذكر تحقيقه في موضعه من علم الأصول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الحقّ أن نذكر ما قام به أحمد محمد شاكر من خدمة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دمنا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المسند أحمد بما فيه مسند ابن عباس، الذي أخذ من روايات كتاب مسند أحمد ألفاً وسبعمائة ونيفاً بما فيه من مكرّراتها، حيث قام بمحاولة جاهدة في تخريج الأحاديث، وشرح ما يحتاج منها إلى شرح، وليس يمنعنا اختلافنا معه في بعض مقاييس </w:t>
      </w:r>
    </w:p>
    <w:p>
      <w:pPr>
        <w:pStyle w:val="BookText"/>
        <w:rPr/>
      </w:pPr>
      <w:r>
        <w:rPr>
          <w:rFonts w:ascii="Amiri" w:hAnsi="Amiri" w:eastAsia="Amiri" w:cs="Amiri"/>
          <w:color w:val="111111"/>
          <w:sz w:val="28"/>
          <w:sz w:val="28"/>
          <w:szCs w:val="28"/>
          <w:rtl w:val="true"/>
          <w:lang w:bidi="ar-SA"/>
        </w:rPr>
        <w:t>الجرح والتعذيل من إظهار شكرنا واحترامنا لما بذله من جهد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ونظرة واحدة نلقيها على ما وضعناه من فهرسة المواضيع أحاديثه – وما وضعه الأستاذ شاكر الخصوص ما جاء منها في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ندرك مدى استيعابها لأكثر ما ورد عن النبي صلی الله علیه و آله وسلم من المواضيع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حدّث في القرآن بمختلف مجالاته من حيث القرآنية أو التفسير، وفي الفقه على اختلاف أبوابه من عبادية وغير 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فيها كثير من القواعد العامة التي اعتمدها الفقهاء ككبريات لما تصدر عنهم من فتاوى ذُكرت في مواضعها أمثال لا ضرر ولا ضرار في الإسلام</w:t>
      </w:r>
      <w:r>
        <w:rPr>
          <w:rStyle w:val="FootnoteAnchor"/>
          <w:rtl w:val="true"/>
        </w:rPr>
        <w:footnoteReference w:id="326"/>
      </w:r>
      <w:r>
        <w:rPr>
          <w:rFonts w:ascii="Amiri" w:hAnsi="Amiri" w:eastAsia="Amiri" w:cs="Amiri"/>
          <w:color w:val="111111"/>
          <w:sz w:val="28"/>
          <w:sz w:val="28"/>
          <w:szCs w:val="28"/>
          <w:rtl w:val="true"/>
          <w:lang w:bidi="ar-SA"/>
        </w:rPr>
        <w:t xml:space="preserve">، واليمين على المدعى عليه </w:t>
      </w:r>
      <w:r>
        <w:rPr>
          <w:rStyle w:val="FootnoteAnchor"/>
          <w:rtl w:val="true"/>
        </w:rPr>
        <w:footnoteReference w:id="327"/>
      </w:r>
      <w:r>
        <w:rPr>
          <w:rFonts w:ascii="Amiri" w:hAnsi="Amiri" w:eastAsia="Amiri" w:cs="Amiri"/>
          <w:color w:val="111111"/>
          <w:sz w:val="28"/>
          <w:sz w:val="28"/>
          <w:szCs w:val="28"/>
          <w:rtl w:val="true"/>
          <w:lang w:bidi="ar-SA"/>
        </w:rPr>
        <w:t>، ويحرم من الرضاعة ما يحرم من الرحم</w:t>
      </w:r>
      <w:r>
        <w:rPr>
          <w:rStyle w:val="FootnoteAnchor"/>
          <w:rtl w:val="true"/>
        </w:rPr>
        <w:footnoteReference w:id="328"/>
      </w:r>
      <w:r>
        <w:rPr>
          <w:rFonts w:ascii="Amiri" w:hAnsi="Amiri" w:eastAsia="Amiri" w:cs="Amiri"/>
          <w:color w:val="111111"/>
          <w:sz w:val="28"/>
          <w:sz w:val="28"/>
          <w:szCs w:val="28"/>
          <w:rtl w:val="true"/>
          <w:lang w:bidi="ar-SA"/>
        </w:rPr>
        <w:t xml:space="preserve">، وليس للولي مع الثيب أمر </w:t>
      </w:r>
      <w:r>
        <w:rPr>
          <w:rStyle w:val="FootnoteAnchor"/>
          <w:rtl w:val="true"/>
        </w:rPr>
        <w:footnoteReference w:id="329"/>
      </w:r>
      <w:r>
        <w:rPr>
          <w:rFonts w:ascii="Amiri" w:hAnsi="Amiri" w:eastAsia="Amiri" w:cs="Amiri"/>
          <w:color w:val="111111"/>
          <w:sz w:val="28"/>
          <w:sz w:val="28"/>
          <w:szCs w:val="28"/>
          <w:rtl w:val="true"/>
          <w:lang w:bidi="ar-SA"/>
        </w:rPr>
        <w:t>، وأن التي شربها حرم بيعها</w:t>
      </w:r>
      <w:r>
        <w:rPr>
          <w:rStyle w:val="FootnoteAnchor"/>
          <w:rtl w:val="true"/>
        </w:rPr>
        <w:footnoteReference w:id="330"/>
      </w:r>
      <w:r>
        <w:rPr>
          <w:rFonts w:ascii="Amiri" w:hAnsi="Amiri" w:eastAsia="Amiri" w:cs="Amiri"/>
          <w:color w:val="111111"/>
          <w:sz w:val="28"/>
          <w:sz w:val="28"/>
          <w:szCs w:val="28"/>
          <w:rtl w:val="true"/>
          <w:lang w:bidi="ar-SA"/>
        </w:rPr>
        <w:t xml:space="preserve">، ومن أحيى شيئاً من موتات الأرض فهو أحق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وعشرات أمثالها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حدّث عن الآداب العامة والأخلاق والاجتماع، وعما يتعلق بشؤون المناقب </w:t>
      </w:r>
    </w:p>
    <w:p>
      <w:pPr>
        <w:pStyle w:val="BookText"/>
        <w:rPr/>
      </w:pPr>
      <w:r>
        <w:rPr>
          <w:rFonts w:ascii="IRNazanin" w:hAnsi="IRNazanin" w:eastAsia="IRNazanin"/>
          <w:color w:val="111111"/>
          <w:sz w:val="28"/>
          <w:sz w:val="28"/>
          <w:szCs w:val="28"/>
          <w:rtl w:val="true"/>
          <w:lang w:bidi="fa-IR"/>
        </w:rPr>
        <w:t>المأثورة عن النبي صلی الله علیه و آله وسلم والإمام علي علیه السلام، وخديجة أم المؤمنين، والحسن والحسين علیهما السلام وبعض الصحابة، ولكن في حدود مجيئها في الأحاديث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 عنه الكثير من ذلك، وأكثر ما ورد عنه في ذلك عن الإمام علي علیه السلام، وربّما كانت لذلك أسباب وبواعث تدعوه إلى ذكرها والتحدّث فيها أكثر من غيرها، وجلّ تلك البواعث محاولات إثاريّة كان يواجهه بها خصوم الإمام علیه السلام فيضطر أن يردّ عليها بما أُثر لديه من فضائله ومناقبه، وقد سبق لنا أن ذكرنا منها – في فصول متفرقة من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تبعاً لمواقعها من سيرته، ونضيف الآن بعضاً مما لم نذكره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يحيى بن حماد، حدثنا أبو عوانة، حدثنا أبو بلج، حدثنا عمرو بن ميمونة قال إني لجالس إلى ابن عباس؛ إذ أتاه تسعة رهط، فقالوا يا أبا عباس إما أن تقوم معنا وإما أن يخلونا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معكم، وهو يومئذٍ صحيح قبل أن يعمى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فابتدؤوا فتحدّثوا فلا ندري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ينفض ثوبه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وقعوا في رجل له عشر ، وقعوا في رجل 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لا يخزيه الله أبداً، يحبّ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من استشرف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الرحل يطحن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أحدكم ليطحن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وهو أرمد لا يكاد يبصر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فنفث في عينيه ثم هزّ الراية ثلاثاً فأعطاها إياه، فجاء بصفية بنت حيي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منّي وأنا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 أيكم يواليني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معه جالس فأبوا،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فتركه، ثم أقبل على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صلی الله علیه و آله وسلم ، 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وشرى على نفسه لبس ثوب النبي صلی الله علیه و آله وسلم ثم نام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المشركون يرمون رسول الله صلی الله علیه و آله وسلم ، فجاء أبو بكر وعلي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يحسب أنه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إن نبي الله صلی الله علیه و آله وسلم قد انطلق نحو بئر ميمون فأدركه،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فدخل معه الغار، وجعل علي يُرمى بالحجارة، كما كان يُرمى نبي الله صلی الله علیه و آله وسلم وهو يتضوّر، قد لفّ رأسه في الثوب لا يخرجه حتى أصبح، ثم كشف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صاحبك نرميه فلا يتضوّر وأنت تتضور، وقد استنكرنا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في غزوة 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معك؟ فقال له 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فبكى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أنك لست بنبي، إنه لا ينبغي أن أذهب إلا وأنت خليفتي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وقد اعترف بصحة هذا الحديث غير واحد من أئمة الجرح والتعديل، كالحاكم في المستدرك، حيث ذكر الحديث بطوله، وعلّق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الإسناد ولم يخرجاه بهذه السياقة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وذكره أيضاً أحمد محمد شاكر في تعليقه على المسند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ولاهتمام المؤرخين والمحدّثين به رواه غير واحد منهم في كتابه، كابن كثير في البداية والنهاية</w:t>
      </w:r>
      <w:r>
        <w:rPr>
          <w:rStyle w:val="FootnoteAnchor"/>
          <w:rtl w:val="true"/>
        </w:rPr>
        <w:footnoteReference w:id="334"/>
      </w:r>
      <w:r>
        <w:rPr>
          <w:rFonts w:ascii="Amiri" w:hAnsi="Amiri" w:eastAsia="Amiri" w:cs="Amiri"/>
          <w:color w:val="111111"/>
          <w:sz w:val="28"/>
          <w:sz w:val="28"/>
          <w:szCs w:val="28"/>
          <w:rtl w:val="true"/>
          <w:lang w:bidi="ar-SA"/>
        </w:rPr>
        <w:t>، ومحبّ الدين الطبري في كتابيه ذخائر العقبى</w:t>
      </w:r>
      <w:r>
        <w:rPr>
          <w:rStyle w:val="FootnoteAnchor"/>
          <w:rtl w:val="true"/>
        </w:rPr>
        <w:footnoteReference w:id="335"/>
      </w:r>
      <w:r>
        <w:rPr>
          <w:rFonts w:ascii="Amiri" w:hAnsi="Amiri" w:eastAsia="Amiri" w:cs="Amiri"/>
          <w:color w:val="111111"/>
          <w:sz w:val="28"/>
          <w:sz w:val="28"/>
          <w:szCs w:val="28"/>
          <w:rtl w:val="true"/>
          <w:lang w:bidi="ar-SA"/>
        </w:rPr>
        <w:t>والرياض النضرة</w:t>
      </w:r>
      <w:r>
        <w:rPr>
          <w:rStyle w:val="FootnoteAnchor"/>
          <w:rtl w:val="true"/>
        </w:rPr>
        <w:footnoteReference w:id="336"/>
      </w:r>
      <w:r>
        <w:rPr>
          <w:rFonts w:ascii="Amiri" w:hAnsi="Amiri" w:eastAsia="Amiri" w:cs="Amiri"/>
          <w:color w:val="111111"/>
          <w:sz w:val="28"/>
          <w:sz w:val="28"/>
          <w:szCs w:val="28"/>
          <w:rtl w:val="true"/>
          <w:lang w:bidi="ar-SA"/>
        </w:rPr>
        <w:t>، وقد ذكرناه بطوله نظراً لموضعه من نفوس الثقات من مؤرّخيه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النسق روى أكثر ما ورد للإمام علیه السلام من 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أيضاً أحاديث في مسائل كلامية، يرتبط بعضها بالإيمان، وبعضها بالمعاد وشؤونه من جنّة، ونار، وحساب، وثالثة في القدر، كما روى أحاديث في الفتن والملاحم وأشراط الساعة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يُعدّ مستوعباً أو شبه مستوعب للمواضيع التي طرقتها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صح لعبد الله بن عبيد الله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أعلم بالسنة ولا أجل رأياً ولا أثقب نظراً من ابن عباس</w:t>
      </w:r>
      <w:r>
        <w:rPr>
          <w:rFonts w:eastAsia="Amiri" w:cs="Amiri" w:ascii="Amiri" w:hAnsi="Amiri"/>
          <w:color w:val="111111"/>
          <w:sz w:val="28"/>
          <w:szCs w:val="28"/>
          <w:rtl w:val="true"/>
          <w:lang w:bidi="ar-SA"/>
        </w:rPr>
        <w:t>».</w:t>
      </w:r>
      <w:r>
        <w:rPr>
          <w:rStyle w:val="FootnoteAnchor"/>
          <w:rtl w:val="true"/>
        </w:rPr>
        <w:footnoteReference w:id="337"/>
      </w:r>
      <w:bookmarkStart w:id="104" w:name="pg15232_165779"/>
    </w:p>
    <w:p>
      <w:pPr>
        <w:pStyle w:val="Heading3"/>
        <w:numPr>
          <w:ilvl w:val="2"/>
          <w:numId w:val="1"/>
        </w:numPr>
        <w:rPr/>
      </w:pPr>
      <w:bookmarkStart w:id="105" w:name="__RefHeading___Toc3547311_2142443653"/>
      <w:bookmarkStart w:id="106" w:name="_Toc35"/>
      <w:bookmarkEnd w:id="104"/>
      <w:bookmarkEnd w:id="105"/>
      <w:r>
        <w:rPr/>
        <w:t>4</w:t>
      </w:r>
      <w:r>
        <w:rPr>
          <w:rtl w:val="true"/>
        </w:rPr>
        <w:t xml:space="preserve">- </w:t>
      </w:r>
      <w:r>
        <w:rPr>
          <w:rtl w:val="true"/>
        </w:rPr>
        <w:t>الفقه</w:t>
      </w:r>
      <w:bookmarkEnd w:id="106"/>
    </w:p>
    <w:p>
      <w:pPr>
        <w:pStyle w:val="Heading4"/>
        <w:numPr>
          <w:ilvl w:val="3"/>
          <w:numId w:val="1"/>
        </w:numPr>
        <w:rPr/>
      </w:pPr>
      <w:bookmarkStart w:id="107" w:name="__RefHeading___Toc3547313_2142443653"/>
      <w:bookmarkStart w:id="108" w:name="_Toc36"/>
      <w:bookmarkEnd w:id="107"/>
      <w:r>
        <w:rPr>
          <w:rtl w:val="true"/>
        </w:rPr>
        <w:t>اشارة</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الفقه فقد اتفقت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وضعه في القمة من كبار الصحابة وفقهائهم في صدر الإسلام وربّما فضّله في السنة الكثير منهم على معاصريه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 أن نسجّل هنا على تقييمات ذلك العصر أنّها تفتقد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مداليلها اللغوية، فهي لا تراد حرفيّاً، ولذلك نجد جملة من النقاد يطلقون هذه التقييمات على أكثر من شخص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صاحبنا ذو مكانة كبيرة في المجالات التي يطلق عليه فيها ذلك التقييم، ولا أقل من إكبار صاحبها وإعجابه بفقهه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الضوء أرجو أن نواجه ما مر أو يجيء من تقييمات معاصريه له، ما لم يثبت لدينا صدقها في مدلولها الحرنّي، بعد فحص ودراسة وموازنة، وقد قلنا أن جملة من معاصريه كانوا يطلقون في تلقيبه أفعل التفضيل ، فهو لدى ابن أبي مليكة أفقه الناس إذا افتى، أو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أفتى فأفقه الناس</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ويقول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فتيا أحسن من </w:t>
      </w:r>
    </w:p>
    <w:p>
      <w:pPr>
        <w:pStyle w:val="BookText"/>
        <w:rPr/>
      </w:pPr>
      <w:r>
        <w:rPr>
          <w:rFonts w:ascii="IRNazanin" w:hAnsi="IRNazanin" w:eastAsia="IRNazanin"/>
          <w:color w:val="111111"/>
          <w:sz w:val="28"/>
          <w:sz w:val="28"/>
          <w:szCs w:val="28"/>
          <w:rtl w:val="true"/>
          <w:lang w:bidi="fa-IR"/>
        </w:rPr>
        <w:t>فتيا ابن عباس إلّا أن يقول قائل قال رسول الله صلی الله علیه و آله وسلم</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 ونظيره ما ورد عن القاسم بن محمد </w:t>
      </w:r>
      <w:r>
        <w:rPr>
          <w:rStyle w:val="FootnoteAnchor"/>
          <w:rtl w:val="true"/>
        </w:rPr>
        <w:footnoteReference w:id="340"/>
      </w:r>
      <w:r>
        <w:rPr>
          <w:rFonts w:ascii="Amiri" w:hAnsi="Amiri" w:eastAsia="Amiri" w:cs="Amiri"/>
          <w:color w:val="111111"/>
          <w:sz w:val="28"/>
          <w:sz w:val="28"/>
          <w:szCs w:val="28"/>
          <w:rtl w:val="true"/>
          <w:lang w:bidi="ar-SA"/>
        </w:rPr>
        <w:t xml:space="preserve">، وفي حديث عبد الله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بقضاء أبي بكر وعمر ولا أفقه في رأي منه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عمرو بن العاص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أعلمنا بما مضى، وأفقهنا فيما ،نزل ممّا لم يأتِ فيه شيء</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وقالت عائشة – وقد نظرت إليه ومعه الحلق ليالي الحجّ وهو يسأل عن المناسك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من بقي بالمناسك</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عشرات أمثالها من تقييمات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ولكثرة ما سُئل وأفتى، ودخل عليه مما لم يقله، فقد جمع أحد أحفاده وهو أبو بكر محمد بن موسى بن يعقوب بن المأمون ما نسبت إليه من فتاوى في عشرين كتاباً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وأخال أن هذه الرواية طبيعيّة بالنسبة إلى مثله وليس فيها ما يُستكثر عليه ؛ لطول المدة التي يُسأل فيها ويفتي فقد تصدى للفتوى منذ عهد عمر، واستمر حتى نهاية حياته </w:t>
      </w:r>
      <w:r>
        <w:rPr>
          <w:rStyle w:val="FootnoteAnchor"/>
          <w:rtl w:val="true"/>
        </w:rPr>
        <w:footnoteReference w:id="345"/>
      </w:r>
      <w:r>
        <w:rPr>
          <w:rFonts w:ascii="Amiri" w:hAnsi="Amiri" w:eastAsia="Amiri" w:cs="Amiri"/>
          <w:color w:val="111111"/>
          <w:sz w:val="28"/>
          <w:sz w:val="28"/>
          <w:szCs w:val="28"/>
          <w:rtl w:val="true"/>
          <w:lang w:bidi="ar-SA"/>
        </w:rPr>
        <w:t>، وقد انحصرت به الفتيا أو كادت في أواخر عمره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فلا نستكثر عليه أن تجمع فتاواه خلال نصف قرن تقريباً فتبلغ هذا المقدار، وكم كان مهماً لو قدر لها أن تبقى؛ لنعرف واقعها من حيث صحة النسبة وعدمها؛ ثم لندرس صاحبها في ضوئها دراسة مستوعبة لجملة نواحيه الفقهية</w:t>
      </w:r>
      <w:r>
        <w:rPr>
          <w:rFonts w:eastAsia="Amiri" w:cs="Amiri" w:ascii="Amiri" w:hAnsi="Amiri"/>
          <w:color w:val="111111"/>
          <w:sz w:val="28"/>
          <w:szCs w:val="28"/>
          <w:rtl w:val="true"/>
          <w:lang w:bidi="ar-SA"/>
        </w:rPr>
        <w:t xml:space="preserve">. </w:t>
      </w:r>
      <w:bookmarkStart w:id="109" w:name="pg15232_165781"/>
    </w:p>
    <w:p>
      <w:pPr>
        <w:pStyle w:val="BookText"/>
        <w:rPr/>
      </w:pPr>
      <w:bookmarkEnd w:id="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عمّا بقي لدينا من هذه الفتاوى وموقعها من التقييمات السابقة يجرنا إلى التحدّث عن جملة من البحوث تعود في أسسها إلى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547315_2142443653"/>
      <w:bookmarkStart w:id="111" w:name="_Toc37"/>
      <w:bookmarkEnd w:id="110"/>
      <w:r>
        <w:rPr/>
        <w:t>1</w:t>
      </w:r>
      <w:r>
        <w:rPr>
          <w:rtl w:val="true"/>
        </w:rPr>
        <w:t xml:space="preserve">- </w:t>
      </w:r>
      <w:r>
        <w:rPr>
          <w:rtl w:val="true"/>
        </w:rPr>
        <w:t>شرائط الإفتاء والمرجعيّة، ومدى توفرها لديه</w:t>
      </w:r>
      <w:r>
        <w:rPr>
          <w:rtl w:val="true"/>
        </w:rPr>
        <w:t>.</w:t>
      </w:r>
      <w:bookmarkEnd w:id="111"/>
    </w:p>
    <w:p>
      <w:pPr>
        <w:pStyle w:val="BookText"/>
        <w:rPr/>
      </w:pPr>
      <w:r>
        <w:rPr>
          <w:rFonts w:ascii="Amiri" w:hAnsi="Amiri" w:eastAsia="Amiri" w:cs="Amiri"/>
          <w:color w:val="111111"/>
          <w:sz w:val="28"/>
          <w:sz w:val="28"/>
          <w:szCs w:val="28"/>
          <w:rtl w:val="true"/>
          <w:lang w:bidi="ar-SA"/>
        </w:rPr>
        <w:t xml:space="preserve">إن أول شرائط الفتيا والمرجعية لديه وأهمها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في حدود ما انتهيت إليه في البحث الذي وضعته كمقدمة لكتاب النصّ والاجتهاد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 التي يقتدر بها على ضمّ الصغريات لكبرياتها لإنتاج حكم شرعي، أو وظيفة عملية شرعية أو عقلية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وقد قلت ذلك بعد عرض ومحاكمة لعدّة تعريفات له صدرت من أئمة الأصوليين أمثال الآمدي والدهلوي والخضري وغيرهم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الملكة لا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يتوفّر في صاحبها مستوى ثقافي خاص، يقوم في أهم أسسه على وعي وفهم لأصول تحقيق النصوص، وإيصالها إلى مصادرها الأصلية، ثم فهمها فهماً كاملاً، سواء ما يتعلّق منها بمفرداتها، أم بأسلوبها الخاص، مع فهم لبواعث ودواعي صدورها وإدراك لعامها ،وخاصها، ومطلقها ومقيدها، وحاكمها ومحكومها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القواعد الأصولية التي تصلح أن تقع كبرياتها في القياس المنطقي المنتج للحكم الشرعي، أو الوظيفة العملية؛ ليتسنى له الإفتاء على طبق </w:t>
      </w:r>
    </w:p>
    <w:p>
      <w:pPr>
        <w:pStyle w:val="BookText"/>
        <w:rPr/>
      </w:pPr>
      <w:r>
        <w:rPr>
          <w:rFonts w:ascii="Amiri" w:hAnsi="Amiri" w:eastAsia="Amiri" w:cs="Amiri"/>
          <w:color w:val="111111"/>
          <w:sz w:val="28"/>
          <w:sz w:val="28"/>
          <w:szCs w:val="28"/>
          <w:rtl w:val="true"/>
          <w:lang w:bidi="ar-SA"/>
        </w:rPr>
        <w:t>ما ينتهي 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الملكة قد لا تحصل لنا اليوم بسهولة لبعدنا عن زمن التشريع، وتوسّط كثير من العلوم التي يقتضيها اليوم تحقيق النص، والتأكد من نسبته للمشرع الأول، مع تعدّد الوسائط بيننا وبينه بالإضافة إلى كثير من العلوم اللسانيّة التي تقف في طريق فهم النص واستنباط الأحكام منها عادة، ثم تعقد قسم من العلوم التي تلابسها ملابسة مباشرة، كعلم أصول الفقه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بالنسبة إلى ابن عباس ومن يعاصره قد لا يكون فيه مؤونة مجهدة؛ لأنّ تحقيق النصوص والتأكد من نسبتها لم يكن ذا مشقة؛ لقربه من عهد المشرع؛ وكثرة من اتصل به اتصالاً مباشراً، مما يمكن إرجاع النص إلى صاحبه بسهولة؛ ولأن كثيراً من العلوم اللسانية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انتهت إليه من نتائجها كانوا في الغالب يدركونها إدراكاً 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ورودها بألسنتهم الخاصة السائدة في مجتمعاتهم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وعيهم لأكثر ما ورد من بليغ الكلم لبلغائهم، وإدراكهم للخصائص البلاغية فيها، مما يتناسب مع ما جاء في تلكم النصوص أو يقاربها من حيث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التي نحكّمها اليوم في التماس بعض الأحكام الظاهرية أو الوظائف العلميّة، لم يكونوا بحاجة ماسة إليها؛ لاستغنائهم عنها بما توفّر لديهم من أسباب العلم بأحكامهم الواقعية؛ بسبب قربهم من المشرع أو من وعى عليه علومه من أهل البيت عليهم السلام والصحابة، ممن يحصل العلم بإخبارهم عادة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درسنا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غني الرصيد في مختلف مجالات المعرفة المعاصرة له، وبخاصة في كل ما يتعلّق بفهم النصوص وأصول الجمع بينها فيما لو اختلفت بالعموم والخصوص والناسخ والمنسوخ وما أشبهه</w:t>
      </w:r>
      <w:r>
        <w:rPr>
          <w:rFonts w:eastAsia="Amiri" w:cs="Amiri" w:ascii="Amiri" w:hAnsi="Amiri"/>
          <w:color w:val="111111"/>
          <w:sz w:val="28"/>
          <w:szCs w:val="28"/>
          <w:rtl w:val="true"/>
          <w:lang w:bidi="ar-SA"/>
        </w:rPr>
        <w:t xml:space="preserve">. </w:t>
      </w:r>
      <w:bookmarkStart w:id="112" w:name="pg15232_165783"/>
    </w:p>
    <w:p>
      <w:pPr>
        <w:pStyle w:val="BookText"/>
        <w:rPr/>
      </w:pPr>
      <w:bookmarkEnd w:id="112"/>
      <w:r>
        <w:rPr>
          <w:rFonts w:ascii="Amiri" w:hAnsi="Amiri" w:eastAsia="Amiri" w:cs="Amiri"/>
          <w:color w:val="111111"/>
          <w:sz w:val="28"/>
          <w:sz w:val="28"/>
          <w:szCs w:val="28"/>
          <w:rtl w:val="true"/>
          <w:lang w:bidi="ar-SA"/>
        </w:rPr>
        <w:t>فصاحبنا بهذا المعنى من ألمع المجتهدين في ذلك العصر، وأقدرهم على استنباط الأحكام الشرعيّة من أدلّتها، ولربما كان الحديث في ذلك من نافلة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يعتبرونه من الشروط الأخر كالإيمان، والذكورة، والحرية، والعدالة،</w:t>
      </w:r>
    </w:p>
    <w:p>
      <w:pPr>
        <w:pStyle w:val="BookText"/>
        <w:rPr/>
      </w:pPr>
      <w:r>
        <w:rPr>
          <w:rFonts w:ascii="Amiri" w:hAnsi="Amiri" w:eastAsia="Amiri" w:cs="Amiri"/>
          <w:color w:val="111111"/>
          <w:sz w:val="28"/>
          <w:sz w:val="28"/>
          <w:szCs w:val="28"/>
          <w:rtl w:val="true"/>
          <w:lang w:bidi="ar-SA"/>
        </w:rPr>
        <w:t>وأمثالها، على خلاف بينهم في اعتبارها أو اعتبار بعضها، فإنّ توفّرها فيه لا يحتاج إلى أن يعرض ذكره ؛ لبداهة معرفتها فيه على الإطلاق</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547317_2142443653"/>
      <w:bookmarkStart w:id="114" w:name="_Toc38"/>
      <w:bookmarkEnd w:id="113"/>
      <w:r>
        <w:rPr/>
        <w:t>2</w:t>
      </w:r>
      <w:r>
        <w:rPr>
          <w:rtl w:val="true"/>
        </w:rPr>
        <w:t xml:space="preserve">- </w:t>
      </w:r>
      <w:r>
        <w:rPr>
          <w:rtl w:val="true"/>
        </w:rPr>
        <w:t>مصادر التشريع التي يعتمدها في فتاواه</w:t>
      </w:r>
      <w:bookmarkEnd w:id="114"/>
    </w:p>
    <w:p>
      <w:pPr>
        <w:pStyle w:val="BookText"/>
        <w:rPr/>
      </w:pPr>
      <w:r>
        <w:rPr>
          <w:rFonts w:ascii="Amiri" w:hAnsi="Amiri" w:eastAsia="Amiri" w:cs="Amiri"/>
          <w:color w:val="111111"/>
          <w:sz w:val="28"/>
          <w:sz w:val="28"/>
          <w:szCs w:val="28"/>
          <w:rtl w:val="true"/>
          <w:lang w:bidi="ar-SA"/>
        </w:rPr>
        <w:t xml:space="preserve">يحدث سفيان بن عيينة عن عبيد الله بن أبي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 سُئل عن الأمر، فإن كان في القرآن أخبر به، وإن لم يكن في القرآن وكان عن رسول الله صلى الله عليه و آله وسلم أخبر به، فإن لم يكن في القرآن ولا عن رسول الله، وكان عن أبي بكر وعمر أخبر به، فإن لم يكن في شيء من ذلك اجتهد رأيه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ويقول هو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ويقول كما في رواية ابن طولون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ثبت لنا الشيء عن علي علیه السلام لم نعدل إلى غيره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فمصادره إذاً في حدود هذه الأحاديث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الخليفتين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الإمام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والقياس</w:t>
      </w:r>
      <w:r>
        <w:rPr>
          <w:rFonts w:eastAsia="Amiri" w:cs="Amiri" w:ascii="Amiri" w:hAnsi="Amiri"/>
          <w:color w:val="111111"/>
          <w:sz w:val="28"/>
          <w:szCs w:val="28"/>
          <w:rtl w:val="true"/>
          <w:lang w:bidi="ar-SA"/>
        </w:rPr>
        <w:t xml:space="preserve">. </w:t>
      </w:r>
      <w:bookmarkStart w:id="115" w:name="pg15232_165784"/>
    </w:p>
    <w:p>
      <w:pPr>
        <w:pStyle w:val="BookText"/>
        <w:rPr/>
      </w:pPr>
      <w:bookmarkEnd w:id="115"/>
      <w:r>
        <w:rPr>
          <w:rFonts w:ascii="Amiri" w:hAnsi="Amiri" w:eastAsia="Amiri" w:cs="Amiri"/>
          <w:color w:val="111111"/>
          <w:sz w:val="28"/>
          <w:sz w:val="28"/>
          <w:szCs w:val="28"/>
          <w:rtl w:val="true"/>
          <w:lang w:bidi="ar-SA"/>
        </w:rPr>
        <w:t xml:space="preserve">فلنستعرضها واحدة واحدة </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547319_2142443653"/>
      <w:bookmarkStart w:id="117" w:name="_Toc39"/>
      <w:bookmarkEnd w:id="116"/>
      <w:r>
        <w:rPr>
          <w:rtl w:val="true"/>
        </w:rPr>
        <w:t>أ</w:t>
      </w:r>
      <w:r>
        <w:rPr>
          <w:rtl w:val="true"/>
        </w:rPr>
        <w:t xml:space="preserve">- </w:t>
      </w:r>
      <w:r>
        <w:rPr>
          <w:rtl w:val="true"/>
        </w:rPr>
        <w:t>القرآن والسنة</w:t>
      </w:r>
      <w:bookmarkEnd w:id="117"/>
    </w:p>
    <w:p>
      <w:pPr>
        <w:pStyle w:val="BookText"/>
        <w:rPr/>
      </w:pPr>
      <w:r>
        <w:rPr>
          <w:rFonts w:ascii="Amiri" w:hAnsi="Amiri" w:eastAsia="Amiri" w:cs="Amiri"/>
          <w:color w:val="111111"/>
          <w:sz w:val="28"/>
          <w:sz w:val="28"/>
          <w:szCs w:val="28"/>
          <w:rtl w:val="true"/>
          <w:lang w:bidi="ar-SA"/>
        </w:rPr>
        <w:t>أمّا القرآن والسنّة فأمرهما وأمر الرجوع إليهما من قبله يكاد يكون من الضرورات التي لا تحتاج إلى إثارة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التحدّث عن الكتاب وعلاقته بالأخذ عنه، وكذا الحديث عن السنة واعتمادها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هو عن استدلال النبي صلی الله علیه و آله وسلم على حجيتها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118" w:name="__RefHeading___Toc3547321_2142443653"/>
      <w:bookmarkStart w:id="119" w:name="_Toc40"/>
      <w:bookmarkEnd w:id="118"/>
      <w:r>
        <w:rPr>
          <w:rtl w:val="true"/>
        </w:rPr>
        <w:t>ب</w:t>
      </w:r>
      <w:r>
        <w:rPr>
          <w:rtl w:val="true"/>
        </w:rPr>
        <w:t xml:space="preserve">- </w:t>
      </w:r>
      <w:r>
        <w:rPr>
          <w:rtl w:val="true"/>
        </w:rPr>
        <w:t>اجتهاد الخليفتين</w:t>
      </w:r>
      <w:bookmarkEnd w:id="119"/>
    </w:p>
    <w:p>
      <w:pPr>
        <w:pStyle w:val="BookText"/>
        <w:rPr/>
      </w:pPr>
      <w:r>
        <w:rPr>
          <w:rFonts w:ascii="Amiri" w:hAnsi="Amiri" w:eastAsia="Amiri" w:cs="Amiri"/>
          <w:color w:val="111111"/>
          <w:sz w:val="28"/>
          <w:sz w:val="28"/>
          <w:szCs w:val="28"/>
          <w:rtl w:val="true"/>
          <w:lang w:bidi="ar-SA"/>
        </w:rPr>
        <w:t>وأمّا اجتهاد الخليفتين فما أذكر أنني قرأت له تصريحاً واحداً بذلك، والذي رأيته أنّ الخليفة عمر كان يرجع إليه ويستفتيه ويعجب بفتواه، وربّما اختلف معه في الرأي، فهابه في الإنكار عليه تارة، كما صنع في قصة العول، ولم يهبه أخرى كما في قصة المرأة التي وضعت لستة أشهر وكانت موضع إنكار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نافع بن جبير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كم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وعشرون شهراً حولان كاملان، ويؤخّر الله ما شاء ويقدّم، </w:t>
      </w:r>
      <w:bookmarkStart w:id="120" w:name="pg15232_165785"/>
    </w:p>
    <w:p>
      <w:pPr>
        <w:pStyle w:val="BookText"/>
        <w:rPr/>
      </w:pPr>
      <w:bookmarkEnd w:id="1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فاستراح عمر إلى قولي</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وهذا الاستدلال متين جداً، وهو من مصاديق ما يسميه الأصوليون بدلالة</w:t>
      </w:r>
    </w:p>
    <w:p>
      <w:pPr>
        <w:pStyle w:val="BookText"/>
        <w:rPr/>
      </w:pPr>
      <w:r>
        <w:rPr>
          <w:rFonts w:ascii="Amiri" w:hAnsi="Amiri" w:eastAsia="Amiri" w:cs="Amiri"/>
          <w:color w:val="111111"/>
          <w:sz w:val="28"/>
          <w:sz w:val="28"/>
          <w:szCs w:val="28"/>
          <w:rtl w:val="true"/>
          <w:lang w:bidi="ar-SA"/>
        </w:rPr>
        <w:t>الإشارة، وهي الدلالة التي لا تكون بينة بالمعنى الأخصّ، وإنما تكون بينة بالمعنى الأعم، واستفادتها من طريق الجمع بين النصين؛ للانتهاء إلى حكم جديد وصدورها من مثله في ذلك العصر يدلّ على موهبة اجتهادية موفقة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وهيبته للخليفة وعدمها إنّما يكونان تبعاً لظروف كلّ منهما، وأجوائهما النفسية ثم لأهمية الحادثة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اجتهاد الخليفتين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وضعه في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يتمشى الإيمان به مع ما عرف من رأيه في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547323_2142443653"/>
      <w:bookmarkStart w:id="122" w:name="_Toc41"/>
      <w:bookmarkEnd w:id="121"/>
      <w:r>
        <w:rPr>
          <w:rtl w:val="true"/>
        </w:rPr>
        <w:t xml:space="preserve">جـ </w:t>
      </w:r>
      <w:r>
        <w:rPr>
          <w:rtl w:val="true"/>
        </w:rPr>
        <w:t xml:space="preserve">- </w:t>
      </w:r>
      <w:r>
        <w:rPr>
          <w:rtl w:val="true"/>
        </w:rPr>
        <w:t>فتيا الإمام</w:t>
      </w:r>
      <w:bookmarkEnd w:id="122"/>
    </w:p>
    <w:p>
      <w:pPr>
        <w:pStyle w:val="BookText"/>
        <w:rPr/>
      </w:pPr>
      <w:r>
        <w:rPr>
          <w:rFonts w:ascii="IRNazanin" w:hAnsi="IRNazanin" w:eastAsia="IRNazanin"/>
          <w:color w:val="111111"/>
          <w:sz w:val="28"/>
          <w:sz w:val="28"/>
          <w:szCs w:val="28"/>
          <w:rtl w:val="true"/>
          <w:lang w:bidi="fa-IR"/>
        </w:rPr>
        <w:t xml:space="preserve">ومن جملة مصادر فتياه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صريح قوله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حدثنا ثقة عن علي بفتيا لا نعدوها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فلأنه يعود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اعتبار أن فتياه من السنة؛ لاعتقاده أنه لا يفتي إلّا على وفقها، وحسبه من الأمر بالرجوع إليه في أحاديث رسول الله صلى الله عليه و آله وسلم التي أُثرت عنه، وحدّث بها هو وغيره، كما مرّ في أكثر من موضع من هذا الكتاب كحديث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علیه السلام أحد الثقلين، وهو مع القرآن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م إلى عشرات أمثالها مما توجب الرجوع إليه واعتبار قوله حجّة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وقياسه على بقية الصحابة 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ابن عباس – فهو فيما خبر من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التلمذة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بربه وبسنّة نبيه على حد قوله للخوارج حين </w:t>
      </w:r>
    </w:p>
    <w:p>
      <w:pPr>
        <w:pStyle w:val="BookText"/>
        <w:rPr/>
      </w:pPr>
      <w:r>
        <w:rPr>
          <w:rFonts w:ascii="IRNazanin" w:hAnsi="IRNazanin" w:eastAsia="IRNazanin"/>
          <w:color w:val="111111"/>
          <w:sz w:val="28"/>
          <w:sz w:val="28"/>
          <w:szCs w:val="28"/>
          <w:rtl w:val="true"/>
          <w:lang w:bidi="fa-IR"/>
        </w:rPr>
        <w:t>خرج عليهم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جئتكم من عند صهر رسول الله صلى الله عليه و آله وسلم و وابن عمه، وأعلمنا بربّه وبسنة نبیّه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وقوله في تحديد النسبة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أعطي علي تسعة أعشار العلم وايم الله لقد شارككم في العشر العاشر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وفي رواية ابن طولون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علي تسعة أعشار العلم، والله لقد شاركهم في العشر الباقي</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على أن هذا طبيعي بالنسبة لمثل الإمام علیه السلام تمن نشأ وتربى في أحضان النبوّة، وأُعدّ من قبل النبي صلى الله عليه و آله وسلم لهذا المنصب إعداداً لا يشبهه إعداد وكان بما أوتي من لسان سؤول وقلب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 بالطبع شأناً من شؤون الكتاب أو السنة إلّا ووعاه وسجله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وكثير من السنة كانت تسند إلى أفعال النبي صلى الله عليه و آله وسلم و تقريراته، فضلاً عن أقواله، وهي في حاجة إلى من لا يفارق النبي ليستطيع إحصاءها، وحفظها والتماس الأحكام الكلية منها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يكاد يكون وحيداً بين الصحابة في ذلك، لشدّة مسايرته ومصاحبته له منذ بدء النبوة، حتى فاضت نفسه الكريمة على صدره ، وسنعرف مبناه في عدم الرجوع إلى الرأي، وهو مبنى ابن عباس نفسه، وربّما كان هو مصدر صاحبنا فيه، وعرفنا أنه كان من الإيمان والتقوى، والواقعية، واليقظة، بالدرجة التي يستحيل فيه عادة أن يحكم أو يفتي على غير ما أنزل الله ، فإذا عرفنا ذلك كله صح لابن عباس أن يعتبر فتواه من السنة التي يجب الأخذ بها واعتمادها، وبخاصة بعد أن أمر باعتبارها بأمثال تلكم الأحاديث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ويبدو من هذا القيد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حدثنا ثقة عن علي بفتيا لا نعدوها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الكذب قد كثر على الإمام علیه السلام في زمنه ونقلت عنه فتاوى لا يقول بها، ولا تلتئم مع مبانيه، مهما كانت بواعث الكذب التي سبق أن وضعنا لها مخططاً في مقدمة الجزء الأول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جمعت كثير من أحكامه وجيء بها لابن عباس فمحاها إلّا قدر ذراع، وأشار سفیان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حدّث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ذراعه</w:t>
      </w:r>
      <w:r>
        <w:rPr>
          <w:rStyle w:val="FootnoteAnchor"/>
          <w:rtl w:val="true"/>
        </w:rPr>
        <w:footnoteReference w:id="358"/>
      </w:r>
      <w:r>
        <w:rPr>
          <w:rFonts w:ascii="Amiri" w:hAnsi="Amiri" w:eastAsia="Amiri" w:cs="Amiri"/>
          <w:color w:val="111111"/>
          <w:sz w:val="28"/>
          <w:sz w:val="28"/>
          <w:szCs w:val="28"/>
          <w:rtl w:val="true"/>
          <w:lang w:bidi="ar-SA"/>
        </w:rPr>
        <w:t xml:space="preserve">وهي التي صحّت لديه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أنا لم نعرف له مخالفة صريحة لإمامه علیه السلام تحدّاه بها إلا في واقعة واحدة حدّث عنها عكرمة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حرّق ناساً ارتدوا عن الإسلام فبلغ ذلك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أنا لم أحرقهم بالنار، 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تعذبوا بعذاب الله، بل كنت قاتلهم؛ لقول رسول الله صلى الله عليه و آله وسلم من بدل دينه فاقتلوه، فبلغ ذلك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عباس،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ابن عباس إنه لغوّاص على الهنات، وقد كافأه علي فإن ابن عباس كان يرى إباحة المتعة، وأنها باقية، وتحليل الحمر الإنسية،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امرؤ تائه، إن رسول الله صلى الله عليه و آله وسلم نهى عن نكاح المتعة وعن لحوم الحمر الإنسية يوم خیبر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ولكن هذا الحديث تدخله علامات الاستفهام والتعجب في أكثر من موضع، وفيه مجال لعدّة مؤاخذات بعضها يرتبط بسنده وبعضها بأسلوبه، وثالثة بملائمة وقائعه لما صح عن الإمام علیه السلام في مؤداه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سنده فحسبه أن يكون فيه عكرمة، وهو رجل خارجي أباضي </w:t>
      </w:r>
      <w:r>
        <w:rPr>
          <w:rStyle w:val="FootnoteAnchor"/>
          <w:rtl w:val="true"/>
        </w:rPr>
        <w:footnoteReference w:id="360"/>
      </w:r>
      <w:r>
        <w:rPr>
          <w:rFonts w:ascii="IRNazanin" w:hAnsi="IRNazanin" w:eastAsia="IRNazanin"/>
          <w:color w:val="111111"/>
          <w:sz w:val="28"/>
          <w:sz w:val="28"/>
          <w:szCs w:val="28"/>
          <w:rtl w:val="true"/>
          <w:lang w:bidi="fa-IR"/>
        </w:rPr>
        <w:t xml:space="preserve">، متهم في نقله بالنسبة إلى كلّ ما يسيء للإمام علیه السلام ولمولاه؛ لموقفهما من الخوارج أولاً؛ ولأنه كان يرى </w:t>
      </w:r>
    </w:p>
    <w:p>
      <w:pPr>
        <w:pStyle w:val="BookText"/>
        <w:rPr/>
      </w:pPr>
      <w:r>
        <w:rPr>
          <w:rFonts w:ascii="IRNazanin" w:hAnsi="IRNazanin" w:eastAsia="IRNazanin"/>
          <w:color w:val="111111"/>
          <w:sz w:val="28"/>
          <w:sz w:val="28"/>
          <w:szCs w:val="28"/>
          <w:rtl w:val="true"/>
          <w:lang w:bidi="fa-IR"/>
        </w:rPr>
        <w:t>كفر الإمام علییه السلام ومن يعتنق مبادئه، ومثله لا يؤتمن في النقل بما يوافق هواه، وإن كنا أسرع إلى تصديقه حين يحدّث في فضائله مثلاً؛ لمخالفتها لصميم عقيدته ومثله في مثلها لا يبدو أن يكون بعيداً عن الكذب عادة، وربّما لاحظ عليه ذلك معاصروه فاتهموه بالكذب على مولاه</w:t>
      </w:r>
    </w:p>
    <w:p>
      <w:pPr>
        <w:pStyle w:val="BookText"/>
        <w:rPr/>
      </w:pPr>
      <w:r>
        <w:rPr>
          <w:rFonts w:ascii="Amiri" w:hAnsi="Amiri" w:eastAsia="Amiri" w:cs="Amiri"/>
          <w:color w:val="111111"/>
          <w:sz w:val="28"/>
          <w:sz w:val="28"/>
          <w:szCs w:val="28"/>
          <w:rtl w:val="true"/>
          <w:lang w:bidi="ar-SA"/>
        </w:rPr>
        <w:t xml:space="preserve">هذا سعيد بن المسيب يقول لمولى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 عليَّ كما كذب مولى ابن عباس على ابن عباس</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وهذا عبد الله بن الحارث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بن عبد الله فإذا عكرمة في وثاق عند باب الحش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وقد طعن فيه غير واحد من أرباب الجرح والتعديل، وصرحوا بكذبه، كمحمد بن سيرين </w:t>
      </w:r>
      <w:r>
        <w:rPr>
          <w:rStyle w:val="FootnoteAnchor"/>
          <w:rtl w:val="true"/>
        </w:rPr>
        <w:footnoteReference w:id="363"/>
      </w:r>
      <w:r>
        <w:rPr>
          <w:rFonts w:ascii="Amiri" w:hAnsi="Amiri" w:eastAsia="Amiri" w:cs="Amiri"/>
          <w:color w:val="111111"/>
          <w:sz w:val="28"/>
          <w:sz w:val="28"/>
          <w:szCs w:val="28"/>
          <w:rtl w:val="true"/>
          <w:lang w:bidi="ar-SA"/>
        </w:rPr>
        <w:t>، وكونه غير ثقة كابن أبي ذؤيب</w:t>
      </w:r>
      <w:r>
        <w:rPr>
          <w:rStyle w:val="FootnoteAnchor"/>
          <w:rtl w:val="true"/>
        </w:rPr>
        <w:footnoteReference w:id="36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يقبل حديثه، كمالك فيما</w:t>
      </w:r>
      <w:r>
        <w:rPr>
          <w:rStyle w:val="FootnoteAnchor"/>
          <w:rtl w:val="true"/>
        </w:rPr>
        <w:footnoteReference w:id="365"/>
      </w:r>
      <w:r>
        <w:rPr>
          <w:rFonts w:ascii="Amiri" w:hAnsi="Amiri" w:eastAsia="Amiri" w:cs="Amiri"/>
          <w:color w:val="111111"/>
          <w:sz w:val="28"/>
          <w:sz w:val="28"/>
          <w:szCs w:val="28"/>
          <w:rtl w:val="true"/>
          <w:lang w:bidi="ar-SA"/>
        </w:rPr>
        <w:t xml:space="preserve">يحدّث الشافعي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دلائل الجرح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نسبه إلى الخوارج غير واحد منهم، كأحمد، وعطاء بن أبي رباح، ومصعب بن الزبير، ويحيى بن أبي بكر، وقد قال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الذين في المغرب عنه أخذوا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وما أشبه ذلك مما ورد في تجريحه مما يوجب أن لا يطمأن إلى أحاديثه مطلقاً، اللهم إلّا ما ورد منها وصح عنه مما هو جارٍ على خلاف هواه، ولا أقل من ترك رواياته التي جاءت </w:t>
      </w:r>
    </w:p>
    <w:p>
      <w:pPr>
        <w:pStyle w:val="BookText"/>
        <w:rPr/>
      </w:pPr>
      <w:r>
        <w:rPr>
          <w:rFonts w:ascii="Amiri" w:hAnsi="Amiri" w:eastAsia="Amiri" w:cs="Amiri"/>
          <w:color w:val="111111"/>
          <w:sz w:val="28"/>
          <w:sz w:val="28"/>
          <w:szCs w:val="28"/>
          <w:rtl w:val="true"/>
          <w:lang w:bidi="ar-SA"/>
        </w:rPr>
        <w:t>على وفق رغباته، وقبول ما عداها من الأحاديث التي لا تضره ولا تنفعه، أو تضره ولا تنفعه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الرواية لا يمكن قبولها؛ لمجيئها على وفق هواه من محاولة الطعن بالإمام علیه السلام بالطعن بأحد أفعاله، وكذلك الطعن بابن عباس من طريق الطعن بفتاواه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مضمونها ففيه عدة مفارقات، يتعلّق بعضها بأصل صدور قضيّة الحرق من الإمام علیه السلام، فضلاً عن نقده له على ذلك، فالحرق لم يعرف زمنه ولا مكانه، ولم يذكر ذلك في رواية تسلم من نقاد الحديث في أسانيدها، ومثلها عادة لا بد أن تشتهر زماناً ومكاناً، فهي حادثة تكاد تكون منفردة في ذلك الحين، ومثلها لا يصح أن يرد كلّ هذا الإهمال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ونقد الإمام لابن عباس هو الآخر لا يتمشى مع ما نعرفه من حديث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يبدو من أحاديثهم فيما يخص الحمر الإنسية، أن رسول الله صلی الله علیه و آله وسلم نهى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كراهة لا تحريم ففي حديث محمد بن علي بن الحسين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نهى رسول الله صلی الله علیه و آله وسلم اللهم عن أكل لحوم الحمر الإنسية بخيبر ؛ لئلا تفنى ظهورها، وكان ذلك نهي كراهة لا نهي تحريم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وأخبار الكراهة كثيرة في هذا الباب لا يهمّ الإطالة فيها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الحكم بهذا الوضوح من التحريم، بحيث يعتبر الخارج عليه امرءً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حديث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عليه بعد ذلك الأئمة من أهل البيت عليهم السلام وهم أولاد علي، ومذهبهم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تصريح لهم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لأعلن ابن عباس </w:t>
      </w:r>
      <w:bookmarkStart w:id="123" w:name="pg15232_165790"/>
    </w:p>
    <w:p>
      <w:pPr>
        <w:pStyle w:val="BookText"/>
        <w:rPr/>
      </w:pPr>
      <w:bookmarkEnd w:id="123"/>
      <w:r>
        <w:rPr>
          <w:rFonts w:ascii="Amiri" w:hAnsi="Amiri" w:eastAsia="Amiri" w:cs="Amiri"/>
          <w:color w:val="111111"/>
          <w:sz w:val="28"/>
          <w:sz w:val="28"/>
          <w:szCs w:val="28"/>
          <w:rtl w:val="true"/>
          <w:lang w:bidi="ar-SA"/>
        </w:rPr>
        <w:t xml:space="preserve">رجوعه عنه وتوبته، كما أعلنها في الصرف حين تبيّن له خطؤه </w:t>
      </w:r>
      <w:r>
        <w:rPr>
          <w:rStyle w:val="FootnoteAnchor"/>
          <w:rtl w:val="true"/>
        </w:rPr>
        <w:footnoteReference w:id="368"/>
      </w:r>
      <w:r>
        <w:rPr>
          <w:rFonts w:ascii="IRNazanin" w:hAnsi="IRNazanin" w:eastAsia="IRNazanin"/>
          <w:color w:val="111111"/>
          <w:sz w:val="28"/>
          <w:sz w:val="28"/>
          <w:szCs w:val="28"/>
          <w:rtl w:val="true"/>
          <w:lang w:bidi="fa-IR"/>
        </w:rPr>
        <w:t>، وبخاصة وقد نبّهه الإمام علیه السلام عليه بهذه اللغة من التأنيب، وسكت هو عن الإجابة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والمتعة وهي الأخرى من دلائل القلق في هذا الحديث؛ لأنها من الأحكام التي تبنّاها أهل البيت علیهم السلام بما فيهم الإمام علي علیه السلام، والروايات المأثورة عن ابن عباس في ذلك كثيرة، أمثال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نهى عن المتعة ما زنى إلّا شفا</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ونسبة هذا الحكم إلى أئمة أهل البيت علیهم السلام يعد من الضروريات، فأين هذا من دعواه أن الإمام قال بنهي النبي عنها في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يلتئم مع تصريحات الإمام علیه السلام وأولاده بتحليلها على أنّ لسان الرواية وأسلوبها يتمان عن مواضع القلق فيها،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فكافأه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فكأنّ المسألة مسألة انتقام ومكافآت لا مسألة بحث عن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فأمر هذه الرواية أهون من أن يُطال فيها الحديث</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547325_2142443653"/>
      <w:bookmarkStart w:id="125" w:name="_Toc42"/>
      <w:bookmarkEnd w:id="124"/>
      <w:r>
        <w:rPr>
          <w:rtl w:val="true"/>
        </w:rPr>
        <w:t>د</w:t>
      </w:r>
      <w:r>
        <w:rPr>
          <w:rtl w:val="true"/>
        </w:rPr>
        <w:t xml:space="preserve">- </w:t>
      </w:r>
      <w:r>
        <w:rPr>
          <w:rtl w:val="true"/>
        </w:rPr>
        <w:t>الرأي والقياس</w:t>
      </w:r>
      <w:bookmarkEnd w:id="125"/>
    </w:p>
    <w:p>
      <w:pPr>
        <w:pStyle w:val="BookText"/>
        <w:rPr/>
      </w:pPr>
      <w:r>
        <w:rPr>
          <w:rFonts w:ascii="IRNazanin" w:hAnsi="IRNazanin" w:eastAsia="IRNazanin"/>
          <w:color w:val="111111"/>
          <w:sz w:val="28"/>
          <w:sz w:val="28"/>
          <w:szCs w:val="28"/>
          <w:rtl w:val="true"/>
          <w:lang w:bidi="fa-IR"/>
        </w:rPr>
        <w:t xml:space="preserve">وحسبه أن يكون من آل البيت، ورأيهم في قسم من الأقيسة معروف، وأن يتلمذ على الإمام علیه السلام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الدين يؤخذ بالرأي لكان باطن الخفّ أولى بالمسح من ظاهره</w:t>
      </w:r>
      <w:r>
        <w:rPr>
          <w:rFonts w:eastAsia="IRNazanin" w:cs="IRNazanin"/>
          <w:color w:val="111111"/>
          <w:sz w:val="28"/>
          <w:szCs w:val="28"/>
          <w:rtl w:val="true"/>
          <w:lang w:bidi="fa-IR"/>
        </w:rPr>
        <w:t>».</w:t>
      </w:r>
      <w:r>
        <w:rPr>
          <w:rStyle w:val="FootnoteAnchor"/>
          <w:rtl w:val="true"/>
        </w:rPr>
        <w:footnoteReference w:id="37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لنا نبعد وتصريحاته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 فمنها قوله من أحدث رأياً ليس في كتاب الله، ولم تمض به سنة رسول الله صلی الله علیه و آله وسلم لم يدر على ما هو منه إذا لقي إذا لقي الله عز وجل</w:t>
      </w:r>
      <w:r>
        <w:rPr>
          <w:rFonts w:eastAsia="IRNazanin" w:cs="IRNazanin"/>
          <w:color w:val="111111"/>
          <w:sz w:val="28"/>
          <w:szCs w:val="28"/>
          <w:rtl w:val="true"/>
          <w:lang w:bidi="fa-IR"/>
        </w:rPr>
        <w:t>».</w:t>
      </w:r>
      <w:r>
        <w:rPr>
          <w:rStyle w:val="FootnoteAnchor"/>
          <w:rtl w:val="true"/>
        </w:rPr>
        <w:footnoteReference w:id="371"/>
      </w:r>
      <w:bookmarkStart w:id="126" w:name="pg15232_165791"/>
    </w:p>
    <w:p>
      <w:pPr>
        <w:pStyle w:val="BookText"/>
        <w:rPr/>
      </w:pPr>
      <w:bookmarkEnd w:id="126"/>
      <w:r>
        <w:rPr>
          <w:rFonts w:ascii="Amiri" w:hAnsi="Amiri" w:eastAsia="Amiri" w:cs="Amiri"/>
          <w:color w:val="111111"/>
          <w:sz w:val="28"/>
          <w:sz w:val="28"/>
          <w:szCs w:val="28"/>
          <w:rtl w:val="true"/>
          <w:lang w:bidi="ar-SA"/>
        </w:rPr>
        <w:t xml:space="preserve">وقوله في التأكيد على الردع عنه ، وعدم تسويغه لأي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أَحْكُم بَيْنَهُم بِمَا أَنزَلَ الله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 ولم يقل بما رأيت، ولو جعل لأحد أن يحكم برأيه لجعل ذلك لرسول الله صلی الله علیه و آله وسلم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فإذا كان لا يرى أن ذلك سائغ لرسول الله ، أفتراه يمكن أن يسوّغه للخليفتين؟ ثم يعتبر قولهما حجّة عليه مع علمه بأنهما يستسيغان ما لا يستسيغه من الاجتهاد على خلاف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على عروة بن الزبير اعتباره حجيّة قولهما في مقابل الكتاب والسنة أكثر من مرة، حتى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أراكم منتهين حتى يعذبكم الله، نحدّثكم عن النبي وتحدّثوننا عن أبي بكر وعمر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على أن رأيهما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مجتهدان مثله في استنتاج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 على من هو مجتهد مثلهما؛ للزوم إعمال اجتهاده الخاص في التماس أحكامه الشرعية، وعدم جواز التقليد له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أو هي مبتنية على اجتهاد من الراوي في استنتاج مصادر فتياه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547327_2142443653"/>
      <w:bookmarkStart w:id="128" w:name="_Toc43"/>
      <w:bookmarkEnd w:id="127"/>
      <w:r>
        <w:rPr>
          <w:rtl w:val="true"/>
        </w:rPr>
        <w:t>اجتهاد رأيه</w:t>
      </w:r>
      <w:bookmarkEnd w:id="1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عرضته الرواية أخيراً، فإن عاد إلى اجتهاده في مداليل النصوص </w:t>
      </w:r>
    </w:p>
    <w:p>
      <w:pPr>
        <w:pStyle w:val="BookText"/>
        <w:rPr/>
      </w:pPr>
      <w:r>
        <w:rPr>
          <w:rFonts w:ascii="IRNazanin" w:hAnsi="IRNazanin" w:eastAsia="IRNazanin"/>
          <w:color w:val="111111"/>
          <w:sz w:val="28"/>
          <w:sz w:val="28"/>
          <w:szCs w:val="28"/>
          <w:rtl w:val="true"/>
          <w:lang w:bidi="fa-IR"/>
        </w:rPr>
        <w:t xml:space="preserve">واستخراج الأحكام الشرعية منها فهو طبيعي له ، ولا يمكن الاستغناء عنه بحال، وإن لم يعد لذلك وعاد إلى الاجتهاد والرأي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المردود عنه في أحاديثه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كسابقه اجتهاد من الراوي ظاهراً، ولا يؤثر له تصريح واحد يمكن الاطمئنان إليه بذلك، نعم سجّلوا عليه فتاوى اعتبروها من قبيل الأخذ بالقياس والرأي، كقوله عند سماعه بحديث نهي الرسول صلی الله علیه و آله وسلم عن بيع الطعام قبل أن يُقبض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أحسب كلّ شيء إلّا مثله</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 فهذا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بالعلّة المستنبطة وهي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ليس من قبيل الأخذ بالعلة، وإنّما هو من قبيل استفادة التعميم من الرواية باعتبار استفادته أنّ ما ذكر فيها من متعلّق النهي لم يذكر إلا على سبيل المثال، وما دام الأمر يرجع إلى الاستفادة من النصّ ولو بمناسبة الحكم والموضوع، فهو ليس من قبيل الأخذ بالرأي وإنّما هو أخذ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التي يجب أن تتضح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ذكروه للقياس من أقسام لا تنتظمه للحكم وحدة يرجع إليها من حيث الحجيّة، فما كان منه راجع إلى إفادة النصّ له كالعلّة المنصوصة، ومفهوم الموافقة ودلالة الإشارة، بل كل مدلول للفظ ولو كان بالدلالة البينة بالمعنى الأعم أو غير البينة، فضلاً عن الدلالات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والتضمن، والالتزام، فهو مما يأخذ به أهل البيت علیهم السلام، وهو معنى الاجتهاد في مدلول النصّ، وما قام على التخرّصات والتمحلات والتخمينات التي لا تكون مدلولة له، فهي التي التي ورد الردع عنها بأمثال أحاديث ابن عباس السابقة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صحّ هذا عدنا إلى ما نسب إليه من الفتاوى مما ينتظم في هذه المجالات؛ لنرى موضعها من تلكم الأقسام</w:t>
      </w:r>
      <w:r>
        <w:rPr>
          <w:rFonts w:eastAsia="Amiri" w:cs="Amiri" w:ascii="Amiri" w:hAnsi="Amiri"/>
          <w:color w:val="111111"/>
          <w:sz w:val="28"/>
          <w:szCs w:val="28"/>
          <w:rtl w:val="true"/>
          <w:lang w:bidi="ar-SA"/>
        </w:rPr>
        <w:t xml:space="preserve">. </w:t>
      </w:r>
      <w:bookmarkStart w:id="129" w:name="pg15232_165793"/>
    </w:p>
    <w:p>
      <w:pPr>
        <w:pStyle w:val="BookText"/>
        <w:rPr/>
      </w:pPr>
      <w:bookmarkEnd w:id="129"/>
      <w:r>
        <w:rPr>
          <w:rFonts w:ascii="Amiri" w:hAnsi="Amiri" w:eastAsia="Amiri" w:cs="Amiri"/>
          <w:color w:val="111111"/>
          <w:sz w:val="28"/>
          <w:sz w:val="28"/>
          <w:szCs w:val="28"/>
          <w:rtl w:val="true"/>
          <w:lang w:bidi="ar-SA"/>
        </w:rPr>
        <w:t>وفي حدود ما رأيت مما يمكن أن تصح نسبته إليه فإنّه راجع إلى القسم الأول منها، وهو الذي لا يأبى أهل البيت عليهم السلام من الأخذ به؛ لرجوعه إلى النص نفسه لا إلى الرأي المحض، وما عدا ذلك فلا طريق إلى إثباته عليه هذا كلّه إذا كان هناك نص يُركن إليه، ولو في التماس المؤمن لاستنتاج الحكم الشرعي او الوظيفة العملية، أما إذا لم يكن فيرجع إلى البراءة العقليّة في التماس المؤمن من العقاب، وربّما أشعر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يأكلون أشياء ويتركون أشياء هذراً، فبعث الله نبيه، وأنزل عليه كتابه، وأحلّ حلاله وحرّم حرامه، فما أحلّ فهو حلال وما حرّم فهو حرام، وما سكت عنه فهو عفو</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فهو يستنتج هنا أنّ ما لا يرد فيه نص فهو عفو لا يعاقب المولى عليه، وحاشاه أن يعاقب على شيء يريده ولا يصدر في إرادته بياناً، وهو الذي وضع عن عبيده المؤاخذة على ما أخطأوا فيه أو نسوه أو أُكرهوا عليه، كما حدث بذلك صاحبنا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وضع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البيهقي تجاوز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فكيف يعاقبهم على ما لا بيان فيه أصلاً وهو قبيح يتعالى الله عنه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547329_2142443653"/>
      <w:bookmarkStart w:id="131" w:name="_Toc44"/>
      <w:bookmarkEnd w:id="130"/>
      <w:r>
        <w:rPr/>
        <w:t>3</w:t>
      </w:r>
      <w:r>
        <w:rPr>
          <w:rtl w:val="true"/>
        </w:rPr>
        <w:t xml:space="preserve">- </w:t>
      </w:r>
      <w:r>
        <w:rPr>
          <w:rtl w:val="true"/>
        </w:rPr>
        <w:t>طابع مدرسته الفقهية</w:t>
      </w:r>
      <w:bookmarkEnd w:id="131"/>
    </w:p>
    <w:p>
      <w:pPr>
        <w:pStyle w:val="BookText"/>
        <w:rPr/>
      </w:pPr>
      <w:r>
        <w:rPr>
          <w:rFonts w:ascii="Amiri" w:hAnsi="Amiri" w:eastAsia="Amiri" w:cs="Amiri"/>
          <w:color w:val="111111"/>
          <w:sz w:val="28"/>
          <w:sz w:val="28"/>
          <w:szCs w:val="28"/>
          <w:rtl w:val="true"/>
          <w:lang w:bidi="ar-SA"/>
        </w:rPr>
        <w:t>وفي حدود ما انتهينا إليه من مصادر فتياه بعدما صحّ لدينا ما صح من تلكم المصادر والمراجع لأحكامه وفتاواه، لم تعد مدرسته الفقهيّة وطابعها الخاص خافيةً علينا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فمدرسته هي مدرسة أهل البيت علیهم السلام، وطابعها هو طابعهم الخاص، ولذا نراه </w:t>
      </w:r>
      <w:bookmarkStart w:id="132" w:name="pg15232_165794"/>
    </w:p>
    <w:p>
      <w:pPr>
        <w:pStyle w:val="BookText"/>
        <w:rPr/>
      </w:pPr>
      <w:bookmarkEnd w:id="132"/>
      <w:r>
        <w:rPr>
          <w:rFonts w:ascii="IRNazanin" w:hAnsi="IRNazanin" w:eastAsia="IRNazanin"/>
          <w:color w:val="111111"/>
          <w:sz w:val="28"/>
          <w:sz w:val="28"/>
          <w:szCs w:val="28"/>
          <w:rtl w:val="true"/>
          <w:lang w:bidi="fa-IR"/>
        </w:rPr>
        <w:t xml:space="preserve">في جملة من المسائل الخلافية بين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المسائل التي انتشرت بعد ذلك بين أرباب المذاهب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يُؤثر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منحى مذهب أهل البيت علیهم السلام وعلى الأخص أستاذه الإمام علیه السلام وهو مصدر هذا المذهب وأساسه التشريعي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استقصيت من فتاواه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يصح منها ينتظم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التي كانت موضع اختلاف الصحابة، يتعلّق بعضها بالعبادات، وبعضها بالمعاملات، وثالثة بالأحوال الشخصية، كالطلاق والنكاح والفرائض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الأمور العبادية التي وقع فيها الاختلاف مسح الأرجل وغسلها في الوضوء؛ والجمع بين الصلاتين واعتبار البسملة جزء من السورة يلزم الإتيان به في الصلاة، والتقصير في السفر والإفطار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في جميعها موافقاً لمدرسة أهل البيت عليهم السلام، وله في ذلك مأثورات نعرض إلى بعضها في هذا الحديث</w:t>
      </w:r>
    </w:p>
    <w:p>
      <w:pPr>
        <w:pStyle w:val="Heading4"/>
        <w:numPr>
          <w:ilvl w:val="3"/>
          <w:numId w:val="1"/>
        </w:numPr>
        <w:rPr/>
      </w:pPr>
      <w:bookmarkStart w:id="133" w:name="__RefHeading___Toc3547331_2142443653"/>
      <w:bookmarkStart w:id="134" w:name="_Toc45"/>
      <w:bookmarkEnd w:id="133"/>
      <w:r>
        <w:rPr>
          <w:rtl w:val="true"/>
        </w:rPr>
        <w:t>مسح الأرجل</w:t>
      </w:r>
      <w:bookmarkEnd w:id="134"/>
    </w:p>
    <w:p>
      <w:pPr>
        <w:pStyle w:val="BookText"/>
        <w:rPr/>
      </w:pPr>
      <w:r>
        <w:rPr>
          <w:rFonts w:ascii="Amiri" w:hAnsi="Amiri" w:eastAsia="Amiri" w:cs="Amiri"/>
          <w:color w:val="111111"/>
          <w:sz w:val="28"/>
          <w:sz w:val="28"/>
          <w:szCs w:val="28"/>
          <w:rtl w:val="true"/>
          <w:lang w:bidi="ar-SA"/>
        </w:rPr>
        <w:t>فمن مأثوراته في الوضوء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افترض الله غسلتين ومسحتين، ألا ترى أنه ذكر التيمّم فجعل مكان الغسلتين مسحتين وترك المسحتين</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وظل مصراً على قوله، رغم دعوى بنت معوّذ بن عفراء الأنصارية التي كانت تزعم أن النبي صلی الله علیه و آله وسلم توضأ فغسل رجليه، وقد أتاها </w:t>
      </w:r>
      <w:bookmarkStart w:id="135" w:name="pg15232_165795"/>
    </w:p>
    <w:p>
      <w:pPr>
        <w:pStyle w:val="BookText"/>
        <w:rPr/>
      </w:pPr>
      <w:bookmarkEnd w:id="135"/>
      <w:r>
        <w:rPr>
          <w:rFonts w:ascii="Amiri" w:hAnsi="Amiri" w:eastAsia="Amiri" w:cs="Amiri"/>
          <w:color w:val="111111"/>
          <w:sz w:val="28"/>
          <w:sz w:val="28"/>
          <w:szCs w:val="28"/>
          <w:rtl w:val="true"/>
          <w:lang w:bidi="ar-SA"/>
        </w:rPr>
        <w:t xml:space="preserve">يسألها عن ذلك فحدّثته، إلّا أنه أنكر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أبوا إلّا الغسل ولا أجد في كتاب الله إلّا المسح</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وهو عين ما جاء عن أئمة أهل البيت عليهم السلام في هذا الباب</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547333_2142443653"/>
      <w:bookmarkStart w:id="137" w:name="_Toc46"/>
      <w:bookmarkEnd w:id="136"/>
      <w:r>
        <w:rPr>
          <w:rtl w:val="true"/>
        </w:rPr>
        <w:t>الجمع بين الصلاتين</w:t>
      </w:r>
      <w:bookmarkEnd w:id="137"/>
    </w:p>
    <w:p>
      <w:pPr>
        <w:pStyle w:val="BookText"/>
        <w:rPr/>
      </w:pPr>
      <w:r>
        <w:rPr>
          <w:rFonts w:ascii="IRNazanin" w:hAnsi="IRNazanin" w:eastAsia="IRNazanin"/>
          <w:color w:val="111111"/>
          <w:sz w:val="28"/>
          <w:sz w:val="28"/>
          <w:szCs w:val="28"/>
          <w:rtl w:val="true"/>
          <w:lang w:bidi="fa-IR"/>
        </w:rPr>
        <w:t xml:space="preserve">فمن مأثوراته ما حدّث عنه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والعشاء جميعاً بالمدينة في غير خوف ولا سفر، قال أبو الزبير وهو راوي الحديث عن سعيد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سعيداً لم فعل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لا يحرج أحداً من أمته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وفي رواية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رسول الله صلی الله علیه و آله وسلم الظهر والعصر جميعاً والمغرب والعشاء في غير خوف ولا سفر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يقول عبد الله بن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ابن عباس يوماً بعد العصر حتى غربت الشمس وبدت النجوم، وعلق الناس ينادونه الصلاة، وفي القوم رجل من بني تميم فجعل يقول الصلاة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أتعلمني بالسنّة،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رسول الله صلی الله علیه و آله وسلم جمع بين الظهر والعصر والمغرب والعشاء،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من نفسي من ذلك شيئا، فلقيت أبا هريرة فسألته فوافقه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وقد ورد عنه كثير من أمثال هذه الأحاديث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بعض الأعلام بمحاولات للجمع بينها وبين غيرها من الأحاديث التي وردت عن غيره ولا توافق مذهب أهل البيت علیهم السلام وكلها جموع تبرعيّة يأباها ظاهر </w:t>
      </w:r>
      <w:bookmarkStart w:id="138" w:name="pg15232_165796"/>
    </w:p>
    <w:p>
      <w:pPr>
        <w:pStyle w:val="BookText"/>
        <w:rPr/>
      </w:pPr>
      <w:bookmarkEnd w:id="138"/>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يجب أن نؤكّد أنّ هذه الروايات وأشباهها لم ينفرد بها ابن عباس من بين الصحابة، وإنّما وافقه عليها برواية مضامينها جماعة من أعلام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أقوالهم في مظانّها من كتب 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فيها هنا يقال في لا حقاتها من المسائل على اختلافها مثل البسملة باعتبارها جزء من السورة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يعدّها آية من القرآن، وأحاديثه في ذلك كثيرة، نكتفي منها بذكر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سعيد بن جبير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ءَاتَيْنَاكَ سَبْعًا مِنَ الْمَثَانِي</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بسم الله الرحمن الرحيم الحمد لله ربّ العاملين، وقرأ السورة،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سلسلة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أخبرك سعيد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5"/>
      </w:r>
    </w:p>
    <w:p>
      <w:pPr>
        <w:pStyle w:val="Heading4"/>
        <w:numPr>
          <w:ilvl w:val="3"/>
          <w:numId w:val="1"/>
        </w:numPr>
        <w:rPr/>
      </w:pPr>
      <w:bookmarkStart w:id="139" w:name="__RefHeading___Toc3547335_2142443653"/>
      <w:bookmarkStart w:id="140" w:name="_Toc47"/>
      <w:bookmarkEnd w:id="139"/>
      <w:r>
        <w:rPr>
          <w:rtl w:val="true"/>
        </w:rPr>
        <w:t>التقصير في السفر</w:t>
      </w:r>
      <w:bookmarkEnd w:id="140"/>
    </w:p>
    <w:p>
      <w:pPr>
        <w:pStyle w:val="BookText"/>
        <w:rPr/>
      </w:pPr>
      <w:r>
        <w:rPr>
          <w:rFonts w:ascii="IRNazanin" w:hAnsi="IRNazanin" w:eastAsia="IRNazanin"/>
          <w:color w:val="111111"/>
          <w:sz w:val="28"/>
          <w:sz w:val="28"/>
          <w:szCs w:val="28"/>
          <w:rtl w:val="true"/>
          <w:lang w:bidi="fa-IR"/>
        </w:rPr>
        <w:t xml:space="preserve">فقد استفتي في ذلك من قبل موسى بن سلمة الهذلي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ابن عباس كيف أصلي إذا كنت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سنة أبي القاسم صلی الله علیه و آله وسلم</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وفي رواية ثانية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الصلاة على لسان نبيكم في الحضر أربعاً، وفي السفر ركعتين، وفي الخوف ركعة</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هذا التعبير أن الصلاة المشرعة في السفر هي الركعتان لا غير، كما أنّ </w:t>
      </w:r>
      <w:bookmarkStart w:id="141" w:name="pg15232_165797"/>
    </w:p>
    <w:p>
      <w:pPr>
        <w:pStyle w:val="BookText"/>
        <w:rPr/>
      </w:pPr>
      <w:bookmarkEnd w:id="141"/>
      <w:r>
        <w:rPr>
          <w:rFonts w:ascii="Amiri" w:hAnsi="Amiri" w:eastAsia="Amiri" w:cs="Amiri"/>
          <w:color w:val="111111"/>
          <w:sz w:val="28"/>
          <w:sz w:val="28"/>
          <w:szCs w:val="28"/>
          <w:rtl w:val="true"/>
          <w:lang w:bidi="ar-SA"/>
        </w:rPr>
        <w:t>الأربع هي المشرعة لمن كان حاضراً، وهو مدلول كلمة الفرض</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547337_2142443653"/>
      <w:bookmarkStart w:id="143" w:name="_Toc48"/>
      <w:bookmarkEnd w:id="142"/>
      <w:r>
        <w:rPr>
          <w:rtl w:val="true"/>
        </w:rPr>
        <w:t>الصوم في السفر</w:t>
      </w:r>
      <w:bookmarkEnd w:id="143"/>
    </w:p>
    <w:p>
      <w:pPr>
        <w:pStyle w:val="BookText"/>
        <w:rPr/>
      </w:pPr>
      <w:r>
        <w:rPr>
          <w:rFonts w:ascii="IRNazanin" w:hAnsi="IRNazanin" w:eastAsia="IRNazanin"/>
          <w:color w:val="111111"/>
          <w:sz w:val="28"/>
          <w:sz w:val="28"/>
          <w:szCs w:val="28"/>
          <w:rtl w:val="true"/>
          <w:lang w:bidi="fa-IR"/>
        </w:rPr>
        <w:t>ففي حديث عبيد الله بن عبد الله بن عتبة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أخبره أنّ رسول الله صلی الله علیه و آله وسلم خرج عام الفتح فصام حتى بلغ الكديد، ثم أفطر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صحابة رسول الله يتبعون الأحدث فالأحدث في أمره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وكأنه يشير إلى ما عرف من أنّ الإفطار في السفر كان رخصة في ابتداء التشريع وقد نسخ من قبله صلی الله علیه و آله وسلم في عام الفتح، وأصبح عزيمة يلزم 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صحابة رسول الله يتبعون الأحدث فالأحدث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ذلك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نبعد وصريح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في السفر عزيمة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يدلّ على رفع حكم الرخصة فيه، لو صح ثبوته من قبل الشارع يوماً ما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547339_2142443653"/>
      <w:bookmarkStart w:id="145" w:name="_Toc49"/>
      <w:bookmarkEnd w:id="144"/>
      <w:r>
        <w:rPr>
          <w:rtl w:val="true"/>
        </w:rPr>
        <w:t>المتعة في الحج</w:t>
      </w:r>
      <w:bookmarkEnd w:id="145"/>
    </w:p>
    <w:p>
      <w:pPr>
        <w:pStyle w:val="BookText"/>
        <w:rPr/>
      </w:pPr>
      <w:r>
        <w:rPr>
          <w:rFonts w:ascii="IRNazanin" w:hAnsi="IRNazanin" w:eastAsia="IRNazanin"/>
          <w:color w:val="111111"/>
          <w:sz w:val="28"/>
          <w:sz w:val="28"/>
          <w:szCs w:val="28"/>
          <w:rtl w:val="true"/>
          <w:lang w:bidi="fa-IR"/>
        </w:rPr>
        <w:t>كان يراها ويصرّ عليها رغم موقف الخليفة عمر منها ، ومن رفيقتها متعة النساء، ونظراً لأهميتهما وتنبه صاحبنا لهما تبعاً لأستاذه الإمام علیه السلام ، ثم اهتمام جمهور الفقهاء بهما نعطيهما أهمية في الحديث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 بمتعة الحج أن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وظيفته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العمرة والحج، ويبدأ بالعمرة، فإذا اتمتها، وأحلّ من إحرامه، حلّ له كل شيء، ثم يستأنف عمله بعد ذلك للحج، فيُحرم من جديد ويشرع في أداء أعماله حتى يتمها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من بعض أحاديث ابن عباس أن للتفرقة بين الحج وبينها جذوراً ورواسب في الجاهليّة، حاول أن يقضي عليها الإسلام، ففي حديث طاووس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العمرة في اشهر الحج من أفجر الفجور في الأرض، ويجعلون المحرم صفر، ويقولون إذا برئ الدبر وعفا الوبر وانسلخ صفر،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صفر، فقد حلّت العمرة لمن اعتمر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النبي وأصحابه صبيحة رابعة مهلين بالحج، فأمرهم أن يجعلوها عمرة، فتعاظم عندهم،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وقد تقبّلوا هذا التشريع على مضض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سبقت الإشارة إليه في الجزء الأول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رسب في أعماقهم بأنّه أفجر الفجور لذلك تعاظم عليهم قبوله، وقد وجدوا في إلغاء الخليفة عمر لهذا التشريع ومنعه منفذاً للتنفيس عما تركه قبوله من ضغطه للرواسب المتأصلة نتيجة للصراع القوي بين عقيدتهم السابقة وهذا التشريع؛ لذلك لم نجد منكراً على الخليفة في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يعمل بهذا التشريع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ولده عبد الله وقد أُثر أنه سئل عن متعة الحج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حلال،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نهى عنها، فقال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أبي نهى عنها، وصنعها رسول الله أأمر أبي نتبع أم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رسول الله صلی اله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صنعها رسول الله الله وصنعناها معه</w:t>
      </w:r>
      <w:r>
        <w:rPr>
          <w:rFonts w:eastAsia="IRNazanin" w:cs="IRNazanin"/>
          <w:color w:val="111111"/>
          <w:sz w:val="28"/>
          <w:szCs w:val="28"/>
          <w:rtl w:val="true"/>
          <w:lang w:bidi="fa-IR"/>
        </w:rPr>
        <w:t>».</w:t>
      </w:r>
      <w:r>
        <w:rPr>
          <w:rStyle w:val="FootnoteAnchor"/>
          <w:rtl w:val="true"/>
        </w:rPr>
        <w:footnoteReference w:id="3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يعلّل الخليفة فتياه بكراهته لأن يظلوا معرّسين بهنّ في الأراك، ثم يروحون في الحج تقطر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موسى أنّه كان يفتي بالمتعة، 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رويدك </w:t>
      </w:r>
    </w:p>
    <w:p>
      <w:pPr>
        <w:pStyle w:val="BookText"/>
        <w:rPr/>
      </w:pPr>
      <w:r>
        <w:rPr>
          <w:rFonts w:ascii="IRNazanin" w:hAnsi="IRNazanin" w:eastAsia="IRNazanin"/>
          <w:color w:val="111111"/>
          <w:sz w:val="28"/>
          <w:sz w:val="28"/>
          <w:szCs w:val="28"/>
          <w:rtl w:val="true"/>
          <w:lang w:bidi="fa-IR"/>
        </w:rPr>
        <w:t xml:space="preserve">ببعض فتياك، فإنك لا تدري ما أحدث أمير المؤمنين في النسك بعدك، حتى لقيه بعد فسأله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النبي الله صلی اله علیه و آله وسلم قد فعله واصحابه ، ولكني كرهت أن يظلوا معرّسين بهنّ في الأراك ، ثم يروحون في الحج تقطر رؤوسهم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وما أدري أيصلح هذا التعليل ونظائره تما علّلوا به هذا الإقدام من قبله على تعطيل هذا الحكم برفع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مثل هذا الاجتهاد في قبالة النص مما يسوّغه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يبقى لنا من الأحكام لو فتحنا لأنفسنا باب النسخ بمثل هذه الاجتهادات؟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حكم توجه لتعطيله أمثال هذه البواعث الاستحسانية على التعطيل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عرفنا من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يأبى أن يقابل السنّة بالرأي والاجتهاد، لذلك رأيناه يصر تبعاً لأهل البيت عليهم السلام على إبقاء هذا الحكم وعدم رفع اليد عنه باجتهاد الخليفة في تحريمه، وقد اختلف لذلك مع جملة من الآخذين به، حتى قال لمن كان يعارضه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ينزل عليكم حجارة من السماء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اله علیه و آله وسلم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وعمر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وفي رواية سعيد بن جبير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 رسول الله صلی اله علیه و آله وسلم،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أبو بكر وعمر عن المتعة،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أراكم ستهلكون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اله علیه و آله وسلم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وعمر</w:t>
      </w:r>
      <w:r>
        <w:rPr>
          <w:rFonts w:eastAsia="IRNazanin" w:cs="IRNazanin"/>
          <w:color w:val="111111"/>
          <w:sz w:val="28"/>
          <w:szCs w:val="28"/>
          <w:rtl w:val="true"/>
          <w:lang w:bidi="fa-IR"/>
        </w:rPr>
        <w:t>».</w:t>
      </w:r>
      <w:r>
        <w:rPr>
          <w:rStyle w:val="FootnoteAnchor"/>
          <w:rtl w:val="true"/>
        </w:rPr>
        <w:footnoteReference w:id="39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اسم ابي بكر أقحم في وقت متأخّر عن الحادثة؛ لتعزيز رأي الخليفة ،عمر، وإلا فإنّ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شبه 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صدر من الخليفة الثاني، وكلامه الآتي صريح في ذلك</w:t>
      </w:r>
      <w:r>
        <w:rPr>
          <w:rFonts w:eastAsia="Amiri" w:cs="Amiri" w:ascii="Amiri" w:hAnsi="Amiri"/>
          <w:color w:val="111111"/>
          <w:sz w:val="28"/>
          <w:szCs w:val="28"/>
          <w:rtl w:val="true"/>
          <w:lang w:bidi="ar-SA"/>
        </w:rPr>
        <w:t xml:space="preserve">. </w:t>
      </w:r>
      <w:bookmarkStart w:id="146" w:name="pg15232_165800"/>
    </w:p>
    <w:p>
      <w:pPr>
        <w:pStyle w:val="BookText"/>
        <w:rPr/>
      </w:pPr>
      <w:bookmarkEnd w:id="146"/>
      <w:r>
        <w:rPr>
          <w:rFonts w:ascii="IRNazanin" w:hAnsi="IRNazanin" w:eastAsia="IRNazanin"/>
          <w:color w:val="111111"/>
          <w:sz w:val="28"/>
          <w:sz w:val="28"/>
          <w:szCs w:val="28"/>
          <w:rtl w:val="true"/>
          <w:lang w:bidi="fa-IR"/>
        </w:rPr>
        <w:t>وعلى أي فإنّ ابن عباس كان يفتي بها استناداً إلى مأثوراته عن النبي صلی اله علیه و آله وسلم في ذلك، ومنها قوله صلی اله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عمرة استمتعناها، فمن لم يكن عنده هدي فليحل الحلّ كلّه،فقد دخلت العمرة في الحج</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وقوله في رواية أخرى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كثير ، وقد استفتاه أبو حمزة نصر بن عمران – فيما حدثوا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ابن عباس عن المتعة فأمرني بها، وسألته عن الهدي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جزور أو بقرة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ويبدو أن تلكم الرواسب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 أمدها بعد ذلك، فقد شاعت الفتوى بها بين كثير من العلماء، وبخاصة في زمن التابعين ومن بعدهم، وماذا يهم الأجيال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خالية من الرواسب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يراها آباؤهم من أفجر الفجور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547341_2142443653"/>
      <w:bookmarkStart w:id="148" w:name="_Toc50"/>
      <w:bookmarkEnd w:id="147"/>
      <w:r>
        <w:rPr>
          <w:rtl w:val="true"/>
        </w:rPr>
        <w:t>متعة النساء</w:t>
      </w:r>
      <w:bookmarkEnd w:id="1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رفيقتها في التحريم، فقد ظلت متحكّمة بين الجماهير، وكأن تشريعها صادف هوى في نفوسهم، وظل يتجاوب معها؛ لما ربطوا بينها وبين جريمة الزنا، حتى أن المأمون في عهد خلافته حاول أن يعمّم حلّيتها بتشريع فمنعه الخوف من هياج الرأي العام لذلك يقول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المأمون أيام خلافته فنودي بتحليل المتعة، فدخل عليه محمد بن المنصور وأبو العيناء فوجداه يستاك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متغيظ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متعتان كانتا على عهد رسول الله صلی اله علیه و آله وسلم وعلى عهد أبي بكر ، وأنا أنهى عنهما، ومن أنت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تنهى عما فعله رسول الله صلی اله علیه و آله وسلم وأبو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أبو العيناء إلى محمد بن المنصور،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يقول في عمر بن الخطاب ما يقول، نكلّمه نحن فأمسكنا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ودخل عليه يحيى بن أكثم فخوّفه من الفتنة، وذكر له أن الناس يرونه قد أحدث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عظيماً لا ترتضيه الخاصّة ولا تصبر عليه العامة، إذ لا فرق عندهم بين النداء بإباحة المتعة والنداء بإباحة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حتى صرف عزيمته، احتياطاً على ملكه وإشفاقاً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لذلك صاحبنا ، حتى 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تحليلها إلى كثير من الإنكار وربّما السخرية اللاذعة، حتى قال فيه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للركب إذ طال الثواء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 هل لك في فتيا ابن عباس</w:t>
      </w:r>
    </w:p>
    <w:p>
      <w:pPr>
        <w:pStyle w:val="BookText"/>
        <w:rPr/>
      </w:pPr>
      <w:r>
        <w:rPr>
          <w:rFonts w:ascii="Amiri" w:hAnsi="Amiri" w:eastAsia="Amiri" w:cs="Amiri"/>
          <w:color w:val="111111"/>
          <w:sz w:val="28"/>
          <w:sz w:val="28"/>
          <w:szCs w:val="28"/>
          <w:rtl w:val="true"/>
          <w:lang w:bidi="ar-SA"/>
        </w:rPr>
        <w:t>في بضّة رخصة الأطراف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مثواك حتى مرجع الناس</w:t>
      </w:r>
      <w:r>
        <w:rPr>
          <w:rStyle w:val="FootnoteAnchor"/>
          <w:rtl w:val="true"/>
        </w:rPr>
        <w:footnoteReference w:id="3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كان لا يرى للعاطفة مجالاً في الأمور التشريعية، وليقل فيه من شاء بما شاء، ما دام الدليل الشرعي يتمشى معه، بالإضافة إلى أنه كان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أستاذه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المنفذ الوحيد للقضاء على جريمة الزنا؛ لعقيدته أن أكثر من يعمد إلى هذه الجريمة لا يعمد إليها بدافع التحدّي للمبادئ التي يدين بها، وإنّما يساق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بدافع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للتحلّل من ضغط الغريزة عليه، وليس الزواج دائماً مهيئاً لكل أحد، فهناك من تقف دونه بعض الضرورات المادية وبعض المشاكل الاجتماعية لتمنعه من الزواج المبكر، وليس كل أحد يقوى على مدافعة الغريزة، مما يضطره الأمر إلى سلوك إحدى الطرق الشاذة للتنفيس، والطرق الشاذة جميعاً بما فيها العادة السرية والمثلية والزنا وما أشبه، بالإضافة إلى أضرارها الصحية والاجتماعية الكبيرة، مما نهى الشارع أشدّ النهي عنها، وألحف في الوقوف دونها، بما شرع من حدود وتعزيرات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كان هذا 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المنفذ الوحيد للمنع من الوقوع في الزنا، وقد صرح بذلك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المتعة إلّا رحمة من الله تعالى رحم الله بها أمة محمد صلی الله علیه و آله وسلم ، و لو لا نهيه لما احتاج إلى الزنا إلّا شفا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وأرجو أن نتأمل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إلى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من أدق التعبيرات عن تصوّره لبواعث مثل هذا التشريع، وقيمته في تلافي ما ينشأ من الاقتصار على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المشاكل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عميق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يلتقي ابن عباس في إدراكه لأصل المشكلة وعلاجها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أبناء القرن السادس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فيلسوف كبير يعيش في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وجهات النظر في إيجاد حل للمشاكل الجنسية فلم ينته إلى غير هذا الحل وما يشبه لسد الحاجة الجنسيّة، مع عدم الوقوع في أي ضرر نفسي أو جسمي أو اجتماعي</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ومن الحق أن نسجل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ندخل في التماس أدلّة صاحبنا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ماوُجّه إلى هذه الفتوى، أو قل إلى هذا التشريع من نقود، وأكثرها ناشئ عن عدم وقوفهم على واقع هذا النكاح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وواقعه عقد زواج بين طرفين معلومين إلى أجل معيّن، بمهر يذكر في متن العقد، فإذا انتهى الأجل أو وهبها المدّة انجلت العقدة بينهما دون حاجة إلى طلاق، وتعتدّ الزوجة بحيضتين أو خمسة وأربعين يوماً، وإن كانت لا تحيض وهي بسنّ مَن تحيض وأما إذا مات الزوج وهي عنده لحقتها عدّة الموت، وهي أربعة أشهر وعشرة أيام، </w:t>
      </w:r>
    </w:p>
    <w:p>
      <w:pPr>
        <w:pStyle w:val="BookText"/>
        <w:rPr/>
      </w:pPr>
      <w:r>
        <w:rPr>
          <w:rFonts w:ascii="Amiri" w:hAnsi="Amiri" w:eastAsia="Amiri" w:cs="Amiri"/>
          <w:color w:val="111111"/>
          <w:sz w:val="28"/>
          <w:sz w:val="28"/>
          <w:szCs w:val="28"/>
          <w:rtl w:val="true"/>
          <w:lang w:bidi="ar-SA"/>
        </w:rPr>
        <w:t>والولد يلحق بأبيه بعد انتهاء دور الحضانة والنفقة في أثنائها على الأب، ويتوارثان كما يتوارث الآباء والأبناء، وحكمه حكم سائر أولاده بلا فرق اصلاً، وهو – أعني زواج المتعة – كالزواج الدائم في أكثر أحكامه المهمّة، اللّهم إلّا الميراث، وللزوجة أن تشترطه في ضمن العقد، وإذا اشترطته 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وأصبح سنة يعمل بها باتفاق كلمة المسلمين، ودلّت عليه من الكتاب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فَئاتُوهُنَّ أُجُورَهُنَّ فَرِيضَةً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وقد سبق لنا أن سمعنا قراءة صاحبنا وأبي بن كعب وبعض الصحابة لها بزيادة إلى أجل مسمى، وهي في هذه القراءة تكون أصرح في الدلالة على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هذه الآية نسخت بآيات ذكروها، وهي أجنبية عن دلالتها على النسخ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وما أدري من أين تجيء دلالتها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تتعرض إلا لحكم الزوجة التي تُطلق، وليس في زواج المتعة ،طلاق، فهي خارجة موضوعاً عنها، ولو جاءت الآية مثلاً بلسان يشعر بأن كل زوجة قابلة لأن تُطلق؛ لأشعرت إذ ذاك بالنسخ لزواج المتعة، على أنها لو تمت لكانت دلالتها على تشريع الطلاق في المتعة في أثناء المدّة أكثر من دلالتها على نسخها من الأساس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 بعضهم نسب هذا القول إلى ابن عباس</w:t>
      </w:r>
      <w:r>
        <w:rPr>
          <w:rStyle w:val="FootnoteAnchor"/>
          <w:rtl w:val="true"/>
        </w:rPr>
        <w:footnoteReference w:id="404"/>
      </w:r>
      <w:r>
        <w:rPr>
          <w:rFonts w:ascii="Amiri" w:hAnsi="Amiri" w:eastAsia="Amiri" w:cs="Amiri"/>
          <w:color w:val="111111"/>
          <w:sz w:val="28"/>
          <w:sz w:val="28"/>
          <w:szCs w:val="28"/>
          <w:rtl w:val="true"/>
          <w:lang w:bidi="ar-SA"/>
        </w:rPr>
        <w:t xml:space="preserve">، وسنعرف أنّ ذلك بعيد عنه؛ لما دلّ على إصراره في البقاء على فتياه طيلة أيام حياته ولتصريحه بأن هذه الآية </w:t>
      </w:r>
    </w:p>
    <w:p>
      <w:pPr>
        <w:pStyle w:val="BookText"/>
        <w:rPr/>
      </w:pPr>
      <w:r>
        <w:rPr>
          <w:rFonts w:ascii="Amiri" w:hAnsi="Amiri" w:eastAsia="Amiri" w:cs="Amiri"/>
          <w:color w:val="111111"/>
          <w:sz w:val="28"/>
          <w:sz w:val="28"/>
          <w:szCs w:val="28"/>
          <w:rtl w:val="true"/>
          <w:lang w:bidi="ar-SA"/>
        </w:rPr>
        <w:t>محكمة غير منسوخة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وقيل إنها منسوخة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نِصْفُ مَا تَرَكَ أَزْوَاجُكُمْ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وهي تدل على نفي زوجية المتمتع بها؛ لأنها لا ترث ولا تورّث والمفروض أن الآية اعتبرت كل زوجة ترث، وهذا لا يلتئم إلّا مع رفع الزوجية عنها، وهو معنى النسخ، والاستدلال بذلك غريب فأيّ تلازم بين الزوجة والميراث، حتى يلزم من ارتفاع أحدهما ارتفاع الآخر، فالكافرة زوجة ولا ترث زوجها المسلم، والقاتلة لزوجها زوجة وهي لا ترثه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الحكم الوارد في الآية عام وهو قابل للتخصيص، فكما أمكن تخصيصه بذينيك الحكمين أمكن ذلك بزواج المتعة أيضاً، فتكون الآية بعد الجمع بينهما وبين ما دلّ على التخصيص هكذا ولكم نصف ما ترك أزواجكم إلّا في المتمتع بها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إنها منسوخة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بتقريب أنها ظاهرة في الحصر بهذين الصنفين، والمتمتع بها ليست زوجة ولا ملك يمين ولكنّ هذا التقريب لا يلتئم مع دعوى من أفتى بحليتها؛ لاعتقادهم بأن هذا 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مشمول لنفس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أن القول بنسخها بهذه الآيات وأمثالها غير جار على المتعارف في أصول الجمع بين الأدلة لدى الاصوليين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آخرين قالوا إن ناسخها هو السنّة ، واضطربت كلماتهم في ذلك، سواء في تعيين الزمان والمكان أم غيرهما من ملابسات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اعتمدوا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اعتمدوا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الحديث السابق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امرؤ تائه، نهى رسول الله صلى الله عليه و آله وسلم عن المتعة وعن لحوم الحمر الأهلية زمن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الذي صح عن الإمام 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الرواية مُناقَش فيها سنداً، بالإضافة إلى اشتمالها على زمن خيبر، وهو ظاهر في رجوع القيديّة إلى الطرفين، وذلك لا يلتئم مع اتفاق المسلمين على حليتها 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اعتمدوا على رواية سلمة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 آله وسلم  عام أوطاس في المتعة ثلاثاً ثم نهى عنها ، ورواية الربيع بن سبرة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وسلم  قائماً بين الركن والباب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كنت أذنت لكم في الاستمتاع من النساء، وإن الله قد حرم ذلك إلى يوم القيامة، فمن كان عنده منهنّ شيء فليخل سبيله، ولا تأخذوا مما آتيتموهن شيئاً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وما أدري أين كان عن هذه التحريمات جمهور الصحابة لترد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الحكم عادة مما يتواتر وبخاصة بناءً على رواية ابن سبرة من أنه  صلى الله عليه و آله وسلم وقف خطيباً في الناس، ثم أين كان عنها الإمام وابن عباس وجابر وعشرات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حصار ذلك الموقف عادة، بل أين كان عنها مناوئو أهل البيت عليهم السلام في في عصرهم؛ ليحتجّوا بها على صاحبنا وغيره ممن تبنّى الدعوى إلى تحليلها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التحريمات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عن 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كونها أخبار آحاد،وهي لا تصلح لنسخ ما ثبت حكمه في الكتاب، وواضح أن الكتاب لا ينسخ بأخبار الآحاد، كما هو مبنى المحققين من علماء الأصول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 ناسخها ثبوت الإجماع على تحريمها، وما أدري متى حصل هذا الإجماع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عرفه مدّعيه؟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موقعه مع مخالفة جماعة من الصحابة، وأئمة وعلماء أهل البيت عليهم السلام وبعض العلماء من التابعين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كابن جريج فقيه مكة وتلاميذ ابن عباس وسائر فقهاء مكة، حتى قال الأوزاعي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من قول أهل الحجاز خمس، منها المتعة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هذا مع أن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تخرجه عن كونه إجماعاً منقولاً وحكمه حكم خبر الواحد، لا يوجب قطعاً ولا يصلح لنسخ ما جاء في الكتاب، والمحصل منه وهو الذي يوجب القطع بالانتهاء من طريقه إلى رأي المعصوم، أو أيّ سبب من الأسباب التي توجب قطعاً بالحجية،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تحصيله لكثرة العلماء وتشعبهم واندثار آثار الكثير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 قطعيّة على غير محصله، تما لا يتوجب سريان حكم النسخ بالنسبة للآخرين من العلماء المعاصرين لمدعيه، فضلاً عن غيرهم ممن لم يدع في زمانهم أي إجماع كابن عباس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تصرّح به صحاح الأحاديث أن التحريم وبخاصة ما ورد منها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يهمنا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مستنداً إلى الخليفة عمر بن الخطاب، وفي بعض الروايات إليه وإلى أبي بكر، وكلمة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قربنا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على الرواية؛ لثبوت التحريم عن عمر في أثناء خلافته، وقد عرفنا موقف صاحبنا من الرأي بقول مطلق، فضلاً عما إذا كان في قبالة نص صريح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نراه قد أنكر أشدّ الإنكار على من خاصمه في هذه المسألة مستدلاً بنهي عمر عنها، قال عروة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تتقي ترخص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يا عريّة،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وعمر فلم يفعلا،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أراكم </w:t>
      </w:r>
    </w:p>
    <w:p>
      <w:pPr>
        <w:pStyle w:val="BookText"/>
        <w:rPr/>
      </w:pPr>
      <w:r>
        <w:rPr>
          <w:rFonts w:ascii="Amiri" w:hAnsi="Amiri" w:eastAsia="Amiri" w:cs="Amiri"/>
          <w:color w:val="111111"/>
          <w:sz w:val="28"/>
          <w:sz w:val="28"/>
          <w:szCs w:val="28"/>
          <w:rtl w:val="true"/>
          <w:lang w:bidi="ar-SA"/>
        </w:rPr>
        <w:t>منتهين حتى يعذبكم الله، أحدّثكم عن رسول الله وتحدّثوننا عن أبي بكر وعمر</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بذلك إلى قصة تمتع أسماء بنت أبي بكر من أبيه الزبير، وقد مرّ ذكرها مفصلاً في ملاحاة صاحبنا مع ابن الزبير في موضعه من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ما تأصل بينهم وبين ابن عباس وأهل البيت عليهم السلام من رواسب الحقد والعداء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تبنوا فتوى الخليفة كردّ فعل لإصرارهم في التمسك فيها بالنصوص الواردة، وعدم إبطالها بتحريم الخليفة فكان ابن الزبير ينهى عنها، وكان ابن عباس يأمر بها، وكانت موضع جدل بين الطرفين ربّما تعدى حدوده التي تقتضها آداب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حدثوا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الزبير قام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أعمى الله قلوبهم كما أعمى أبصارهم، يفتون بالمتعة يعرّض برجل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لجلف جاف، فلعمري لقد كانت المتعة تفعل على عهد إمام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 بنفسك فوالله لئن فعلتها لأرجمنك بأحجارك</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 وقال النووي في شرح 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يعرض برجل يعني يعرّض بابن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هذا الجدل قد أثار التشكيك في بعض من استمع إليه، فأحبّ معرفة واقع القصة فذهب إلى الصحابي الجليل جابر بن عبد الله يستوضحه كأبي نصرة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مع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الزبير ينهي عن المتعة، وإن ابن عباس يأمر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تمتعنا مع رسول الله صلى الله عليه و آله وسلم ومع أبي بكر ،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هذا الرسول، وإنّ القرآن هذا القرآن وإنّهما كانتا متعتان على عهد رسول الله </w:t>
      </w:r>
      <w:bookmarkStart w:id="149" w:name="pg15232_165808"/>
    </w:p>
    <w:p>
      <w:pPr>
        <w:pStyle w:val="BookText"/>
        <w:rPr/>
      </w:pPr>
      <w:bookmarkEnd w:id="149"/>
      <w:r>
        <w:rPr>
          <w:rFonts w:ascii="Amiri" w:hAnsi="Amiri" w:eastAsia="Amiri" w:cs="Amiri"/>
          <w:color w:val="111111"/>
          <w:sz w:val="28"/>
          <w:sz w:val="28"/>
          <w:szCs w:val="28"/>
          <w:rtl w:val="true"/>
          <w:lang w:bidi="ar-SA"/>
        </w:rPr>
        <w:t>وأنا أنهى عنهما وأعاقب عليهما، إحداهما متعة النساء، ولا أقدر على رجل تزوّج امرأة إلى أجل إلّا غيبته بالحجارة، والأخرى متعة الحج</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وما أكثر ما ورد عنه من الروايات في هذا المضمون، وقد أعرضنا عن استقصائها لعدم الحاجة إليه، وهي معروضة في كتب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ما انتهينا إليه أن فتوى ابن عباس هذه كانت وفق مبانيه من التعبد بالنصوص، وعدم تجويزه الاجتهاد في مقابلها، ثمّ وفق فتاوى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رأسهم أستاذه الإمام علیه السلام في المسألة نفسها، وقد واقفه عليها جماعة من الصحابة والتابعين</w:t>
      </w:r>
      <w:r>
        <w:rPr>
          <w:rFonts w:eastAsia="IRNazanin" w:cs="IRNazanin"/>
          <w:color w:val="111111"/>
          <w:sz w:val="28"/>
          <w:szCs w:val="28"/>
          <w:rtl w:val="true"/>
          <w:lang w:bidi="fa-IR"/>
        </w:rPr>
        <w:t>.</w:t>
      </w:r>
    </w:p>
    <w:p>
      <w:pPr>
        <w:pStyle w:val="Heading4"/>
        <w:numPr>
          <w:ilvl w:val="3"/>
          <w:numId w:val="1"/>
        </w:numPr>
        <w:rPr/>
      </w:pPr>
      <w:bookmarkStart w:id="150" w:name="__RefHeading___Toc3547343_2142443653"/>
      <w:bookmarkStart w:id="151" w:name="_Toc51"/>
      <w:bookmarkEnd w:id="150"/>
      <w:r>
        <w:rPr>
          <w:rtl w:val="true"/>
        </w:rPr>
        <w:t>الطلاق الثلاث</w:t>
      </w:r>
      <w:bookmarkEnd w:id="1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المباني التي عرضناها تجيء فتواه في الطلاق الثلاث في مجلس واحد وبلفظ واحد، باعتبارها واحدة، خلافاً لاجتهاد عمر حيث اعتبرها ثلاثاً، وربما اعتمد في ذلك 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في لزوم التعدّد في البينونة، وعدم الاكتفاء بلفظ الثلاث لجعلها ثلاثاً واقعاً، بالإضافة إلى ما حدّث به عن النبي صلی الله علیه و آله وسلم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رُكانة طلق أمرأته ثلاثاً في مجلس عليه والله واحد، فحزن عليها حزناً شديداً، فسأله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ثلاثاً في مجلس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فإنّما تلك واحدة، فأرجعها إن شئت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وقال أبو الصهباء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 أنها كانت الثلاث تُجعل واحدة على عهد النبي صلی الله علیه و آله وسلم  و أبي بكر وثلاث من إمارة عمر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وقد حدثنا ابن عباس عن وجهة نظر الخليفة في هذا التشريع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زمن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كان لكم في الطلاق أناة وأنه من تعجل أناة الله في الطلاق ألزمناه إيّاه</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وفي رواية أخرى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الطلاق على عهد رسول الله صلی الله علیه و آله وسلم وأبي بكر وسنتين من خلافة عمر طلاق الثلاث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في أمر كانت لهم فيه أناة، فلو أمضيناه عليهم ، فأمضاه عليهم</w:t>
      </w:r>
      <w:r>
        <w:rPr>
          <w:rFonts w:eastAsia="IRNazanin" w:cs="IRNazanin"/>
          <w:color w:val="111111"/>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تتابعت عنه بهذا المضمون روايات عدة، لا يهمّ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هو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لفظ الثلاث كافياً في جعلها ثلاثاً ما لم تتعدّد الواقعة، وبهذا صرّحت فتواه فيما حدّث عكرمة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أنت طالق ثلاثاً بفم واحد فهي واحدة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وقيل إنه أفتى بالثلاث أيضاً، وهي فتوى لا نعلم مدى صحة نسبتها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تلتئم مع مبانيه،وربّما كانت خاضعة لبعض الملابسات كالتقيّة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المجرى في موافقة مذهب أستاذه الإمام علیه السلام جرى في طلاق السكران والمستكره، فاعتبرهما غير جائزين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فتواه في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السكران والمستكره ليس بجائز</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bookmarkStart w:id="152" w:name="pg15232_165810"/>
    </w:p>
    <w:p>
      <w:pPr>
        <w:pStyle w:val="BookText"/>
        <w:rPr/>
      </w:pPr>
      <w:bookmarkEnd w:id="152"/>
      <w:r>
        <w:rPr>
          <w:rFonts w:ascii="Amiri" w:hAnsi="Amiri" w:eastAsia="Amiri" w:cs="Amiri"/>
          <w:color w:val="111111"/>
          <w:sz w:val="28"/>
          <w:sz w:val="28"/>
          <w:szCs w:val="28"/>
          <w:rtl w:val="true"/>
          <w:lang w:bidi="ar-SA"/>
        </w:rPr>
        <w:t>على المكره ولا المضطهد طلاق</w:t>
      </w:r>
      <w:r>
        <w:rPr>
          <w:rFonts w:eastAsia="Amiri" w:cs="Amiri" w:ascii="Amiri" w:hAnsi="Amiri"/>
          <w:color w:val="111111"/>
          <w:sz w:val="28"/>
          <w:szCs w:val="28"/>
          <w:rtl w:val="true"/>
          <w:lang w:bidi="ar-SA"/>
        </w:rPr>
        <w:t>».</w:t>
      </w:r>
      <w:r>
        <w:rPr>
          <w:rStyle w:val="FootnoteAnchor"/>
          <w:rtl w:val="true"/>
        </w:rPr>
        <w:footnoteReference w:id="420"/>
      </w:r>
    </w:p>
    <w:p>
      <w:pPr>
        <w:pStyle w:val="Heading4"/>
        <w:numPr>
          <w:ilvl w:val="3"/>
          <w:numId w:val="1"/>
        </w:numPr>
        <w:rPr/>
      </w:pPr>
      <w:bookmarkStart w:id="153" w:name="__RefHeading___Toc3547345_2142443653"/>
      <w:bookmarkStart w:id="154" w:name="_Toc52"/>
      <w:bookmarkEnd w:id="153"/>
      <w:r>
        <w:rPr>
          <w:rtl w:val="true"/>
        </w:rPr>
        <w:t>الفرائض</w:t>
      </w:r>
      <w:bookmarkEnd w:id="154"/>
    </w:p>
    <w:p>
      <w:pPr>
        <w:pStyle w:val="BookText"/>
        <w:rPr/>
      </w:pPr>
      <w:r>
        <w:rPr>
          <w:rFonts w:ascii="Amiri" w:hAnsi="Amiri" w:eastAsia="Amiri" w:cs="Amiri"/>
          <w:color w:val="111111"/>
          <w:sz w:val="28"/>
          <w:sz w:val="28"/>
          <w:szCs w:val="28"/>
          <w:rtl w:val="true"/>
          <w:lang w:bidi="ar-SA"/>
        </w:rPr>
        <w:t>وكان يختلف أيضاً مع الخليفة عمر في قسم من فتاواه التي لا تلتئم مع ما ورد في مواضعها من نصوص شرعيّة، ومنها فتوى الخليفة فيمن ترك أختاً وبنتاً حيث جعل لكل منهما النصف،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عباس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توفي وترك ابنته وأخته لأبيه وأمه، فقال ابن عباس لابنته النصف وليس لأخته شيء، فما بقي فهو لعصبة،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قضى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للأخت النصف وللبنت النصف،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أعلم أم الله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 لَيْسَ لَهُ وَلَدٌ وَلَهُ أُخْتٌ فَلَهَا نِصْفُ مَا تَرَكَ</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فقلتم أنتم لها النصف وإن كان له ولد</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الفتوى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ضاق بمن كان يخالفه في الفريضة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تدلّ على مدى وثوقه من سلامة فتاواه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وددت أني وهؤلاء الذين يخالفونني في الفريضة نجتمع فنضع أيدينا على الركن ثم نبتهل فنجعل لعنة الله على الكاذبين، ما حكم الله بما قالوا</w:t>
      </w:r>
      <w:r>
        <w:rPr>
          <w:rFonts w:eastAsia="Amiri" w:cs="Amiri" w:ascii="Amiri" w:hAnsi="Amiri"/>
          <w:color w:val="111111"/>
          <w:sz w:val="28"/>
          <w:szCs w:val="28"/>
          <w:rtl w:val="true"/>
          <w:lang w:bidi="ar-SA"/>
        </w:rPr>
        <w:t>».</w:t>
      </w:r>
      <w:r>
        <w:rPr>
          <w:rStyle w:val="FootnoteAnchor"/>
          <w:rtl w:val="true"/>
        </w:rPr>
        <w:footnoteReference w:id="424"/>
      </w:r>
    </w:p>
    <w:p>
      <w:pPr>
        <w:pStyle w:val="Heading4"/>
        <w:numPr>
          <w:ilvl w:val="3"/>
          <w:numId w:val="1"/>
        </w:numPr>
        <w:rPr/>
      </w:pPr>
      <w:bookmarkStart w:id="155" w:name="__RefHeading___Toc3547347_2142443653"/>
      <w:bookmarkStart w:id="156" w:name="_Toc53"/>
      <w:bookmarkEnd w:id="155"/>
      <w:r>
        <w:rPr>
          <w:rtl w:val="true"/>
        </w:rPr>
        <w:t>العول</w:t>
      </w:r>
      <w:bookmarkEnd w:id="1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أيضاً مع الخليفة عمر في قضية العول، وفقاً لمبانيه الخاصة، وقد حكى </w:t>
      </w:r>
    </w:p>
    <w:p>
      <w:pPr>
        <w:pStyle w:val="BookText"/>
        <w:rPr/>
      </w:pPr>
      <w:r>
        <w:rPr>
          <w:rFonts w:ascii="Amiri" w:hAnsi="Amiri" w:eastAsia="Amiri" w:cs="Amiri"/>
          <w:color w:val="111111"/>
          <w:sz w:val="28"/>
          <w:sz w:val="28"/>
          <w:szCs w:val="28"/>
          <w:rtl w:val="true"/>
          <w:lang w:bidi="ar-SA"/>
        </w:rPr>
        <w:t xml:space="preserve">لنا ابن عباس قصتها في إحدى رواياته حين سأله زفر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من أول من أعال الفرائض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أعال الفرائض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تدافعت عليه وركب بعضها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كيف أصنع بكم، ما أدري أيكم قدّم الله ولا أيكم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هذه اللاأدرية كان من المنتظر أن يسأل من يعلم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عوّدنا في كثير من المواضع التي سبق ذكر ما يرتبط بصاحبنا منها – ولكنه لم يفعل وآثر الاجتهاد يقول في تتمة تلك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في هذا المال شيئاً أحسن من أن أقسمه عليكم بالحصص</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وفي رواية عبيد الله الفتيا مع رأي ابن عباس فيها مفصلاً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وزفر بن أوس بن الحدثان على ابن عباس بعدما ذهب بصره، فتذاكرنا فرائض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الذي أحصى رمل عالج عدداً، لم يحص في مال نصفاً ونصفاً وثلثاً، إذا ذهب نصف ونصف فأين موضع الثلث؟ فقال له زفر يا ابن عباس 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تدافعت عليه، وركب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كيف أصنع بكم والله ما أدري أيكم قدّم الله، ولا أيكم أخّر،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بن عتبة حديث مطوّل عن جل ملابسات هذه وما أجد في هذا المال شيئاً أحسن من أن أقسمه عليكم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قدّم من قدّم الله وأخر من أخر الله ما عالت فريضة،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وأيهم قدّم وأيهم 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لا تزول إلا إلى فريضة، فتلك التي قدّم الله، وتلك فريضة الزوج له نصف وإن زال فإلى الربع لا ينقص منه، منه، والمرأة </w:t>
      </w:r>
      <w:bookmarkStart w:id="157" w:name="pg15232_165812"/>
    </w:p>
    <w:p>
      <w:pPr>
        <w:pStyle w:val="BookText"/>
        <w:rPr/>
      </w:pPr>
      <w:bookmarkEnd w:id="157"/>
      <w:r>
        <w:rPr>
          <w:rFonts w:ascii="Amiri" w:hAnsi="Amiri" w:eastAsia="Amiri" w:cs="Amiri"/>
          <w:color w:val="111111"/>
          <w:sz w:val="28"/>
          <w:sz w:val="28"/>
          <w:szCs w:val="28"/>
          <w:rtl w:val="true"/>
          <w:lang w:bidi="ar-SA"/>
        </w:rPr>
        <w:t>لها الربع، فإن زالت عنه صارت إلى الثمن لا تنقص منه، والأخوات لهنّ الثلثان، والواحدة لها النصف، فإن دخل عليهن البنات كان لهن ما بقي، فهؤلاء الذين أخّر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أعطى من قدم الله فريضة كاملة، ثم قسمه ما يبقى من أخر الله بالحصص ما عالت فريضة،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أن تشير بهذا الرأي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المسائل الخلافية التي أعطى فيها رأيه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كانت مدرسته الفقهيّة ذات طابع يلتقي في مخططه مع فقه أستاذه الإمام علیه السلاموهو مصدر أئمة أهل البيت علیهم السلام وعلمائهم في فتاواهم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حدود تتبعي لم أجد فتوى تصح نسبتها إليه وهي مخالفة صراحة لما صح عن أئمة أهل البيت عليهم السلام ، وقد طبعت هذه الفتاوى مدرسة الحجاز الفقهيّة مدة من الزمن يوم استأثر تلامذته بالمرجعية فيها، وربّما سرت مع تلامذته إلى غيرها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الطابع نجده أيضاً متمثلاً في بعض مسائله الكلامية، كالجبر والرجعة، كما سيأتي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547349_2142443653"/>
      <w:bookmarkStart w:id="159" w:name="_Toc54"/>
      <w:bookmarkEnd w:id="158"/>
      <w:r>
        <w:rPr>
          <w:rtl w:val="true"/>
        </w:rPr>
        <w:t>مسألة الجبر</w:t>
      </w:r>
      <w:bookmarkEnd w:id="159"/>
    </w:p>
    <w:p>
      <w:pPr>
        <w:pStyle w:val="BookText"/>
        <w:rPr/>
      </w:pPr>
      <w:r>
        <w:rPr>
          <w:rFonts w:ascii="Amiri" w:hAnsi="Amiri" w:eastAsia="Amiri" w:cs="Amiri"/>
          <w:color w:val="111111"/>
          <w:sz w:val="28"/>
          <w:sz w:val="28"/>
          <w:szCs w:val="28"/>
          <w:rtl w:val="true"/>
          <w:lang w:bidi="ar-SA"/>
        </w:rPr>
        <w:t>ويبدو أن فكرة الجبر انتشرت أول ما انتشرت في بلاد الشام، وفي أوائل الحكم الأموي، وقد تكون لها جذور سياسيّة اقتضت خلقها أو تبنيها وتغذيتها على الأقل، إيهاماً للرأي العام بأن ما يُشاهدانه من تدهور الأوضاع وتردّيها، والتلاعب بمقدراتهم من قبل الساسة، إنّما هو ضريبة الله عليهم، وقد ارتأتها لهم مشيئته، ولا رادّ لمشيئته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وضعوا لذلك أحاديث تؤكد من هذه الجهة، كالحديث الموضوع على لسان الحسن البصري من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الولاة، فإنهم إن أحسنوا </w:t>
      </w:r>
    </w:p>
    <w:p>
      <w:pPr>
        <w:pStyle w:val="BookText"/>
        <w:rPr/>
      </w:pPr>
      <w:r>
        <w:rPr>
          <w:rFonts w:ascii="Amiri" w:hAnsi="Amiri" w:eastAsia="Amiri" w:cs="Amiri"/>
          <w:color w:val="111111"/>
          <w:sz w:val="28"/>
          <w:sz w:val="28"/>
          <w:szCs w:val="28"/>
          <w:rtl w:val="true"/>
          <w:lang w:bidi="ar-SA"/>
        </w:rPr>
        <w:t>كان لهم الأجر وعليكم الشكر ، وإن أساؤوا فعليهم الوزر وعليكم الصبر، وإنّما هم بهم ممن يشاء، فلا تستقبلوا نقمة الله بالحميّة والغضب، واستقبلوها نقمة ينتقم الله بهم بالاستكانة والتضرع</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فإذا كان وجود هؤلاء من الحكام نقمة، فلا يسوغ أن تقابل بالحمية والغضب، بل تقابل بالاستكانة والتضرع والخضوع، وأي فائدة من الحمية والغضب؟ وهل يجدي ذلك في صدّها وهي منصبة من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لا تقابل ولا تردّ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 ابن عباس هذه الجوانب جميعاً، حين كتب إلى مجبّرة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أتأمرون الناس بالتقوى وبكم ضلّ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وتنهون الناس عن المعاصي وبكم ظهر العاصون؟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أبناء سلف المقاتلين وأعوان الظالمين وخزّان مساجد الفاسقين وعمار سلف الشياطين، هل منكم إلّا مفتر على الله، يحمل إجرامه عليه وينسبها علانية إليه؟ وهل منكم إلّا من السيف قلادته؟ والزور على الله شهادته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هذا تواليتم أم عليه تماليتم حظكم منه الأوفر، ونصيبكم منه الأكبر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عمدتم إلى موالاة من لم يدع الله مالاً إلّا أخذه، ولا مناراً إلا هدمه، ولا مالاً ليتيم إلّا سرقه أو خانه، فأوجبتم لأخبث خلق الله أعظم حق الله، وتخاذلتم أهل الحق حتى ذلّوا وقلّوا، وأعنتم أهل الباطل حتى عزّوا وكثروا ، فأنيبوا إلى الله وتوبوا تاب الله على من تاب وقبل من أناب</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فهو هنا يحمّل هؤلاء مسؤولية تردي الأوضاع الفاسدة، ويتهمهم بالممالات مع الظالمين على حساب شعوبهم، مبررين ذلك بفكرة الجبر، فهو ينقمها عليهم، وينكرها بهذا الأسلوب من الإنكار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منكم إلا مفترٍ على الله يحمل </w:t>
      </w:r>
      <w:bookmarkStart w:id="160" w:name="pg15232_165814"/>
    </w:p>
    <w:p>
      <w:pPr>
        <w:pStyle w:val="BookText"/>
        <w:rPr/>
      </w:pPr>
      <w:bookmarkEnd w:id="160"/>
      <w:r>
        <w:rPr>
          <w:rFonts w:ascii="Amiri" w:hAnsi="Amiri" w:eastAsia="Amiri" w:cs="Amiri"/>
          <w:color w:val="111111"/>
          <w:sz w:val="28"/>
          <w:sz w:val="28"/>
          <w:szCs w:val="28"/>
          <w:rtl w:val="true"/>
          <w:lang w:bidi="ar-SA"/>
        </w:rPr>
        <w:t>إجرامه عليه وينسبها علانية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ينسبون ما يعملونه أو يعمله الحاكمون من الجرائم إلى إرادة الله ومشيئته، وكأنهم لا يد لهم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يعدّ من روائع الكتب فكرة وأسلوباً، ونقمة على أمثال هؤلاء من الانتهازيين الذي كانوا أداة بيد الساسة والمتحكّمين ، يوجهونها كيف يشاؤون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مبدأ استاذه الإمام علیه السلام هو مبدأ حرية الإرادة فيما تناله يد الاختيار، بل هو مبدأ الإسلام في جملة نصوصه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أوهمت خلافه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بدراستها ودراسة ملابساتها، ومحاولة فهمها في ضوء ما يقرره الإمام علیه السلام وتلامذة مدرسته، يتضح واقعها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علمنا ذلك، وعلمنا عمق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ادركنا سرّ إنكاره على هؤلاء الجبريين الذين اتخذوا من انفسهم أداة لمعونة الظالمين والسير في ركابهم، والعمل على تخدير الشعوب بمثل هذه التبريرات؛ لعلمه بما يريدون أو يراد لهم من وراء هذه الدعوة ونظائرها ؛ لذلك عمد إلى فضيحتهم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كلاميّة أخرى طرقها صاحبنا وظهر فيها على غير عادته من الخروج على مدرسة أهل البيت عليهم السلام وهي مسألة الرجعة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547351_2142443653"/>
      <w:bookmarkStart w:id="162" w:name="_Toc55"/>
      <w:bookmarkEnd w:id="161"/>
      <w:r>
        <w:rPr>
          <w:rtl w:val="true"/>
        </w:rPr>
        <w:t>مسألة الرجعة</w:t>
      </w:r>
      <w:bookmarkEnd w:id="162"/>
    </w:p>
    <w:p>
      <w:pPr>
        <w:pStyle w:val="BookText"/>
        <w:rPr/>
      </w:pPr>
      <w:r>
        <w:rPr>
          <w:rFonts w:ascii="IRNazanin" w:hAnsi="IRNazanin" w:eastAsia="IRNazanin"/>
          <w:color w:val="111111"/>
          <w:sz w:val="28"/>
          <w:sz w:val="28"/>
          <w:szCs w:val="28"/>
          <w:rtl w:val="true"/>
          <w:lang w:bidi="fa-IR"/>
        </w:rPr>
        <w:t>وفحوى هذه المسألة أن أهل البيت علیهم السلام لا بدّ أن يرجعوا، ويرجع ثلة من المؤمنين معهم إلى دار الدنيا؛ لينشروا العدل في أجوائها، ويستأصلوا جميع ما فسد من الأوضاع في ظلّ مبدأ إسلامي موحّد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فيها عن الأئمة عليهم السلام عن النبي صلی الله علیه و آله وسلم روايات عدّة، وأنتشر القول بها بين شيعتهم وأتباعهم، ولكنه لم يصل إلى درجة اعتباره ضرورياً من ضروريات الدين </w:t>
      </w:r>
    </w:p>
    <w:p>
      <w:pPr>
        <w:pStyle w:val="BookText"/>
        <w:rPr/>
      </w:pPr>
      <w:r>
        <w:rPr>
          <w:rFonts w:ascii="IRNazanin" w:hAnsi="IRNazanin" w:eastAsia="IRNazanin"/>
          <w:color w:val="111111"/>
          <w:sz w:val="28"/>
          <w:sz w:val="28"/>
          <w:szCs w:val="28"/>
          <w:rtl w:val="true"/>
          <w:lang w:bidi="fa-IR"/>
        </w:rPr>
        <w:t xml:space="preserve">بحيث يعتبر الخارج عليه خارجاً على مبادئهم، وهي كسائر الأحاديث الواردة عن النبي صلی الله علیه و آله وسلم إن صحت وسلمت مداليلها من الاستحالة لزم الإيمان والتعبد بها، أسوة بما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كالمعاد مثلاً، مما لا يأباه العقل، وصحة وروده كافٍ في لزوم التعبد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الرجعة مع صحة الروايات أهون من أمر المعاد، وهو من ضروريات الإسلام، أما إذا لم تصح رواياتها فلا ملزم للإيمان بها، وقد صرّح بإنكارها بعض مجتهدي الشيعة علانية، ولم ينكرها عليه أحد في محيطه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ورد عن ابن عباس إنكارها بتاتاً في رواية مأثورة عن عبد الله بن شداد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لأخبرنك بأعجب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اليوم علي الباب رجل، لم وضعت ثيابي للظهيرة،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في مثل هذا الحين إلّا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يبعث ذلك الرجل؟ قلت أي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يبعث حتى يبعث الله من في القبور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لتقول بقول هذه الجهلة،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لعنه الله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وهذه الرواية إن صحت عنه ولم تكن هناك ملابسات تقتضي صدورها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على خلاف عقيدته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تصلح لمعارضة ما أُثر عن الرجعة من أحاديث، وإلّا فمن البعيد جداً أن تصدر أخبار الرجعة عن النبي صلی الله علیه و آله وسلم أو الإمام علیه السلام ، وينتشر أمرها، ثم لا ا يعلم بها صاحبنا، وما يدرينا لعلّه كان يعتبرها موضوعة على الإمام علیه السلام من قبل أمثال هذا الذي جاءه في ذلك الوقت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تلحقها بالأخبار النافية، ويجري عليها أحكام </w:t>
      </w:r>
      <w:bookmarkStart w:id="163" w:name="pg15232_165816"/>
    </w:p>
    <w:p>
      <w:pPr>
        <w:pStyle w:val="BookText"/>
        <w:rPr/>
      </w:pPr>
      <w:bookmarkEnd w:id="163"/>
      <w:r>
        <w:rPr>
          <w:rFonts w:ascii="Amiri" w:hAnsi="Amiri" w:eastAsia="Amiri" w:cs="Amiri"/>
          <w:color w:val="111111"/>
          <w:sz w:val="28"/>
          <w:sz w:val="28"/>
          <w:szCs w:val="28"/>
          <w:rtl w:val="true"/>
          <w:lang w:bidi="ar-SA"/>
        </w:rPr>
        <w:t>التعارض مع ما أثبتها من الروايات، والتقديم لأرجحها سنداً، ما دام لا يمنع العقل من وقوعها خارجاً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547353_2142443653"/>
      <w:bookmarkStart w:id="165" w:name="_Toc56"/>
      <w:bookmarkEnd w:id="164"/>
      <w:r>
        <w:rPr/>
        <w:t>4</w:t>
      </w:r>
      <w:r>
        <w:rPr>
          <w:rtl w:val="true"/>
        </w:rPr>
        <w:t xml:space="preserve"> . </w:t>
      </w:r>
      <w:r>
        <w:rPr>
          <w:rtl w:val="true"/>
        </w:rPr>
        <w:t>تدوين العلم</w:t>
      </w:r>
      <w:bookmarkEnd w:id="165"/>
    </w:p>
    <w:p>
      <w:pPr>
        <w:pStyle w:val="BookText"/>
        <w:rPr/>
      </w:pPr>
      <w:r>
        <w:rPr>
          <w:rFonts w:ascii="IRNazanin" w:hAnsi="IRNazanin" w:eastAsia="IRNazanin"/>
          <w:color w:val="111111"/>
          <w:sz w:val="28"/>
          <w:sz w:val="28"/>
          <w:szCs w:val="28"/>
          <w:rtl w:val="true"/>
          <w:lang w:bidi="fa-IR"/>
        </w:rPr>
        <w:t>وقبل أن ننهي الحدیث عن علمه نود أن نعرض إلى بعض الملابسات التي ترتبط به وأولها رأيه في تدوين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نسبوه إليه أنه كان في جملة المعارضين لتدوينه وتخليده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مصطفى عبد</w:t>
      </w:r>
    </w:p>
    <w:p>
      <w:pPr>
        <w:pStyle w:val="BookText"/>
        <w:rPr/>
      </w:pP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كثير من الصحابة والتابعين يكره كتابة العلم وتخليده في الصحف، كعمر، وابن عباس والشعبي، والنخعي، وقتادة، ومن ذهب مذهبهم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وقد اعتمد في ذلك على رواية ابن عبد البر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قوله في هذا الباب فإنّما ذهب في ذلك مذهب العرب لأنّهم كانوا مطبوعين على الحفظ مخصوصين بذلك، والذين كرهوا الكتابة كابن عباس والشعبي، وابن شهاب، والنخعي؛ وقتادة، ومن ذهب مذهبهم وجبل جبلّتهم كانوا قد طبعوا على الحفظ</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والمأثور عن صاحبنا يتنافى مع هذه الدعوى، وإن كان بهذه المنزلة من الحافظة، إلّا أنه لم يستغن عن التدوين، وقد سبق حديث كتابته عن أبي رافع شيئاً من فعل رسول الله صلی الله علیه و آله وسلم ، وأمره لبعض تلاميذه أن يكتب عنه ما كان يفسّره له من آيات القرآن، ثم الرواية القائلة بأنه ترك من الكتب ما يقدّر بحمل 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هناك مما يدلّ على عنايته بالكتابة وتدوين العلم، فأين تقع هذه الروايات من حديث صاحب التمهيد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أقرب إلى ذوق ابن عباس وذهنيته العامة كمثقف عرف بعمق التفكير </w:t>
      </w:r>
      <w:bookmarkStart w:id="166" w:name="pg15232_165817"/>
    </w:p>
    <w:p>
      <w:pPr>
        <w:pStyle w:val="BookText"/>
        <w:rPr/>
      </w:pPr>
      <w:bookmarkEnd w:id="166"/>
      <w:r>
        <w:rPr>
          <w:rFonts w:ascii="Amiri" w:hAnsi="Amiri" w:eastAsia="Amiri" w:cs="Amiri"/>
          <w:color w:val="111111"/>
          <w:sz w:val="28"/>
          <w:sz w:val="28"/>
          <w:szCs w:val="28"/>
          <w:rtl w:val="true"/>
          <w:lang w:bidi="ar-SA"/>
        </w:rPr>
        <w:t>وأصالة الرأي ومثله لا يمكن أن تخفى عليه فوائد التدوين بل لا يمكن أن يدع ما لديه من التجارب الواسعة عرضه للضياع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التدوين إليه أو الأمر بتقييد ما يصدر عنه من معارف هو الذي تقتضيه طبيعة الأحوال بالنسبة إلى مثله، فقبولها أولى من قبول معارضتها من الأحاديث</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547355_2142443653"/>
      <w:bookmarkStart w:id="168" w:name="_Toc57"/>
      <w:bookmarkEnd w:id="167"/>
      <w:r>
        <w:rPr>
          <w:rtl w:val="true"/>
        </w:rPr>
        <w:t>رأيه في بعض المسائل الغريبة</w:t>
      </w:r>
      <w:bookmarkEnd w:id="168"/>
    </w:p>
    <w:p>
      <w:pPr>
        <w:pStyle w:val="BookText"/>
        <w:rPr/>
      </w:pPr>
      <w:r>
        <w:rPr>
          <w:rFonts w:ascii="Amiri" w:hAnsi="Amiri" w:eastAsia="Amiri" w:cs="Amiri"/>
          <w:color w:val="111111"/>
          <w:sz w:val="28"/>
          <w:sz w:val="28"/>
          <w:szCs w:val="28"/>
          <w:rtl w:val="true"/>
          <w:lang w:bidi="ar-SA"/>
        </w:rPr>
        <w:t>والذي يبدو أن شهرة صاحبنا العلمية، وحضور بديهيته، وتوفّر جملة من العوامل للوضع عليه، سوّغت لبعض الوضاع أن ينسبوا إليه بعض الأجوبة على جملة من المسائل طلب إليه أجوبتها، وهي أقرب إلى الأحاجي منها إلى الأسئلة المتعارفة،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الروم كتب إلى معاوية يسأله عن أحبّ الكلام إلى الله عزّ وجلّ، وأكرم العباد إلى الله عزّ وجلّ، ومَن أكرم الإماء على الله عزّ وجلّ، وعن أربعة فيهم الروح فلم يركضوا في رحم، وعن قبر سار بصاحبه، وعن مكان في الأرض لم تطلع فيه الشمس إلا مرة واحدة، وعن قوس قزح ما هو، وعن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ملك الروم كان له من شغله في أمور السياسة والإدارة ما يغنيه عن جميع أمثال هذه الأحاجي، وإرسالها من دولة إلى دولة؛ التماساً للجواب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معاوية فسأل ابن عباس عنهن، فكتب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أحبّ الكلام إلى الله فسبحان الله والحمد لله ولا إله إلا الله والله أكبر ولا حول ولا قوة إلا بالله، وأكرم العباد على الله آدم خلقه بيده ونفخ فيه من روحه وأسجد له ملائكته، وعلّمه أسماء كلّ شيء، وأكرم الإماء على الله مريم بنت عمر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الأربعة الذين لم يركضوا في رحم فآدم وحواء، وعصا موسى، وكبش إبراهيم الذي فدى به إسماعيل، وفي رواية وناقة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القبر الذي سار بصاحبه فهو حوت يونس، وأما المكان الذي لم تصبه الشمس إلا مرة واحدة فهو البحر لما انفلق لموسى حتى جاز بنو إسرائيل فيه، وأما قوس قزح فأمان لأهل الأرض من الغرق، والمجرّة باب السماء، وفي رواية الذي ينشق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من أين عرف صاحبنا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اهتدى إلى هذه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بعضها موجود في القرآن، وكأنّ السؤال وضع بعد أن عُثر عليه، ولكن بعضه الآخر كالمجرّة وقوس قزح وأمثالها لم ترد إجابتها في القرآن، فكيف اهتدى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أراد له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أعجب بهذه الأجوبة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عند معاوية ولا من قوله، وإنما هي من عند أهل النبي</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ما أدري إذا كانت هذه عقيدته في آل النبي، وكان هذا اعترافاً بنبوته، فلم لم يعلن إسلامه أو يظهره لخاصته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 ما ورد عنه من إرساله قنينة فارغة إلى معاوية ليملأها له من بزر كل شيء، وعجز معاوية عن ملئها وأرسلها إلى صاحبنا فملأها له ماءً</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مشيراً إلى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 لا يهم التوسع في عرضه، وهو طبيعي بالنسبة إلى من تؤثر عنه الإحاطة بكثير من المعارف والعلوم، وما كان ابن عباس بدعاً من العلماء ليسلم من ذلك كله، مع توفر الدواعي للوضع عليه، ومنها سر إحاطته بهذه العلوم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في أحاديثنا أن التمسنا له أكثر من تعليل وقلنا إن بعض العوامل يعود إلى </w:t>
      </w:r>
      <w:bookmarkStart w:id="169" w:name="pg15232_165819"/>
    </w:p>
    <w:p>
      <w:pPr>
        <w:pStyle w:val="BookText"/>
        <w:rPr/>
      </w:pPr>
      <w:bookmarkEnd w:id="169"/>
      <w:r>
        <w:rPr>
          <w:rFonts w:ascii="IRNazanin" w:hAnsi="IRNazanin" w:eastAsia="IRNazanin"/>
          <w:color w:val="111111"/>
          <w:sz w:val="28"/>
          <w:sz w:val="28"/>
          <w:szCs w:val="28"/>
          <w:rtl w:val="true"/>
          <w:lang w:bidi="fa-IR"/>
        </w:rPr>
        <w:t xml:space="preserve">أسس وركائز نفسيّة، وبعضها إلى طبيعة وجوده في بيئة معيّنة، وثالثة إلى علائقه ببطلبه النبي صلی الله علیه و آله وسلم والإمام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التعليل الذي يذكره لتفوّقه وإحاطته ربّما كان من أروع التعليلات وهو يشير إلى أكثر من علّة، وإن أغفل جملة منها، اقتضته إغفالها طبيعة الزمن،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لك هذا العلم؟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عقول ولسان سؤول</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وهي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وافية بالكثير من عوامل إحاطته واستيعابها، وقد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في تقييم شخصيته، وربّما كان أساسها عمر، فهو أقدم من أطلق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اللسان السؤول والقلب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روايته في موضعها من الجزء الأول من هذا الكتاب</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547357_2142443653"/>
      <w:bookmarkStart w:id="171" w:name="_Toc58"/>
      <w:bookmarkEnd w:id="170"/>
      <w:r>
        <w:rPr/>
        <w:t>5</w:t>
      </w:r>
      <w:r>
        <w:rPr>
          <w:rtl w:val="true"/>
        </w:rPr>
        <w:t xml:space="preserve"> - </w:t>
      </w:r>
      <w:r>
        <w:rPr>
          <w:rtl w:val="true"/>
        </w:rPr>
        <w:t>السيرة والتأريخ</w:t>
      </w:r>
      <w:bookmarkEnd w:id="171"/>
    </w:p>
    <w:p>
      <w:pPr>
        <w:pStyle w:val="BookText"/>
        <w:rPr/>
      </w:pPr>
      <w:r>
        <w:rPr>
          <w:rFonts w:ascii="IRNazanin" w:hAnsi="IRNazanin" w:eastAsia="IRNazanin"/>
          <w:color w:val="111111"/>
          <w:sz w:val="28"/>
          <w:sz w:val="28"/>
          <w:szCs w:val="28"/>
          <w:rtl w:val="true"/>
          <w:lang w:bidi="fa-IR"/>
        </w:rPr>
        <w:t>والحديث عن روايته عن النبي صلی الله علیه و آله وسلم يجرنا إلى التحدث عن رواياته لأخر، التي يتعلق بعضها بتأريخ ما قبل الإسلام على إطلاقه، وبعضها على أخبار العرب وأشعارهم، وثالثة بأنسابهم، ورابعة بالسيرة النبوية، وخامسة بما أعقبها وعاصره من 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أفاض في ذلك كلّه حتى أنّه يُقصد لذلك من قبل مختلف الهواة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ناس يأتون ابن عباس في الشعر والأنساب، وناس لأيام العرب ووقائعهم وناس للعلم، فما صنف إلا يقبل عليهم بما شاؤوا</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عمرو بن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مجلساً أجمع لكل خير من مجلس ابن عباس، </w:t>
      </w:r>
    </w:p>
    <w:p>
      <w:pPr>
        <w:pStyle w:val="BookText"/>
        <w:rPr/>
      </w:pPr>
      <w:r>
        <w:rPr>
          <w:rFonts w:ascii="Amiri" w:hAnsi="Amiri" w:eastAsia="Amiri" w:cs="Amiri"/>
          <w:color w:val="111111"/>
          <w:sz w:val="28"/>
          <w:sz w:val="28"/>
          <w:szCs w:val="28"/>
          <w:rtl w:val="true"/>
          <w:lang w:bidi="ar-SA"/>
        </w:rPr>
        <w:t>الحلال والحرام والعربية والأنساب</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وأمثال هاتين الروايتين كثير ، وقد سبق بعضها، وحسبك أن تعلم أن اسمه ورد في خصوص تأريخ الطبري مائتين وست وثمانين مرّة </w:t>
      </w:r>
      <w:r>
        <w:rPr>
          <w:rStyle w:val="FootnoteAnchor"/>
          <w:rtl w:val="true"/>
        </w:rPr>
        <w:footnoteReference w:id="439"/>
      </w:r>
      <w:r>
        <w:rPr>
          <w:rFonts w:ascii="Amiri" w:hAnsi="Amiri" w:eastAsia="Amiri" w:cs="Amiri"/>
          <w:color w:val="111111"/>
          <w:sz w:val="28"/>
          <w:sz w:val="28"/>
          <w:szCs w:val="28"/>
          <w:rtl w:val="true"/>
          <w:lang w:bidi="ar-SA"/>
        </w:rPr>
        <w:t>، فكيف بغيره من كتب الأدب والأنساب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 أكثر ما دخل عليه من الموضوعات ينتظم في هذا الباب لهوى القصاص فيها غالباً؛ ولأنها من البضائع التي تروج سوقها في مجالات بيع العواطف وشرائها؛ ولأن العوام يقبلون ولا يميلون في الدرجة الأولى لغير الغرائب والمناكير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والقُصّاص فإنّهم يميلون وجوه العوام إليهم، ويستدرون ما عندهم بالمناكير والغرائب والأحاديث، ومن شأن العوام ملازمة القصاص ما دام يأتي بالعجائب الخارجة عن نظر العقول</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وكأنّ هؤلاء القصّاص لم يجدوا منفذاً لقبول رواياتهم لدى العامة في غير إلقائها على هذا الحبر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الجزء الأول من تأريخ الطبري وتأريخ ابن خلدون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 يعرض لتأريخ ما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لعرض النماذج لما يدخل ضمن هذه الأبواب</w:t>
      </w:r>
      <w:r>
        <w:rPr>
          <w:rFonts w:eastAsia="Amiri" w:cs="Amiri" w:ascii="Amiri" w:hAnsi="Amiri"/>
          <w:color w:val="111111"/>
          <w:sz w:val="28"/>
          <w:szCs w:val="28"/>
          <w:rtl w:val="true"/>
          <w:lang w:bidi="ar-SA"/>
        </w:rPr>
        <w:t xml:space="preserve">. </w:t>
      </w:r>
      <w:bookmarkStart w:id="172" w:name="pg15232_165821"/>
    </w:p>
    <w:p>
      <w:pPr>
        <w:pStyle w:val="Heading4"/>
        <w:numPr>
          <w:ilvl w:val="3"/>
          <w:numId w:val="1"/>
        </w:numPr>
        <w:rPr/>
      </w:pPr>
      <w:bookmarkStart w:id="173" w:name="__RefHeading___Toc3547359_2142443653"/>
      <w:bookmarkStart w:id="174" w:name="_Toc59"/>
      <w:bookmarkEnd w:id="172"/>
      <w:bookmarkEnd w:id="173"/>
      <w:r>
        <w:rPr/>
        <w:t>6</w:t>
      </w:r>
      <w:r>
        <w:rPr>
          <w:rtl w:val="true"/>
        </w:rPr>
        <w:t xml:space="preserve"> - </w:t>
      </w:r>
      <w:r>
        <w:rPr>
          <w:rtl w:val="true"/>
        </w:rPr>
        <w:t>الأدب</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عن أدبه يثير أمامنا عدّة أبحاث لا بد أن نأتي عليها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مدى اهتمامه وعنايته بالأدب تشجيعاً ونقداً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اهتمامه بالأدب فقد كان بالغاً جداً وبخاصة ما يتعلّق منه بالشعر، بل لا يمنعه نقد يوجه إليه في ذلك، وقد مرّت الإشارة إلى حديث نافع بن الأزرق ونقده له على اهتمامه بعمر بن أبي ربيعة، وإقباله على استماع شعره، مع ما كان في شعره من مجون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وقصته كما في الأغاني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ابن عباس في المسجد الحرام، وعنده نافع بن الأزرق، وناس من الخوارج يسألونه، إذا أقبل عمر بن أبي ربيعة في ثوبين مصبوغين مورّدين أو ممصّرین، حتى دخل وجلس فاقبل عليه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فأنشده</w:t>
      </w:r>
    </w:p>
    <w:p>
      <w:pPr>
        <w:pStyle w:val="BookText"/>
        <w:rPr/>
      </w:pPr>
      <w:r>
        <w:rPr>
          <w:rFonts w:ascii="Amiri" w:hAnsi="Amiri" w:eastAsia="Amiri" w:cs="Amiri"/>
          <w:color w:val="111111"/>
          <w:sz w:val="28"/>
          <w:sz w:val="28"/>
          <w:szCs w:val="28"/>
          <w:rtl w:val="true"/>
          <w:lang w:bidi="ar-SA"/>
        </w:rPr>
        <w:t>أمن آل نُعمٍ أنت غادٍ فمبكر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حتى أتى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ابن عباس، إنّا نضرب إليك أكباد الإبل من أقاصي البلاد، نسألك عن الحلال والحرام فتتثاقل عنا، ويأتيك مترف من متر في قريش فينشدك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أما إذا الشمس عارضت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فيخزى وأما بالعشيّ فيخسر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فكيف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أما إذا الشمس عارضت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فيضحى وأما بالعشي فيخصر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قد كنت قد حفظت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وإن شئت أن أنشدك </w:t>
      </w:r>
    </w:p>
    <w:p>
      <w:pPr>
        <w:pStyle w:val="BookText"/>
        <w:rPr/>
      </w:pPr>
      <w:r>
        <w:rPr>
          <w:rFonts w:ascii="Amiri" w:hAnsi="Amiri" w:eastAsia="Amiri" w:cs="Amiri"/>
          <w:color w:val="111111"/>
          <w:sz w:val="28"/>
          <w:sz w:val="28"/>
          <w:szCs w:val="28"/>
          <w:rtl w:val="true"/>
          <w:lang w:bidi="ar-SA"/>
        </w:rPr>
        <w:t xml:space="preserve">القصيدة أنشدتك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القصيدة حتى أتى على آخرها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وقد رواها أبو الفرج عن عمر بن شبة هكذا، وفي رواية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ابن عباس أنشدها من أوّلها إلى آخرها، ثم أنشدها من آخرها إلى أولها مقلوبة، وما سمعها قط إلاّ تلك المرّة ،صفحاً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الذكاء</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وهي مبالغة في سرعة حافظته، دخلتها الصناعة فأفسدتها، والطبيعي أن يحفظ القصيدة وينشدها ، أما أن ينشدها ،مقلوبة، فهذا من العبث الذي ينزّه عنه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لامه بعض أصحابه في حفظ هذه القصيدة</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وكأنهم استكثروا عليه ذلك لمكانته العلميّة والمقامه الكبير الذي ينزّه عن سماع وحفظ مثل هذا الشعر الماجن، لكنّه فيما يبدو لم يقم لنقدهم أيّ ،وزن، بل يتتبع أحاديث هذا الشاعر 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الزبير في خبره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ابن عباس بعد ذلك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هذا المغيري شيئاً بعدنا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ويبدو أنّ عمر كان يألفه ويسرّ باستماعه، فكان يقصده لإنشاد ما يجد لديه من شعر، وربّما بدأ صاحبنا بالطلب، يقول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تشطّ غداً دار جيراننا </w:t>
      </w:r>
    </w:p>
    <w:p>
      <w:pPr>
        <w:pStyle w:val="BookText"/>
        <w:rPr/>
      </w:pPr>
      <w:r>
        <w:rPr>
          <w:rFonts w:ascii="IRNazanin" w:hAnsi="IRNazanin" w:eastAsia="IRNazanin"/>
          <w:color w:val="111111"/>
          <w:sz w:val="28"/>
          <w:sz w:val="28"/>
          <w:szCs w:val="28"/>
          <w:rtl w:val="true"/>
          <w:lang w:bidi="fa-IR"/>
        </w:rPr>
        <w:t>فسکت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وللدار بعد غدٍ أبعد</w:t>
      </w:r>
    </w:p>
    <w:p>
      <w:pPr>
        <w:pStyle w:val="BookText"/>
        <w:rPr/>
      </w:pPr>
      <w:r>
        <w:rPr>
          <w:rFonts w:ascii="Amiri" w:hAnsi="Amiri" w:eastAsia="Amiri" w:cs="Amiri"/>
          <w:color w:val="111111"/>
          <w:sz w:val="28"/>
          <w:sz w:val="28"/>
          <w:szCs w:val="28"/>
          <w:rtl w:val="true"/>
          <w:lang w:bidi="ar-SA"/>
        </w:rPr>
        <w:t>فقال له عمر كذلك قلت أصلحك الله أفسمعته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كذلك ينبغي</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وهي تقفية تدلّ على خبرة واسعة وذوق أدبيّ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أبغض ما يطرقه الشعراء من مواضيع إليه الهجاء، فقد حدثوا عن الحطيئة أنه استفتاه في ذلك، فأجابه بما يكشف عن وجهة نظره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المتنوّف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ابن عباس جالس في مسجد رسول الله صلی الله علیه و آله وسلم بعدما كف بصره، وحوله الناس من قريش، إذ أقبل أعرابي يخطر وعليه مطرف خز وجبه وعمامة خز حتى سلم على القوم، فردّوا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أفتني،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علي جناحاً أن ظلمني رجل فظلمته ، وشتمني فشتمته، وقصر بي فقصّرت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خير، ومن انتصر فلا جناح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أرأيت امرءاً أتاني فوعدني وغرّني ومنّاني، ثم أخلفني واستخف بحرمتي، أيسعني أن أهجوه؟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الهجاء؛ لأنه لا بد لك من أن تهجو غيره من عشيرته، فتظلم من لم يظلمك ، وتشتم من لم يشتمك، وتبغي على من لم يبغ عليك، والبغي مرتع وخيم، وفي العفو ما قد علمت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ينشب أن أقبل عبد الرحمن بن سيحان المحاربي حليف قريش فلما رأى الأعرابي أجلّه وأعظمه وألطف في مسألته،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الله دارك يا أبا مليكة، </w:t>
      </w:r>
      <w:bookmarkStart w:id="175" w:name="pg15232_165824"/>
    </w:p>
    <w:p>
      <w:pPr>
        <w:pStyle w:val="BookText"/>
        <w:rPr/>
      </w:pPr>
      <w:bookmarkEnd w:id="175"/>
      <w:r>
        <w:rPr>
          <w:rFonts w:ascii="IRNazanin" w:hAnsi="IRNazanin" w:eastAsia="IRNazanin"/>
          <w:color w:val="111111"/>
          <w:sz w:val="28"/>
          <w:sz w:val="28"/>
          <w:szCs w:val="28"/>
          <w:rtl w:val="true"/>
          <w:lang w:bidi="fa-IR"/>
        </w:rPr>
        <w:t>فقال ابن عباس أجرول؟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جرول، فإذا هو الحطيئة،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أي مردي قذاف وذائد عن عشيرته ومن بعارفة تؤتاها أنت يا أبا مليكة، والله لو كنت عرکت بجنبك بعض ما كرهت من أمر الزبرقان كان خيراً لك، ولقد ظلمت من قومه من لم يظلمك وشتمت من لم يشتمك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بهم يا أبا عباس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بأعلم بهم من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بجدتهم علماً وتجربة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بسعدى تجدني أعلم الناس</w:t>
      </w:r>
    </w:p>
    <w:p>
      <w:pPr>
        <w:pStyle w:val="BookText"/>
        <w:rPr/>
      </w:pPr>
      <w:r>
        <w:rPr>
          <w:rFonts w:ascii="Amiri" w:hAnsi="Amiri" w:eastAsia="Amiri" w:cs="Amiri"/>
          <w:color w:val="111111"/>
          <w:sz w:val="28"/>
          <w:sz w:val="28"/>
          <w:szCs w:val="28"/>
          <w:rtl w:val="true"/>
          <w:lang w:bidi="ar-SA"/>
        </w:rPr>
        <w:t>سعد بن زيد كثير إن عددتهم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 سعد بن زيد آل شماس</w:t>
      </w:r>
    </w:p>
    <w:p>
      <w:pPr>
        <w:pStyle w:val="BookText"/>
        <w:rPr/>
      </w:pPr>
      <w:r>
        <w:rPr>
          <w:rFonts w:ascii="Amiri" w:hAnsi="Amiri" w:eastAsia="Amiri" w:cs="Amiri"/>
          <w:color w:val="111111"/>
          <w:sz w:val="28"/>
          <w:sz w:val="28"/>
          <w:szCs w:val="28"/>
          <w:rtl w:val="true"/>
          <w:lang w:bidi="ar-SA"/>
        </w:rPr>
        <w:t>والزبرقان ذناباهم وشرهم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الذنابا أبا العباس كالراس</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لا تقول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فهذه وجهة نظره في بغضه لهذا النوع من الشعر وردعه عنه، وأية قيمة لمتعة فنيّة يتلذذ بها السامع على حساب أعراض الغير ، ثم أيّ مسوّغ لقول مثل هذا الشعر وفيه ما فيه من ظلم صريح يقع به الهجاؤون عادة، فهب أن المهجوّ كان يستحق الهجاء لظلمه للهاجي، فما باله يتجاوز بهجائه إلى أهله وعشيرته، وهم لم يسيؤوا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رأينا موقفه من ابن فسوة الشاعر الهجاء حين طلب إليه مثوبته، فلم يقابله بغير الطرد والحرمان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547361_2142443653"/>
      <w:bookmarkStart w:id="177" w:name="_Toc60"/>
      <w:bookmarkEnd w:id="176"/>
      <w:r>
        <w:rPr/>
        <w:t>1</w:t>
      </w:r>
      <w:r>
        <w:rPr>
          <w:rtl w:val="true"/>
        </w:rPr>
        <w:t xml:space="preserve"> - </w:t>
      </w:r>
      <w:r>
        <w:rPr>
          <w:rtl w:val="true"/>
        </w:rPr>
        <w:t>النقد والتقييم</w:t>
      </w:r>
      <w:bookmarkEnd w:id="177"/>
    </w:p>
    <w:p>
      <w:pPr>
        <w:pStyle w:val="BookText"/>
        <w:rPr/>
      </w:pPr>
      <w:r>
        <w:rPr>
          <w:rFonts w:ascii="Amiri" w:hAnsi="Amiri" w:eastAsia="Amiri" w:cs="Amiri"/>
          <w:color w:val="111111"/>
          <w:sz w:val="28"/>
          <w:sz w:val="28"/>
          <w:szCs w:val="28"/>
          <w:rtl w:val="true"/>
          <w:lang w:bidi="ar-SA"/>
        </w:rPr>
        <w:t xml:space="preserve">وقد استغل صاحبنا وجود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هو في ذوقه وخبرته بتقييم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أسئلة تتعلّق بالنقد والتقييم؛ ليلتمس رأيه في أشعر الشعراء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مليكة من أشعر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الماضين أم من الباقين؟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يجعل المعروف من دون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يفره ومن لا يتقي الشتم يشتم</w:t>
      </w:r>
    </w:p>
    <w:p>
      <w:pPr>
        <w:pStyle w:val="BookText"/>
        <w:rPr/>
      </w:pPr>
      <w:r>
        <w:rPr>
          <w:rFonts w:ascii="Amiri" w:hAnsi="Amiri" w:eastAsia="Amiri" w:cs="Amiri"/>
          <w:color w:val="111111"/>
          <w:sz w:val="28"/>
          <w:sz w:val="28"/>
          <w:szCs w:val="28"/>
          <w:rtl w:val="true"/>
          <w:lang w:bidi="ar-SA"/>
        </w:rPr>
        <w:t xml:space="preserve">وما بدونه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بمستبقٍ أخاً لا تلمّه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 xml:space="preserve">ولكن الضراعة أفسدتا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كما أفسدت جرولاً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عم رسول الله لولا الطمع والجشع ، لكنت أشعر الناس الماضين فأما الباقون فلا تشكّ أنّي أشعرهم، وأصر دهم سهماً إذا رميت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وفي رواية العمدة لابن رشيق أن صاحبنا أمن على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أنت يا أبا مليكة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ومن هذا التأمين ندرك أنّه كان على وفاق معه في وجهة نظره التقييميّة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هذا النقد أن مقاييس التفضيل لدى هذا الشاعر لا ترتبط بالهيكل الفني للشعر، وإن كان هذان البيتان في القمة منه، وإنّما ترتبط في الدرجة الأولى بالصدق الشعوري فهو يرى أن الضراعة والجشع والطمع كل ذلك مما يؤخر الشاعر عن الإبداع لوقوفه دون إرسال قولة الحق التي يعتقدها الشاعر فيما يطرقه من 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نظرة عمر بن الخطاب حين يسأل ابن عباس هل تروي الشاعر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حمداً يخلد الناس أخلدوا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حمد الناس ليس بمخلد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،زهير قال فذاك شاعر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وبم كان شاعر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لا يعاظل في الكلام، وكان يتجنّب وحشي الشعر، ولم يمدح أحدا إلّا </w:t>
      </w:r>
      <w:bookmarkStart w:id="178" w:name="pg15232_165826"/>
    </w:p>
    <w:p>
      <w:pPr>
        <w:pStyle w:val="BookText"/>
        <w:rPr/>
      </w:pPr>
      <w:bookmarkEnd w:id="178"/>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جواباً على سؤال صاحبنا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صار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يتبع حوشي الكلام، ولا يعاظل في المنطق، ولا يقول إلّا ما يعرف، ولا يمتدح الرجل إلا بما يكون فيه، أليس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اتبدرت قيس بن عيلان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الجد من يسبق إليها يسوّد</w:t>
      </w:r>
    </w:p>
    <w:p>
      <w:pPr>
        <w:pStyle w:val="BookText"/>
        <w:rPr/>
      </w:pPr>
      <w:r>
        <w:rPr>
          <w:rFonts w:ascii="Amiri" w:hAnsi="Amiri" w:eastAsia="Amiri" w:cs="Amiri"/>
          <w:color w:val="111111"/>
          <w:sz w:val="28"/>
          <w:sz w:val="28"/>
          <w:szCs w:val="28"/>
          <w:rtl w:val="true"/>
          <w:lang w:bidi="ar-SA"/>
        </w:rPr>
        <w:t>سبقت إليها كل طلق 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سبوقاً إلى الغايات غير مزند</w:t>
      </w:r>
    </w:p>
    <w:p>
      <w:pPr>
        <w:pStyle w:val="BookText"/>
        <w:rPr/>
      </w:pPr>
      <w:r>
        <w:rPr>
          <w:rFonts w:ascii="Amiri" w:hAnsi="Amiri" w:eastAsia="Amiri" w:cs="Amiri"/>
          <w:color w:val="111111"/>
          <w:sz w:val="28"/>
          <w:sz w:val="28"/>
          <w:szCs w:val="28"/>
          <w:rtl w:val="true"/>
          <w:lang w:bidi="ar-SA"/>
        </w:rPr>
        <w:t>كفعل جواد يسبق الخيل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فيسرع وإن يجهد ويجهدن يبعد</w:t>
      </w:r>
    </w:p>
    <w:p>
      <w:pPr>
        <w:pStyle w:val="BookText"/>
        <w:rPr/>
      </w:pPr>
      <w:r>
        <w:rPr>
          <w:rFonts w:ascii="Amiri" w:hAnsi="Amiri" w:eastAsia="Amiri" w:cs="Amiri"/>
          <w:color w:val="111111"/>
          <w:sz w:val="28"/>
          <w:sz w:val="28"/>
          <w:szCs w:val="28"/>
          <w:rtl w:val="true"/>
          <w:lang w:bidi="ar-SA"/>
        </w:rPr>
        <w:t>ولو كان حمد يخلد الناس لم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حمد الناس ليس بمخلد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وقد سبق أن ذكرنا بعض ذلك في أحاديثه مع عمر بن الخطاب وذكرنا شهادة عمر له لكونه أعلم الناس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سر إعجابه بزهير منصباً على هذه الجوانب، لا للنواحى الفنية فحسب،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يسمع بيته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ستبدي لك الأيام ما كنت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ويأتيك بالأخبار من لم تزوّد</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كلمة نبي</w:t>
      </w:r>
      <w:r>
        <w:rPr>
          <w:rFonts w:eastAsia="Amiri" w:cs="Amiri" w:ascii="Amiri" w:hAnsi="Amiri"/>
          <w:color w:val="111111"/>
          <w:sz w:val="28"/>
          <w:szCs w:val="28"/>
          <w:rtl w:val="true"/>
          <w:lang w:bidi="ar-SA"/>
        </w:rPr>
        <w:t>».</w:t>
      </w:r>
      <w:r>
        <w:rPr>
          <w:rStyle w:val="FootnoteAnchor"/>
          <w:rtl w:val="true"/>
        </w:rPr>
        <w:footnoteReference w:id="452"/>
      </w:r>
    </w:p>
    <w:p>
      <w:pPr>
        <w:pStyle w:val="Heading4"/>
        <w:numPr>
          <w:ilvl w:val="3"/>
          <w:numId w:val="1"/>
        </w:numPr>
        <w:rPr/>
      </w:pPr>
      <w:bookmarkStart w:id="179" w:name="__RefHeading___Toc3547363_2142443653"/>
      <w:bookmarkStart w:id="180" w:name="_Toc61"/>
      <w:bookmarkEnd w:id="179"/>
      <w:r>
        <w:rPr/>
        <w:t>2</w:t>
      </w:r>
      <w:r>
        <w:rPr>
          <w:rtl w:val="true"/>
        </w:rPr>
        <w:t xml:space="preserve"> - </w:t>
      </w:r>
      <w:r>
        <w:rPr>
          <w:rtl w:val="true"/>
        </w:rPr>
        <w:t>رصيده من حفظ ووعي التجارب الأدبية لسابقيه</w:t>
      </w:r>
      <w:r>
        <w:rPr>
          <w:rtl w:val="true"/>
        </w:rPr>
        <w:t>.</w:t>
      </w:r>
      <w:bookmarkEnd w:id="1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نتاج هذا الاهتمام بالشعر الجيد وتتبعه وتقييمه، أن تضخم رصيده الأدبي واتسعت بمرور الأيام عليه حشود مأثوراته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يبدو أن أكثر ما حفظ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القرآن وبليغ الرسول صلى الله عليه و آله وسلم وكلام أستاذه</w:t>
      </w:r>
    </w:p>
    <w:p>
      <w:pPr>
        <w:pStyle w:val="BookText"/>
        <w:rPr/>
      </w:pP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يكون نصيب أشعار أهل الحجاز أوفرها في مروياته، فقد كان يحثّ على تعلّم الشعر، وشعر أهل الحجاز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رواته محدثاً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علم العرب وديوانها فتعلّموه، وعليكم بشعر الحجاز</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وقد علّل بعضهم اهتمامه بشعر الحجاز بكون لغتهم أوسط اللغات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فأحسبه ذهب إلى شعر الحجاز وحضّ عليه، إذ لغتهم أوسط اللغات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وقد يكون لهذا التعليل أساسه المتين، إلا أنه لا ينفرد بالعلية عادة، فهناك شعوره بالحاجة إلى مثله؛ لتفسير بعض ما غمض من ألفاظ القرآن والقرآن نزل بلغة أهل الحجاز؛ وإلفته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نشأته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يصلح للمشاركة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وردت نصوص تصور مبلغ مروياته من الشعر، كالنصوص التي</w:t>
      </w:r>
    </w:p>
    <w:p>
      <w:pPr>
        <w:pStyle w:val="BookText"/>
        <w:rPr/>
      </w:pPr>
      <w:r>
        <w:rPr>
          <w:rFonts w:ascii="Amiri" w:hAnsi="Amiri" w:eastAsia="Amiri" w:cs="Amiri"/>
          <w:color w:val="111111"/>
          <w:sz w:val="28"/>
          <w:sz w:val="28"/>
          <w:szCs w:val="28"/>
          <w:rtl w:val="true"/>
          <w:lang w:bidi="ar-SA"/>
        </w:rPr>
        <w:t>عرضناها في سيرته مع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وكحديثه الذي عرضناه مع نافع بن الأزرق واستحضاره لهذه الكمية من الشعر التي استشهد بها على ألفاظ القرآن، حتى قال له ما رأيت أروى منك، وقد ساعده على ذلك ما عرف به من سرعة الحافظة وشدّة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حفظه لشعر عمر بن أبي ربيعة لمجرّد سماعه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هذا لميله إلى مثل هذا النوع من الشعر، وإقباله عليه وتأثره به إلّا أن بعض الروايات حدثت عنه بأنه كان يتمتع بحافظة مستوعبة لا تفرق بين ما تميل إليه </w:t>
      </w:r>
      <w:bookmarkStart w:id="181" w:name="pg15232_165828"/>
    </w:p>
    <w:p>
      <w:pPr>
        <w:pStyle w:val="BookText"/>
        <w:rPr/>
      </w:pPr>
      <w:bookmarkEnd w:id="181"/>
      <w:r>
        <w:rPr>
          <w:rFonts w:ascii="Amiri" w:hAnsi="Amiri" w:eastAsia="Amiri" w:cs="Amiri"/>
          <w:color w:val="111111"/>
          <w:sz w:val="28"/>
          <w:sz w:val="28"/>
          <w:szCs w:val="28"/>
          <w:rtl w:val="true"/>
          <w:lang w:bidi="ar-SA"/>
        </w:rPr>
        <w:t xml:space="preserve">نفسه وما لا تميل إليه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شيئاً إلا ورويته، وإنّي لأسمع صوت النائحة فأسد أذني كراهة أن أحفظ ما تقول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وقد قال له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أذكر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ما رأيت قط أذكر من علي بن أبي طالب</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وفي رواية الكامل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نافعاً قال له ما رأيت أروى منك قط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أروى من عمر ولا أعلم من علي</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وذلك بعد أن شهد منه قصته مع عمر بن أبي ربيعة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أحاديث تدلّ على سرعة حافظته ثم وفرة مأثوراته من النصوص الأدبية البليغة، شعريّة ونثرية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يرى أنّ الأدب ضروري في تكميل الإنسان، ويحدد له موضع الحاجة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وكفاك من علم الأدب أن تروي الشاهد والمثل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وقد كان بالطبع لهذا الرصيد أثره في عطائه الأدبي، إلّا أنّ هذا الأثر لمسناه واضحاً فيها أثر له من نتاج نثري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547365_2142443653"/>
      <w:bookmarkStart w:id="183" w:name="_Toc62"/>
      <w:bookmarkEnd w:id="182"/>
      <w:r>
        <w:rPr/>
        <w:t>3</w:t>
      </w:r>
      <w:r>
        <w:rPr>
          <w:rtl w:val="true"/>
        </w:rPr>
        <w:t xml:space="preserve"> -</w:t>
      </w:r>
      <w:r>
        <w:rPr>
          <w:rtl w:val="true"/>
        </w:rPr>
        <w:t>نتاجه الأدبي</w:t>
      </w:r>
      <w:r>
        <w:rPr>
          <w:rtl w:val="true"/>
        </w:rPr>
        <w:t>.</w:t>
      </w:r>
      <w:bookmarkEnd w:id="183"/>
    </w:p>
    <w:p>
      <w:pPr>
        <w:pStyle w:val="BookText"/>
        <w:rPr/>
      </w:pPr>
      <w:r>
        <w:rPr>
          <w:rFonts w:ascii="Amiri" w:hAnsi="Amiri" w:eastAsia="Amiri" w:cs="Amiri"/>
          <w:color w:val="111111"/>
          <w:sz w:val="28"/>
          <w:sz w:val="28"/>
          <w:szCs w:val="28"/>
          <w:rtl w:val="true"/>
          <w:lang w:bidi="ar-SA"/>
        </w:rPr>
        <w:t xml:space="preserve">ويمكن تقسيمه إلى </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547367_2142443653"/>
      <w:bookmarkStart w:id="185" w:name="_Toc63"/>
      <w:bookmarkEnd w:id="184"/>
      <w:r>
        <w:rPr>
          <w:rtl w:val="true"/>
        </w:rPr>
        <w:t>أ</w:t>
      </w:r>
      <w:r>
        <w:rPr>
          <w:rtl w:val="true"/>
        </w:rPr>
        <w:t xml:space="preserve">- </w:t>
      </w:r>
      <w:r>
        <w:rPr>
          <w:rtl w:val="true"/>
        </w:rPr>
        <w:t>شعره</w:t>
      </w:r>
      <w:bookmarkEnd w:id="1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شعر فعلى قلّته لا يدلّ على موهبة شعريّة تتناسب مع مواهب صاحبها في </w:t>
      </w:r>
    </w:p>
    <w:p>
      <w:pPr>
        <w:pStyle w:val="BookText"/>
        <w:rPr/>
      </w:pPr>
      <w:r>
        <w:rPr>
          <w:rFonts w:ascii="Amiri" w:hAnsi="Amiri" w:eastAsia="Amiri" w:cs="Amiri"/>
          <w:color w:val="111111"/>
          <w:sz w:val="28"/>
          <w:sz w:val="28"/>
          <w:szCs w:val="28"/>
          <w:rtl w:val="true"/>
          <w:lang w:bidi="ar-SA"/>
        </w:rPr>
        <w:t>المجالات الأخر، وإن كان في بعض ما أثر له ما يسمو به إلى مقام الشعراء المقبولين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عثرت عليه من شعره لا يتجاوز العشرات وهي مختلفة في أسلوبها اختلافاً كبيراً ، وليس من المعقول أن تصدر من شاعر ،واحد ، والذي يناسب صدوره عنه ويلتئم مع زمنه وبيئته أبيات ذكرها ابن رشيق له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طارقات الهمّ ضاجعت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وأعمل فكر الليل والليل عاكر</w:t>
      </w:r>
    </w:p>
    <w:p>
      <w:pPr>
        <w:pStyle w:val="BookText"/>
        <w:rPr/>
      </w:pPr>
      <w:r>
        <w:rPr>
          <w:rFonts w:ascii="Amiri" w:hAnsi="Amiri" w:eastAsia="Amiri" w:cs="Amiri"/>
          <w:color w:val="111111"/>
          <w:sz w:val="28"/>
          <w:sz w:val="28"/>
          <w:szCs w:val="28"/>
          <w:rtl w:val="true"/>
          <w:lang w:bidi="ar-SA"/>
        </w:rPr>
        <w:t>وباكرني في حاجة لم يجد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سواي ولا من نكبة الدهر ناصر</w:t>
      </w:r>
    </w:p>
    <w:p>
      <w:pPr>
        <w:pStyle w:val="BookText"/>
        <w:rPr/>
      </w:pPr>
      <w:r>
        <w:rPr>
          <w:rFonts w:ascii="IRNazanin" w:hAnsi="IRNazanin" w:eastAsia="IRNazanin"/>
          <w:color w:val="111111"/>
          <w:sz w:val="28"/>
          <w:sz w:val="28"/>
          <w:szCs w:val="28"/>
          <w:rtl w:val="true"/>
          <w:lang w:bidi="fa-IR"/>
        </w:rPr>
        <w:t>فرحت بالي همّه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وزایله هم طروق مسامر</w:t>
      </w:r>
    </w:p>
    <w:p>
      <w:pPr>
        <w:pStyle w:val="BookText"/>
        <w:rPr/>
      </w:pPr>
      <w:r>
        <w:rPr>
          <w:rFonts w:ascii="Amiri" w:hAnsi="Amiri" w:eastAsia="Amiri" w:cs="Amiri"/>
          <w:color w:val="111111"/>
          <w:sz w:val="28"/>
          <w:sz w:val="28"/>
          <w:szCs w:val="28"/>
          <w:rtl w:val="true"/>
          <w:lang w:bidi="ar-SA"/>
        </w:rPr>
        <w:t>وكان له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بظنه بيَ الخير إني للذي ظنّ شاكر</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وقد مرّت فكرة هذه الأبيات نفسها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ذكرناه في غيريته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الرابع فلا يكافئه عني إلّا الله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به أمر فبات ليلته يفكر بمن ينزله ، ثم رآني أهلاً لحاجته فأنزلها 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المعبّر الناهض بمدلوله، وإن لم تكن فيه لفتة تدلّ على شاعرية متأصلة، وكذا أبياته التي قالها في رثاء أمير المؤمنين وقد مرت في موضعها، وهي تشبه هذه الأبيات من حيث أسلوبها، ومثلهما بيتاه المشهوران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 نورهما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ذكي وعقلي غير ذي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فمي صارم كالسيف مأثور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سرّ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ينظم الشعر إلّا في فترات نادرة، وقد يكون ذلك؛ لانشغاله بما يعتقد أنّه أجدى وأنفع له من بقية فنون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والشعر لا تخلقه القابلية، ولا الرصيد الأدبي وحدهما ، وإنما للمران أثره في الإبداع ممّا ولد في نفسه عدم الثقة في شاعريتها، وبخاصة وأنه لم يشجع عليه من معاصريه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أحد الذين لم يثقوا بشاعريته وإن وثقوا بكفاءته البيانية في بقية فنون الأدب، فلم يشجّعه على قول الشعر، وقد صارحه بذلك حين أراد أن يردّ على ابن العاص في بعض مراسلاته، وكان قد كتب إليه شعراً ونثراً،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ابن العاص ما أغراه بك يا ابن العباس، أجبه، وليردّ شعره الفضل بن العباس فإنّه 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مرّت قصته في الجزء الأول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تخطّى شاعريته إلى الفضل بن العباس؛ لأنّه وجد في الفضل شاعراً، ولم يجد فيه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وأصالة رأي الإمام علیه السلام على أفضل صورها في إبعاده له عن قول الشعر، إذا استطعنا أن نؤمن بصحة بعض ما نسب إليه منه أمثال هذه الأبيات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الطعام فحذّروني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القلب يفسده الطعام</w:t>
      </w:r>
    </w:p>
    <w:p>
      <w:pPr>
        <w:pStyle w:val="BookText"/>
        <w:rPr/>
      </w:pPr>
      <w:r>
        <w:rPr>
          <w:rFonts w:ascii="Amiri" w:hAnsi="Amiri" w:eastAsia="Amiri" w:cs="Amiri"/>
          <w:color w:val="111111"/>
          <w:sz w:val="28"/>
          <w:sz w:val="28"/>
          <w:szCs w:val="28"/>
          <w:rtl w:val="true"/>
          <w:lang w:bidi="ar-SA"/>
        </w:rPr>
        <w:t>إذا كثر المنام فنبّهوني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العمر ينقصه المنام</w:t>
      </w:r>
    </w:p>
    <w:p>
      <w:pPr>
        <w:pStyle w:val="BookText"/>
        <w:rPr/>
      </w:pPr>
      <w:r>
        <w:rPr>
          <w:rFonts w:ascii="Amiri" w:hAnsi="Amiri" w:eastAsia="Amiri" w:cs="Amiri"/>
          <w:color w:val="111111"/>
          <w:sz w:val="28"/>
          <w:sz w:val="28"/>
          <w:szCs w:val="28"/>
          <w:rtl w:val="true"/>
          <w:lang w:bidi="ar-SA"/>
        </w:rPr>
        <w:t>إذا كثر الكلام فسكّتوني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الدين يدمه الكلام</w:t>
      </w:r>
    </w:p>
    <w:p>
      <w:pPr>
        <w:pStyle w:val="BookText"/>
        <w:rPr/>
      </w:pPr>
      <w:r>
        <w:rPr>
          <w:rFonts w:ascii="Amiri" w:hAnsi="Amiri" w:eastAsia="Amiri" w:cs="Amiri"/>
          <w:color w:val="111111"/>
          <w:sz w:val="28"/>
          <w:sz w:val="28"/>
          <w:szCs w:val="28"/>
          <w:rtl w:val="true"/>
          <w:lang w:bidi="ar-SA"/>
        </w:rPr>
        <w:t>إذا كثر المشيب فحرّكوني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الشيب يتبعه الحمام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والأبيات في غنى عن التنبيه على سخف أسلوبها ومضامينها، وعصره يربأ عن تقبّلها فضلاً عن نسبتها إلى مثله مهما ساء ظنّنا في شاعريته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ينتج تلكم الأبيات السابقة لا يعقل أن ينتج هذه الأبيات، مع تباين لغتهما وأسلوبهما</w:t>
      </w:r>
      <w:r>
        <w:rPr>
          <w:rFonts w:eastAsia="Amiri" w:cs="Amiri" w:ascii="Amiri" w:hAnsi="Amiri"/>
          <w:color w:val="111111"/>
          <w:sz w:val="28"/>
          <w:szCs w:val="28"/>
          <w:rtl w:val="true"/>
          <w:lang w:bidi="ar-SA"/>
        </w:rPr>
        <w:t xml:space="preserve">. </w:t>
      </w:r>
      <w:bookmarkStart w:id="186" w:name="pg15232_165831"/>
    </w:p>
    <w:p>
      <w:pPr>
        <w:pStyle w:val="BookText"/>
        <w:rPr/>
      </w:pPr>
      <w:bookmarkEnd w:id="186"/>
      <w:r>
        <w:rPr>
          <w:rFonts w:ascii="Amiri" w:hAnsi="Amiri" w:eastAsia="Amiri" w:cs="Amiri"/>
          <w:color w:val="111111"/>
          <w:sz w:val="28"/>
          <w:sz w:val="28"/>
          <w:szCs w:val="28"/>
          <w:rtl w:val="true"/>
          <w:lang w:bidi="ar-SA"/>
        </w:rPr>
        <w:t>وأمثال هذه الأبيات كثير فيما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 عرضه وإطالة الكلام فيه، وحسب صاحبنا أن تكون فيه نفحة من نفحات النبوّة خصها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عَلَّمْنَاهُ الشِّعْرَ وَمَا يَنْبَغِي 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وإذا فاته الإبداع في الشاعرية لم يفته أن يبدع في بقية فنون الأدب</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547369_2142443653"/>
      <w:bookmarkStart w:id="188" w:name="_Toc64"/>
      <w:bookmarkEnd w:id="187"/>
      <w:r>
        <w:rPr>
          <w:rtl w:val="true"/>
        </w:rPr>
        <w:t>ب</w:t>
      </w:r>
      <w:r>
        <w:rPr>
          <w:rtl w:val="true"/>
        </w:rPr>
        <w:t xml:space="preserve">- </w:t>
      </w:r>
      <w:r>
        <w:rPr>
          <w:rtl w:val="true"/>
        </w:rPr>
        <w:t>الخطابة والمناظرة والرسائل</w:t>
      </w:r>
      <w:r>
        <w:rPr>
          <w:rtl w:val="true"/>
        </w:rPr>
        <w:t>.</w:t>
      </w:r>
      <w:bookmarkEnd w:id="188"/>
    </w:p>
    <w:p>
      <w:pPr>
        <w:pStyle w:val="BookText"/>
        <w:rPr/>
      </w:pPr>
      <w:r>
        <w:rPr>
          <w:rFonts w:ascii="Amiri" w:hAnsi="Amiri" w:eastAsia="Amiri" w:cs="Amiri"/>
          <w:color w:val="111111"/>
          <w:sz w:val="28"/>
          <w:sz w:val="28"/>
          <w:szCs w:val="28"/>
          <w:rtl w:val="true"/>
          <w:lang w:bidi="ar-SA"/>
        </w:rPr>
        <w:t xml:space="preserve">وقد مرّت في جملة كبيرة منها ، ومرّ التعليق على قسم منها، وبخاصة فيما يتعلق بإيضاح مضامينها، وتلخيصها، وفيها تظهر مقدرته البيانية الفائقة، وربّما صلحت لأن ترتفع به إلى الطبقة الأولى من بلغاء ذلك العصر، ففيها الاصالة، والوجازة، والوضوح، وجمال العرض، واللفتات البيانية التي لا تتأتى إلا لأمراء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 للبيان أمراء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وأخال أن في العودة إليها ودراستها على هذا الضوء تطويلاً، قد يكون القارئ في غنى عنه، ما دمنا قد أدركنا الطابع العام الذي ينتظم جملة مميزاتها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547371_2142443653"/>
      <w:bookmarkStart w:id="190" w:name="_Toc65"/>
      <w:bookmarkEnd w:id="189"/>
      <w:r>
        <w:rPr>
          <w:rtl w:val="true"/>
        </w:rPr>
        <w:t>جـ</w:t>
      </w:r>
      <w:r>
        <w:rPr>
          <w:rtl w:val="true"/>
        </w:rPr>
        <w:t xml:space="preserve">- </w:t>
      </w:r>
      <w:r>
        <w:rPr>
          <w:rtl w:val="true"/>
        </w:rPr>
        <w:t>كلمه القصار</w:t>
      </w:r>
      <w:bookmarkEnd w:id="190"/>
    </w:p>
    <w:p>
      <w:pPr>
        <w:pStyle w:val="BookText"/>
        <w:rPr/>
      </w:pPr>
      <w:r>
        <w:rPr>
          <w:rFonts w:ascii="Amiri" w:hAnsi="Amiri" w:eastAsia="Amiri" w:cs="Amiri"/>
          <w:color w:val="111111"/>
          <w:sz w:val="28"/>
          <w:sz w:val="28"/>
          <w:szCs w:val="28"/>
          <w:rtl w:val="true"/>
          <w:lang w:bidi="ar-SA"/>
        </w:rPr>
        <w:t>وربّما كان في دراستها وتجلية مضامينها والتأكيد على جوانب الإبداع فيها ما يشير إلى ذلك الطابع، مما يغني عن إعادة ما سبق ما عرضناه من بقية جوانب أدبه النثري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 القصار نوع من الأدب اشتهر به عصرا الجاهلية وصدر الإسلام ويقوم أساسه على ضغط التجارب العامة وإبرازها بفقرة أو فقرتين، ينهض عطاؤها بما لا تنهض به عدة فقرات وتعتمد في عطائها على اللفتة الموحية المعمّقة أكثر من اعتمادها على الإقناع المنطقي العقليّ، وتأثيرها في نقل الأفكار والتجارب، ونشرها أوسع من أي تأثير لأي نوع آخر من أنواع الأدب؛ ليسر حفظها ، واستظهارها، وإرسالها مثلاً فيما </w:t>
      </w:r>
    </w:p>
    <w:p>
      <w:pPr>
        <w:pStyle w:val="BookText"/>
        <w:rPr/>
      </w:pPr>
      <w:r>
        <w:rPr>
          <w:rFonts w:ascii="Amiri" w:hAnsi="Amiri" w:eastAsia="Amiri" w:cs="Amiri"/>
          <w:color w:val="111111"/>
          <w:sz w:val="28"/>
          <w:sz w:val="28"/>
          <w:szCs w:val="28"/>
          <w:rtl w:val="true"/>
          <w:lang w:bidi="ar-SA"/>
        </w:rPr>
        <w:t>يناسبها من 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ما توفّر لدى ابن عباس من هذا النوع، وهي تدلّ على وفرة تجاربه، وقدرته على تركيز أفكاره، وضغطها بقليل من الكلم لتُرسل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هذه الكلم بل في مطلق أدبه النثري، متأثر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بمدرسة أستاذه الإمام علیه السلام ، وربّما كان في بعض ما نسب إليه هو من آثار أستاذه، وطغى على لسانه في مقام الاستشهاد فظُنّ أنّه له، ومن هنا نرى أن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علیه السلام ، ودلالة ذلك على تقارب أسلوبهما تكاد تكون من أوضح الدلالات، ما دام أمر الكثير منها يخفى على المعنيين بالأدب ونقاده، ومميزي أساليبه، وهذه نماذج مما أثر من كلمه القصار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المعروف لا يقع، فإن وقع وجد متكأ</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وهي كلمة على قصرها ذات دلالة واسعة على تقييمه من وجهة بلاغية وبخاصة</w:t>
      </w:r>
    </w:p>
    <w:p>
      <w:pPr>
        <w:pStyle w:val="BookText"/>
        <w:rPr/>
      </w:pPr>
      <w:r>
        <w:rPr>
          <w:rFonts w:ascii="Amiri" w:hAnsi="Amiri" w:eastAsia="Amiri" w:cs="Amiri"/>
          <w:color w:val="111111"/>
          <w:sz w:val="28"/>
          <w:sz w:val="28"/>
          <w:szCs w:val="28"/>
          <w:rtl w:val="true"/>
          <w:lang w:bidi="ar-SA"/>
        </w:rPr>
        <w:t>هذا المتكأ الذي التمسه لصاحب المعروف عندما يقع، وما فيه من استعارة رائعة ودلالتها على شعوره بقيمة إسداء المعونات للآخرين، وتغلغل ذلك في أعماقه من أروع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الكلم المعبّرة عن نفسيّته في هذه الجوانب الإنسانية الشيء الكثير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أولَيتُه معروفاً إلا أضاء ما بيني وبينه، ولا رأيت رجلاً أوليته سوءً إلّا أظلم ما بيني وبينه</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وكلمتا أضاء وأظلم، واستعارتها للأجواء النفسية التي تحيط بالجانبين من أبلغ </w:t>
      </w:r>
    </w:p>
    <w:p>
      <w:pPr>
        <w:pStyle w:val="BookText"/>
        <w:rPr/>
      </w:pPr>
      <w:r>
        <w:rPr>
          <w:rFonts w:ascii="IRNazanin" w:hAnsi="IRNazanin" w:eastAsia="IRNazanin"/>
          <w:color w:val="111111"/>
          <w:sz w:val="28"/>
          <w:sz w:val="28"/>
          <w:szCs w:val="28"/>
          <w:rtl w:val="true"/>
          <w:lang w:bidi="fa-IR"/>
        </w:rPr>
        <w:t>الاستعارات،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يزهدنّك في المعروف كفر من كفره، فإنّه يشكرك عليه من لم تصطنعه إليه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وهي لفتة بارعة جداً لا تتوفّر إلا لقليل من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 يحثّ على الألفة والتقارب بأمثال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تقطع، والمعروف يكفر، وما رأيت كتقارب القلوب</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أخاك إذا غاب عنك بما تحبّ أن يذكرك به، ودع منه ما تحبّ أن يدع منك</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وقد سيقت له بعض الكلمات القصار مساق الخطبة وهي أقرب إلى أن تكون من هذا النوع إلى الخطبة ،المصطلحة، ومنها ما جاء في كتاب جمهرة خطب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 خير من الامتنان ملاك أمركم الدين وزينتكم العلم، وحصون أعراضكم الأدب، وعزّكم الحلم، وحليتكم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تقطع والمعروف يكفر ولم ير كالمودّة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تمار سفيهاً ولا حليماً فإن السفيه يؤذيك والحليم يقليك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عمل من يعلم أنه مجزي بالحسنات مأخوذ بالسيئات</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أنها كلم قيلت متفرّقة، فجمعت بعد ذلك في كلام واحد انتظمها كخطبة، </w:t>
      </w:r>
    </w:p>
    <w:p>
      <w:pPr>
        <w:pStyle w:val="BookText"/>
        <w:rPr/>
      </w:pPr>
      <w:r>
        <w:rPr>
          <w:rFonts w:ascii="Amiri" w:hAnsi="Amiri" w:eastAsia="Amiri" w:cs="Amiri"/>
          <w:color w:val="111111"/>
          <w:sz w:val="28"/>
          <w:sz w:val="28"/>
          <w:szCs w:val="28"/>
          <w:rtl w:val="true"/>
          <w:lang w:bidi="ar-SA"/>
        </w:rPr>
        <w:t>وإن لم يرع ناظمها فيها تسلسلها الطبيعي، والتماس الروابط في فقراتها ومما يجري له هذا المجرى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العافية والشباب الصحة والمروءة الصبر والكرم التقوى، والحسب المال</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ومن كلمه الرائعة التي تمثل جانباً من تجاربه و حِكَمِه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إله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أستشهد عليها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 مَنِ اتَّخَذَ إِلَهَهُ هَوَاهُ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 طالباً فعززت مطلوباً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يحصى، فخذوا من كلّ شيء أحسنه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 طالب علم وطالب دنيا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علم الدين أن تعرف ما لا يسع جهله، وكفاك من علم الأدب أن تروي الشاهد والمثل</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كلمة حكمة أن تسمعها من الفاجر، فإنّما مثله 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رمية من غير رام</w:t>
      </w:r>
      <w:r>
        <w:rPr>
          <w:rFonts w:eastAsia="Amiri" w:cs="Amiri" w:ascii="Amiri" w:hAnsi="Amiri"/>
          <w:color w:val="111111"/>
          <w:sz w:val="28"/>
          <w:szCs w:val="28"/>
          <w:rtl w:val="true"/>
          <w:lang w:bidi="ar-SA"/>
        </w:rPr>
        <w:t>».</w:t>
      </w:r>
      <w:r>
        <w:rPr>
          <w:rStyle w:val="FootnoteAnchor"/>
          <w:rtl w:val="true"/>
        </w:rPr>
        <w:footnoteReference w:id="474"/>
      </w:r>
      <w:bookmarkStart w:id="191" w:name="pg15232_165835"/>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 الناس في الدنيا الأسخياء، وفي الآخرة الأتقياء</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حدثان حدث من فيك وحدث من فرجك</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فجور والنميمة سحر فمن كذب فقد فجر ومن نمّ فقد سحر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 أحد على ترك حقه، إنّما المعيب من يطلب ما ليس له، وكل صواب نافع، وليس كل خطأ ضاراً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داخل دهشة، فآنسوه بالتحية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تكلمن فيما لا يعنيك حتى ترى له موضعاً</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أمثالها من روائع الكلم التي اثرت عنه، ولا يسعنا استقصاؤها في هذا البحث</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547373_2142443653"/>
      <w:bookmarkStart w:id="193" w:name="_Toc66"/>
      <w:bookmarkEnd w:id="192"/>
      <w:r>
        <w:rPr>
          <w:rtl w:val="true"/>
        </w:rPr>
        <w:t>د</w:t>
      </w:r>
      <w:r>
        <w:rPr>
          <w:rtl w:val="true"/>
        </w:rPr>
        <w:t xml:space="preserve">- </w:t>
      </w:r>
      <w:r>
        <w:rPr>
          <w:rtl w:val="true"/>
        </w:rPr>
        <w:t>أدبه القصصي</w:t>
      </w:r>
      <w:bookmarkEnd w:id="1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يتمثّله أحياناً للوصول بتجربته إلى أعماق الآخرين من أقصر الطرق وأيسرها، وفيه صور رائعة نعرض منها نموذجاً في هذا الحديث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قبلكم رجل صالح له امرأة سوء، فعرض 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جعل لك ثلاث دعوات فسل ما شئت من دنيا وآخرة، ثم نهض فرجع الرجل إلى منزله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أمرأته مالي أراك مفكّراً محزوناً؟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فقالت ألست امرأتك وفي صحبتك وبناتك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لي دعوة، فأبى، فأقبل </w:t>
      </w:r>
    </w:p>
    <w:p>
      <w:pPr>
        <w:pStyle w:val="BookText"/>
        <w:rPr/>
      </w:pPr>
      <w:r>
        <w:rPr>
          <w:rFonts w:ascii="Amiri" w:hAnsi="Amiri" w:eastAsia="Amiri" w:cs="Amiri"/>
          <w:color w:val="111111"/>
          <w:sz w:val="28"/>
          <w:sz w:val="28"/>
          <w:szCs w:val="28"/>
          <w:rtl w:val="true"/>
          <w:lang w:bidi="ar-SA"/>
        </w:rPr>
        <w:t>عليه ولده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فلم يزلن به حتى قال لك دعوى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أحسن الناس وجهاً، فصارت كذلك ، وجعلت توطئ فراشها وهو يعظها فلا تتعظ، فغضب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خنزيرة، فتحوّلت كذلك فلما رأين بناته ما نزل بأمهنّ بكين و ضربن وجوههن، ونتفن شعورهن فرق لهنّ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أعدها كما كانت أولاً، فذهبت دعواته الثلاث فيها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وهو مثل رائع للمرأة التي لا تعنى بشؤون زوجها ولا تحرص على حفظ ثروته، وكلّ ما لديها هو الحرص على منافعها الشخصية، وإن ذهب ذلك بجميع إمكانيات الزوج وحرمه من جملة ما يملكه، وحوّله وحوّلها معه إلى فقر وحرمان مدقعين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يعرض هذا الجانب الأسطوري من القصة لا يقصد ثبوت محتواها تأريخياً وإنّما يسوقه للتدليل على هذه المرأة السوء، كعبرة تلتمس في أمثال هذه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آخر أُثر عنه، وقد أرسله للتدليل به على تأثير إرادة الله التكوينية وعدم تخلّفها عن مرادها، رغم بعض المحاولات التي يقوم بها بعض منكري القدر ومكذبيه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ممن كان قبلكم يكذب بالقدر وكان مسيئاً إلى امرأته، فخرج إلى الجبانة فوجد فيها قحف رأس مكتوب عليه يحرق ثم يذرى في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فجعله في سفط، ودفعه إلى امرأته، ثم أحسن إليها ، ثم سافر فجاءتها جاراتها فقلن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فلان بمَ كان يحسن زوجك الصنيعة إليك ؟ فهل استودعك شيئاً؟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السفط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رأس خليلة له، فقامت غيوراً مغضبة حتى فتحته، فإذا فيه قحف رأس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تدرين يا أم فلان ما تصنعين به ؟ أحرقيه ثم ذريه في الريح </w:t>
      </w:r>
    </w:p>
    <w:p>
      <w:pPr>
        <w:pStyle w:val="BookText"/>
        <w:rPr/>
      </w:pP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زوجها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السفط؟ فحدّثته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وصدّقت بالقدر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ومثل هذه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فيها من فجوات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تأثيرها الإقناعي في نفوس سامعيه،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عنه – فليس فيها ما يتنافى مع ما سبق ذكره من إنكاره للجبر، فإنّ إرادات الله التكوينية وهي التي لا تتخلّف عنها مراداتها بحال، تختلف باختلاف متعلّقاتها، فبعضها أراد لها أن تتحقق، ولكن بتوسّط إرادة العبد واختياره وبعضها أراد لها ذلك من دون توسّط إرادة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والجبر الذي يأباه وتأباه مدرسة أهل البيت الا هو القسم الأول منهما، أما الثاني وهو الذي سيقت القصّة لبيانه فموضع اتفاقهم هو الإيمان به، وكلماتهم صريحة بذلك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وأسطورة ثالثة ساقها لتهويل تأثير الذنوب على العبد تنفيراً لمستمعيه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فيمن كان قبلكم عبد الله ثمانين سنة ثم إنّه أخطأ خطيئة خاف منها على نفسه فأتى الفيافي، فناداها أيتها الفيافي الكثيرة رمالها الكثيرة عضاهها، الكثيرة دوابها، الكثيرة تلاعها هل فيك مكان يواريني من ربي عزّ وجلّ؟ فأجابت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والله ما في نبت ولا شجر إلا وملك موكّل به، فكيف أواريك عن الله تعالى؟ فأتى البحر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البحر الغزير ماؤه الكثير حيتانه ، هل فيك مكان يواريني عن ربي عزّ وجلّ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والله ما في حصاة، ولا دابة إلّا وبها ملك موكل، فكيف أواريك عن الله عزّ وجلّ؟ فأتى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الجبال الشوامخ في السماء الكثيرة غيرانها ، هل فيك مكان يواريني من ربي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والله ما فينا من حصاة، ولا غار إلّا وملك موكّل به، فأين أواريك؟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يتعبّد هنالك ويلتمس التوبة حتى حضره الموت فبكى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اقبض روحي في </w:t>
      </w:r>
      <w:bookmarkStart w:id="194" w:name="pg15232_165838"/>
    </w:p>
    <w:p>
      <w:pPr>
        <w:pStyle w:val="BookText"/>
        <w:rPr/>
      </w:pPr>
      <w:bookmarkEnd w:id="194"/>
      <w:r>
        <w:rPr>
          <w:rFonts w:ascii="Amiri" w:hAnsi="Amiri" w:eastAsia="Amiri" w:cs="Amiri"/>
          <w:color w:val="111111"/>
          <w:sz w:val="28"/>
          <w:sz w:val="28"/>
          <w:szCs w:val="28"/>
          <w:rtl w:val="true"/>
          <w:lang w:bidi="ar-SA"/>
        </w:rPr>
        <w:t>الأرواح، وجسدي في الأجساد، ولا تبعثني يوم القيامة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وهو مثل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عظمة الله في استيعاب سطوته وقدرته وسعتها لجميع المخلوقات؛ لاستيلائه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فيما أُثر عنه أمثال أخر، وقد يكون الكثير منها موضوعاً عليه، إلّا أنّ الذي لا أشكّ فيه أنه كان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للتأثير على سامعيه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سوق بعض الأساطير؛ لالتماس العبرة منها، وهي طريقة مألوفة لبلغاء ذلك العصر، وفي الكثير من آيات القرآن قصص سيقت للوازمه الكنائية أكثر من تسجيل واقع تأريخي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وما يشبهها من بليغ الآيات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547375_2142443653"/>
      <w:bookmarkStart w:id="196" w:name="_Toc67"/>
      <w:bookmarkEnd w:id="195"/>
      <w:r>
        <w:rPr>
          <w:rtl w:val="true"/>
        </w:rPr>
        <w:t>الجاذبيّة</w:t>
      </w:r>
      <w:bookmarkEnd w:id="196"/>
    </w:p>
    <w:p>
      <w:pPr>
        <w:pStyle w:val="BookText"/>
        <w:rPr/>
      </w:pPr>
      <w:r>
        <w:rPr>
          <w:rFonts w:ascii="Amiri" w:hAnsi="Amiri" w:eastAsia="Amiri" w:cs="Amiri"/>
          <w:color w:val="111111"/>
          <w:sz w:val="28"/>
          <w:sz w:val="28"/>
          <w:szCs w:val="28"/>
          <w:rtl w:val="true"/>
          <w:lang w:bidi="ar-SA"/>
        </w:rPr>
        <w:t xml:space="preserve">بقي من عناصر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العناصر وأقواها، وربّما اعتبر هو الشخصية، مبالغة في أهميته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ویراد به القوّة التي تجمع القلوب حول صاحبها، وتشدّها إليه، وربّما اشترك في تكوينها أكثر من منشأ واحد من المناشئ السابقة كالجمال، والذكاء، والشجاعة، وقوة البيان، وحسن الحديث، وكرم الخلق والغيرية والمشاركات الوجدانية، والعلم، والأدب، وما إليها مما سبق ذكره، وقد يكون من مناشئها الظرف وخفّة الروح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ابن عباس من الأمثلة الجميلة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أن شيخاً بمثل تقواه وفضله، وهو مهوى أفئدة العلماء، يفدون إليه لأخذ العلم عنه يُسأل – وهو مقبل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الشعر من رفث القول فينشد </w:t>
      </w:r>
    </w:p>
    <w:p>
      <w:pPr>
        <w:pStyle w:val="BookText"/>
        <w:rPr/>
      </w:pPr>
      <w:r>
        <w:rPr>
          <w:rFonts w:ascii="IRNazanin" w:hAnsi="IRNazanin" w:eastAsia="IRNazanin"/>
          <w:color w:val="111111"/>
          <w:sz w:val="28"/>
          <w:sz w:val="28"/>
          <w:szCs w:val="28"/>
          <w:rtl w:val="true"/>
          <w:lang w:bidi="fa-IR"/>
        </w:rPr>
        <w:t>وهنّ يمشین بنا همیسا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تصدق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لميسا</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الرفث عند النساء، ثم أحرم للصلاة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وفي مكة أتاه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بفتى محمول ضعفاً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لهذا الغلام، فنظر إلى فتى حلو الوجه عاري العظام،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من جوى الشوق المبرّح 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لها نفس المشوق تذوب</w:t>
      </w:r>
    </w:p>
    <w:p>
      <w:pPr>
        <w:pStyle w:val="BookText"/>
        <w:rPr/>
      </w:pPr>
      <w:r>
        <w:rPr>
          <w:rFonts w:ascii="Amiri" w:hAnsi="Amiri" w:eastAsia="Amiri" w:cs="Amiri"/>
          <w:color w:val="111111"/>
          <w:sz w:val="28"/>
          <w:sz w:val="28"/>
          <w:szCs w:val="28"/>
          <w:rtl w:val="true"/>
          <w:lang w:bidi="ar-SA"/>
        </w:rPr>
        <w:t>ولكنّما أبقى حشاشة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به عود هناك صليب</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وجهاً أعتق، ولساناً أذلق، وعوداً أصلب، وهوى أغلب، مما رأيتم اليوم، هذا قتيل الحب لا قود ولا دية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تأمّلوا روعة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قتيل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تنطوي عليه من خفّة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علينا إقباله على عمر بن أبي ربيعة واستماعه لشعره، وحفظه له، ثم تطلّبه وفحصه عما يجد لديه من شعر، مع ما في ما في ذلك منافاة للتقشف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ظرفه ما أُثر عنه من سرعة الإجابة في مجالاتها، قال له معاوية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يا بني هاشم تصابون في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أراد التعريض بأبيه، وجده، وابن عمه عقيل، وإلّا فما عهدنا لصاحبنا اجتماعاً بمعاوية بعد إصابته بعاهته، فأجابه ابن عباس على البديهة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يا بني أمية تصابون في بصائركم</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أبين الشبق في رجالكم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نساءكم أبين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ودخل على عمرو بن العاص في مرضه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عظني بعِظة أنتفع بها يا ابن أخي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أبا عبد الله صار ابن أخيك أخاك،ولا تشاء أن تبكي إلا بكيت، كيف يُؤمر برحيل من هو مقيم على حبها من حين،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بضع وثمانين سنة تقنطني من رحمة الله ربّي، اللهم إن ابن عباس يقنّطني من رحمتك، فخذ مني حتى ترضى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روعة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عبد الله أخذت جديداً وتعطي خلقاً، فقال عمرو ومالي ولك يا ابن عباس ما أرسل كلمة إلّا وأرسلت نقيضها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ومثل ذلك في محاوراته كثير ، وبعضه مصنوع وموضوع عليه حتماً، وليس تحقيق أكثره بمهم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وخير ما يصوّر جاذبيته كلمة لصعصعة بن صوحان قالها لأمير المؤمنين علیه السلام عندما سأله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إنّه آخذ بثلاث وتارك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بقلوب الرجال إذا حدث، وبحسن الاستماع إذا حدث، وبأيسر الأمرين إذا خُولِف، وترك المراء، ومقارنة اللئيم، وما يعتذر منه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وهي غاية ما يمكن أن يصوّر جاذبيته، ويشير إلى أسبابها بكلام يُعد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آیات بلاغة العرب، فهو آخذ بقلوب الرجال بحسن حديثه ، وهو آخذ بحسن الاستماع إذا حُدّث، وحسن الاستماع من أهم الروابط التي تربط بين الجليسين عادة، وتشدّهما لبعضهما شداً، ثم هو آخذ بأيسر الأمرين إذا خولف، وهذه من أهم ما توجب عطف القلوب عليه، وهكذانراه يأخذ بجوامع القلوب، بأخذه لمختلف أسبابها، وقد مر علينا الكثير من تصريحات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معاصريه فيما يؤدي إلى عظم جاذبيته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في الفصول السابقة</w:t>
      </w:r>
      <w:r>
        <w:rPr>
          <w:rFonts w:eastAsia="Amiri" w:cs="Amiri" w:ascii="Amiri" w:hAnsi="Amiri"/>
          <w:color w:val="111111"/>
          <w:sz w:val="28"/>
          <w:szCs w:val="28"/>
          <w:rtl w:val="true"/>
          <w:lang w:bidi="ar-SA"/>
        </w:rPr>
        <w:t xml:space="preserve">. </w:t>
      </w:r>
      <w:bookmarkStart w:id="197" w:name="pg15232_165841"/>
    </w:p>
    <w:p>
      <w:pPr>
        <w:pStyle w:val="Heading2"/>
        <w:numPr>
          <w:ilvl w:val="1"/>
          <w:numId w:val="1"/>
        </w:numPr>
        <w:rPr/>
      </w:pPr>
      <w:bookmarkStart w:id="198" w:name="__RefHeading___Toc3547377_2142443653"/>
      <w:bookmarkStart w:id="199" w:name="_Toc68"/>
      <w:bookmarkEnd w:id="197"/>
      <w:bookmarkEnd w:id="198"/>
      <w:r>
        <w:rPr>
          <w:rtl w:val="true"/>
        </w:rPr>
        <w:t>شكر وتقدير</w:t>
      </w:r>
      <w:bookmarkEnd w:id="199"/>
    </w:p>
    <w:p>
      <w:pPr>
        <w:pStyle w:val="BookText"/>
        <w:rPr/>
      </w:pPr>
      <w:r>
        <w:rPr>
          <w:rFonts w:ascii="Amiri" w:hAnsi="Amiri" w:eastAsia="Amiri" w:cs="Amiri"/>
          <w:color w:val="111111"/>
          <w:sz w:val="28"/>
          <w:sz w:val="28"/>
          <w:szCs w:val="28"/>
          <w:rtl w:val="true"/>
          <w:lang w:bidi="ar-SA"/>
        </w:rPr>
        <w:t xml:space="preserve">والذي أرجوه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ختام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يفوتني تقديم أجزل الشكر، وأعمق الامتنان لأعضاء المجمع الثقافي لمنتدى النشر، الذين صرفوا كثيراً من وقتهم للاستماع إلى بعض هذه الفصول، وعلى الأخص من لاحقني منهم باستفساراته ومناقشاته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أثمن جهود ولدي البار السيد علاء الدين، الذي قام بتهيئة الكتاب للطبع،</w:t>
      </w:r>
    </w:p>
    <w:p>
      <w:pPr>
        <w:pStyle w:val="BookText"/>
        <w:rPr/>
      </w:pPr>
      <w:r>
        <w:rPr>
          <w:rFonts w:ascii="Amiri" w:hAnsi="Amiri" w:eastAsia="Amiri" w:cs="Amiri"/>
          <w:color w:val="111111"/>
          <w:sz w:val="28"/>
          <w:sz w:val="28"/>
          <w:szCs w:val="28"/>
          <w:rtl w:val="true"/>
          <w:lang w:bidi="ar-SA"/>
        </w:rPr>
        <w:t>والإشراف على إخراجه، ومطابقة النصوص الواردة فيه مع مصادرها، ووضع الفهارس  العامة له، سائلاً المولى عزّ وجلّ أن يوفقهم إلى ما فيه خير الفكر إنه ولي التوفيق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الحكيم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232_165843"/>
      <w:bookmarkStart w:id="201" w:name="pg15232_165843"/>
      <w:bookmarkEnd w:id="201"/>
    </w:p>
    <w:p>
      <w:pPr>
        <w:pStyle w:val="Heading2"/>
        <w:numPr>
          <w:ilvl w:val="1"/>
          <w:numId w:val="1"/>
        </w:numPr>
        <w:rPr/>
      </w:pPr>
      <w:bookmarkStart w:id="202" w:name="pg15232_165843"/>
      <w:bookmarkStart w:id="203" w:name="__RefHeading___Toc3547379_2142443653"/>
      <w:bookmarkStart w:id="204" w:name="_Toc69"/>
      <w:bookmarkEnd w:id="202"/>
      <w:bookmarkEnd w:id="203"/>
      <w:r>
        <w:rPr>
          <w:rtl w:val="true"/>
        </w:rPr>
        <w:t>الفَهَارِس العَامَة</w:t>
      </w:r>
      <w:bookmarkEnd w:id="20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547381_2142443653"/>
      <w:bookmarkStart w:id="206" w:name="_Toc70"/>
      <w:bookmarkEnd w:id="205"/>
      <w:r>
        <w:rPr>
          <w:rtl w:val="true"/>
        </w:rPr>
        <w:t>اشارة</w:t>
      </w:r>
      <w:bookmarkEnd w:id="2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232_165845"/>
      <w:bookmarkStart w:id="208" w:name="pg15232_165845"/>
      <w:bookmarkEnd w:id="208"/>
    </w:p>
    <w:p>
      <w:pPr>
        <w:pStyle w:val="Heading3"/>
        <w:numPr>
          <w:ilvl w:val="2"/>
          <w:numId w:val="1"/>
        </w:numPr>
        <w:rPr/>
      </w:pPr>
      <w:bookmarkStart w:id="209" w:name="pg15232_165845"/>
      <w:bookmarkStart w:id="210" w:name="__RefHeading___Toc3547383_2142443653"/>
      <w:bookmarkStart w:id="211" w:name="_Toc71"/>
      <w:bookmarkEnd w:id="209"/>
      <w:bookmarkEnd w:id="210"/>
      <w:r>
        <w:rPr>
          <w:rtl w:val="true"/>
        </w:rPr>
        <w:t>فهرست الآیات القرآنیة</w:t>
      </w:r>
      <w:bookmarkEnd w:id="211"/>
    </w:p>
    <w:p>
      <w:pPr>
        <w:pStyle w:val="BookText"/>
        <w:rPr/>
      </w:pPr>
      <w:r>
        <w:rPr>
          <w:rFonts w:ascii="Amiri" w:hAnsi="Amiri" w:eastAsia="Amiri" w:cs="Amiri"/>
          <w:color w:val="111111"/>
          <w:sz w:val="28"/>
          <w:sz w:val="28"/>
          <w:szCs w:val="28"/>
          <w:rtl w:val="true"/>
          <w:lang w:bidi="ar-SA"/>
        </w:rPr>
        <w:t>الصورة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0" o:detectmouseclick="t"/>
                <v:stroke color="#3465a4" joinstyle="round" endcap="flat"/>
                <w10:wrap type="none"/>
              </v:shape>
            </w:pict>
          </mc:Fallback>
        </mc:AlternateContent>
      </w:r>
      <w:bookmarkStart w:id="212" w:name="pg15232_165849"/>
    </w:p>
    <w:p>
      <w:pPr>
        <w:pStyle w:val="Heading3"/>
        <w:numPr>
          <w:ilvl w:val="2"/>
          <w:numId w:val="1"/>
        </w:numPr>
        <w:rPr/>
      </w:pPr>
      <w:bookmarkStart w:id="213" w:name="__RefHeading___Toc3547385_2142443653"/>
      <w:bookmarkStart w:id="214" w:name="_Toc72"/>
      <w:bookmarkEnd w:id="212"/>
      <w:bookmarkEnd w:id="213"/>
      <w:r>
        <w:rPr>
          <w:rtl w:val="true"/>
        </w:rPr>
        <w:t>فهرست الحادیث النبویة</w:t>
      </w:r>
      <w:bookmarkEnd w:id="214"/>
    </w:p>
    <w:p>
      <w:p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15" o:detectmouseclick="t"/>
                <v:stroke color="#3465a4" joinstyle="round" endcap="flat"/>
                <w10:wrap type="none"/>
              </v:shape>
            </w:pict>
          </mc:Fallback>
        </mc:AlternateContent>
      </w:r>
      <w:bookmarkStart w:id="215" w:name="pg15232_165854"/>
    </w:p>
    <w:p>
      <w:pPr>
        <w:pStyle w:val="Heading3"/>
        <w:numPr>
          <w:ilvl w:val="2"/>
          <w:numId w:val="1"/>
        </w:numPr>
        <w:rPr/>
      </w:pPr>
      <w:bookmarkStart w:id="216" w:name="__RefHeading___Toc3547387_2142443653"/>
      <w:bookmarkStart w:id="217" w:name="_Toc73"/>
      <w:bookmarkEnd w:id="215"/>
      <w:bookmarkEnd w:id="216"/>
      <w:r>
        <w:rPr>
          <w:rtl w:val="true"/>
        </w:rPr>
        <w:t>فهرست الابیات الشعریة و الاراجیز</w:t>
      </w:r>
      <w:bookmarkEnd w:id="217"/>
    </w:p>
    <w:p>
      <w:pPr>
        <w:pStyle w:val="BookText"/>
        <w:rPr/>
      </w:pPr>
      <w:r>
        <w:rPr>
          <w:rFonts w:ascii="Amiri" w:hAnsi="Amiri" w:eastAsia="Amiri" w:cs="Amiri"/>
          <w:color w:val="111111"/>
          <w:sz w:val="28"/>
          <w:sz w:val="28"/>
          <w:szCs w:val="28"/>
          <w:rtl w:val="true"/>
          <w:lang w:bidi="ar-SA"/>
        </w:rPr>
        <w:t>الصورة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27" o:detectmouseclick="t"/>
                <v:stroke color="#3465a4" joinstyle="round" endcap="flat"/>
                <w10:wrap type="none"/>
              </v:shape>
            </w:pict>
          </mc:Fallback>
        </mc:AlternateContent>
      </w:r>
      <w:bookmarkStart w:id="218" w:name="pg15232_165858"/>
    </w:p>
    <w:p>
      <w:pPr>
        <w:pStyle w:val="Heading3"/>
        <w:numPr>
          <w:ilvl w:val="2"/>
          <w:numId w:val="1"/>
        </w:numPr>
        <w:rPr/>
      </w:pPr>
      <w:bookmarkStart w:id="219" w:name="__RefHeading___Toc3547389_2142443653"/>
      <w:bookmarkStart w:id="220" w:name="_Toc74"/>
      <w:bookmarkEnd w:id="218"/>
      <w:bookmarkEnd w:id="219"/>
      <w:r>
        <w:rPr>
          <w:rtl w:val="true"/>
        </w:rPr>
        <w:t>فهرست الاعلام</w:t>
      </w:r>
      <w:bookmarkEnd w:id="220"/>
    </w:p>
    <w:p>
      <w:pPr>
        <w:pStyle w:val="BookText"/>
        <w:rPr/>
      </w:pPr>
      <w:r>
        <w:rPr>
          <w:rFonts w:ascii="Amiri" w:hAnsi="Amiri" w:eastAsia="Amiri" w:cs="Amiri"/>
          <w:color w:val="111111"/>
          <w:sz w:val="28"/>
          <w:sz w:val="28"/>
          <w:szCs w:val="28"/>
          <w:rtl w:val="true"/>
          <w:lang w:bidi="ar-SA"/>
        </w:rPr>
        <w:t>الصورة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8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8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9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0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1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14" o:detectmouseclick="t"/>
                <v:stroke color="#3465a4" joinstyle="round" endcap="flat"/>
                <w10:wrap type="none"/>
              </v:shape>
            </w:pict>
          </mc:Fallback>
        </mc:AlternateContent>
      </w:r>
      <w:bookmarkStart w:id="221" w:name="pg15232_165887"/>
    </w:p>
    <w:p>
      <w:pPr>
        <w:pStyle w:val="Heading3"/>
        <w:numPr>
          <w:ilvl w:val="2"/>
          <w:numId w:val="1"/>
        </w:numPr>
        <w:rPr/>
      </w:pPr>
      <w:bookmarkStart w:id="222" w:name="__RefHeading___Toc3547391_2142443653"/>
      <w:bookmarkStart w:id="223" w:name="_Toc75"/>
      <w:bookmarkEnd w:id="221"/>
      <w:bookmarkEnd w:id="222"/>
      <w:r>
        <w:rPr>
          <w:rtl w:val="true"/>
        </w:rPr>
        <w:t>فهرست الامکنة و البقاع</w:t>
      </w:r>
      <w:bookmarkEnd w:id="223"/>
    </w:p>
    <w:p>
      <w:pPr>
        <w:pStyle w:val="BookText"/>
        <w:rPr/>
      </w:pPr>
      <w:r>
        <w:rPr>
          <w:rFonts w:ascii="Amiri" w:hAnsi="Amiri" w:eastAsia="Amiri" w:cs="Amiri"/>
          <w:color w:val="111111"/>
          <w:sz w:val="28"/>
          <w:sz w:val="28"/>
          <w:szCs w:val="28"/>
          <w:rtl w:val="true"/>
          <w:lang w:bidi="ar-SA"/>
        </w:rPr>
        <w:t>الصورة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1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1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2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2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3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3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35" o:detectmouseclick="t"/>
                <v:stroke color="#3465a4" joinstyle="round" endcap="flat"/>
                <w10:wrap type="none"/>
              </v:shape>
            </w:pict>
          </mc:Fallback>
        </mc:AlternateContent>
      </w:r>
      <w:bookmarkStart w:id="224" w:name="pg15232_165894"/>
    </w:p>
    <w:p>
      <w:pPr>
        <w:pStyle w:val="Heading3"/>
        <w:numPr>
          <w:ilvl w:val="2"/>
          <w:numId w:val="1"/>
        </w:numPr>
        <w:rPr/>
      </w:pPr>
      <w:bookmarkStart w:id="225" w:name="__RefHeading___Toc3547393_2142443653"/>
      <w:bookmarkStart w:id="226" w:name="_Toc76"/>
      <w:bookmarkEnd w:id="224"/>
      <w:bookmarkEnd w:id="225"/>
      <w:r>
        <w:rPr>
          <w:rtl w:val="true"/>
        </w:rPr>
        <w:t>فهرست المک و النحل و الاقوام</w:t>
      </w:r>
      <w:bookmarkEnd w:id="226"/>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4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4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55"/>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5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9" o:detectmouseclick="t"/>
                <v:stroke color="#3465a4" joinstyle="round" endcap="flat"/>
                <w10:wrap type="none"/>
              </v:shape>
            </w:pict>
          </mc:Fallback>
        </mc:AlternateContent>
      </w:r>
      <w:bookmarkStart w:id="227" w:name="pg15232_165902"/>
    </w:p>
    <w:p>
      <w:pPr>
        <w:pStyle w:val="Heading3"/>
        <w:numPr>
          <w:ilvl w:val="2"/>
          <w:numId w:val="1"/>
        </w:numPr>
        <w:rPr/>
      </w:pPr>
      <w:bookmarkStart w:id="228" w:name="__RefHeading___Toc3547395_2142443653"/>
      <w:bookmarkStart w:id="229" w:name="_Toc77"/>
      <w:bookmarkEnd w:id="227"/>
      <w:bookmarkEnd w:id="228"/>
      <w:r>
        <w:rPr>
          <w:rtl w:val="true"/>
        </w:rPr>
        <w:t>فهرس المصادر والمراجع</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 الرحمن</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محمد جواد البلاغي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،العرفان، صيدا، سنة الطبع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p>
    <w:p>
      <w:pPr>
        <w:pStyle w:val="BookText"/>
        <w:rPr/>
      </w:pPr>
      <w:r>
        <w:rPr>
          <w:rFonts w:ascii="Amiri" w:hAnsi="Amiri" w:eastAsia="Amiri" w:cs="Amiri"/>
          <w:color w:val="111111"/>
          <w:sz w:val="28"/>
          <w:sz w:val="28"/>
          <w:szCs w:val="28"/>
          <w:rtl w:val="true"/>
          <w:lang w:bidi="ar-SA"/>
        </w:rPr>
        <w:t xml:space="preserve">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ودار بيروت للطباعة والنشر، سنة الطبع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اتقان المقال في أحوال الرجال</w:t>
      </w:r>
    </w:p>
    <w:p>
      <w:pPr>
        <w:pStyle w:val="BookText"/>
        <w:rPr/>
      </w:pP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العلوية، النجف، سنة الطبع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p>
    <w:p>
      <w:pPr>
        <w:pStyle w:val="BookText"/>
        <w:rPr/>
      </w:pPr>
      <w:r>
        <w:rPr>
          <w:rFonts w:ascii="Amiri" w:hAnsi="Amiri" w:eastAsia="Amiri" w:cs="Amiri"/>
          <w:color w:val="111111"/>
          <w:sz w:val="28"/>
          <w:sz w:val="28"/>
          <w:szCs w:val="28"/>
          <w:rtl w:val="true"/>
          <w:lang w:bidi="ar-SA"/>
        </w:rPr>
        <w:t xml:space="preserve">أبي الحسن علي بن الحسين بن علي المسعودي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النجف الأشرف لم تذكر سنة الطبع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السلطانية والولايات الدينية</w:t>
      </w:r>
    </w:p>
    <w:p>
      <w:pPr>
        <w:pStyle w:val="BookText"/>
        <w:rPr/>
      </w:pPr>
      <w:r>
        <w:rPr>
          <w:rFonts w:ascii="Amiri" w:hAnsi="Amiri" w:eastAsia="Amiri" w:cs="Amiri"/>
          <w:color w:val="111111"/>
          <w:sz w:val="28"/>
          <w:sz w:val="28"/>
          <w:szCs w:val="28"/>
          <w:rtl w:val="true"/>
          <w:lang w:bidi="ar-SA"/>
        </w:rPr>
        <w:t xml:space="preserve">أبو الحسن علي بن محمد بن حبيب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المحمدية، مصر، لم تذكر سنة الطبع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في أصول الأحكام</w:t>
      </w:r>
    </w:p>
    <w:p>
      <w:pPr>
        <w:pStyle w:val="BookText"/>
        <w:rPr/>
      </w:pPr>
      <w:r>
        <w:rPr>
          <w:rFonts w:ascii="Amiri" w:hAnsi="Amiri" w:eastAsia="Amiri" w:cs="Amiri"/>
          <w:color w:val="111111"/>
          <w:sz w:val="28"/>
          <w:sz w:val="28"/>
          <w:szCs w:val="28"/>
          <w:rtl w:val="true"/>
          <w:lang w:bidi="ar-SA"/>
        </w:rPr>
        <w:t xml:space="preserve">أبو الحسن علي بن أبي علي بن محمد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محمد علي صبيح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 xml:space="preserve">أبو بكر احمد بن علي الرازي الجصاص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البهائية، مصر، سنة الطبع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p>
    <w:p>
      <w:pPr>
        <w:pStyle w:val="BookText"/>
        <w:rPr/>
      </w:pPr>
      <w:r>
        <w:rPr>
          <w:rFonts w:ascii="Amiri" w:hAnsi="Amiri" w:eastAsia="Amiri" w:cs="Amiri"/>
          <w:color w:val="111111"/>
          <w:sz w:val="28"/>
          <w:sz w:val="28"/>
          <w:szCs w:val="28"/>
          <w:rtl w:val="true"/>
          <w:lang w:bidi="ar-SA"/>
        </w:rPr>
        <w:t xml:space="preserve">احمد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المنعم ،عامر ، مطبعة عيسى البابي الحلبي، 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p>
    <w:p>
      <w:pPr>
        <w:pStyle w:val="BookText"/>
        <w:rPr/>
      </w:pPr>
      <w:r>
        <w:rPr>
          <w:rFonts w:ascii="Amiri" w:hAnsi="Amiri" w:eastAsia="Amiri" w:cs="Amiri"/>
          <w:color w:val="111111"/>
          <w:sz w:val="28"/>
          <w:sz w:val="28"/>
          <w:szCs w:val="28"/>
          <w:rtl w:val="true"/>
          <w:lang w:bidi="ar-SA"/>
        </w:rPr>
        <w:t xml:space="preserve">الزبير بن بكار، تحقيق سامي مكي العاني مطبعة العاني سنة الطبع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 xml:space="preserve">محمد بن النعمان العكبري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سنة الطبع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p>
    <w:p>
      <w:pPr>
        <w:pStyle w:val="BookText"/>
        <w:rPr/>
      </w:pPr>
      <w:r>
        <w:rPr>
          <w:rFonts w:ascii="Amiri" w:hAnsi="Amiri" w:eastAsia="Amiri" w:cs="Amiri"/>
          <w:color w:val="111111"/>
          <w:sz w:val="28"/>
          <w:sz w:val="28"/>
          <w:szCs w:val="28"/>
          <w:rtl w:val="true"/>
          <w:lang w:bidi="ar-SA"/>
        </w:rPr>
        <w:t xml:space="preserve">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هندية غيط النويي، ،مصر، سنة الطبع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أسماء الأصحاب</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هامش الإصابة في تمييز الصحابة، مطبعة السعادة، مصر، الطبعة الأولى، سنة الطبع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p>
    <w:p>
      <w:pPr>
        <w:pStyle w:val="BookText"/>
        <w:rPr/>
      </w:pPr>
      <w:r>
        <w:rPr>
          <w:rFonts w:ascii="Amiri" w:hAnsi="Amiri" w:eastAsia="Amiri" w:cs="Amiri"/>
          <w:color w:val="111111"/>
          <w:sz w:val="28"/>
          <w:sz w:val="28"/>
          <w:szCs w:val="28"/>
          <w:rtl w:val="true"/>
          <w:lang w:bidi="ar-SA"/>
        </w:rPr>
        <w:t xml:space="preserve">عز الدين أبو الحسن علي بن محمد بن عبد الكريم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الوهبية، مصر، سنة الطبع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الصحة النفسية</w:t>
      </w:r>
    </w:p>
    <w:p>
      <w:pPr>
        <w:pStyle w:val="BookText"/>
        <w:rPr/>
      </w:pPr>
      <w:r>
        <w:rPr>
          <w:rFonts w:ascii="Amiri" w:hAnsi="Amiri" w:eastAsia="Amiri" w:cs="Amiri"/>
          <w:color w:val="111111"/>
          <w:sz w:val="28"/>
          <w:sz w:val="28"/>
          <w:szCs w:val="28"/>
          <w:rtl w:val="true"/>
          <w:lang w:bidi="ar-SA"/>
        </w:rPr>
        <w:t xml:space="preserve">عبد العزيز القوصي مطبعة النهضة المصرية، القاهرة، الطبعة الرابعة سنة الطبع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في أحاديث مختلف المراتب</w:t>
      </w:r>
    </w:p>
    <w:p>
      <w:pPr>
        <w:pStyle w:val="BookText"/>
        <w:rPr/>
      </w:pPr>
      <w:r>
        <w:rPr>
          <w:rFonts w:ascii="Amiri" w:hAnsi="Amiri" w:eastAsia="Amiri" w:cs="Amiri"/>
          <w:color w:val="111111"/>
          <w:sz w:val="28"/>
          <w:sz w:val="28"/>
          <w:szCs w:val="28"/>
          <w:rtl w:val="true"/>
          <w:lang w:bidi="ar-SA"/>
        </w:rPr>
        <w:t>محمد بن السيد 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أحمد، مصر، الطبعة الأولى سنة الطبع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في تمييز الصحابة</w:t>
      </w:r>
    </w:p>
    <w:p>
      <w:pPr>
        <w:pStyle w:val="BookText"/>
        <w:rPr/>
      </w:pPr>
      <w:r>
        <w:rPr>
          <w:rFonts w:ascii="Amiri" w:hAnsi="Amiri" w:eastAsia="Amiri" w:cs="Amiri"/>
          <w:color w:val="111111"/>
          <w:sz w:val="28"/>
          <w:sz w:val="28"/>
          <w:szCs w:val="28"/>
          <w:rtl w:val="true"/>
          <w:lang w:bidi="ar-SA"/>
        </w:rPr>
        <w:t xml:space="preserve">شهاب الدين أبو الفضل أحمد بن علي بن محمد بن محمد بن علي الكناني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الطبعة الأولى سنة الطبع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w:t>
      </w:r>
    </w:p>
    <w:p>
      <w:pPr>
        <w:pStyle w:val="BookText"/>
        <w:rPr/>
      </w:pPr>
      <w:r>
        <w:rPr>
          <w:rFonts w:ascii="Amiri" w:hAnsi="Amiri" w:eastAsia="Amiri" w:cs="Amiri"/>
          <w:color w:val="111111"/>
          <w:sz w:val="28"/>
          <w:sz w:val="28"/>
          <w:szCs w:val="28"/>
          <w:rtl w:val="true"/>
          <w:lang w:bidi="ar-SA"/>
        </w:rPr>
        <w:t xml:space="preserve">محمود أبو رية، مطبعة دار التأليف، مصر، الطبعة الأولى، سنة الطبع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الموقعين عن رب العالمين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أبي بكر المعروف بابن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القاهرة، الطبعة الأولى، سنة الطبع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 xml:space="preserve">عمر رضا كحالة المطبعة الهاشمية دمشق الطبعة الثانية، سنة الطبع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احمد الشنقيطي مطبعة التقدم، مصر، لم تذكر سنة الطبع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 xml:space="preserve">أبو إسماعيل بن القاسم القالي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مصر، الطبعة الثانية، سنة الطبع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 xml:space="preserve">الشريف علي بن الحسين المعروف بالسيد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السعادة، مصر، الطبعة الأولى، سنة الطبع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أبي طالب</w:t>
      </w:r>
    </w:p>
    <w:p>
      <w:pPr>
        <w:pStyle w:val="BookText"/>
        <w:rPr/>
      </w:pPr>
      <w:r>
        <w:rPr>
          <w:rFonts w:ascii="Amiri" w:hAnsi="Amiri" w:eastAsia="Amiri" w:cs="Amiri"/>
          <w:color w:val="111111"/>
          <w:sz w:val="28"/>
          <w:sz w:val="28"/>
          <w:szCs w:val="28"/>
          <w:rtl w:val="true"/>
          <w:lang w:bidi="ar-SA"/>
        </w:rPr>
        <w:t xml:space="preserve">عبد الفتاح عبد المقصود، مطبعة دار الكتب، مصر، سنة الطبع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الامتاع والمؤانسة</w:t>
      </w:r>
    </w:p>
    <w:p>
      <w:pPr>
        <w:pStyle w:val="BookText"/>
        <w:rPr/>
      </w:pP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حدود سنة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أحمد أمين واحمد الزين، مطبع لجنة التأليف والنشر، مصر، سنة الطبع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p>
    <w:p>
      <w:pPr>
        <w:pStyle w:val="BookText"/>
        <w:rPr/>
      </w:pPr>
      <w:r>
        <w:rPr>
          <w:rFonts w:ascii="Amiri" w:hAnsi="Amiri" w:eastAsia="Amiri" w:cs="Amiri"/>
          <w:color w:val="111111"/>
          <w:sz w:val="28"/>
          <w:sz w:val="28"/>
          <w:szCs w:val="28"/>
          <w:rtl w:val="true"/>
          <w:lang w:bidi="ar-SA"/>
        </w:rPr>
        <w:t xml:space="preserve">أحمد بن يحيى بن جابر البلاذري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تحقيق محمد حميد الله، سلسلة ذخائر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مطبعة دار المعارف مصر سنة الطبع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تحقيق محمد باقر المحمودي، مؤسسة الأعلمي، لبنان، الطبعة الأولى سنة الطبع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الرابع والخامس، باعتناء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goltien.d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p>
    <w:p>
      <w:pPr>
        <w:pStyle w:val="BookText"/>
        <w:rPr/>
      </w:pPr>
      <w:r>
        <w:rPr>
          <w:rFonts w:ascii="Amiri" w:hAnsi="Amiri" w:eastAsia="Amiri" w:cs="Amiri"/>
          <w:color w:val="111111"/>
          <w:sz w:val="28"/>
          <w:sz w:val="28"/>
          <w:szCs w:val="28"/>
          <w:rtl w:val="true"/>
          <w:lang w:bidi="ar-SA"/>
        </w:rPr>
        <w:t xml:space="preserve">عماد الدين أبو الفداء اسماعيل بن عمر بن كثير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الطبعة الأولى، سنة الطبع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الشيعة المرتضى </w:t>
      </w:r>
    </w:p>
    <w:p>
      <w:pPr>
        <w:pStyle w:val="BookText"/>
        <w:rPr/>
      </w:pPr>
      <w:r>
        <w:rPr>
          <w:rFonts w:ascii="Amiri" w:hAnsi="Amiri" w:eastAsia="Amiri" w:cs="Amiri"/>
          <w:color w:val="111111"/>
          <w:sz w:val="28"/>
          <w:sz w:val="28"/>
          <w:szCs w:val="28"/>
          <w:rtl w:val="true"/>
          <w:lang w:bidi="ar-SA"/>
        </w:rPr>
        <w:t xml:space="preserve">أبو جعفر محمد بن أبي القاسم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تعرف سنة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الطبعة الثانية، سنة الطبع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 xml:space="preserve">أبو الفضل احمد بن أبي طاهر المعروف بابن طيفور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الاشرف، سنة الطبع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w:t>
      </w:r>
    </w:p>
    <w:p>
      <w:pPr>
        <w:pStyle w:val="BookText"/>
        <w:rPr/>
      </w:pPr>
      <w:r>
        <w:rPr>
          <w:rFonts w:ascii="Amiri" w:hAnsi="Amiri" w:eastAsia="Amiri" w:cs="Amiri"/>
          <w:color w:val="111111"/>
          <w:sz w:val="28"/>
          <w:sz w:val="28"/>
          <w:szCs w:val="28"/>
          <w:rtl w:val="true"/>
          <w:lang w:bidi="ar-SA"/>
        </w:rPr>
        <w:t xml:space="preserve">أبو القاسم الموسوي الخوئي، المطبعة العلمية، النجف، لم تذكر سنة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السندوبي، الطبعة الثانية، المطبعة الرحمانية، مصر، سنة الطبع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تاريخ الطبري</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الحسينية، مصر، الطبعة الأولى، سنة الطبع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Amiri" w:hAnsi="Amiri" w:eastAsia="Amiri" w:cs="Amiri"/>
          <w:color w:val="111111"/>
          <w:sz w:val="28"/>
          <w:sz w:val="28"/>
          <w:szCs w:val="28"/>
          <w:rtl w:val="true"/>
          <w:lang w:bidi="ar-SA"/>
        </w:rPr>
        <w:t xml:space="preserve">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الكتاب العربي، لبنان، لم تذكر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الطبعة الأولى سنة الطبع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الراشدين ودولة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محمد، مصر، لم تذكر سنة الطبع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خليفة بن خياط شباب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أكرم ضياء العمري، مطبعة الآداب النجف الاشرف، الطبعة الأولى سنة الطبع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أبي الكرم محمد بن محمد بن عبد الكريم بن عبد الواحد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المطبعة الأزهرية، سنة الطبع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الحسين بن هبة الله بن عبد الله بن الحسين بن عساكر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روضة الشام، الطبعة الأولى، سنة الطبع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 xml:space="preserve">أحمد بن أبي يعقوب بن وهب الكاتب المعروف بابن واضح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الغري، النجف الاشرف، سنة الطبع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القومية، مصر، سنة الطبع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مشكل القرآن</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احمد صقر، دار إحياء الكتب العربية، لم تذكر سنة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التذكار في أفضل الأذكار</w:t>
      </w:r>
    </w:p>
    <w:p>
      <w:pPr>
        <w:pStyle w:val="BookText"/>
        <w:rPr/>
      </w:pPr>
      <w:r>
        <w:rPr>
          <w:rFonts w:ascii="Amiri" w:hAnsi="Amiri" w:eastAsia="Amiri" w:cs="Amiri"/>
          <w:color w:val="111111"/>
          <w:sz w:val="28"/>
          <w:sz w:val="28"/>
          <w:szCs w:val="28"/>
          <w:rtl w:val="true"/>
          <w:lang w:bidi="ar-SA"/>
        </w:rPr>
        <w:t xml:space="preserve">أبو عبد الله 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بن محمد بن الصديق الغماري، الطبعة الأولى سنة الطبع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 xml:space="preserve">أبو المظفر يوسف شمس الدين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النجف، سنة الطبع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 على الصحيحين</w:t>
      </w:r>
    </w:p>
    <w:p>
      <w:pPr>
        <w:pStyle w:val="BookText"/>
        <w:rPr/>
      </w:pPr>
      <w:r>
        <w:rPr>
          <w:rFonts w:ascii="Amiri" w:hAnsi="Amiri" w:eastAsia="Amiri" w:cs="Amiri"/>
          <w:color w:val="111111"/>
          <w:sz w:val="28"/>
          <w:sz w:val="28"/>
          <w:szCs w:val="28"/>
          <w:rtl w:val="true"/>
          <w:lang w:bidi="ar-SA"/>
        </w:rPr>
        <w:t xml:space="preserve">شمس الدين أبو عبد الله محمد بن احمد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المستدرك، على الصحيحين الطبعة الأولى، مطبعة مجلس دائرة المعارف حيدر آباد سنة الطبع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لتأريخ الفلسفة الإسلامية</w:t>
      </w:r>
    </w:p>
    <w:p>
      <w:pPr>
        <w:pStyle w:val="BookText"/>
        <w:rPr/>
      </w:pPr>
      <w:r>
        <w:rPr>
          <w:rFonts w:ascii="Amiri" w:hAnsi="Amiri" w:eastAsia="Amiri" w:cs="Amiri"/>
          <w:color w:val="111111"/>
          <w:sz w:val="28"/>
          <w:sz w:val="28"/>
          <w:szCs w:val="28"/>
          <w:rtl w:val="true"/>
          <w:lang w:bidi="ar-SA"/>
        </w:rPr>
        <w:t xml:space="preserve">مصطفى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التأليف، مصر، الطبعة الثانية، سنة الطبع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أحوال الرجال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النجف الأشرف، سنة الطبع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المقباس </w:t>
      </w:r>
    </w:p>
    <w:p>
      <w:pPr>
        <w:pStyle w:val="BookText"/>
        <w:rPr/>
      </w:pPr>
      <w:r>
        <w:rPr>
          <w:rFonts w:ascii="Amiri" w:hAnsi="Amiri" w:eastAsia="Amiri" w:cs="Amiri"/>
          <w:color w:val="111111"/>
          <w:sz w:val="28"/>
          <w:sz w:val="28"/>
          <w:szCs w:val="28"/>
          <w:rtl w:val="true"/>
          <w:lang w:bidi="ar-SA"/>
        </w:rPr>
        <w:t xml:space="preserve">هامش الدر المنثور المطبعة الإسلامية، طهران، سنة الطبع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رسائل في إعجاز القرآن</w:t>
      </w:r>
    </w:p>
    <w:p>
      <w:pPr>
        <w:pStyle w:val="BookText"/>
        <w:rPr/>
      </w:pPr>
      <w:r>
        <w:rPr>
          <w:rFonts w:ascii="Amiri" w:hAnsi="Amiri" w:eastAsia="Amiri" w:cs="Amiri"/>
          <w:color w:val="111111"/>
          <w:sz w:val="28"/>
          <w:sz w:val="28"/>
          <w:szCs w:val="28"/>
          <w:rtl w:val="true"/>
          <w:lang w:bidi="ar-SA"/>
        </w:rPr>
        <w:t xml:space="preserve">أبو سليمان محمد بن محمد بن إبراهيم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خلف الله وآخر، سلسلة ذخائر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القرآن</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ألبابي الحلبي، مصر، الطبعة الثانية، سنة الطبع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العرب في عصر العربية الزاهرة</w:t>
      </w:r>
    </w:p>
    <w:p>
      <w:pPr>
        <w:pStyle w:val="BookText"/>
        <w:rPr/>
      </w:pPr>
      <w:r>
        <w:rPr>
          <w:rFonts w:ascii="Amiri" w:hAnsi="Amiri" w:eastAsia="Amiri" w:cs="Amiri"/>
          <w:color w:val="111111"/>
          <w:sz w:val="28"/>
          <w:sz w:val="28"/>
          <w:szCs w:val="28"/>
          <w:rtl w:val="true"/>
          <w:lang w:bidi="ar-SA"/>
        </w:rPr>
        <w:t xml:space="preserve">احمد زكي صفوت، مطبعة مصطفى البابي الحلبي، مصر، سنة الطبع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رسائل العرب في عصور العربية الزاهرة</w:t>
      </w:r>
    </w:p>
    <w:p>
      <w:pPr>
        <w:pStyle w:val="BookText"/>
        <w:rPr/>
      </w:pPr>
      <w:r>
        <w:rPr>
          <w:rFonts w:ascii="Amiri" w:hAnsi="Amiri" w:eastAsia="Amiri" w:cs="Amiri"/>
          <w:color w:val="111111"/>
          <w:sz w:val="28"/>
          <w:sz w:val="28"/>
          <w:szCs w:val="28"/>
          <w:rtl w:val="true"/>
          <w:lang w:bidi="ar-SA"/>
        </w:rPr>
        <w:t xml:space="preserve">احمد زكي صفوت، مطبعة مصطفى البابي الحلبي، مصر، الطبعة الأولى سنة الطبع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حسن المحاضرة في أخبار مصر والقاهرة</w:t>
      </w:r>
    </w:p>
    <w:p>
      <w:pPr>
        <w:pStyle w:val="BookText"/>
        <w:rPr/>
      </w:pPr>
      <w:r>
        <w:rPr>
          <w:rFonts w:ascii="Amiri" w:hAnsi="Amiri" w:eastAsia="Amiri" w:cs="Amiri"/>
          <w:color w:val="111111"/>
          <w:sz w:val="28"/>
          <w:sz w:val="28"/>
          <w:szCs w:val="28"/>
          <w:rtl w:val="true"/>
          <w:lang w:bidi="ar-SA"/>
        </w:rPr>
        <w:t xml:space="preserve">جلال الدين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الموسوعات، مصر، لم تذكر سنة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w:t>
      </w:r>
    </w:p>
    <w:p>
      <w:pPr>
        <w:pStyle w:val="BookText"/>
        <w:rPr/>
      </w:pPr>
      <w:r>
        <w:rPr>
          <w:rFonts w:ascii="Amiri" w:hAnsi="Amiri" w:eastAsia="Amiri" w:cs="Amiri"/>
          <w:color w:val="111111"/>
          <w:sz w:val="28"/>
          <w:sz w:val="28"/>
          <w:szCs w:val="28"/>
          <w:rtl w:val="true"/>
          <w:lang w:bidi="ar-SA"/>
        </w:rPr>
        <w:t>أبو نعيم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الطبعة الأولى، سنة الطبع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p>
    <w:p>
      <w:pPr>
        <w:pStyle w:val="BookText"/>
        <w:rPr/>
      </w:pPr>
      <w:r>
        <w:rPr>
          <w:rFonts w:ascii="Amiri" w:hAnsi="Amiri" w:eastAsia="Amiri" w:cs="Amiri"/>
          <w:color w:val="111111"/>
          <w:sz w:val="28"/>
          <w:sz w:val="28"/>
          <w:szCs w:val="28"/>
          <w:rtl w:val="true"/>
          <w:lang w:bidi="ar-SA"/>
        </w:rPr>
        <w:t xml:space="preserve">أبو عبد الرحمن احمد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التقدم، مصر، سنة الطبع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الكمال في أسماء الرجال</w:t>
      </w:r>
    </w:p>
    <w:p>
      <w:pPr>
        <w:pStyle w:val="BookText"/>
        <w:rPr/>
      </w:pPr>
      <w:r>
        <w:rPr>
          <w:rFonts w:ascii="Amiri" w:hAnsi="Amiri" w:eastAsia="Amiri" w:cs="Amiri"/>
          <w:color w:val="111111"/>
          <w:sz w:val="28"/>
          <w:sz w:val="28"/>
          <w:szCs w:val="28"/>
          <w:rtl w:val="true"/>
          <w:lang w:bidi="ar-SA"/>
        </w:rPr>
        <w:t xml:space="preserve">صفي الدين احمد بن عبد الله الخزرجي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المطبعة الخيرية، الطبعة الأولى، مصر، سنة الطبع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اللاشعور</w:t>
      </w:r>
    </w:p>
    <w:p>
      <w:pPr>
        <w:pStyle w:val="BookText"/>
        <w:rPr/>
      </w:pPr>
      <w:r>
        <w:rPr>
          <w:rFonts w:ascii="Amiri" w:hAnsi="Amiri" w:eastAsia="Amiri" w:cs="Amiri"/>
          <w:color w:val="111111"/>
          <w:sz w:val="28"/>
          <w:sz w:val="28"/>
          <w:szCs w:val="28"/>
          <w:rtl w:val="true"/>
          <w:lang w:bidi="ar-SA"/>
        </w:rPr>
        <w:t xml:space="preserve">علي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تذكر المطبعة، لم تذكر سنة الطبع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دائرة المعارف الإسلامية</w:t>
      </w:r>
    </w:p>
    <w:p>
      <w:pPr>
        <w:pStyle w:val="BookText"/>
        <w:rPr/>
      </w:pPr>
      <w:r>
        <w:rPr>
          <w:rFonts w:ascii="IRNazanin" w:hAnsi="IRNazanin" w:eastAsia="IRNazanin"/>
          <w:color w:val="111111"/>
          <w:sz w:val="28"/>
          <w:sz w:val="28"/>
          <w:szCs w:val="28"/>
          <w:rtl w:val="true"/>
          <w:lang w:bidi="fa-IR"/>
        </w:rPr>
        <w:t xml:space="preserve">إعداد </w:t>
      </w:r>
      <w:r>
        <w:rPr>
          <w:rFonts w:eastAsia="Times New Roman" w:cs="Times New Roman" w:ascii="Times New Roman" w:hAnsi="Times New Roman"/>
          <w:color w:val="111111"/>
          <w:sz w:val="28"/>
          <w:szCs w:val="28"/>
          <w:lang w:val="en-US" w:bidi="en-US"/>
        </w:rPr>
        <w:t>A.A.RGIBB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وآخرون، مطبعة بريل ليدن، سنة الطبع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p>
    <w:p>
      <w:pPr>
        <w:pStyle w:val="BookText"/>
        <w:rPr/>
      </w:pP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طهران، سنة الطبع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 xml:space="preserve">صدر الدين السيد علي خان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سنة الطبع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 xml:space="preserve">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سنة الطبع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الله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القدسي والسعادة، مصر، سنة الطبع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في مناقب العشرة</w:t>
      </w:r>
    </w:p>
    <w:p>
      <w:pPr>
        <w:pStyle w:val="BookText"/>
        <w:rPr/>
      </w:pPr>
      <w:r>
        <w:rPr>
          <w:rFonts w:ascii="Amiri" w:hAnsi="Amiri" w:eastAsia="Amiri" w:cs="Amiri"/>
          <w:color w:val="111111"/>
          <w:sz w:val="28"/>
          <w:sz w:val="28"/>
          <w:szCs w:val="28"/>
          <w:rtl w:val="true"/>
          <w:lang w:bidi="ar-SA"/>
        </w:rPr>
        <w:t xml:space="preserve">أبو جعفر احمد بن عبد الله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التأليف، مصر، سنة الطبع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زاد المعاد في هدى خير العباد</w:t>
      </w:r>
    </w:p>
    <w:p>
      <w:pPr>
        <w:pStyle w:val="BookText"/>
        <w:rPr/>
      </w:pPr>
      <w:r>
        <w:rPr>
          <w:rFonts w:ascii="Amiri" w:hAnsi="Amiri" w:eastAsia="Amiri" w:cs="Amiri"/>
          <w:color w:val="111111"/>
          <w:sz w:val="28"/>
          <w:sz w:val="28"/>
          <w:szCs w:val="28"/>
          <w:rtl w:val="true"/>
          <w:lang w:bidi="ar-SA"/>
        </w:rPr>
        <w:t xml:space="preserve">شمس الدين أبو عبد الله محمد 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مصطفى البابي الحلبي، مصر، سنة الطبع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الآداب وثمرة الألباب</w:t>
      </w:r>
    </w:p>
    <w:p>
      <w:pPr>
        <w:pStyle w:val="BookText"/>
        <w:rPr/>
      </w:pPr>
      <w:r>
        <w:rPr>
          <w:rFonts w:ascii="Amiri" w:hAnsi="Amiri" w:eastAsia="Amiri" w:cs="Amiri"/>
          <w:color w:val="111111"/>
          <w:sz w:val="28"/>
          <w:sz w:val="28"/>
          <w:szCs w:val="28"/>
          <w:rtl w:val="true"/>
          <w:lang w:bidi="ar-SA"/>
        </w:rPr>
        <w:t xml:space="preserve">أبو اسحق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الرحمانية، مصر، الطبعة الثانية، سنة الطبع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الربيع لما فيه من المقال البديع</w:t>
      </w:r>
    </w:p>
    <w:p>
      <w:pPr>
        <w:pStyle w:val="BookText"/>
        <w:rPr/>
      </w:pPr>
      <w:r>
        <w:rPr>
          <w:rFonts w:ascii="Amiri" w:hAnsi="Amiri" w:eastAsia="Amiri" w:cs="Amiri"/>
          <w:color w:val="111111"/>
          <w:sz w:val="28"/>
          <w:sz w:val="28"/>
          <w:szCs w:val="28"/>
          <w:rtl w:val="true"/>
          <w:lang w:bidi="ar-SA"/>
        </w:rPr>
        <w:t xml:space="preserve">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سنة الطبع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العالمين وكشف ما في الدارين</w:t>
      </w:r>
    </w:p>
    <w:p>
      <w:pPr>
        <w:pStyle w:val="BookText"/>
        <w:rPr/>
      </w:pP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الحجر الباهرة، بومبي، سنة الطبع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 xml:space="preserve">أبو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المكتبة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p>
    <w:p>
      <w:pPr>
        <w:pStyle w:val="BookText"/>
        <w:rPr/>
      </w:pPr>
      <w:r>
        <w:rPr>
          <w:rFonts w:ascii="IRNazanin" w:hAnsi="IRNazanin" w:eastAsia="IRNazanin"/>
          <w:color w:val="111111"/>
          <w:sz w:val="28"/>
          <w:sz w:val="28"/>
          <w:szCs w:val="28"/>
          <w:rtl w:val="true"/>
          <w:lang w:bidi="fa-IR"/>
        </w:rPr>
        <w:t xml:space="preserve">أبو بكر احمد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مجلس دائرة المعارف، حیدر آباد، سنة الطبع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أبو عبد الله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التازية، مصر، الطبعة الأولى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p>
    <w:p>
      <w:pPr>
        <w:pStyle w:val="BookText"/>
        <w:rPr/>
      </w:pPr>
      <w:r>
        <w:rPr>
          <w:rFonts w:ascii="Amiri" w:hAnsi="Amiri" w:eastAsia="Amiri" w:cs="Amiri"/>
          <w:color w:val="111111"/>
          <w:sz w:val="28"/>
          <w:sz w:val="28"/>
          <w:szCs w:val="28"/>
          <w:rtl w:val="true"/>
          <w:lang w:bidi="ar-SA"/>
        </w:rPr>
        <w:t xml:space="preserve">أبو عبد الرحمن احمد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الحافظ جلال الدين السيوطي تصحيح حسن محمد المسعودي، المطبعة المصرية بالأزهر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بن عبد 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محمد محي الدين عبد الحميد، مطبعة حجازي، مصر، لم تذكر 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p>
    <w:p>
      <w:pPr>
        <w:pStyle w:val="BookText"/>
        <w:rPr/>
      </w:pPr>
      <w:r>
        <w:rPr>
          <w:rFonts w:ascii="Amiri" w:hAnsi="Amiri" w:eastAsia="Amiri" w:cs="Amiri"/>
          <w:color w:val="111111"/>
          <w:sz w:val="28"/>
          <w:sz w:val="28"/>
          <w:szCs w:val="28"/>
          <w:rtl w:val="true"/>
          <w:lang w:bidi="ar-SA"/>
        </w:rPr>
        <w:t xml:space="preserve">محمد عطية الأبراشي مطبعة دار المعارف، مصر، الطبعة السادسة، سنة الطبع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الفرد العراقي</w:t>
      </w:r>
    </w:p>
    <w:p>
      <w:pPr>
        <w:pStyle w:val="BookText"/>
        <w:rPr/>
      </w:pPr>
      <w:r>
        <w:rPr>
          <w:rFonts w:ascii="Amiri" w:hAnsi="Amiri" w:eastAsia="Amiri" w:cs="Amiri"/>
          <w:color w:val="111111"/>
          <w:sz w:val="28"/>
          <w:sz w:val="28"/>
          <w:szCs w:val="28"/>
          <w:rtl w:val="true"/>
          <w:lang w:bidi="ar-SA"/>
        </w:rPr>
        <w:t xml:space="preserve">علي الوردي مطبعة الرابطة، سنة الطبع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 xml:space="preserve">أبو حامد عبد الحميد بن هبة الله المدائني الشهير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الكتب العربية الكبرى مصر، سنة الطبع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 xml:space="preserve">أبو عبد الله محمد بن إسماعيل بن إبراهيم بن المغيرة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العثمانية، مصر، سنة الطبع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 xml:space="preserve">أبو الحسين 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محمد علي صبيح، مصر، سنة الطبع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البدع والزندقة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احمد بن محمد علي المعروف بابن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المحمدية، مصر، سنة الطبع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 الإسلام</w:t>
      </w:r>
    </w:p>
    <w:p>
      <w:pPr>
        <w:pStyle w:val="BookText"/>
        <w:rPr/>
      </w:pPr>
      <w:r>
        <w:rPr>
          <w:rFonts w:ascii="Amiri" w:hAnsi="Amiri" w:eastAsia="Amiri" w:cs="Amiri"/>
          <w:color w:val="111111"/>
          <w:sz w:val="28"/>
          <w:sz w:val="28"/>
          <w:szCs w:val="28"/>
          <w:rtl w:val="true"/>
          <w:lang w:bidi="ar-SA"/>
        </w:rPr>
        <w:t xml:space="preserve">احمد أمين، مطبعة لجنة التأليف والنشر ، مصر ، الطبعة السابعة، سنة الطبع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w:t>
      </w:r>
    </w:p>
    <w:p>
      <w:pPr>
        <w:pStyle w:val="BookText"/>
        <w:rPr/>
      </w:pPr>
      <w:r>
        <w:rPr>
          <w:rFonts w:ascii="Amiri" w:hAnsi="Amiri" w:eastAsia="Amiri" w:cs="Amiri"/>
          <w:color w:val="111111"/>
          <w:sz w:val="28"/>
          <w:sz w:val="28"/>
          <w:szCs w:val="28"/>
          <w:rtl w:val="true"/>
          <w:lang w:bidi="ar-SA"/>
        </w:rPr>
        <w:t xml:space="preserve">عبد الوهاب بن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الحسينية المصرية، الطبعة الأولى، لم تذكر 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والسياسة</w:t>
      </w:r>
    </w:p>
    <w:p>
      <w:pPr>
        <w:pStyle w:val="BookText"/>
        <w:rPr/>
      </w:pPr>
      <w:r>
        <w:rPr>
          <w:rFonts w:ascii="Amiri" w:hAnsi="Amiri" w:eastAsia="Amiri" w:cs="Amiri"/>
          <w:color w:val="111111"/>
          <w:sz w:val="28"/>
          <w:sz w:val="28"/>
          <w:szCs w:val="28"/>
          <w:rtl w:val="true"/>
          <w:lang w:bidi="ar-SA"/>
        </w:rPr>
        <w:t xml:space="preserve">سعيد الأفغاني، مطبعة لجنة التأليف والنشر، مصر ، الطبعة الثانية، سنة الطبع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 في الإسلام</w:t>
      </w:r>
    </w:p>
    <w:p>
      <w:pPr>
        <w:pStyle w:val="BookText"/>
        <w:rPr/>
      </w:pPr>
      <w:r>
        <w:rPr>
          <w:rFonts w:ascii="Amiri" w:hAnsi="Amiri" w:eastAsia="Amiri" w:cs="Amiri"/>
          <w:color w:val="111111"/>
          <w:sz w:val="28"/>
          <w:sz w:val="28"/>
          <w:szCs w:val="28"/>
          <w:rtl w:val="true"/>
          <w:lang w:bidi="ar-SA"/>
        </w:rPr>
        <w:t xml:space="preserve">سيد قطب، الطبعة الرابعة، دار إحياء الكتب العربية، سنة الطبع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p>
    <w:p>
      <w:pPr>
        <w:pStyle w:val="BookText"/>
        <w:rPr/>
      </w:pPr>
      <w:r>
        <w:rPr>
          <w:rFonts w:ascii="IRNazanin" w:hAnsi="IRNazanin" w:eastAsia="IRNazanin"/>
          <w:color w:val="111111"/>
          <w:sz w:val="28"/>
          <w:sz w:val="28"/>
          <w:szCs w:val="28"/>
          <w:rtl w:val="true"/>
          <w:lang w:bidi="fa-IR"/>
        </w:rPr>
        <w:t xml:space="preserve">شهاب الدین احمد المعروف بابن عبد ربه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سعيد العريان، مطبعة الاستقامة، مصر، الطبعة الثانية سنة الطبع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والمطبعة العامرة، مصر، سنة الطبع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محاسن الشعر وآدابه ونقده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الحسين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 الدين عبد الحميد، مطبعة السعادة، مصر، الطبعة الثانية، سنة الطبع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الكتب المصرية، سنة الطبع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w:t>
      </w:r>
    </w:p>
    <w:p>
      <w:pPr>
        <w:pStyle w:val="BookText"/>
        <w:rPr/>
      </w:pPr>
      <w:r>
        <w:rPr>
          <w:rFonts w:ascii="Amiri" w:hAnsi="Amiri" w:eastAsia="Amiri" w:cs="Amiri"/>
          <w:color w:val="111111"/>
          <w:sz w:val="28"/>
          <w:sz w:val="28"/>
          <w:szCs w:val="28"/>
          <w:rtl w:val="true"/>
          <w:lang w:bidi="ar-SA"/>
        </w:rPr>
        <w:t xml:space="preserve">عبد 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مطبعة الحيدري، طهران، سنة الطبع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حسین، دار المعارف، مصر، سنة الطبع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حسين دار ،المعارف ،مصر، سنة الطبع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p>
    <w:p>
      <w:pPr>
        <w:pStyle w:val="BookText"/>
        <w:rPr/>
      </w:pPr>
      <w:r>
        <w:rPr>
          <w:rFonts w:ascii="Amiri" w:hAnsi="Amiri" w:eastAsia="Amiri" w:cs="Amiri"/>
          <w:color w:val="111111"/>
          <w:sz w:val="28"/>
          <w:sz w:val="28"/>
          <w:szCs w:val="28"/>
          <w:rtl w:val="true"/>
          <w:lang w:bidi="ar-SA"/>
        </w:rPr>
        <w:t xml:space="preserve">أبو محمد احمد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الكتب العلمية، بيروت سنة الطبع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p>
    <w:p>
      <w:pPr>
        <w:pStyle w:val="BookText"/>
        <w:rPr/>
      </w:pP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ومراجعة رضوان محمد رضوان دار الكتب العلمية بيروت سنة الطبع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في الآداب السلطانية والدولة الاسلامية</w:t>
      </w:r>
    </w:p>
    <w:p>
      <w:pPr>
        <w:pStyle w:val="BookText"/>
        <w:rPr/>
      </w:pPr>
      <w:r>
        <w:rPr>
          <w:rFonts w:ascii="Amiri" w:hAnsi="Amiri" w:eastAsia="Amiri" w:cs="Amiri"/>
          <w:color w:val="111111"/>
          <w:sz w:val="28"/>
          <w:sz w:val="28"/>
          <w:szCs w:val="28"/>
          <w:rtl w:val="true"/>
          <w:lang w:bidi="ar-SA"/>
        </w:rPr>
        <w:t xml:space="preserve">محمد بن علي بن طباطبا المعروف بابن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وتنقيح محمد عوض ابراهيم وعلي الجارم مطبعة المعارف، مصر، الطبعة الثانية، سنة الطبع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الحسيني الفيروز أبادي، مطبعة النجف النجف، سنة الطبع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القرآنية</w:t>
      </w:r>
    </w:p>
    <w:p>
      <w:pPr>
        <w:pStyle w:val="BookText"/>
        <w:rPr/>
      </w:pPr>
      <w:r>
        <w:rPr>
          <w:rFonts w:ascii="Amiri" w:hAnsi="Amiri" w:eastAsia="Amiri" w:cs="Amiri"/>
          <w:color w:val="111111"/>
          <w:sz w:val="28"/>
          <w:sz w:val="28"/>
          <w:szCs w:val="28"/>
          <w:rtl w:val="true"/>
          <w:lang w:bidi="ar-SA"/>
        </w:rPr>
        <w:t xml:space="preserve">عباس محمود العقاد، مطبعة لجنة التأليف والنشر، مصر، سنة الطبع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أبو الفرج محمد بن اسحق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الرحمانية، مصر، سنة الطبع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الجاهلي</w:t>
      </w:r>
    </w:p>
    <w:p>
      <w:pPr>
        <w:pStyle w:val="BookText"/>
        <w:rPr/>
      </w:pPr>
      <w:r>
        <w:rPr>
          <w:rFonts w:ascii="Amiri" w:hAnsi="Amiri" w:eastAsia="Amiri" w:cs="Amiri"/>
          <w:color w:val="111111"/>
          <w:sz w:val="28"/>
          <w:sz w:val="28"/>
          <w:szCs w:val="28"/>
          <w:rtl w:val="true"/>
          <w:lang w:bidi="ar-SA"/>
        </w:rPr>
        <w:t xml:space="preserve">طه حسين، دار المعارف، ،مصر، سنة الطبع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w:t>
      </w:r>
    </w:p>
    <w:p>
      <w:pPr>
        <w:pStyle w:val="BookText"/>
        <w:rPr/>
      </w:pPr>
      <w:r>
        <w:rPr>
          <w:rFonts w:ascii="Amiri" w:hAnsi="Amiri" w:eastAsia="Amiri" w:cs="Amiri"/>
          <w:color w:val="111111"/>
          <w:sz w:val="28"/>
          <w:sz w:val="28"/>
          <w:szCs w:val="28"/>
          <w:rtl w:val="true"/>
          <w:lang w:bidi="ar-SA"/>
        </w:rPr>
        <w:t xml:space="preserve">أبو العباس محمد بن يزيد المعروف بالمبرد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محمد، مصر، سنة الطبع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الخراج</w:t>
      </w:r>
    </w:p>
    <w:p>
      <w:pPr>
        <w:pStyle w:val="BookText"/>
        <w:rPr/>
      </w:pPr>
      <w:r>
        <w:rPr>
          <w:rFonts w:ascii="Amiri" w:hAnsi="Amiri" w:eastAsia="Amiri" w:cs="Amiri"/>
          <w:color w:val="111111"/>
          <w:sz w:val="28"/>
          <w:sz w:val="28"/>
          <w:szCs w:val="28"/>
          <w:rtl w:val="true"/>
          <w:lang w:bidi="ar-SA"/>
        </w:rPr>
        <w:t xml:space="preserve">يحيى بن آدم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وشرح احمد محمد شاكر، المطبعة السلفية، مصر، سنة الطبع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يوسف يعقوب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السلفية، مصر، الطبعة الثانية، سنة الطبع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w:t>
      </w:r>
    </w:p>
    <w:p>
      <w:pPr>
        <w:pStyle w:val="BookText"/>
        <w:rPr/>
      </w:pPr>
      <w:r>
        <w:rPr>
          <w:rFonts w:ascii="IRNazanin" w:hAnsi="IRNazanin" w:eastAsia="IRNazanin"/>
          <w:color w:val="111111"/>
          <w:sz w:val="28"/>
          <w:sz w:val="28"/>
          <w:szCs w:val="28"/>
          <w:rtl w:val="true"/>
          <w:lang w:bidi="fa-IR"/>
        </w:rPr>
        <w:t xml:space="preserve">جمال الدين الحسن بن سديد الدين يوسف بن علي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مرسیده بود، طهران، سنة الطبع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w:t>
      </w:r>
    </w:p>
    <w:p>
      <w:pPr>
        <w:pStyle w:val="BookText"/>
        <w:rPr/>
      </w:pPr>
      <w:r>
        <w:rPr>
          <w:rFonts w:ascii="Amiri" w:hAnsi="Amiri" w:eastAsia="Amiri" w:cs="Amiri"/>
          <w:color w:val="111111"/>
          <w:sz w:val="28"/>
          <w:sz w:val="28"/>
          <w:szCs w:val="28"/>
          <w:rtl w:val="true"/>
          <w:lang w:bidi="ar-SA"/>
        </w:rPr>
        <w:t xml:space="preserve">سليم بن قيس الهلالي العامري لم تذكر المطبعة ولا سنة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الكبير</w:t>
      </w:r>
    </w:p>
    <w:p>
      <w:pPr>
        <w:pStyle w:val="BookText"/>
        <w:rPr/>
      </w:pP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ليدن سنة الطبع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العبر وديوان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باعتناء علاء الفاسي ، مطبعة النهضة، مصر، سنة </w:t>
      </w:r>
    </w:p>
    <w:p>
      <w:pPr>
        <w:pStyle w:val="BookText"/>
        <w:rPr/>
      </w:pP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والتاريخ</w:t>
      </w:r>
    </w:p>
    <w:p>
      <w:pPr>
        <w:pStyle w:val="BookText"/>
        <w:rPr/>
      </w:pPr>
      <w:r>
        <w:rPr>
          <w:rFonts w:ascii="Amiri" w:hAnsi="Amiri" w:eastAsia="Amiri" w:cs="Amiri"/>
          <w:color w:val="111111"/>
          <w:sz w:val="28"/>
          <w:sz w:val="28"/>
          <w:szCs w:val="28"/>
          <w:rtl w:val="true"/>
          <w:lang w:bidi="ar-SA"/>
        </w:rPr>
        <w:t xml:space="preserve">يعقوب 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أكرم ضياء العمري، مطبعة الارشاد، بغداد، سنة الطبع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الموضوعات</w:t>
      </w:r>
    </w:p>
    <w:p>
      <w:pPr>
        <w:pStyle w:val="BookText"/>
        <w:rPr/>
      </w:pPr>
      <w:r>
        <w:rPr>
          <w:rFonts w:ascii="Amiri" w:hAnsi="Amiri" w:eastAsia="Amiri" w:cs="Amiri"/>
          <w:color w:val="111111"/>
          <w:sz w:val="28"/>
          <w:sz w:val="28"/>
          <w:szCs w:val="28"/>
          <w:rtl w:val="true"/>
          <w:lang w:bidi="ar-SA"/>
        </w:rPr>
        <w:t xml:space="preserve">أبو الفرج عبد الرحمن بن علي بن الجوزي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المجد، مصر، الطبعة الأولى سنة الطبع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وقعة صفين</w:t>
      </w:r>
    </w:p>
    <w:p>
      <w:pPr>
        <w:pStyle w:val="BookText"/>
        <w:rPr/>
      </w:pP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عبد السلام محمد هارون، مطبعة المؤسسة العربية الحديثة، الطبعة الثانية، سنة الطبع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العربيا، بيروت سنة الطبع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الطنون عن أسامي الكتب والفنون</w:t>
      </w:r>
    </w:p>
    <w:p>
      <w:pPr>
        <w:pStyle w:val="BookText"/>
        <w:rPr/>
      </w:pPr>
      <w:r>
        <w:rPr>
          <w:rFonts w:ascii="Amiri" w:hAnsi="Amiri" w:eastAsia="Amiri" w:cs="Amiri"/>
          <w:color w:val="111111"/>
          <w:sz w:val="28"/>
          <w:sz w:val="28"/>
          <w:szCs w:val="28"/>
          <w:rtl w:val="true"/>
          <w:lang w:bidi="ar-SA"/>
        </w:rPr>
        <w:t xml:space="preserve">مصطفى عبد الله الشهير بحاجي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وكالة المعارف، مصر،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الائمة</w:t>
      </w:r>
    </w:p>
    <w:p>
      <w:pPr>
        <w:pStyle w:val="BookText"/>
        <w:rPr/>
      </w:pPr>
      <w:r>
        <w:rPr>
          <w:rFonts w:ascii="Amiri" w:hAnsi="Amiri" w:eastAsia="Amiri" w:cs="Amiri"/>
          <w:color w:val="111111"/>
          <w:sz w:val="28"/>
          <w:sz w:val="28"/>
          <w:szCs w:val="28"/>
          <w:rtl w:val="true"/>
          <w:lang w:bidi="ar-SA"/>
        </w:rPr>
        <w:t xml:space="preserve">أبو الحسن علي بن السعيد فخر الدين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محمد حسين الطهراني، كربلاء، سنة الطبع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w:t>
      </w:r>
    </w:p>
    <w:p>
      <w:pPr>
        <w:pStyle w:val="BookText"/>
        <w:rPr/>
      </w:pP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الخلافة، طهران، سنة الطبع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p>
    <w:p>
      <w:pPr>
        <w:pStyle w:val="BookText"/>
        <w:rPr/>
      </w:pPr>
      <w:r>
        <w:rPr>
          <w:rFonts w:ascii="IRNazanin" w:hAnsi="IRNazanin" w:eastAsia="IRNazanin"/>
          <w:color w:val="111111"/>
          <w:sz w:val="28"/>
          <w:sz w:val="28"/>
          <w:szCs w:val="28"/>
          <w:rtl w:val="true"/>
          <w:lang w:bidi="fa-IR"/>
        </w:rPr>
        <w:t xml:space="preserve">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المعارف النظامية، حیدر آباد، سنة الطبع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والأسماء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بشر محمد بن أحمد بن حماد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الهند، الطبعة الأولى، سنة الطبع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المصنوعة</w:t>
      </w:r>
    </w:p>
    <w:p>
      <w:pPr>
        <w:pStyle w:val="BookText"/>
        <w:rPr/>
      </w:pP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الأدبية،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 xml:space="preserve">أبو الفضل جمال الدين 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للطباعة، بيروت، سنة الطبع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p>
    <w:p>
      <w:pPr>
        <w:pStyle w:val="BookText"/>
        <w:rPr/>
      </w:pPr>
      <w:r>
        <w:rPr>
          <w:rFonts w:ascii="Amiri" w:hAnsi="Amiri" w:eastAsia="Amiri" w:cs="Amiri"/>
          <w:color w:val="111111"/>
          <w:sz w:val="28"/>
          <w:sz w:val="28"/>
          <w:szCs w:val="28"/>
          <w:rtl w:val="true"/>
          <w:lang w:bidi="ar-SA"/>
        </w:rPr>
        <w:t xml:space="preserve">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المعارف النظامية، الهند، الطبعة الأولى، سنة الطبع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علم النفس العام</w:t>
      </w:r>
    </w:p>
    <w:p>
      <w:pPr>
        <w:pStyle w:val="BookText"/>
        <w:rPr/>
      </w:pPr>
      <w:r>
        <w:rPr>
          <w:rFonts w:ascii="Amiri" w:hAnsi="Amiri" w:eastAsia="Amiri" w:cs="Amiri"/>
          <w:color w:val="111111"/>
          <w:sz w:val="28"/>
          <w:sz w:val="28"/>
          <w:szCs w:val="28"/>
          <w:rtl w:val="true"/>
          <w:lang w:bidi="ar-SA"/>
        </w:rPr>
        <w:t xml:space="preserve">يوسف مراد، مطبعة دار المعارف، الطبعة الأولى، مصر، سنة الطبع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 xml:space="preserve">أبو العباس أحمد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عبد السلام محمد هارون، مطبعة دار المعارف،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الاعتدال</w:t>
      </w:r>
    </w:p>
    <w:p>
      <w:pPr>
        <w:pStyle w:val="BookText"/>
        <w:rPr/>
      </w:pPr>
      <w:r>
        <w:rPr>
          <w:rFonts w:ascii="Amiri" w:hAnsi="Amiri" w:eastAsia="Amiri" w:cs="Amiri"/>
          <w:color w:val="111111"/>
          <w:sz w:val="28"/>
          <w:sz w:val="28"/>
          <w:szCs w:val="28"/>
          <w:rtl w:val="true"/>
          <w:lang w:bidi="ar-SA"/>
        </w:rPr>
        <w:t xml:space="preserve">السنة الرابعة،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علم النفس</w:t>
      </w:r>
    </w:p>
    <w:p>
      <w:pPr>
        <w:pStyle w:val="BookText"/>
        <w:rPr/>
      </w:pPr>
      <w:r>
        <w:rPr>
          <w:rFonts w:ascii="Amiri" w:hAnsi="Amiri" w:eastAsia="Amiri" w:cs="Amiri"/>
          <w:color w:val="111111"/>
          <w:sz w:val="28"/>
          <w:sz w:val="28"/>
          <w:szCs w:val="28"/>
          <w:rtl w:val="true"/>
          <w:lang w:bidi="ar-SA"/>
        </w:rPr>
        <w:t xml:space="preserve">جماعة علم النفس التكاملي، السنة الثالثة،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مطبعة دار المعارف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الكتاب</w:t>
      </w:r>
    </w:p>
    <w:p>
      <w:pPr>
        <w:pStyle w:val="BookText"/>
        <w:rPr/>
      </w:pPr>
      <w:r>
        <w:rPr>
          <w:rFonts w:ascii="Amiri" w:hAnsi="Amiri" w:eastAsia="Amiri" w:cs="Amiri"/>
          <w:color w:val="111111"/>
          <w:sz w:val="28"/>
          <w:sz w:val="28"/>
          <w:szCs w:val="28"/>
          <w:rtl w:val="true"/>
          <w:lang w:bidi="ar-SA"/>
        </w:rPr>
        <w:t xml:space="preserve">السنة الثانية، المجلد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المجمع العلمي العراقي</w:t>
      </w:r>
    </w:p>
    <w:p>
      <w:pPr>
        <w:pStyle w:val="BookText"/>
        <w:rPr/>
      </w:pPr>
      <w:r>
        <w:rPr>
          <w:rFonts w:ascii="Amiri" w:hAnsi="Amiri" w:eastAsia="Amiri" w:cs="Amiri"/>
          <w:color w:val="111111"/>
          <w:sz w:val="28"/>
          <w:sz w:val="28"/>
          <w:szCs w:val="28"/>
          <w:rtl w:val="true"/>
          <w:lang w:bidi="ar-SA"/>
        </w:rPr>
        <w:t xml:space="preserve">الجزء الأول من السنة الأولى، مطبعة التفيض ، بغداد، سنة الطبع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p>
    <w:p>
      <w:pPr>
        <w:pStyle w:val="BookText"/>
        <w:rPr/>
      </w:pP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العرفان، صيدا، سنة الطبع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والأضداد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عثمان عمرو بن بحر بن محبوب الكناني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الطبعة الأولى سنة الطبع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والمساوئ</w:t>
      </w:r>
    </w:p>
    <w:p>
      <w:pPr>
        <w:pStyle w:val="BookText"/>
        <w:rPr/>
      </w:pPr>
      <w:r>
        <w:rPr>
          <w:rFonts w:ascii="Amiri" w:hAnsi="Amiri" w:eastAsia="Amiri" w:cs="Amiri"/>
          <w:color w:val="111111"/>
          <w:sz w:val="28"/>
          <w:sz w:val="28"/>
          <w:szCs w:val="28"/>
          <w:rtl w:val="true"/>
          <w:lang w:bidi="ar-SA"/>
        </w:rPr>
        <w:t xml:space="preserve">إبراهيم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بدر الدين النفساني مطبعة ،السعادة ، مصر ، سنة الطبع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w:t>
      </w:r>
    </w:p>
    <w:p>
      <w:pPr>
        <w:pStyle w:val="BookText"/>
        <w:rPr/>
      </w:pPr>
      <w:r>
        <w:rPr>
          <w:rFonts w:ascii="Amiri" w:hAnsi="Amiri" w:eastAsia="Amiri" w:cs="Amiri"/>
          <w:color w:val="111111"/>
          <w:sz w:val="28"/>
          <w:sz w:val="28"/>
          <w:szCs w:val="28"/>
          <w:rtl w:val="true"/>
          <w:lang w:bidi="ar-SA"/>
        </w:rPr>
        <w:t xml:space="preserve">أبو القاسم الحسين بن المفضل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العامرية الشرفية، سنة الطبع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p>
    <w:p>
      <w:pPr>
        <w:pStyle w:val="BookText"/>
        <w:rPr/>
      </w:pPr>
      <w:r>
        <w:rPr>
          <w:rFonts w:ascii="Amiri" w:hAnsi="Amiri" w:eastAsia="Amiri" w:cs="Amiri"/>
          <w:color w:val="111111"/>
          <w:sz w:val="28"/>
          <w:sz w:val="28"/>
          <w:szCs w:val="28"/>
          <w:rtl w:val="true"/>
          <w:lang w:bidi="ar-SA"/>
        </w:rPr>
        <w:t xml:space="preserve">علي بن الحسين الهاشمي، مطبعة ،سبهر، طهران، سنة الطبع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العرب والتمدن الإسلامي</w:t>
      </w:r>
    </w:p>
    <w:p>
      <w:pPr>
        <w:pStyle w:val="BookText"/>
        <w:rPr/>
      </w:pPr>
      <w:r>
        <w:rPr>
          <w:rFonts w:ascii="Amiri" w:hAnsi="Amiri" w:eastAsia="Amiri" w:cs="Amiri"/>
          <w:color w:val="111111"/>
          <w:sz w:val="28"/>
          <w:sz w:val="28"/>
          <w:szCs w:val="28"/>
          <w:rtl w:val="true"/>
          <w:lang w:bidi="ar-SA"/>
        </w:rPr>
        <w:t xml:space="preserve">أمير علي، نقله الى العربية، رياض رأفت، مطبعة لجنة التأليف والترجمة والنشر، مصر، سنة الطبع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أبي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اسماعيل أبو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المطبعة الحسينية، مصر، سنة الطبع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التفسير الإسلامي</w:t>
      </w:r>
    </w:p>
    <w:p>
      <w:pPr>
        <w:pStyle w:val="BookText"/>
        <w:rPr/>
      </w:pPr>
      <w:r>
        <w:rPr>
          <w:rFonts w:ascii="Amiri" w:hAnsi="Amiri" w:eastAsia="Amiri" w:cs="Amiri"/>
          <w:color w:val="111111"/>
          <w:sz w:val="28"/>
          <w:sz w:val="28"/>
          <w:szCs w:val="28"/>
          <w:rtl w:val="true"/>
          <w:lang w:bidi="ar-SA"/>
        </w:rPr>
        <w:t xml:space="preserve">اجنتس جولد تسيهر ، ترجمة عبد الحميد النجار، المطبعة المحمدية، مصر، سنة الطبع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w:t>
      </w:r>
    </w:p>
    <w:p>
      <w:pPr>
        <w:pStyle w:val="BookText"/>
        <w:rPr/>
      </w:pPr>
      <w:r>
        <w:rPr>
          <w:rFonts w:ascii="Amiri" w:hAnsi="Amiri" w:eastAsia="Amiri" w:cs="Amiri"/>
          <w:color w:val="111111"/>
          <w:sz w:val="28"/>
          <w:sz w:val="28"/>
          <w:szCs w:val="28"/>
          <w:rtl w:val="true"/>
          <w:lang w:bidi="ar-SA"/>
        </w:rPr>
        <w:t xml:space="preserve">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ومراجعة وضبط محمد محي الدين عبد الحميد، لم تذكر المطبعة ولا سنة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في الحديث</w:t>
      </w:r>
    </w:p>
    <w:p>
      <w:pPr>
        <w:pStyle w:val="BookText"/>
        <w:rPr/>
      </w:pPr>
      <w:r>
        <w:rPr>
          <w:rFonts w:ascii="Amiri" w:hAnsi="Amiri" w:eastAsia="Amiri" w:cs="Amiri"/>
          <w:color w:val="111111"/>
          <w:sz w:val="28"/>
          <w:sz w:val="28"/>
          <w:szCs w:val="28"/>
          <w:rtl w:val="true"/>
          <w:lang w:bidi="ar-SA"/>
        </w:rPr>
        <w:t xml:space="preserve">أبو عبد الله محمد بن عبد الله المعروف بالحاكم النيسابوري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دائرة المعارف النظامية، حيدر آباد، الطبعة الأولى، سنة الطبع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p>
    <w:p>
      <w:pPr>
        <w:pStyle w:val="BookText"/>
        <w:rPr/>
      </w:pPr>
      <w:r>
        <w:rPr>
          <w:rFonts w:ascii="Amiri" w:hAnsi="Amiri" w:eastAsia="Amiri" w:cs="Amiri"/>
          <w:color w:val="111111"/>
          <w:sz w:val="28"/>
          <w:sz w:val="28"/>
          <w:szCs w:val="28"/>
          <w:rtl w:val="true"/>
          <w:lang w:bidi="ar-SA"/>
        </w:rPr>
        <w:t xml:space="preserve">أحمد بن حنبل الشيباني المروزي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مطبعة دار المعارف، مصر، سنة الطبع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والمطبعة الميمنية، مصر ، سنة الطبع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عبد الله بن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آرثر جفري، الطبعة الأولى، المطبعة الرحمانية، مصر، سنة الطبع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التشريع الإسلامي فيما لا نص فيه</w:t>
      </w:r>
    </w:p>
    <w:p>
      <w:pPr>
        <w:pStyle w:val="BookText"/>
        <w:rPr/>
      </w:pPr>
      <w:r>
        <w:rPr>
          <w:rFonts w:ascii="Amiri" w:hAnsi="Amiri" w:eastAsia="Amiri" w:cs="Amiri"/>
          <w:color w:val="111111"/>
          <w:sz w:val="28"/>
          <w:sz w:val="28"/>
          <w:szCs w:val="28"/>
          <w:rtl w:val="true"/>
          <w:lang w:bidi="ar-SA"/>
        </w:rPr>
        <w:t xml:space="preserve">عبد الوهاب خلاف مطابع دار الكتاب العربي، مصر، سنة الطبع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في الميزان</w:t>
      </w:r>
    </w:p>
    <w:p>
      <w:pPr>
        <w:pStyle w:val="BookText"/>
        <w:rPr/>
      </w:pP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الهلال الطبعة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p>
    <w:p>
      <w:pPr>
        <w:pStyle w:val="BookText"/>
        <w:rPr/>
      </w:pPr>
      <w:r>
        <w:rPr>
          <w:rFonts w:ascii="Amiri" w:hAnsi="Amiri" w:eastAsia="Amiri" w:cs="Amiri"/>
          <w:color w:val="111111"/>
          <w:sz w:val="28"/>
          <w:sz w:val="28"/>
          <w:szCs w:val="28"/>
          <w:rtl w:val="true"/>
          <w:lang w:bidi="ar-SA"/>
        </w:rPr>
        <w:t xml:space="preserve">شهاب الدين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الأسدي، طهران، سنة الطبع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أخبار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المصطفوية، بمبي بائي دهنوي، سنة الطبع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الطالبييين</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 تحقيق أحمد صقر، دار المعرفة للطباعة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في علوم القرآن</w:t>
      </w:r>
    </w:p>
    <w:p>
      <w:pPr>
        <w:pStyle w:val="BookText"/>
        <w:rPr/>
      </w:pPr>
      <w:r>
        <w:rPr>
          <w:rFonts w:ascii="Amiri" w:hAnsi="Amiri" w:eastAsia="Amiri" w:cs="Amiri"/>
          <w:color w:val="111111"/>
          <w:sz w:val="28"/>
          <w:sz w:val="28"/>
          <w:szCs w:val="28"/>
          <w:rtl w:val="true"/>
          <w:lang w:bidi="ar-SA"/>
        </w:rPr>
        <w:t xml:space="preserve">عبد الحق بن عطية تصحيح آرثر جفري، مطبعة دار الصاوي، القاهرة، الطبعة الثانية، سنة الطبع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p>
    <w:p>
      <w:pPr>
        <w:pStyle w:val="BookText"/>
        <w:rPr/>
      </w:pPr>
      <w:r>
        <w:rPr>
          <w:rFonts w:ascii="Amiri" w:hAnsi="Amiri" w:eastAsia="Amiri" w:cs="Amiri"/>
          <w:color w:val="111111"/>
          <w:sz w:val="28"/>
          <w:sz w:val="28"/>
          <w:szCs w:val="28"/>
          <w:rtl w:val="true"/>
          <w:lang w:bidi="ar-SA"/>
        </w:rPr>
        <w:t xml:space="preserve">رضي الدين أبو نصر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علاء الدين العلوي الطالقاني، مطبعة النعمان النجف، لم تذكر سنة الطبع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pStyle w:val="BookText"/>
        <w:rPr/>
      </w:pPr>
      <w:r>
        <w:rPr>
          <w:rFonts w:ascii="Amiri" w:hAnsi="Amiri" w:eastAsia="Amiri" w:cs="Amiri"/>
          <w:color w:val="111111"/>
          <w:sz w:val="28"/>
          <w:sz w:val="28"/>
          <w:szCs w:val="28"/>
          <w:rtl w:val="true"/>
          <w:lang w:bidi="ar-SA"/>
        </w:rPr>
        <w:t xml:space="preserve">أبو الفتح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مطبعة حجازي،مصر، سنة الطبع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حنيفة</w:t>
      </w:r>
    </w:p>
    <w:p>
      <w:pPr>
        <w:pStyle w:val="BookText"/>
        <w:rPr/>
      </w:pPr>
      <w:r>
        <w:rPr>
          <w:rFonts w:ascii="Amiri" w:hAnsi="Amiri" w:eastAsia="Amiri" w:cs="Amiri"/>
          <w:color w:val="111111"/>
          <w:sz w:val="28"/>
          <w:sz w:val="28"/>
          <w:szCs w:val="28"/>
          <w:rtl w:val="true"/>
          <w:lang w:bidi="ar-SA"/>
        </w:rPr>
        <w:t xml:space="preserve">محمد بن محمد بن شهاب المعروف بابن البزاز الكردري ، ت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دائرة المعارف</w:t>
      </w:r>
    </w:p>
    <w:p>
      <w:pPr>
        <w:pStyle w:val="BookText"/>
        <w:rPr/>
      </w:pPr>
      <w:r>
        <w:rPr>
          <w:rFonts w:ascii="Amiri" w:hAnsi="Amiri" w:eastAsia="Amiri" w:cs="Amiri"/>
          <w:color w:val="111111"/>
          <w:sz w:val="28"/>
          <w:sz w:val="28"/>
          <w:szCs w:val="28"/>
          <w:rtl w:val="true"/>
          <w:lang w:bidi="ar-SA"/>
        </w:rPr>
        <w:t xml:space="preserve">النظامية حيدر آباد سنة الطبع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حنيفة</w:t>
      </w:r>
    </w:p>
    <w:p>
      <w:pPr>
        <w:pStyle w:val="BookText"/>
        <w:rPr/>
      </w:pPr>
      <w:r>
        <w:rPr>
          <w:rFonts w:ascii="Amiri" w:hAnsi="Amiri" w:eastAsia="Amiri" w:cs="Amiri"/>
          <w:color w:val="111111"/>
          <w:sz w:val="28"/>
          <w:sz w:val="28"/>
          <w:szCs w:val="28"/>
          <w:rtl w:val="true"/>
          <w:lang w:bidi="ar-SA"/>
        </w:rPr>
        <w:t xml:space="preserve">أبو مؤيد الإمام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حيدر آباد، الطبعة الأولى، سنة الطبع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p>
    <w:p>
      <w:pPr>
        <w:pStyle w:val="BookText"/>
        <w:rPr/>
      </w:pPr>
      <w:r>
        <w:rPr>
          <w:rFonts w:ascii="Amiri" w:hAnsi="Amiri" w:eastAsia="Amiri" w:cs="Amiri"/>
          <w:color w:val="111111"/>
          <w:sz w:val="28"/>
          <w:sz w:val="28"/>
          <w:szCs w:val="28"/>
          <w:rtl w:val="true"/>
          <w:lang w:bidi="ar-SA"/>
        </w:rPr>
        <w:t xml:space="preserve">أبو المؤيد الموفق بن أحمد البكري المكي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البحث عند مفكري الإسلام</w:t>
      </w:r>
    </w:p>
    <w:p>
      <w:pPr>
        <w:pStyle w:val="BookText"/>
        <w:rPr/>
      </w:pPr>
      <w:r>
        <w:rPr>
          <w:rFonts w:ascii="Amiri" w:hAnsi="Amiri" w:eastAsia="Amiri" w:cs="Amiri"/>
          <w:color w:val="111111"/>
          <w:sz w:val="28"/>
          <w:sz w:val="28"/>
          <w:szCs w:val="28"/>
          <w:rtl w:val="true"/>
          <w:lang w:bidi="ar-SA"/>
        </w:rPr>
        <w:t xml:space="preserve">علي سامي النشار، دار المعارف، مصر، الطبعة الثانية، سنة الطبع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العرفان في علوم القرآن</w:t>
      </w:r>
    </w:p>
    <w:p>
      <w:pPr>
        <w:pStyle w:val="BookText"/>
        <w:rPr/>
      </w:pPr>
      <w:r>
        <w:rPr>
          <w:rFonts w:ascii="Amiri" w:hAnsi="Amiri" w:eastAsia="Amiri" w:cs="Amiri"/>
          <w:color w:val="111111"/>
          <w:sz w:val="28"/>
          <w:sz w:val="28"/>
          <w:szCs w:val="28"/>
          <w:rtl w:val="true"/>
          <w:lang w:bidi="ar-SA"/>
        </w:rPr>
        <w:t xml:space="preserve">محمد عبد العظيم الزرقاني، مطبعة عيسى البابي الطبعة الثانية، سنة الطبع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بن محمد البجاوي، مطبعة عيسى البابي الحلبي، الطبعة الأولى، سنة الطبع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الناسخ والمنسوخ</w:t>
      </w:r>
    </w:p>
    <w:p>
      <w:pPr>
        <w:pStyle w:val="BookText"/>
        <w:rPr/>
      </w:pPr>
      <w:r>
        <w:rPr>
          <w:rFonts w:ascii="Amiri" w:hAnsi="Amiri" w:eastAsia="Amiri" w:cs="Amiri"/>
          <w:color w:val="111111"/>
          <w:sz w:val="28"/>
          <w:sz w:val="28"/>
          <w:szCs w:val="28"/>
          <w:rtl w:val="true"/>
          <w:lang w:bidi="ar-SA"/>
        </w:rPr>
        <w:t xml:space="preserve">أبو القاسم هبة الله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مصطفى البابي الحلبي، مصر، سنة الطبع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والتخاصم فيما بين بني أمية وبني هاشم</w:t>
      </w:r>
    </w:p>
    <w:p>
      <w:pPr>
        <w:pStyle w:val="BookText"/>
        <w:rPr/>
      </w:pPr>
      <w:r>
        <w:rPr>
          <w:rFonts w:ascii="Amiri" w:hAnsi="Amiri" w:eastAsia="Amiri" w:cs="Amiri"/>
          <w:color w:val="111111"/>
          <w:sz w:val="28"/>
          <w:sz w:val="28"/>
          <w:szCs w:val="28"/>
          <w:rtl w:val="true"/>
          <w:lang w:bidi="ar-SA"/>
        </w:rPr>
        <w:t xml:space="preserve">أبو محمد أحمد بن علي بن عبد القادر بن محمد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الشافعي، المطبعة الابراهيمية ، ،مصر، سنة الطبع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w:t>
      </w:r>
    </w:p>
    <w:p>
      <w:pPr>
        <w:pStyle w:val="BookText"/>
        <w:rPr/>
      </w:pPr>
      <w:r>
        <w:rPr>
          <w:rFonts w:ascii="Amiri" w:hAnsi="Amiri" w:eastAsia="Amiri" w:cs="Amiri"/>
          <w:color w:val="111111"/>
          <w:sz w:val="28"/>
          <w:sz w:val="28"/>
          <w:szCs w:val="28"/>
          <w:rtl w:val="true"/>
          <w:lang w:bidi="ar-SA"/>
        </w:rPr>
        <w:t xml:space="preserve">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بيروت، الطبعة الرابعة، سنة الطبع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الكافية لمن يتولى معاوية</w:t>
      </w:r>
    </w:p>
    <w:p>
      <w:pPr>
        <w:pStyle w:val="BookText"/>
        <w:rPr/>
      </w:pPr>
      <w:r>
        <w:rPr>
          <w:rFonts w:ascii="Amiri" w:hAnsi="Amiri" w:eastAsia="Amiri" w:cs="Amiri"/>
          <w:color w:val="111111"/>
          <w:sz w:val="28"/>
          <w:sz w:val="28"/>
          <w:szCs w:val="28"/>
          <w:rtl w:val="true"/>
          <w:lang w:bidi="ar-SA"/>
        </w:rPr>
        <w:t xml:space="preserve">محمد بن عقيل بن عبد الله بن عمر بن يحيى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النجاح، بغداد، الطبعة الثانية سنة الطبع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الهميان في نكت العميان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الدين الخليل بن أبيك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تذكر المطبعة، لم تذكر سنة الطبع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مجد الدين بن محمد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العثمانية، مصر، </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p>
    <w:p>
      <w:pPr>
        <w:pStyle w:val="BookText"/>
        <w:rPr/>
      </w:pPr>
      <w:r>
        <w:rPr>
          <w:rFonts w:ascii="Amiri" w:hAnsi="Amiri" w:eastAsia="Amiri" w:cs="Amiri"/>
          <w:color w:val="111111"/>
          <w:sz w:val="28"/>
          <w:sz w:val="28"/>
          <w:szCs w:val="28"/>
          <w:rtl w:val="true"/>
          <w:lang w:bidi="ar-SA"/>
        </w:rPr>
        <w:t xml:space="preserve">الشبلنجي المدعو بمؤمن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الميمنية، مصر، سنة الطبع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مطبوعاتي اسماعيليان، طهران، سنة الطبع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وعاظ السلاطين</w:t>
      </w:r>
    </w:p>
    <w:p>
      <w:pPr>
        <w:pStyle w:val="BookText"/>
        <w:rPr/>
      </w:pPr>
      <w:r>
        <w:rPr>
          <w:rFonts w:ascii="Amiri" w:hAnsi="Amiri" w:eastAsia="Amiri" w:cs="Amiri"/>
          <w:color w:val="111111"/>
          <w:sz w:val="28"/>
          <w:sz w:val="28"/>
          <w:szCs w:val="28"/>
          <w:rtl w:val="true"/>
          <w:lang w:bidi="ar-SA"/>
        </w:rPr>
        <w:t xml:space="preserve">علي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تذكر المطبعة، لم تذكر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وأنباء أبناء الزمان</w:t>
      </w:r>
    </w:p>
    <w:p>
      <w:pPr>
        <w:pStyle w:val="BookText"/>
        <w:rPr/>
      </w:pPr>
      <w:r>
        <w:rPr>
          <w:rFonts w:ascii="Amiri" w:hAnsi="Amiri" w:eastAsia="Amiri" w:cs="Amiri"/>
          <w:color w:val="111111"/>
          <w:sz w:val="28"/>
          <w:sz w:val="28"/>
          <w:szCs w:val="28"/>
          <w:rtl w:val="true"/>
          <w:lang w:bidi="ar-SA"/>
        </w:rPr>
        <w:t xml:space="preserve">القاضي أحمد المعروف بابن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الميمنية، مصر، سنة الطبع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الحسيني البلخي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،العرفان، صيدا</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232_165921"/>
      <w:bookmarkStart w:id="231" w:name="pg15232_165921"/>
      <w:bookmarkEnd w:id="23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pg15232_165921"/>
      <w:bookmarkStart w:id="233" w:name="__RefHeading___Toc3547397_2142443653"/>
      <w:bookmarkStart w:id="234" w:name="_Toc78"/>
      <w:bookmarkEnd w:id="232"/>
      <w:bookmarkEnd w:id="233"/>
      <w:r>
        <w:rPr>
          <w:rtl w:val="true"/>
        </w:rPr>
        <w:t>المحتويات</w:t>
      </w:r>
      <w:bookmarkEnd w:id="23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الشخصية وعناصرها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الجسمية والمزاجية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استعداداته الفطرية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علائقه بربه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عبادته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علائقه بمجتمعه وبيئته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المشاركة الوجدانية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الغيرية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علائقه بذاته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قدراته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الألمعية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النبوغ</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مصحف ابن عباس</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التحريف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اختلاف القراءات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شبه حول القرآن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ثروته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الإفتاء والمرجعية، ومدى توفّرها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التشريع التي يعتمدها في فتاواه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الخليفتين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اجتهاد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طابع مدرسته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مسح الأرجل</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التقصير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المتعة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الطلاق الثلاث</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مسألة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مسألة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تدوين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رأيه في بعض المسائل الغريبة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والتأريخ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والتقييم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رصيده من حفظ ووعي التجارب الأدبية لسابقيه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نتاجه الأدبي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والمناظرة والرسائل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القصصي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فهرس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فهرس الأبيات الشعرية والأراجيز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الأمكنة والبقاع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الملك والنحل والأقوام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مبايء علم النفس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مراد، مطبعة المعارف، مصر، سنة الطبع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الفرد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الرابطة، بغداد سنة الطبع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شخصية الفرد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أسس الصحة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النهضة المصرية،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القدسي والسعادة، مصر، سنة الطبع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الكتب المصريّة، سنة الطبع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المعارف حیدر آباد،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علم النفس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الصحة النفسية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 مصر،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سعيد العريان، مطبعة الاستقامة ،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أمين وآخر، مطبعة لجنة التأليف، مصر، سنة الطبع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 تصحيح أحمد الشنقيطي، مطبعة التقدم، مصر،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حسن السندوبي، المطبعة الرحمانية،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أدوارد نخو، مطبعة ليدن سنة الطبع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حميد الله ، دار المعارف، مصر، سنة الطبع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العثمانية، مصر، سنة الطبع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حمض</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عطية الأبراشي، مطبعة دار المعارف، مصر،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النفس العام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الوهبية، مصر، سنة الطبع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علم النفس العام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طبقات ابن سد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مذاهب التفسير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الحميد النجار، المطبعة المحمدية، مصر، سنة الطبع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والتأريخ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عشر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السنة المحمديّة ، مصر ، سنة الطبع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الصحة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آرثر جفري، المطبعة الرحمانية،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مقدمات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مشكل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أحمد صقر ، دار إحياء الكتب،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حجازي، القاهرة، سنة الطبع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آلاء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سنة الطبع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الراغب الأصفهاني</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البابي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النجف،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مقدمتان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آرثر جفري، مطبعة دار الصاوي،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تأويل مشكل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محمد علي صبيح، مصر، سنة الطبع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Pr>
        <w:t>456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وتعليق أحمد بن محمد بن الصديق، لم تذكر المطبعة،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وكالة المعارف، مصر، سنة الطبع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رشيق تحقيق محمد محي الدين عبد الحميد، مطبعة حجازي،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مصر، سنة الطبع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الأدب الجاهلي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مصر، سنة الطبع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مجلس دائرة المعارف حیدر آباد، سنة الطبع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في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خلف الله وآخر، سلسلة ذخائر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المعارف،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عند مفكري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لتأريخ الفلسفة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مطبعة دار الخلافة، طهران، سنة الطبع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الطبري</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العثمانية، مصر، سنة الطبع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اللغة والأدب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العربيّة، مصر، سنة الطبع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سنة الطبع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الرحمانية، مصر، سنة الطبع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تنوير المقباس هامش الدر المنشور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الإسلامية، طهران، سنة الطبع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تنوير المقياس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ثلاث رسائل في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سنة الطبع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المعارف النظاميّة، الهند،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مرسيده بود طهران سنة الطبع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المرتضويّة، النجف، سنة الطبع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التحرير لابن طاووس</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العلوية، النجف، سنة الطبع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لجنة التأليف والنشر ،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الحسينية،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الأسدي طهران سنة الطبع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حوأب</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محمد البجاوي، مطبعة عيسى البابي،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الخيرية،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المجمع العلمي العراقي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544:3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الخراج ليحيى بن آدم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وشرح أحمد محمد شاكر، المطبعة السلفية، مصر، سنة الطبع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أحمد محمد شاكر ، دار المعارف، مصر، سنة الطبع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الخراج ليحيى بن آدم القرشي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وفهرسة أحمد محمد شاکر، دار المعارف، ،مصر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3062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التأليف، مصر،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تمهيد لتأريخ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سنة الطبع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طهران سنة الطبع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تمهيد لتأريخ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5716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تهذيب التهذيب</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طهران، سنة الطبع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والأشربة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محمد علي صبيح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القاهرة،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طهران،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فيما لا نص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مصر ، سنة الطبع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النظامية، حيدر آباد سنة الطبع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التازية،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 مصر ، سنة الطبع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تلخيص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حسن محمد المسعودي، المطبعة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فؤاد عبد الباقي، المكتبة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824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مصر، سنة الطبع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تفسير القرطبي</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البهية، مصر، سنة الطبع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الفلسفة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لجنة التأليف والنشر، مصر، سنة الطبع،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الناسخ والمنسوخ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سنة الطبع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البغوي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الناسخ والمنسوخ</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الحاكم في علوم الحديث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حيدر آباد سنة الطبع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نقلان عن العيني في عمدة القاري</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السلفية،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لتأريخ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المجمع العلمي العراقي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ابن قتيبة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من فحش القول</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حجازي،مصر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3.jpeg"/><Relationship Id="rId191" Type="http://schemas.openxmlformats.org/officeDocument/2006/relationships/image" Target="media/image3.jpeg"/><Relationship Id="rId192" Type="http://schemas.openxmlformats.org/officeDocument/2006/relationships/footer" Target="footer185.xml"/><Relationship Id="rId193" Type="http://schemas.openxmlformats.org/officeDocument/2006/relationships/image" Target="media/image4.jpeg"/><Relationship Id="rId194" Type="http://schemas.openxmlformats.org/officeDocument/2006/relationships/image" Target="media/image4.jpeg"/><Relationship Id="rId195" Type="http://schemas.openxmlformats.org/officeDocument/2006/relationships/footer" Target="footer186.xml"/><Relationship Id="rId196" Type="http://schemas.openxmlformats.org/officeDocument/2006/relationships/image" Target="media/image5.jpeg"/><Relationship Id="rId197" Type="http://schemas.openxmlformats.org/officeDocument/2006/relationships/image" Target="media/image5.jpeg"/><Relationship Id="rId198" Type="http://schemas.openxmlformats.org/officeDocument/2006/relationships/footer" Target="footer187.xml"/><Relationship Id="rId199" Type="http://schemas.openxmlformats.org/officeDocument/2006/relationships/image" Target="media/image6.jpeg"/><Relationship Id="rId200" Type="http://schemas.openxmlformats.org/officeDocument/2006/relationships/image" Target="media/image6.jpeg"/><Relationship Id="rId201" Type="http://schemas.openxmlformats.org/officeDocument/2006/relationships/footer" Target="footer188.xml"/><Relationship Id="rId202" Type="http://schemas.openxmlformats.org/officeDocument/2006/relationships/image" Target="media/image7.jpeg"/><Relationship Id="rId203" Type="http://schemas.openxmlformats.org/officeDocument/2006/relationships/image" Target="media/image7.jpeg"/><Relationship Id="rId204" Type="http://schemas.openxmlformats.org/officeDocument/2006/relationships/footer" Target="footer189.xml"/><Relationship Id="rId205" Type="http://schemas.openxmlformats.org/officeDocument/2006/relationships/image" Target="media/image8.jpeg"/><Relationship Id="rId206" Type="http://schemas.openxmlformats.org/officeDocument/2006/relationships/image" Target="media/image8.jpeg"/><Relationship Id="rId207" Type="http://schemas.openxmlformats.org/officeDocument/2006/relationships/footer" Target="footer190.xml"/><Relationship Id="rId208" Type="http://schemas.openxmlformats.org/officeDocument/2006/relationships/image" Target="media/image9.jpeg"/><Relationship Id="rId209" Type="http://schemas.openxmlformats.org/officeDocument/2006/relationships/image" Target="media/image9.jpeg"/><Relationship Id="rId210" Type="http://schemas.openxmlformats.org/officeDocument/2006/relationships/footer" Target="footer191.xml"/><Relationship Id="rId211" Type="http://schemas.openxmlformats.org/officeDocument/2006/relationships/image" Target="media/image10.jpeg"/><Relationship Id="rId212" Type="http://schemas.openxmlformats.org/officeDocument/2006/relationships/image" Target="media/image10.jpeg"/><Relationship Id="rId213" Type="http://schemas.openxmlformats.org/officeDocument/2006/relationships/footer" Target="footer192.xml"/><Relationship Id="rId214" Type="http://schemas.openxmlformats.org/officeDocument/2006/relationships/image" Target="media/image11.jpeg"/><Relationship Id="rId215" Type="http://schemas.openxmlformats.org/officeDocument/2006/relationships/image" Target="media/image11.jpeg"/><Relationship Id="rId216" Type="http://schemas.openxmlformats.org/officeDocument/2006/relationships/footer" Target="footer193.xml"/><Relationship Id="rId217" Type="http://schemas.openxmlformats.org/officeDocument/2006/relationships/image" Target="media/image12.jpeg"/><Relationship Id="rId218" Type="http://schemas.openxmlformats.org/officeDocument/2006/relationships/image" Target="media/image12.jpeg"/><Relationship Id="rId219" Type="http://schemas.openxmlformats.org/officeDocument/2006/relationships/footer" Target="footer194.xml"/><Relationship Id="rId220" Type="http://schemas.openxmlformats.org/officeDocument/2006/relationships/image" Target="media/image13.jpeg"/><Relationship Id="rId221" Type="http://schemas.openxmlformats.org/officeDocument/2006/relationships/image" Target="media/image13.jpeg"/><Relationship Id="rId222" Type="http://schemas.openxmlformats.org/officeDocument/2006/relationships/footer" Target="footer195.xml"/><Relationship Id="rId223" Type="http://schemas.openxmlformats.org/officeDocument/2006/relationships/image" Target="media/image14.jpeg"/><Relationship Id="rId224" Type="http://schemas.openxmlformats.org/officeDocument/2006/relationships/image" Target="media/image14.jpeg"/><Relationship Id="rId225" Type="http://schemas.openxmlformats.org/officeDocument/2006/relationships/footer" Target="footer196.xml"/><Relationship Id="rId226" Type="http://schemas.openxmlformats.org/officeDocument/2006/relationships/image" Target="media/image15.jpeg"/><Relationship Id="rId227" Type="http://schemas.openxmlformats.org/officeDocument/2006/relationships/image" Target="media/image15.jpeg"/><Relationship Id="rId228" Type="http://schemas.openxmlformats.org/officeDocument/2006/relationships/footer" Target="footer197.xml"/><Relationship Id="rId229" Type="http://schemas.openxmlformats.org/officeDocument/2006/relationships/image" Target="media/image16.jpeg"/><Relationship Id="rId230" Type="http://schemas.openxmlformats.org/officeDocument/2006/relationships/image" Target="media/image16.jpeg"/><Relationship Id="rId231" Type="http://schemas.openxmlformats.org/officeDocument/2006/relationships/footer" Target="footer198.xml"/><Relationship Id="rId232" Type="http://schemas.openxmlformats.org/officeDocument/2006/relationships/image" Target="media/image17.jpeg"/><Relationship Id="rId233" Type="http://schemas.openxmlformats.org/officeDocument/2006/relationships/image" Target="media/image17.jpeg"/><Relationship Id="rId234" Type="http://schemas.openxmlformats.org/officeDocument/2006/relationships/footer" Target="footer199.xml"/><Relationship Id="rId235" Type="http://schemas.openxmlformats.org/officeDocument/2006/relationships/image" Target="media/image18.jpeg"/><Relationship Id="rId236" Type="http://schemas.openxmlformats.org/officeDocument/2006/relationships/image" Target="media/image18.jpeg"/><Relationship Id="rId237" Type="http://schemas.openxmlformats.org/officeDocument/2006/relationships/footer" Target="footer200.xml"/><Relationship Id="rId238" Type="http://schemas.openxmlformats.org/officeDocument/2006/relationships/image" Target="media/image19.jpeg"/><Relationship Id="rId239" Type="http://schemas.openxmlformats.org/officeDocument/2006/relationships/image" Target="media/image19.jpeg"/><Relationship Id="rId240" Type="http://schemas.openxmlformats.org/officeDocument/2006/relationships/footer" Target="footer201.xml"/><Relationship Id="rId241" Type="http://schemas.openxmlformats.org/officeDocument/2006/relationships/image" Target="media/image20.jpeg"/><Relationship Id="rId242" Type="http://schemas.openxmlformats.org/officeDocument/2006/relationships/image" Target="media/image20.jpeg"/><Relationship Id="rId243" Type="http://schemas.openxmlformats.org/officeDocument/2006/relationships/footer" Target="footer202.xml"/><Relationship Id="rId244" Type="http://schemas.openxmlformats.org/officeDocument/2006/relationships/image" Target="media/image21.jpeg"/><Relationship Id="rId245" Type="http://schemas.openxmlformats.org/officeDocument/2006/relationships/image" Target="media/image21.jpeg"/><Relationship Id="rId246" Type="http://schemas.openxmlformats.org/officeDocument/2006/relationships/footer" Target="footer203.xml"/><Relationship Id="rId247" Type="http://schemas.openxmlformats.org/officeDocument/2006/relationships/image" Target="media/image22.jpeg"/><Relationship Id="rId248" Type="http://schemas.openxmlformats.org/officeDocument/2006/relationships/image" Target="media/image22.jpeg"/><Relationship Id="rId249" Type="http://schemas.openxmlformats.org/officeDocument/2006/relationships/footer" Target="footer204.xml"/><Relationship Id="rId250" Type="http://schemas.openxmlformats.org/officeDocument/2006/relationships/image" Target="media/image23.jpeg"/><Relationship Id="rId251" Type="http://schemas.openxmlformats.org/officeDocument/2006/relationships/image" Target="media/image23.jpeg"/><Relationship Id="rId252" Type="http://schemas.openxmlformats.org/officeDocument/2006/relationships/footer" Target="footer205.xml"/><Relationship Id="rId253" Type="http://schemas.openxmlformats.org/officeDocument/2006/relationships/image" Target="media/image24.jpeg"/><Relationship Id="rId254" Type="http://schemas.openxmlformats.org/officeDocument/2006/relationships/image" Target="media/image24.jpeg"/><Relationship Id="rId255" Type="http://schemas.openxmlformats.org/officeDocument/2006/relationships/footer" Target="footer206.xml"/><Relationship Id="rId256" Type="http://schemas.openxmlformats.org/officeDocument/2006/relationships/image" Target="media/image25.jpeg"/><Relationship Id="rId257" Type="http://schemas.openxmlformats.org/officeDocument/2006/relationships/image" Target="media/image25.jpeg"/><Relationship Id="rId258" Type="http://schemas.openxmlformats.org/officeDocument/2006/relationships/footer" Target="footer207.xml"/><Relationship Id="rId259" Type="http://schemas.openxmlformats.org/officeDocument/2006/relationships/image" Target="media/image26.jpeg"/><Relationship Id="rId260" Type="http://schemas.openxmlformats.org/officeDocument/2006/relationships/image" Target="media/image26.jpeg"/><Relationship Id="rId261" Type="http://schemas.openxmlformats.org/officeDocument/2006/relationships/footer" Target="footer208.xml"/><Relationship Id="rId262" Type="http://schemas.openxmlformats.org/officeDocument/2006/relationships/image" Target="media/image27.jpeg"/><Relationship Id="rId263" Type="http://schemas.openxmlformats.org/officeDocument/2006/relationships/image" Target="media/image27.jpeg"/><Relationship Id="rId264" Type="http://schemas.openxmlformats.org/officeDocument/2006/relationships/footer" Target="footer209.xml"/><Relationship Id="rId265" Type="http://schemas.openxmlformats.org/officeDocument/2006/relationships/image" Target="media/image28.jpeg"/><Relationship Id="rId266" Type="http://schemas.openxmlformats.org/officeDocument/2006/relationships/image" Target="media/image28.jpeg"/><Relationship Id="rId267" Type="http://schemas.openxmlformats.org/officeDocument/2006/relationships/footer" Target="footer210.xml"/><Relationship Id="rId268" Type="http://schemas.openxmlformats.org/officeDocument/2006/relationships/image" Target="media/image29.jpeg"/><Relationship Id="rId269" Type="http://schemas.openxmlformats.org/officeDocument/2006/relationships/image" Target="media/image29.jpeg"/><Relationship Id="rId270" Type="http://schemas.openxmlformats.org/officeDocument/2006/relationships/footer" Target="footer211.xml"/><Relationship Id="rId271" Type="http://schemas.openxmlformats.org/officeDocument/2006/relationships/image" Target="media/image30.jpeg"/><Relationship Id="rId272" Type="http://schemas.openxmlformats.org/officeDocument/2006/relationships/image" Target="media/image30.jpeg"/><Relationship Id="rId273" Type="http://schemas.openxmlformats.org/officeDocument/2006/relationships/footer" Target="footer212.xml"/><Relationship Id="rId274" Type="http://schemas.openxmlformats.org/officeDocument/2006/relationships/image" Target="media/image31.jpeg"/><Relationship Id="rId275" Type="http://schemas.openxmlformats.org/officeDocument/2006/relationships/image" Target="media/image31.jpeg"/><Relationship Id="rId276" Type="http://schemas.openxmlformats.org/officeDocument/2006/relationships/footer" Target="footer213.xml"/><Relationship Id="rId277" Type="http://schemas.openxmlformats.org/officeDocument/2006/relationships/image" Target="media/image32.jpeg"/><Relationship Id="rId278" Type="http://schemas.openxmlformats.org/officeDocument/2006/relationships/image" Target="media/image32.jpeg"/><Relationship Id="rId279" Type="http://schemas.openxmlformats.org/officeDocument/2006/relationships/footer" Target="footer214.xml"/><Relationship Id="rId280" Type="http://schemas.openxmlformats.org/officeDocument/2006/relationships/image" Target="media/image33.jpeg"/><Relationship Id="rId281" Type="http://schemas.openxmlformats.org/officeDocument/2006/relationships/image" Target="media/image33.jpeg"/><Relationship Id="rId282" Type="http://schemas.openxmlformats.org/officeDocument/2006/relationships/footer" Target="footer215.xml"/><Relationship Id="rId283" Type="http://schemas.openxmlformats.org/officeDocument/2006/relationships/image" Target="media/image34.jpeg"/><Relationship Id="rId284" Type="http://schemas.openxmlformats.org/officeDocument/2006/relationships/image" Target="media/image34.jpeg"/><Relationship Id="rId285" Type="http://schemas.openxmlformats.org/officeDocument/2006/relationships/footer" Target="footer216.xml"/><Relationship Id="rId286" Type="http://schemas.openxmlformats.org/officeDocument/2006/relationships/image" Target="media/image35.jpeg"/><Relationship Id="rId287" Type="http://schemas.openxmlformats.org/officeDocument/2006/relationships/image" Target="media/image35.jpeg"/><Relationship Id="rId288" Type="http://schemas.openxmlformats.org/officeDocument/2006/relationships/footer" Target="footer217.xml"/><Relationship Id="rId289" Type="http://schemas.openxmlformats.org/officeDocument/2006/relationships/image" Target="media/image36.jpeg"/><Relationship Id="rId290" Type="http://schemas.openxmlformats.org/officeDocument/2006/relationships/image" Target="media/image36.jpeg"/><Relationship Id="rId291" Type="http://schemas.openxmlformats.org/officeDocument/2006/relationships/footer" Target="footer218.xml"/><Relationship Id="rId292" Type="http://schemas.openxmlformats.org/officeDocument/2006/relationships/image" Target="media/image37.jpeg"/><Relationship Id="rId293" Type="http://schemas.openxmlformats.org/officeDocument/2006/relationships/image" Target="media/image37.jpeg"/><Relationship Id="rId294" Type="http://schemas.openxmlformats.org/officeDocument/2006/relationships/footer" Target="footer219.xml"/><Relationship Id="rId295" Type="http://schemas.openxmlformats.org/officeDocument/2006/relationships/image" Target="media/image38.jpeg"/><Relationship Id="rId296" Type="http://schemas.openxmlformats.org/officeDocument/2006/relationships/image" Target="media/image38.jpeg"/><Relationship Id="rId297" Type="http://schemas.openxmlformats.org/officeDocument/2006/relationships/footer" Target="footer220.xml"/><Relationship Id="rId298" Type="http://schemas.openxmlformats.org/officeDocument/2006/relationships/image" Target="media/image39.jpeg"/><Relationship Id="rId299" Type="http://schemas.openxmlformats.org/officeDocument/2006/relationships/image" Target="media/image39.jpeg"/><Relationship Id="rId300" Type="http://schemas.openxmlformats.org/officeDocument/2006/relationships/footer" Target="footer221.xml"/><Relationship Id="rId301" Type="http://schemas.openxmlformats.org/officeDocument/2006/relationships/image" Target="media/image40.jpeg"/><Relationship Id="rId302" Type="http://schemas.openxmlformats.org/officeDocument/2006/relationships/image" Target="media/image40.jpeg"/><Relationship Id="rId303" Type="http://schemas.openxmlformats.org/officeDocument/2006/relationships/footer" Target="footer222.xml"/><Relationship Id="rId304" Type="http://schemas.openxmlformats.org/officeDocument/2006/relationships/image" Target="media/image41.jpeg"/><Relationship Id="rId305" Type="http://schemas.openxmlformats.org/officeDocument/2006/relationships/image" Target="media/image41.jpeg"/><Relationship Id="rId306" Type="http://schemas.openxmlformats.org/officeDocument/2006/relationships/footer" Target="footer223.xml"/><Relationship Id="rId307" Type="http://schemas.openxmlformats.org/officeDocument/2006/relationships/image" Target="media/image42.jpeg"/><Relationship Id="rId308" Type="http://schemas.openxmlformats.org/officeDocument/2006/relationships/image" Target="media/image42.jpeg"/><Relationship Id="rId309" Type="http://schemas.openxmlformats.org/officeDocument/2006/relationships/footer" Target="footer224.xml"/><Relationship Id="rId310" Type="http://schemas.openxmlformats.org/officeDocument/2006/relationships/image" Target="media/image43.jpeg"/><Relationship Id="rId311" Type="http://schemas.openxmlformats.org/officeDocument/2006/relationships/image" Target="media/image43.jpeg"/><Relationship Id="rId312" Type="http://schemas.openxmlformats.org/officeDocument/2006/relationships/footer" Target="footer225.xml"/><Relationship Id="rId313" Type="http://schemas.openxmlformats.org/officeDocument/2006/relationships/image" Target="media/image44.jpeg"/><Relationship Id="rId314" Type="http://schemas.openxmlformats.org/officeDocument/2006/relationships/image" Target="media/image44.jpeg"/><Relationship Id="rId315" Type="http://schemas.openxmlformats.org/officeDocument/2006/relationships/footer" Target="footer226.xml"/><Relationship Id="rId316" Type="http://schemas.openxmlformats.org/officeDocument/2006/relationships/image" Target="media/image45.jpeg"/><Relationship Id="rId317" Type="http://schemas.openxmlformats.org/officeDocument/2006/relationships/image" Target="media/image45.jpeg"/><Relationship Id="rId318" Type="http://schemas.openxmlformats.org/officeDocument/2006/relationships/footer" Target="footer227.xml"/><Relationship Id="rId319" Type="http://schemas.openxmlformats.org/officeDocument/2006/relationships/image" Target="media/image46.jpeg"/><Relationship Id="rId320" Type="http://schemas.openxmlformats.org/officeDocument/2006/relationships/image" Target="media/image46.jpeg"/><Relationship Id="rId321" Type="http://schemas.openxmlformats.org/officeDocument/2006/relationships/footer" Target="footer228.xml"/><Relationship Id="rId322" Type="http://schemas.openxmlformats.org/officeDocument/2006/relationships/image" Target="media/image47.jpeg"/><Relationship Id="rId323" Type="http://schemas.openxmlformats.org/officeDocument/2006/relationships/image" Target="media/image47.jpeg"/><Relationship Id="rId324" Type="http://schemas.openxmlformats.org/officeDocument/2006/relationships/footer" Target="footer229.xml"/><Relationship Id="rId325" Type="http://schemas.openxmlformats.org/officeDocument/2006/relationships/image" Target="media/image48.jpeg"/><Relationship Id="rId326" Type="http://schemas.openxmlformats.org/officeDocument/2006/relationships/image" Target="media/image48.jpeg"/><Relationship Id="rId327" Type="http://schemas.openxmlformats.org/officeDocument/2006/relationships/footer" Target="footer230.xml"/><Relationship Id="rId328" Type="http://schemas.openxmlformats.org/officeDocument/2006/relationships/image" Target="media/image49.jpeg"/><Relationship Id="rId329" Type="http://schemas.openxmlformats.org/officeDocument/2006/relationships/image" Target="media/image49.jpeg"/><Relationship Id="rId330" Type="http://schemas.openxmlformats.org/officeDocument/2006/relationships/footer" Target="footer231.xml"/><Relationship Id="rId331" Type="http://schemas.openxmlformats.org/officeDocument/2006/relationships/image" Target="media/image50.jpeg"/><Relationship Id="rId332" Type="http://schemas.openxmlformats.org/officeDocument/2006/relationships/image" Target="media/image50.jpeg"/><Relationship Id="rId333" Type="http://schemas.openxmlformats.org/officeDocument/2006/relationships/footer" Target="footer232.xml"/><Relationship Id="rId334" Type="http://schemas.openxmlformats.org/officeDocument/2006/relationships/image" Target="media/image51.jpeg"/><Relationship Id="rId335" Type="http://schemas.openxmlformats.org/officeDocument/2006/relationships/image" Target="media/image51.jpeg"/><Relationship Id="rId336" Type="http://schemas.openxmlformats.org/officeDocument/2006/relationships/footer" Target="footer233.xml"/><Relationship Id="rId337" Type="http://schemas.openxmlformats.org/officeDocument/2006/relationships/image" Target="media/image52.jpeg"/><Relationship Id="rId338" Type="http://schemas.openxmlformats.org/officeDocument/2006/relationships/image" Target="media/image52.jpeg"/><Relationship Id="rId339" Type="http://schemas.openxmlformats.org/officeDocument/2006/relationships/footer" Target="footer234.xml"/><Relationship Id="rId340" Type="http://schemas.openxmlformats.org/officeDocument/2006/relationships/image" Target="media/image53.jpeg"/><Relationship Id="rId341" Type="http://schemas.openxmlformats.org/officeDocument/2006/relationships/image" Target="media/image53.jpeg"/><Relationship Id="rId342" Type="http://schemas.openxmlformats.org/officeDocument/2006/relationships/footer" Target="footer235.xml"/><Relationship Id="rId343" Type="http://schemas.openxmlformats.org/officeDocument/2006/relationships/image" Target="media/image54.jpeg"/><Relationship Id="rId344" Type="http://schemas.openxmlformats.org/officeDocument/2006/relationships/image" Target="media/image54.jpeg"/><Relationship Id="rId345" Type="http://schemas.openxmlformats.org/officeDocument/2006/relationships/footer" Target="footer236.xml"/><Relationship Id="rId346" Type="http://schemas.openxmlformats.org/officeDocument/2006/relationships/image" Target="media/image55.jpeg"/><Relationship Id="rId347" Type="http://schemas.openxmlformats.org/officeDocument/2006/relationships/image" Target="media/image55.jpeg"/><Relationship Id="rId348" Type="http://schemas.openxmlformats.org/officeDocument/2006/relationships/footer" Target="footer237.xml"/><Relationship Id="rId349" Type="http://schemas.openxmlformats.org/officeDocument/2006/relationships/image" Target="media/image56.jpeg"/><Relationship Id="rId350" Type="http://schemas.openxmlformats.org/officeDocument/2006/relationships/image" Target="media/image56.jpeg"/><Relationship Id="rId351" Type="http://schemas.openxmlformats.org/officeDocument/2006/relationships/footer" Target="footer238.xml"/><Relationship Id="rId352" Type="http://schemas.openxmlformats.org/officeDocument/2006/relationships/image" Target="media/image57.jpeg"/><Relationship Id="rId353" Type="http://schemas.openxmlformats.org/officeDocument/2006/relationships/image" Target="media/image57.jpeg"/><Relationship Id="rId354" Type="http://schemas.openxmlformats.org/officeDocument/2006/relationships/footer" Target="footer239.xml"/><Relationship Id="rId355" Type="http://schemas.openxmlformats.org/officeDocument/2006/relationships/image" Target="media/image58.jpeg"/><Relationship Id="rId356" Type="http://schemas.openxmlformats.org/officeDocument/2006/relationships/image" Target="media/image58.jpeg"/><Relationship Id="rId357" Type="http://schemas.openxmlformats.org/officeDocument/2006/relationships/footer" Target="footer240.xml"/><Relationship Id="rId358" Type="http://schemas.openxmlformats.org/officeDocument/2006/relationships/image" Target="media/image59.jpeg"/><Relationship Id="rId359" Type="http://schemas.openxmlformats.org/officeDocument/2006/relationships/image" Target="media/image59.jpeg"/><Relationship Id="rId360" Type="http://schemas.openxmlformats.org/officeDocument/2006/relationships/footer" Target="footer241.xml"/><Relationship Id="rId361" Type="http://schemas.openxmlformats.org/officeDocument/2006/relationships/footer" Target="footer242.xml"/><Relationship Id="rId362" Type="http://schemas.openxmlformats.org/officeDocument/2006/relationships/footer" Target="footer243.xml"/><Relationship Id="rId363" Type="http://schemas.openxmlformats.org/officeDocument/2006/relationships/footer" Target="footer244.xml"/><Relationship Id="rId364" Type="http://schemas.openxmlformats.org/officeDocument/2006/relationships/footer" Target="footer245.xml"/><Relationship Id="rId365" Type="http://schemas.openxmlformats.org/officeDocument/2006/relationships/footer" Target="footer246.xml"/><Relationship Id="rId366" Type="http://schemas.openxmlformats.org/officeDocument/2006/relationships/footer" Target="footer247.xml"/><Relationship Id="rId367" Type="http://schemas.openxmlformats.org/officeDocument/2006/relationships/footer" Target="footer248.xml"/><Relationship Id="rId368" Type="http://schemas.openxmlformats.org/officeDocument/2006/relationships/footer" Target="footer249.xml"/><Relationship Id="rId369" Type="http://schemas.openxmlformats.org/officeDocument/2006/relationships/footer" Target="footer250.xml"/><Relationship Id="rId370" Type="http://schemas.openxmlformats.org/officeDocument/2006/relationships/footer" Target="footer251.xml"/><Relationship Id="rId371" Type="http://schemas.openxmlformats.org/officeDocument/2006/relationships/footer" Target="footer252.xml"/><Relationship Id="rId372" Type="http://schemas.openxmlformats.org/officeDocument/2006/relationships/footer" Target="footer253.xml"/><Relationship Id="rId373" Type="http://schemas.openxmlformats.org/officeDocument/2006/relationships/footer" Target="footer254.xml"/><Relationship Id="rId374" Type="http://schemas.openxmlformats.org/officeDocument/2006/relationships/footer" Target="footer255.xml"/><Relationship Id="rId375" Type="http://schemas.openxmlformats.org/officeDocument/2006/relationships/footer" Target="footer256.xml"/><Relationship Id="rId376" Type="http://schemas.openxmlformats.org/officeDocument/2006/relationships/footer" Target="footer257.xml"/><Relationship Id="rId377" Type="http://schemas.openxmlformats.org/officeDocument/2006/relationships/footer" Target="footer258.xml"/><Relationship Id="rId378" Type="http://schemas.openxmlformats.org/officeDocument/2006/relationships/footer" Target="footer259.xml"/><Relationship Id="rId379" Type="http://schemas.openxmlformats.org/officeDocument/2006/relationships/footer" Target="footer260.xml"/><Relationship Id="rId380" Type="http://schemas.openxmlformats.org/officeDocument/2006/relationships/footer" Target="footer261.xml"/><Relationship Id="rId381" Type="http://schemas.openxmlformats.org/officeDocument/2006/relationships/footer" Target="footer262.xml"/><Relationship Id="rId382" Type="http://schemas.openxmlformats.org/officeDocument/2006/relationships/footer" Target="footer263.xml"/><Relationship Id="rId383" Type="http://schemas.openxmlformats.org/officeDocument/2006/relationships/footer" Target="footer264.xml"/><Relationship Id="rId384" Type="http://schemas.openxmlformats.org/officeDocument/2006/relationships/footer" Target="footer265.xml"/><Relationship Id="rId385" Type="http://schemas.openxmlformats.org/officeDocument/2006/relationships/footer" Target="footer266.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267.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44547</Words>
  <Characters>188055</Characters>
  <CharactersWithSpaces>230826</CharactersWithSpaces>
  <Paragraphs>2550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2026-08-24T22:00:08Z</dcterms:created>
  <dc:creator>ghaemiyeh.com</dc:creator>
  <dc:description/>
  <dc:language>en-US</dc:language>
  <cp:lastModifiedBy/>
  <dcterms:modified xsi:type="dcterms:W3CDTF">2026-08-25T01:30:30Z</dcterms:modified>
  <cp:revision>1</cp:revision>
  <dc:subject/>
  <dc:title>عبداللّه بن عباس جلد 2</dc:title>
</cp:coreProperties>
</file>

<file path=docProps/custom.xml><?xml version="1.0" encoding="utf-8"?>
<Properties xmlns="http://schemas.openxmlformats.org/officeDocument/2006/custom-properties" xmlns:vt="http://schemas.openxmlformats.org/officeDocument/2006/docPropsVTypes"/>
</file>