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15</w:t>
      </w:r>
      <w:r>
        <w:rPr>
          <w:rtl w:val="true"/>
        </w:rPr>
        <w:t xml:space="preserve"> </w:t>
      </w:r>
      <w:r>
        <w:rPr>
          <w:rtl w:val="true"/>
        </w:rPr>
        <w:t xml:space="preserve">إلى </w:t>
      </w:r>
      <w:r>
        <w:rPr/>
        <w:t>19</w:t>
      </w:r>
      <w:r>
        <w:rPr>
          <w:rtl w:val="true"/>
        </w:rPr>
        <w:t xml:space="preserve"> </w:t>
      </w:r>
      <w:r>
        <w:rPr>
          <w:rtl w:val="true"/>
        </w:rPr>
        <w:t xml:space="preserve">کتاب البیع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1504_2142443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331506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331508_2142443653">
            <w:r>
              <w:rPr>
                <w:webHidden/>
                <w:rStyle w:val="IndexLink"/>
                <w:rtl w:val="true"/>
              </w:rPr>
              <w:t xml:space="preserve">السابع </w:t>
            </w:r>
            <w:r>
              <w:rPr>
                <w:rStyle w:val="IndexLink"/>
                <w:rtl w:val="true"/>
              </w:rPr>
              <w:t xml:space="preserve">: </w:t>
            </w:r>
            <w:r>
              <w:rPr>
                <w:rStyle w:val="IndexLink"/>
                <w:rtl w:val="true"/>
              </w:rPr>
              <w:t>خيار العيب</w:t>
            </w:r>
            <w:r>
              <w:rPr>
                <w:rStyle w:val="IndexLink"/>
                <w:rtl w:val="true"/>
              </w:rPr>
              <w:tab/>
            </w:r>
            <w:r>
              <w:rPr>
                <w:rStyle w:val="IndexLink"/>
              </w:rPr>
              <w:t>16</w:t>
            </w:r>
          </w:hyperlink>
        </w:p>
        <w:p>
          <w:pPr>
            <w:pStyle w:val="Contents3"/>
            <w:tabs>
              <w:tab w:val="clear" w:pos="8459"/>
              <w:tab w:val="right" w:pos="9026" w:leader="dot"/>
            </w:tabs>
            <w:rPr/>
          </w:pPr>
          <w:hyperlink w:anchor="__RefHeading___Toc3331510_2142443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3331512_2142443653">
            <w:r>
              <w:rPr>
                <w:webHidden/>
                <w:rStyle w:val="IndexLink"/>
                <w:rtl w:val="true"/>
              </w:rPr>
              <w:t>القول في خيار العيب</w:t>
            </w:r>
            <w:r>
              <w:rPr>
                <w:rStyle w:val="IndexLink"/>
                <w:rtl w:val="true"/>
              </w:rPr>
              <w:tab/>
            </w:r>
            <w:r>
              <w:rPr>
                <w:rStyle w:val="IndexLink"/>
              </w:rPr>
              <w:t>18</w:t>
            </w:r>
          </w:hyperlink>
        </w:p>
        <w:p>
          <w:pPr>
            <w:pStyle w:val="Contents4"/>
            <w:tabs>
              <w:tab w:val="clear" w:pos="8176"/>
              <w:tab w:val="right" w:pos="9026" w:leader="dot"/>
            </w:tabs>
            <w:rPr/>
          </w:pPr>
          <w:hyperlink w:anchor="__RefHeading___Toc3331514_2142443653">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331516_2142443653">
            <w:r>
              <w:rPr>
                <w:webHidden/>
                <w:rStyle w:val="IndexLink"/>
                <w:rtl w:val="true"/>
              </w:rPr>
              <w:t>إشكال غررية البيع إذا كان المشتري جاهلاً بصفة السلامة</w:t>
            </w:r>
            <w:r>
              <w:rPr>
                <w:rStyle w:val="IndexLink"/>
                <w:rtl w:val="true"/>
              </w:rPr>
              <w:tab/>
            </w:r>
            <w:r>
              <w:rPr>
                <w:rStyle w:val="IndexLink"/>
              </w:rPr>
              <w:t>18</w:t>
            </w:r>
          </w:hyperlink>
        </w:p>
        <w:p>
          <w:pPr>
            <w:pStyle w:val="Contents4"/>
            <w:tabs>
              <w:tab w:val="clear" w:pos="8176"/>
              <w:tab w:val="right" w:pos="9026" w:leader="dot"/>
            </w:tabs>
            <w:rPr/>
          </w:pPr>
          <w:hyperlink w:anchor="__RefHeading___Toc3331518_2142443653">
            <w:r>
              <w:rPr>
                <w:webHidden/>
                <w:rStyle w:val="IndexLink"/>
                <w:rtl w:val="true"/>
              </w:rPr>
              <w:t>عدم اقتضاء أصالة الإطلاق للصحّة</w:t>
            </w:r>
            <w:r>
              <w:rPr>
                <w:rStyle w:val="IndexLink"/>
                <w:rtl w:val="true"/>
              </w:rPr>
              <w:tab/>
            </w:r>
            <w:r>
              <w:rPr>
                <w:rStyle w:val="IndexLink"/>
              </w:rPr>
              <w:t>21</w:t>
            </w:r>
          </w:hyperlink>
        </w:p>
        <w:p>
          <w:pPr>
            <w:pStyle w:val="Contents4"/>
            <w:tabs>
              <w:tab w:val="clear" w:pos="8176"/>
              <w:tab w:val="right" w:pos="9026" w:leader="dot"/>
            </w:tabs>
            <w:rPr/>
          </w:pPr>
          <w:hyperlink w:anchor="__RefHeading___Toc3331520_2142443653">
            <w:r>
              <w:rPr>
                <w:webHidden/>
                <w:rStyle w:val="IndexLink"/>
                <w:rtl w:val="true"/>
              </w:rPr>
              <w:t>بطلان الانصراف إلى الصحيح</w:t>
            </w:r>
            <w:r>
              <w:rPr>
                <w:rStyle w:val="IndexLink"/>
                <w:rtl w:val="true"/>
              </w:rPr>
              <w:tab/>
            </w:r>
            <w:r>
              <w:rPr>
                <w:rStyle w:val="IndexLink"/>
              </w:rPr>
              <w:t>22</w:t>
            </w:r>
          </w:hyperlink>
        </w:p>
        <w:p>
          <w:pPr>
            <w:pStyle w:val="Contents4"/>
            <w:tabs>
              <w:tab w:val="clear" w:pos="8176"/>
              <w:tab w:val="right" w:pos="9026" w:leader="dot"/>
            </w:tabs>
            <w:rPr/>
          </w:pPr>
          <w:hyperlink w:anchor="__RefHeading___Toc3331522_2142443653">
            <w:r>
              <w:rPr>
                <w:webHidden/>
                <w:rStyle w:val="IndexLink"/>
                <w:rtl w:val="true"/>
              </w:rPr>
              <w:t>عدم رجوع خيار العيب إلى تخلّف الشرط</w:t>
            </w:r>
            <w:r>
              <w:rPr>
                <w:rStyle w:val="IndexLink"/>
                <w:rtl w:val="true"/>
              </w:rPr>
              <w:tab/>
            </w:r>
            <w:r>
              <w:rPr>
                <w:rStyle w:val="IndexLink"/>
              </w:rPr>
              <w:t>23</w:t>
            </w:r>
          </w:hyperlink>
        </w:p>
        <w:p>
          <w:pPr>
            <w:pStyle w:val="Contents3"/>
            <w:tabs>
              <w:tab w:val="clear" w:pos="8459"/>
              <w:tab w:val="right" w:pos="9026" w:leader="dot"/>
            </w:tabs>
            <w:rPr/>
          </w:pPr>
          <w:hyperlink w:anchor="__RefHeading___Toc3331524_2142443653">
            <w:r>
              <w:rPr>
                <w:webHidden/>
                <w:rStyle w:val="IndexLink"/>
                <w:rtl w:val="true"/>
              </w:rPr>
              <w:t>مسألة حول التخيير بين الردّ والأرش في خيار العيب</w:t>
            </w:r>
            <w:r>
              <w:rPr>
                <w:rStyle w:val="IndexLink"/>
                <w:rtl w:val="true"/>
              </w:rPr>
              <w:tab/>
            </w:r>
            <w:r>
              <w:rPr>
                <w:rStyle w:val="IndexLink"/>
              </w:rPr>
              <w:t>26</w:t>
            </w:r>
          </w:hyperlink>
        </w:p>
        <w:p>
          <w:pPr>
            <w:pStyle w:val="Contents4"/>
            <w:tabs>
              <w:tab w:val="clear" w:pos="8176"/>
              <w:tab w:val="right" w:pos="9026" w:leader="dot"/>
            </w:tabs>
            <w:rPr/>
          </w:pPr>
          <w:hyperlink w:anchor="__RefHeading___Toc3331526_2142443653">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3331528_2142443653">
            <w:r>
              <w:rPr>
                <w:webHidden/>
                <w:rStyle w:val="IndexLink"/>
                <w:rtl w:val="true"/>
              </w:rPr>
              <w:t>في عقلائية التخيير بين الردّ والأرش</w:t>
            </w:r>
            <w:r>
              <w:rPr>
                <w:rStyle w:val="IndexLink"/>
                <w:rtl w:val="true"/>
              </w:rPr>
              <w:tab/>
            </w:r>
            <w:r>
              <w:rPr>
                <w:rStyle w:val="IndexLink"/>
              </w:rPr>
              <w:t>26</w:t>
            </w:r>
          </w:hyperlink>
        </w:p>
        <w:p>
          <w:pPr>
            <w:pStyle w:val="Contents4"/>
            <w:tabs>
              <w:tab w:val="clear" w:pos="8176"/>
              <w:tab w:val="right" w:pos="9026" w:leader="dot"/>
            </w:tabs>
            <w:rPr/>
          </w:pPr>
          <w:hyperlink w:anchor="__RefHeading___Toc3331530_2142443653">
            <w:r>
              <w:rPr>
                <w:webHidden/>
                <w:rStyle w:val="IndexLink"/>
                <w:rtl w:val="true"/>
              </w:rPr>
              <w:t>السرّ في ثبوت الأرش</w:t>
            </w:r>
            <w:r>
              <w:rPr>
                <w:rStyle w:val="IndexLink"/>
                <w:rtl w:val="true"/>
              </w:rPr>
              <w:tab/>
            </w:r>
            <w:r>
              <w:rPr>
                <w:rStyle w:val="IndexLink"/>
              </w:rPr>
              <w:t>27</w:t>
            </w:r>
          </w:hyperlink>
        </w:p>
        <w:p>
          <w:pPr>
            <w:pStyle w:val="Contents4"/>
            <w:tabs>
              <w:tab w:val="clear" w:pos="8176"/>
              <w:tab w:val="right" w:pos="9026" w:leader="dot"/>
            </w:tabs>
            <w:rPr/>
          </w:pPr>
          <w:hyperlink w:anchor="__RefHeading___Toc3331532_2142443653">
            <w:r>
              <w:rPr>
                <w:webHidden/>
                <w:rStyle w:val="IndexLink"/>
                <w:rtl w:val="true"/>
              </w:rPr>
              <w:t>في ثبوت التخيير بين الردّ والأرش لخصوص المشتري</w:t>
            </w:r>
            <w:r>
              <w:rPr>
                <w:rStyle w:val="IndexLink"/>
                <w:rtl w:val="true"/>
              </w:rPr>
              <w:tab/>
            </w:r>
            <w:r>
              <w:rPr>
                <w:rStyle w:val="IndexLink"/>
              </w:rPr>
              <w:t>35</w:t>
            </w:r>
          </w:hyperlink>
        </w:p>
        <w:p>
          <w:pPr>
            <w:pStyle w:val="Contents4"/>
            <w:tabs>
              <w:tab w:val="clear" w:pos="8176"/>
              <w:tab w:val="right" w:pos="9026" w:leader="dot"/>
            </w:tabs>
            <w:rPr/>
          </w:pPr>
          <w:hyperlink w:anchor="__RefHeading___Toc3331534_2142443653">
            <w:r>
              <w:rPr>
                <w:webHidden/>
                <w:rStyle w:val="IndexLink"/>
                <w:rtl w:val="true"/>
              </w:rPr>
              <w:t>حكم ما لو كان العوضان أو أحدهما كلّياً</w:t>
            </w:r>
            <w:r>
              <w:rPr>
                <w:rStyle w:val="IndexLink"/>
                <w:rtl w:val="true"/>
              </w:rPr>
              <w:tab/>
            </w:r>
            <w:r>
              <w:rPr>
                <w:rStyle w:val="IndexLink"/>
              </w:rPr>
              <w:t>37</w:t>
            </w:r>
          </w:hyperlink>
        </w:p>
        <w:p>
          <w:pPr>
            <w:pStyle w:val="Contents4"/>
            <w:tabs>
              <w:tab w:val="clear" w:pos="8176"/>
              <w:tab w:val="right" w:pos="9026" w:leader="dot"/>
            </w:tabs>
            <w:rPr/>
          </w:pPr>
          <w:hyperlink w:anchor="__RefHeading___Toc3331536_2142443653">
            <w:r>
              <w:rPr>
                <w:webHidden/>
                <w:rStyle w:val="IndexLink"/>
                <w:rtl w:val="true"/>
              </w:rPr>
              <w:t>ظهور العيب كاشف عن تحقّق الخيار لا مثبت</w:t>
            </w:r>
            <w:r>
              <w:rPr>
                <w:rStyle w:val="IndexLink"/>
                <w:rtl w:val="true"/>
              </w:rPr>
              <w:tab/>
            </w:r>
            <w:r>
              <w:rPr>
                <w:rStyle w:val="IndexLink"/>
              </w:rPr>
              <w:t>42</w:t>
            </w:r>
          </w:hyperlink>
        </w:p>
        <w:p>
          <w:pPr>
            <w:pStyle w:val="Contents2"/>
            <w:tabs>
              <w:tab w:val="clear" w:pos="8743"/>
              <w:tab w:val="right" w:pos="9026" w:leader="dot"/>
            </w:tabs>
            <w:rPr/>
          </w:pPr>
          <w:hyperlink w:anchor="__RefHeading___Toc3331538_2142443653">
            <w:r>
              <w:rPr>
                <w:webHidden/>
                <w:rStyle w:val="IndexLink"/>
                <w:rtl w:val="true"/>
              </w:rPr>
              <w:t>القول في المسقطات</w:t>
            </w:r>
            <w:r>
              <w:rPr>
                <w:rStyle w:val="IndexLink"/>
                <w:rtl w:val="true"/>
              </w:rPr>
              <w:tab/>
            </w:r>
            <w:r>
              <w:rPr>
                <w:rStyle w:val="IndexLink"/>
              </w:rPr>
              <w:t>44</w:t>
            </w:r>
          </w:hyperlink>
        </w:p>
        <w:p>
          <w:pPr>
            <w:pStyle w:val="Contents3"/>
            <w:tabs>
              <w:tab w:val="clear" w:pos="8459"/>
              <w:tab w:val="right" w:pos="9026" w:leader="dot"/>
            </w:tabs>
            <w:rPr/>
          </w:pPr>
          <w:hyperlink w:anchor="__RefHeading___Toc3331540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3331542_2142443653">
            <w:r>
              <w:rPr>
                <w:webHidden/>
                <w:rStyle w:val="IndexLink"/>
                <w:rtl w:val="true"/>
              </w:rPr>
              <w:t xml:space="preserve">مسألة </w:t>
            </w:r>
            <w:r>
              <w:rPr>
                <w:rStyle w:val="IndexLink"/>
                <w:rtl w:val="true"/>
              </w:rPr>
              <w:t xml:space="preserve">: </w:t>
            </w:r>
            <w:r>
              <w:rPr>
                <w:rStyle w:val="IndexLink"/>
                <w:rtl w:val="true"/>
              </w:rPr>
              <w:t>فيما يسقط به خيار الفسخ خاصّة</w:t>
            </w:r>
            <w:r>
              <w:rPr>
                <w:rStyle w:val="IndexLink"/>
                <w:rtl w:val="true"/>
              </w:rPr>
              <w:tab/>
            </w:r>
            <w:r>
              <w:rPr>
                <w:rStyle w:val="IndexLink"/>
              </w:rPr>
              <w:t>46</w:t>
            </w:r>
          </w:hyperlink>
        </w:p>
        <w:p>
          <w:pPr>
            <w:pStyle w:val="Contents4"/>
            <w:tabs>
              <w:tab w:val="clear" w:pos="8176"/>
              <w:tab w:val="right" w:pos="9026" w:leader="dot"/>
            </w:tabs>
            <w:rPr/>
          </w:pPr>
          <w:hyperlink w:anchor="__RefHeading___Toc3331544_2142443653">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331546_2142443653">
            <w:r>
              <w:rPr>
                <w:webHidden/>
                <w:rStyle w:val="IndexLink"/>
                <w:rtl w:val="true"/>
              </w:rPr>
              <w:t xml:space="preserve">وهو يسقط باُمور </w:t>
            </w:r>
            <w:r>
              <w:rPr>
                <w:rStyle w:val="IndexLink"/>
                <w:rtl w:val="true"/>
              </w:rPr>
              <w:t>:</w:t>
              <w:tab/>
            </w:r>
            <w:r>
              <w:rPr>
                <w:rStyle w:val="IndexLink"/>
              </w:rPr>
              <w:t>47</w:t>
            </w:r>
          </w:hyperlink>
        </w:p>
        <w:p>
          <w:pPr>
            <w:pStyle w:val="Contents5"/>
            <w:tabs>
              <w:tab w:val="clear" w:pos="7892"/>
              <w:tab w:val="right" w:pos="9026" w:leader="dot"/>
            </w:tabs>
            <w:rPr/>
          </w:pPr>
          <w:hyperlink w:anchor="__RefHeading___Toc3331548_2142443653">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331550_2142443653">
            <w:r>
              <w:rPr>
                <w:webHidden/>
                <w:rStyle w:val="IndexLink"/>
                <w:rtl w:val="true"/>
              </w:rPr>
              <w:t xml:space="preserve">الأوّل </w:t>
            </w:r>
            <w:r>
              <w:rPr>
                <w:rStyle w:val="IndexLink"/>
                <w:rtl w:val="true"/>
              </w:rPr>
              <w:t xml:space="preserve">: </w:t>
            </w:r>
            <w:r>
              <w:rPr>
                <w:rStyle w:val="IndexLink"/>
                <w:rtl w:val="true"/>
              </w:rPr>
              <w:t>إسقاط الخيار صريحاً</w:t>
            </w:r>
            <w:r>
              <w:rPr>
                <w:rStyle w:val="IndexLink"/>
                <w:rtl w:val="true"/>
              </w:rPr>
              <w:tab/>
            </w:r>
            <w:r>
              <w:rPr>
                <w:rStyle w:val="IndexLink"/>
              </w:rPr>
              <w:t>47</w:t>
            </w:r>
          </w:hyperlink>
        </w:p>
        <w:p>
          <w:pPr>
            <w:pStyle w:val="Contents6"/>
            <w:tabs>
              <w:tab w:val="clear" w:pos="7609"/>
              <w:tab w:val="right" w:pos="9026" w:leader="dot"/>
            </w:tabs>
            <w:rPr/>
          </w:pPr>
          <w:hyperlink w:anchor="__RefHeading___Toc3331552_2142443653">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3331554_2142443653">
            <w:r>
              <w:rPr>
                <w:webHidden/>
                <w:rStyle w:val="IndexLink"/>
                <w:rtl w:val="true"/>
              </w:rPr>
              <w:t xml:space="preserve">دلالة الروايات على ثبوت حقّين </w:t>
            </w:r>
            <w:r>
              <w:rPr>
                <w:rStyle w:val="IndexLink"/>
                <w:rtl w:val="true"/>
              </w:rPr>
              <w:t xml:space="preserve">: </w:t>
            </w:r>
            <w:r>
              <w:rPr>
                <w:rStyle w:val="IndexLink"/>
                <w:rtl w:val="true"/>
              </w:rPr>
              <w:t>حقّ الفسخ وحقّ الأرش</w:t>
            </w:r>
            <w:r>
              <w:rPr>
                <w:rStyle w:val="IndexLink"/>
                <w:rtl w:val="true"/>
              </w:rPr>
              <w:tab/>
            </w:r>
            <w:r>
              <w:rPr>
                <w:rStyle w:val="IndexLink"/>
              </w:rPr>
              <w:t>50</w:t>
            </w:r>
          </w:hyperlink>
        </w:p>
        <w:p>
          <w:pPr>
            <w:pStyle w:val="Contents6"/>
            <w:tabs>
              <w:tab w:val="clear" w:pos="7609"/>
              <w:tab w:val="right" w:pos="9026" w:leader="dot"/>
            </w:tabs>
            <w:rPr/>
          </w:pPr>
          <w:hyperlink w:anchor="__RefHeading___Toc3331556_2142443653">
            <w:r>
              <w:rPr>
                <w:webHidden/>
                <w:rStyle w:val="IndexLink"/>
                <w:rtl w:val="true"/>
              </w:rPr>
              <w:t>صحّة إسقاط الخيار بالمجاز والكناية والفعل</w:t>
            </w:r>
            <w:r>
              <w:rPr>
                <w:rStyle w:val="IndexLink"/>
                <w:rtl w:val="true"/>
              </w:rPr>
              <w:tab/>
            </w:r>
            <w:r>
              <w:rPr>
                <w:rStyle w:val="IndexLink"/>
              </w:rPr>
              <w:t>52</w:t>
            </w:r>
          </w:hyperlink>
        </w:p>
        <w:p>
          <w:pPr>
            <w:pStyle w:val="Contents5"/>
            <w:tabs>
              <w:tab w:val="clear" w:pos="7892"/>
              <w:tab w:val="right" w:pos="9026" w:leader="dot"/>
            </w:tabs>
            <w:rPr/>
          </w:pPr>
          <w:hyperlink w:anchor="__RefHeading___Toc3331558_2142443653">
            <w:r>
              <w:rPr>
                <w:webHidden/>
                <w:rStyle w:val="IndexLink"/>
                <w:rtl w:val="true"/>
              </w:rPr>
              <w:t xml:space="preserve">الثاني </w:t>
            </w:r>
            <w:r>
              <w:rPr>
                <w:rStyle w:val="IndexLink"/>
                <w:rtl w:val="true"/>
              </w:rPr>
              <w:t xml:space="preserve">: </w:t>
            </w:r>
            <w:r>
              <w:rPr>
                <w:rStyle w:val="IndexLink"/>
                <w:rtl w:val="true"/>
              </w:rPr>
              <w:t>التصرّف</w:t>
            </w:r>
            <w:r>
              <w:rPr>
                <w:rStyle w:val="IndexLink"/>
                <w:rtl w:val="true"/>
              </w:rPr>
              <w:tab/>
            </w:r>
            <w:r>
              <w:rPr>
                <w:rStyle w:val="IndexLink"/>
              </w:rPr>
              <w:t>53</w:t>
            </w:r>
          </w:hyperlink>
        </w:p>
        <w:p>
          <w:pPr>
            <w:pStyle w:val="Contents6"/>
            <w:tabs>
              <w:tab w:val="clear" w:pos="7609"/>
              <w:tab w:val="right" w:pos="9026" w:leader="dot"/>
            </w:tabs>
            <w:rPr/>
          </w:pPr>
          <w:hyperlink w:anchor="__RefHeading___Toc3331560_2142443653">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3331562_2142443653">
            <w:r>
              <w:rPr>
                <w:webHidden/>
                <w:rStyle w:val="IndexLink"/>
                <w:rtl w:val="true"/>
              </w:rPr>
              <w:t>الروايات الدالّة على سقوط الخيار بالتصرّف</w:t>
            </w:r>
            <w:r>
              <w:rPr>
                <w:rStyle w:val="IndexLink"/>
                <w:rtl w:val="true"/>
              </w:rPr>
              <w:tab/>
            </w:r>
            <w:r>
              <w:rPr>
                <w:rStyle w:val="IndexLink"/>
              </w:rPr>
              <w:t>55</w:t>
            </w:r>
          </w:hyperlink>
        </w:p>
        <w:p>
          <w:pPr>
            <w:pStyle w:val="Contents6"/>
            <w:tabs>
              <w:tab w:val="clear" w:pos="7609"/>
              <w:tab w:val="right" w:pos="9026" w:leader="dot"/>
            </w:tabs>
            <w:rPr/>
          </w:pPr>
          <w:hyperlink w:anchor="__RefHeading___Toc3331564_2142443653">
            <w:r>
              <w:rPr>
                <w:webHidden/>
                <w:rStyle w:val="IndexLink"/>
                <w:rtl w:val="true"/>
              </w:rPr>
              <w:t>هل المسقط للخيار هو التغيّر أو التصرّف المغيّر ؟</w:t>
            </w:r>
            <w:r>
              <w:rPr>
                <w:rStyle w:val="IndexLink"/>
                <w:rtl w:val="true"/>
              </w:rPr>
              <w:tab/>
            </w:r>
            <w:r>
              <w:rPr>
                <w:rStyle w:val="IndexLink"/>
              </w:rPr>
              <w:t>58</w:t>
            </w:r>
          </w:hyperlink>
        </w:p>
        <w:p>
          <w:pPr>
            <w:pStyle w:val="Contents6"/>
            <w:tabs>
              <w:tab w:val="clear" w:pos="7609"/>
              <w:tab w:val="right" w:pos="9026" w:leader="dot"/>
            </w:tabs>
            <w:rPr/>
          </w:pPr>
          <w:hyperlink w:anchor="__RefHeading___Toc3331566_2142443653">
            <w:r>
              <w:rPr>
                <w:webHidden/>
                <w:rStyle w:val="IndexLink"/>
                <w:rtl w:val="true"/>
              </w:rPr>
              <w:t>حول مسقطية التصرّفات الاعتبارية</w:t>
            </w:r>
            <w:r>
              <w:rPr>
                <w:rStyle w:val="IndexLink"/>
                <w:rtl w:val="true"/>
              </w:rPr>
              <w:tab/>
            </w:r>
            <w:r>
              <w:rPr>
                <w:rStyle w:val="IndexLink"/>
              </w:rPr>
              <w:t>60</w:t>
            </w:r>
          </w:hyperlink>
        </w:p>
        <w:p>
          <w:pPr>
            <w:pStyle w:val="Contents6"/>
            <w:tabs>
              <w:tab w:val="clear" w:pos="7609"/>
              <w:tab w:val="right" w:pos="9026" w:leader="dot"/>
            </w:tabs>
            <w:rPr/>
          </w:pPr>
          <w:hyperlink w:anchor="__RefHeading___Toc3331568_2142443653">
            <w:r>
              <w:rPr>
                <w:webHidden/>
                <w:rStyle w:val="IndexLink"/>
                <w:rtl w:val="true"/>
              </w:rPr>
              <w:t>عدم إمكان مسقطية التصرّف أو التغيّر على رأي المشهور</w:t>
            </w:r>
            <w:r>
              <w:rPr>
                <w:rStyle w:val="IndexLink"/>
                <w:rtl w:val="true"/>
              </w:rPr>
              <w:tab/>
            </w:r>
            <w:r>
              <w:rPr>
                <w:rStyle w:val="IndexLink"/>
              </w:rPr>
              <w:t>62</w:t>
            </w:r>
          </w:hyperlink>
        </w:p>
        <w:p>
          <w:pPr>
            <w:pStyle w:val="Contents5"/>
            <w:tabs>
              <w:tab w:val="clear" w:pos="7892"/>
              <w:tab w:val="right" w:pos="9026" w:leader="dot"/>
            </w:tabs>
            <w:rPr/>
          </w:pPr>
          <w:hyperlink w:anchor="__RefHeading___Toc3331570_2142443653">
            <w:r>
              <w:rPr>
                <w:webHidden/>
                <w:rStyle w:val="IndexLink"/>
                <w:rtl w:val="true"/>
              </w:rPr>
              <w:t xml:space="preserve">الثالث </w:t>
            </w:r>
            <w:r>
              <w:rPr>
                <w:rStyle w:val="IndexLink"/>
                <w:rtl w:val="true"/>
              </w:rPr>
              <w:t xml:space="preserve">: </w:t>
            </w:r>
            <w:r>
              <w:rPr>
                <w:rStyle w:val="IndexLink"/>
                <w:rtl w:val="true"/>
              </w:rPr>
              <w:t>التلف</w:t>
            </w:r>
            <w:r>
              <w:rPr>
                <w:rStyle w:val="IndexLink"/>
                <w:rtl w:val="true"/>
              </w:rPr>
              <w:tab/>
            </w:r>
            <w:r>
              <w:rPr>
                <w:rStyle w:val="IndexLink"/>
              </w:rPr>
              <w:t>63</w:t>
            </w:r>
          </w:hyperlink>
        </w:p>
        <w:p>
          <w:pPr>
            <w:pStyle w:val="Contents6"/>
            <w:tabs>
              <w:tab w:val="clear" w:pos="7609"/>
              <w:tab w:val="right" w:pos="9026" w:leader="dot"/>
            </w:tabs>
            <w:rPr/>
          </w:pPr>
          <w:hyperlink w:anchor="__RefHeading___Toc3331572_2142443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3331574_2142443653">
            <w:r>
              <w:rPr>
                <w:webHidden/>
                <w:rStyle w:val="IndexLink"/>
                <w:rtl w:val="true"/>
              </w:rPr>
              <w:t>بيان المحقّق الأصفهاني في وجه سقوط الخيار بالتلف</w:t>
            </w:r>
            <w:r>
              <w:rPr>
                <w:rStyle w:val="IndexLink"/>
                <w:rtl w:val="true"/>
              </w:rPr>
              <w:tab/>
            </w:r>
            <w:r>
              <w:rPr>
                <w:rStyle w:val="IndexLink"/>
              </w:rPr>
              <w:t>64</w:t>
            </w:r>
          </w:hyperlink>
        </w:p>
        <w:p>
          <w:pPr>
            <w:pStyle w:val="Contents6"/>
            <w:tabs>
              <w:tab w:val="clear" w:pos="7609"/>
              <w:tab w:val="right" w:pos="9026" w:leader="dot"/>
            </w:tabs>
            <w:rPr/>
          </w:pPr>
          <w:hyperlink w:anchor="__RefHeading___Toc3331576_2142443653">
            <w:r>
              <w:rPr>
                <w:webHidden/>
                <w:rStyle w:val="IndexLink"/>
                <w:rtl w:val="true"/>
              </w:rPr>
              <w:t>وجه آخر لسقوط الردّ بالتلف ونحوه</w:t>
            </w:r>
            <w:r>
              <w:rPr>
                <w:rStyle w:val="IndexLink"/>
                <w:rtl w:val="true"/>
              </w:rPr>
              <w:tab/>
            </w:r>
            <w:r>
              <w:rPr>
                <w:rStyle w:val="IndexLink"/>
              </w:rPr>
              <w:t>69</w:t>
            </w:r>
          </w:hyperlink>
        </w:p>
        <w:p>
          <w:pPr>
            <w:pStyle w:val="Contents6"/>
            <w:tabs>
              <w:tab w:val="clear" w:pos="7609"/>
              <w:tab w:val="right" w:pos="9026" w:leader="dot"/>
            </w:tabs>
            <w:rPr/>
          </w:pPr>
          <w:hyperlink w:anchor="__RefHeading___Toc3331578_2142443653">
            <w:r>
              <w:rPr>
                <w:webHidden/>
                <w:rStyle w:val="IndexLink"/>
                <w:rtl w:val="true"/>
              </w:rPr>
              <w:t>في وجه مانعية وط‌ء الجارية عن الردّ بالعيب</w:t>
            </w:r>
            <w:r>
              <w:rPr>
                <w:rStyle w:val="IndexLink"/>
                <w:rtl w:val="true"/>
              </w:rPr>
              <w:tab/>
            </w:r>
            <w:r>
              <w:rPr>
                <w:rStyle w:val="IndexLink"/>
              </w:rPr>
              <w:t>69</w:t>
            </w:r>
          </w:hyperlink>
        </w:p>
        <w:p>
          <w:pPr>
            <w:pStyle w:val="Contents6"/>
            <w:tabs>
              <w:tab w:val="clear" w:pos="7609"/>
              <w:tab w:val="right" w:pos="9026" w:leader="dot"/>
            </w:tabs>
            <w:rPr/>
          </w:pPr>
          <w:hyperlink w:anchor="__RefHeading___Toc3331580_2142443653">
            <w:r>
              <w:rPr>
                <w:webHidden/>
                <w:rStyle w:val="IndexLink"/>
                <w:rtl w:val="true"/>
              </w:rPr>
              <w:t>في ردّ الجارية بالحبل ولو مع الوط‌ء</w:t>
            </w:r>
            <w:r>
              <w:rPr>
                <w:rStyle w:val="IndexLink"/>
                <w:rtl w:val="true"/>
              </w:rPr>
              <w:tab/>
            </w:r>
            <w:r>
              <w:rPr>
                <w:rStyle w:val="IndexLink"/>
              </w:rPr>
              <w:t>75</w:t>
            </w:r>
          </w:hyperlink>
        </w:p>
        <w:p>
          <w:pPr>
            <w:pStyle w:val="Contents6"/>
            <w:tabs>
              <w:tab w:val="clear" w:pos="7609"/>
              <w:tab w:val="right" w:pos="9026" w:leader="dot"/>
            </w:tabs>
            <w:rPr/>
          </w:pPr>
          <w:hyperlink w:anchor="__RefHeading___Toc3331582_2142443653">
            <w:r>
              <w:rPr>
                <w:webHidden/>
                <w:rStyle w:val="IndexLink"/>
                <w:rtl w:val="true"/>
              </w:rPr>
              <w:t xml:space="preserve">وهنا جهتان </w:t>
            </w:r>
            <w:r>
              <w:rPr>
                <w:rStyle w:val="IndexLink"/>
                <w:rtl w:val="true"/>
              </w:rPr>
              <w:t>:</w:t>
              <w:tab/>
            </w:r>
            <w:r>
              <w:rPr>
                <w:rStyle w:val="IndexLink"/>
              </w:rPr>
              <w:t>75</w:t>
            </w:r>
          </w:hyperlink>
        </w:p>
        <w:p>
          <w:pPr>
            <w:pStyle w:val="Contents6"/>
            <w:tabs>
              <w:tab w:val="clear" w:pos="7609"/>
              <w:tab w:val="right" w:pos="9026" w:leader="dot"/>
            </w:tabs>
            <w:rPr/>
          </w:pPr>
          <w:hyperlink w:anchor="__RefHeading___Toc3331584_2142443653">
            <w:r>
              <w:rPr>
                <w:webHidden/>
                <w:rStyle w:val="IndexLink"/>
                <w:rtl w:val="true"/>
              </w:rPr>
              <w:t xml:space="preserve">الجهة الاُولى </w:t>
            </w:r>
            <w:r>
              <w:rPr>
                <w:rStyle w:val="IndexLink"/>
                <w:rtl w:val="true"/>
              </w:rPr>
              <w:t xml:space="preserve">: </w:t>
            </w:r>
            <w:r>
              <w:rPr>
                <w:rStyle w:val="IndexLink"/>
                <w:rtl w:val="true"/>
              </w:rPr>
              <w:t>اختصاص الحبل بالحبل من غير مولى</w:t>
            </w:r>
            <w:r>
              <w:rPr>
                <w:rStyle w:val="IndexLink"/>
                <w:rtl w:val="true"/>
              </w:rPr>
              <w:tab/>
            </w:r>
            <w:r>
              <w:rPr>
                <w:rStyle w:val="IndexLink"/>
              </w:rPr>
              <w:t>75</w:t>
            </w:r>
          </w:hyperlink>
        </w:p>
        <w:p>
          <w:pPr>
            <w:pStyle w:val="Contents6"/>
            <w:tabs>
              <w:tab w:val="clear" w:pos="7609"/>
              <w:tab w:val="right" w:pos="9026" w:leader="dot"/>
            </w:tabs>
            <w:rPr/>
          </w:pPr>
          <w:hyperlink w:anchor="__RefHeading___Toc3331586_2142443653">
            <w:r>
              <w:rPr>
                <w:webHidden/>
                <w:rStyle w:val="IndexLink"/>
                <w:rtl w:val="true"/>
              </w:rPr>
              <w:t xml:space="preserve">الجهة الثانية </w:t>
            </w:r>
            <w:r>
              <w:rPr>
                <w:rStyle w:val="IndexLink"/>
                <w:rtl w:val="true"/>
              </w:rPr>
              <w:t xml:space="preserve">: </w:t>
            </w:r>
            <w:r>
              <w:rPr>
                <w:rStyle w:val="IndexLink"/>
                <w:rtl w:val="true"/>
              </w:rPr>
              <w:t>ردّ نصف العشر عند ردّ الحبلى</w:t>
            </w:r>
            <w:r>
              <w:rPr>
                <w:rStyle w:val="IndexLink"/>
                <w:rtl w:val="true"/>
              </w:rPr>
              <w:tab/>
            </w:r>
            <w:r>
              <w:rPr>
                <w:rStyle w:val="IndexLink"/>
              </w:rPr>
              <w:t>78</w:t>
            </w:r>
          </w:hyperlink>
        </w:p>
        <w:p>
          <w:pPr>
            <w:pStyle w:val="Contents5"/>
            <w:tabs>
              <w:tab w:val="clear" w:pos="7892"/>
              <w:tab w:val="right" w:pos="9026" w:leader="dot"/>
            </w:tabs>
            <w:rPr/>
          </w:pPr>
          <w:hyperlink w:anchor="__RefHeading___Toc3331588_2142443653">
            <w:r>
              <w:rPr>
                <w:webHidden/>
                <w:rStyle w:val="IndexLink"/>
                <w:rtl w:val="true"/>
              </w:rPr>
              <w:t xml:space="preserve">الرابع </w:t>
            </w:r>
            <w:r>
              <w:rPr>
                <w:rStyle w:val="IndexLink"/>
                <w:rtl w:val="true"/>
              </w:rPr>
              <w:t xml:space="preserve">: </w:t>
            </w:r>
            <w:r>
              <w:rPr>
                <w:rStyle w:val="IndexLink"/>
                <w:rtl w:val="true"/>
              </w:rPr>
              <w:t>حدوث عيب عند المشتري</w:t>
            </w:r>
            <w:r>
              <w:rPr>
                <w:rStyle w:val="IndexLink"/>
                <w:rtl w:val="true"/>
              </w:rPr>
              <w:tab/>
            </w:r>
            <w:r>
              <w:rPr>
                <w:rStyle w:val="IndexLink"/>
              </w:rPr>
              <w:t>79</w:t>
            </w:r>
          </w:hyperlink>
        </w:p>
        <w:p>
          <w:pPr>
            <w:pStyle w:val="Contents6"/>
            <w:tabs>
              <w:tab w:val="clear" w:pos="7609"/>
              <w:tab w:val="right" w:pos="9026" w:leader="dot"/>
            </w:tabs>
            <w:rPr/>
          </w:pPr>
          <w:hyperlink w:anchor="__RefHeading___Toc3331590_214244365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3331592_2142443653">
            <w:r>
              <w:rPr>
                <w:webHidden/>
                <w:rStyle w:val="IndexLink"/>
                <w:rtl w:val="true"/>
              </w:rPr>
              <w:t>حكم العيب الحادث بعد العقد وقبل القبض</w:t>
            </w:r>
            <w:r>
              <w:rPr>
                <w:rStyle w:val="IndexLink"/>
                <w:rtl w:val="true"/>
              </w:rPr>
              <w:tab/>
            </w:r>
            <w:r>
              <w:rPr>
                <w:rStyle w:val="IndexLink"/>
              </w:rPr>
              <w:t>80</w:t>
            </w:r>
          </w:hyperlink>
        </w:p>
        <w:p>
          <w:pPr>
            <w:pStyle w:val="Contents6"/>
            <w:tabs>
              <w:tab w:val="clear" w:pos="7609"/>
              <w:tab w:val="right" w:pos="9026" w:leader="dot"/>
            </w:tabs>
            <w:rPr/>
          </w:pPr>
          <w:hyperlink w:anchor="__RefHeading___Toc3331594_2142443653">
            <w:r>
              <w:rPr>
                <w:webHidden/>
                <w:rStyle w:val="IndexLink"/>
                <w:rtl w:val="true"/>
              </w:rPr>
              <w:t>وحدة الخيار عند تعدّد العيوب</w:t>
            </w:r>
            <w:r>
              <w:rPr>
                <w:rStyle w:val="IndexLink"/>
                <w:rtl w:val="true"/>
              </w:rPr>
              <w:tab/>
            </w:r>
            <w:r>
              <w:rPr>
                <w:rStyle w:val="IndexLink"/>
              </w:rPr>
              <w:t>84</w:t>
            </w:r>
          </w:hyperlink>
        </w:p>
        <w:p>
          <w:pPr>
            <w:pStyle w:val="Contents6"/>
            <w:tabs>
              <w:tab w:val="clear" w:pos="7609"/>
              <w:tab w:val="right" w:pos="9026" w:leader="dot"/>
            </w:tabs>
            <w:rPr/>
          </w:pPr>
          <w:hyperlink w:anchor="__RefHeading___Toc3331596_2142443653">
            <w:r>
              <w:rPr>
                <w:webHidden/>
                <w:rStyle w:val="IndexLink"/>
                <w:rtl w:val="true"/>
              </w:rPr>
              <w:t>الإشكال على ثبوت خيار الفسخ والأرش بالعيوب المتعدّدة</w:t>
            </w:r>
            <w:r>
              <w:rPr>
                <w:rStyle w:val="IndexLink"/>
                <w:rtl w:val="true"/>
              </w:rPr>
              <w:tab/>
            </w:r>
            <w:r>
              <w:rPr>
                <w:rStyle w:val="IndexLink"/>
              </w:rPr>
              <w:t>87</w:t>
            </w:r>
          </w:hyperlink>
        </w:p>
        <w:p>
          <w:pPr>
            <w:pStyle w:val="Contents6"/>
            <w:tabs>
              <w:tab w:val="clear" w:pos="7609"/>
              <w:tab w:val="right" w:pos="9026" w:leader="dot"/>
            </w:tabs>
            <w:rPr/>
          </w:pPr>
          <w:hyperlink w:anchor="__RefHeading___Toc3331598_2142443653">
            <w:r>
              <w:rPr>
                <w:webHidden/>
                <w:rStyle w:val="IndexLink"/>
                <w:rtl w:val="true"/>
              </w:rPr>
              <w:t>حكم العيب الحادث في زمان الخيار</w:t>
            </w:r>
            <w:r>
              <w:rPr>
                <w:rStyle w:val="IndexLink"/>
                <w:rtl w:val="true"/>
              </w:rPr>
              <w:tab/>
            </w:r>
            <w:r>
              <w:rPr>
                <w:rStyle w:val="IndexLink"/>
              </w:rPr>
              <w:t>89</w:t>
            </w:r>
          </w:hyperlink>
        </w:p>
        <w:p>
          <w:pPr>
            <w:pStyle w:val="Contents6"/>
            <w:tabs>
              <w:tab w:val="clear" w:pos="7609"/>
              <w:tab w:val="right" w:pos="9026" w:leader="dot"/>
            </w:tabs>
            <w:rPr/>
          </w:pPr>
          <w:hyperlink w:anchor="__RefHeading___Toc3331600_2142443653">
            <w:r>
              <w:rPr>
                <w:webHidden/>
                <w:rStyle w:val="IndexLink"/>
                <w:rtl w:val="true"/>
              </w:rPr>
              <w:t>حكم العيب الحادث بعد القبض ومضيّ الخيار</w:t>
            </w:r>
            <w:r>
              <w:rPr>
                <w:rStyle w:val="IndexLink"/>
                <w:rtl w:val="true"/>
              </w:rPr>
              <w:tab/>
            </w:r>
            <w:r>
              <w:rPr>
                <w:rStyle w:val="IndexLink"/>
              </w:rPr>
              <w:t>94</w:t>
            </w:r>
          </w:hyperlink>
        </w:p>
        <w:p>
          <w:pPr>
            <w:pStyle w:val="Contents6"/>
            <w:tabs>
              <w:tab w:val="clear" w:pos="7609"/>
              <w:tab w:val="right" w:pos="9026" w:leader="dot"/>
            </w:tabs>
            <w:rPr/>
          </w:pPr>
          <w:hyperlink w:anchor="__RefHeading___Toc3331602_2142443653">
            <w:r>
              <w:rPr>
                <w:webHidden/>
                <w:rStyle w:val="IndexLink"/>
                <w:rtl w:val="true"/>
              </w:rPr>
              <w:t>حكم زوال العيب الحادث</w:t>
            </w:r>
            <w:r>
              <w:rPr>
                <w:rStyle w:val="IndexLink"/>
                <w:rtl w:val="true"/>
              </w:rPr>
              <w:tab/>
            </w:r>
            <w:r>
              <w:rPr>
                <w:rStyle w:val="IndexLink"/>
              </w:rPr>
              <w:t>95</w:t>
            </w:r>
          </w:hyperlink>
        </w:p>
        <w:p>
          <w:pPr>
            <w:pStyle w:val="Contents6"/>
            <w:tabs>
              <w:tab w:val="clear" w:pos="7609"/>
              <w:tab w:val="right" w:pos="9026" w:leader="dot"/>
            </w:tabs>
            <w:rPr/>
          </w:pPr>
          <w:hyperlink w:anchor="__RefHeading___Toc3331604_2142443653">
            <w:r>
              <w:rPr>
                <w:webHidden/>
                <w:rStyle w:val="IndexLink"/>
                <w:rtl w:val="true"/>
              </w:rPr>
              <w:t>سقوط الخيار ولو مع رضا البائع بردّ المعيب</w:t>
            </w:r>
            <w:r>
              <w:rPr>
                <w:rStyle w:val="IndexLink"/>
                <w:rtl w:val="true"/>
              </w:rPr>
              <w:tab/>
            </w:r>
            <w:r>
              <w:rPr>
                <w:rStyle w:val="IndexLink"/>
              </w:rPr>
              <w:t>99</w:t>
            </w:r>
          </w:hyperlink>
        </w:p>
        <w:p>
          <w:pPr>
            <w:pStyle w:val="Contents6"/>
            <w:tabs>
              <w:tab w:val="clear" w:pos="7609"/>
              <w:tab w:val="right" w:pos="9026" w:leader="dot"/>
            </w:tabs>
            <w:rPr/>
          </w:pPr>
          <w:hyperlink w:anchor="__RefHeading___Toc3331606_2142443653">
            <w:r>
              <w:rPr>
                <w:webHidden/>
                <w:rStyle w:val="IndexLink"/>
                <w:rtl w:val="true"/>
              </w:rPr>
              <w:t>تبعّض الصفقة على البائع مانع عن ردّ المعيب</w:t>
            </w:r>
            <w:r>
              <w:rPr>
                <w:rStyle w:val="IndexLink"/>
                <w:rtl w:val="true"/>
              </w:rPr>
              <w:tab/>
            </w:r>
            <w:r>
              <w:rPr>
                <w:rStyle w:val="IndexLink"/>
              </w:rPr>
              <w:t>101</w:t>
            </w:r>
          </w:hyperlink>
        </w:p>
        <w:p>
          <w:pPr>
            <w:pStyle w:val="Contents6"/>
            <w:tabs>
              <w:tab w:val="clear" w:pos="7609"/>
              <w:tab w:val="right" w:pos="9026" w:leader="dot"/>
            </w:tabs>
            <w:rPr/>
          </w:pPr>
          <w:hyperlink w:anchor="__RefHeading___Toc3331608_2142443653">
            <w:r>
              <w:rPr>
                <w:webHidden/>
                <w:rStyle w:val="IndexLink"/>
                <w:rtl w:val="true"/>
              </w:rPr>
              <w:t>خيار تبعّض الصفقة</w:t>
            </w:r>
            <w:r>
              <w:rPr>
                <w:rStyle w:val="IndexLink"/>
                <w:rtl w:val="true"/>
              </w:rPr>
              <w:tab/>
            </w:r>
            <w:r>
              <w:rPr>
                <w:rStyle w:val="IndexLink"/>
              </w:rPr>
              <w:t>101</w:t>
            </w:r>
          </w:hyperlink>
        </w:p>
        <w:p>
          <w:pPr>
            <w:pStyle w:val="Contents6"/>
            <w:tabs>
              <w:tab w:val="clear" w:pos="7609"/>
              <w:tab w:val="right" w:pos="9026" w:leader="dot"/>
            </w:tabs>
            <w:rPr/>
          </w:pPr>
          <w:hyperlink w:anchor="__RefHeading___Toc3331610_2142443653">
            <w:r>
              <w:rPr>
                <w:webHidden/>
                <w:rStyle w:val="IndexLink"/>
                <w:rtl w:val="true"/>
              </w:rPr>
              <w:t>كيفية انحلال العقد بالنسبة إلى بعض المبيع خاصّة</w:t>
            </w:r>
            <w:r>
              <w:rPr>
                <w:rStyle w:val="IndexLink"/>
                <w:rtl w:val="true"/>
              </w:rPr>
              <w:tab/>
            </w:r>
            <w:r>
              <w:rPr>
                <w:rStyle w:val="IndexLink"/>
              </w:rPr>
              <w:t>104</w:t>
            </w:r>
          </w:hyperlink>
        </w:p>
        <w:p>
          <w:pPr>
            <w:pStyle w:val="Contents6"/>
            <w:tabs>
              <w:tab w:val="clear" w:pos="7609"/>
              <w:tab w:val="right" w:pos="9026" w:leader="dot"/>
            </w:tabs>
            <w:rPr/>
          </w:pPr>
          <w:hyperlink w:anchor="__RefHeading___Toc3331612_2142443653">
            <w:r>
              <w:rPr>
                <w:webHidden/>
                <w:rStyle w:val="IndexLink"/>
                <w:rtl w:val="true"/>
              </w:rPr>
              <w:t>حكم خيار تبعّض الصفقة عند تعدّد المشتري</w:t>
            </w:r>
            <w:r>
              <w:rPr>
                <w:rStyle w:val="IndexLink"/>
                <w:rtl w:val="true"/>
              </w:rPr>
              <w:tab/>
            </w:r>
            <w:r>
              <w:rPr>
                <w:rStyle w:val="IndexLink"/>
              </w:rPr>
              <w:t>109</w:t>
            </w:r>
          </w:hyperlink>
        </w:p>
        <w:p>
          <w:pPr>
            <w:pStyle w:val="Contents6"/>
            <w:tabs>
              <w:tab w:val="clear" w:pos="7609"/>
              <w:tab w:val="right" w:pos="9026" w:leader="dot"/>
            </w:tabs>
            <w:rPr/>
          </w:pPr>
          <w:hyperlink w:anchor="__RefHeading___Toc3331614_2142443653">
            <w:r>
              <w:rPr>
                <w:webHidden/>
                <w:rStyle w:val="IndexLink"/>
                <w:rtl w:val="true"/>
              </w:rPr>
              <w:t>حول ثبوت خيار تبعّض الصفقة للوكيل والموكّل</w:t>
            </w:r>
            <w:r>
              <w:rPr>
                <w:rStyle w:val="IndexLink"/>
                <w:rtl w:val="true"/>
              </w:rPr>
              <w:tab/>
            </w:r>
            <w:r>
              <w:rPr>
                <w:rStyle w:val="IndexLink"/>
              </w:rPr>
              <w:t>111</w:t>
            </w:r>
          </w:hyperlink>
        </w:p>
        <w:p>
          <w:pPr>
            <w:pStyle w:val="Contents3"/>
            <w:tabs>
              <w:tab w:val="clear" w:pos="8459"/>
              <w:tab w:val="right" w:pos="9026" w:leader="dot"/>
            </w:tabs>
            <w:rPr/>
          </w:pPr>
          <w:hyperlink w:anchor="__RefHeading___Toc3331616_2142443653">
            <w:r>
              <w:rPr>
                <w:webHidden/>
                <w:rStyle w:val="IndexLink"/>
                <w:rtl w:val="true"/>
              </w:rPr>
              <w:t>مسألة فيما يسقط به الأرش خاصّة</w:t>
            </w:r>
            <w:r>
              <w:rPr>
                <w:rStyle w:val="IndexLink"/>
                <w:rtl w:val="true"/>
              </w:rPr>
              <w:tab/>
            </w:r>
            <w:r>
              <w:rPr>
                <w:rStyle w:val="IndexLink"/>
              </w:rPr>
              <w:t>113</w:t>
            </w:r>
          </w:hyperlink>
        </w:p>
        <w:p>
          <w:pPr>
            <w:pStyle w:val="Contents4"/>
            <w:tabs>
              <w:tab w:val="clear" w:pos="8176"/>
              <w:tab w:val="right" w:pos="9026" w:leader="dot"/>
            </w:tabs>
            <w:rPr/>
          </w:pPr>
          <w:hyperlink w:anchor="__RefHeading___Toc3331618_2142443653">
            <w:r>
              <w:rPr>
                <w:webHidden/>
                <w:rStyle w:val="IndexLink"/>
                <w:rtl w:val="true"/>
              </w:rPr>
              <w:t xml:space="preserve">يسقط الأرش فقط بأمران </w:t>
            </w:r>
            <w:r>
              <w:rPr>
                <w:rStyle w:val="IndexLink"/>
                <w:rtl w:val="true"/>
              </w:rPr>
              <w:t>:</w:t>
              <w:tab/>
            </w:r>
            <w:r>
              <w:rPr>
                <w:rStyle w:val="IndexLink"/>
              </w:rPr>
              <w:t>113</w:t>
            </w:r>
          </w:hyperlink>
        </w:p>
        <w:p>
          <w:pPr>
            <w:pStyle w:val="Contents5"/>
            <w:tabs>
              <w:tab w:val="clear" w:pos="7892"/>
              <w:tab w:val="right" w:pos="9026" w:leader="dot"/>
            </w:tabs>
            <w:rPr/>
          </w:pPr>
          <w:hyperlink w:anchor="__RefHeading___Toc3331620_2142443653">
            <w:r>
              <w:rPr>
                <w:webHidden/>
                <w:rStyle w:val="IndexLink"/>
                <w:rtl w:val="true"/>
              </w:rPr>
              <w:t xml:space="preserve">الأوّل </w:t>
            </w:r>
            <w:r>
              <w:rPr>
                <w:rStyle w:val="IndexLink"/>
                <w:rtl w:val="true"/>
              </w:rPr>
              <w:t xml:space="preserve">: </w:t>
            </w:r>
            <w:r>
              <w:rPr>
                <w:rStyle w:val="IndexLink"/>
                <w:rtl w:val="true"/>
              </w:rPr>
              <w:t>بإسقاطه حال العقد وبعده</w:t>
            </w:r>
            <w:r>
              <w:rPr>
                <w:rStyle w:val="IndexLink"/>
                <w:rtl w:val="true"/>
              </w:rPr>
              <w:tab/>
            </w:r>
            <w:r>
              <w:rPr>
                <w:rStyle w:val="IndexLink"/>
              </w:rPr>
              <w:t>113</w:t>
            </w:r>
          </w:hyperlink>
        </w:p>
        <w:p>
          <w:pPr>
            <w:pStyle w:val="Contents5"/>
            <w:tabs>
              <w:tab w:val="clear" w:pos="7892"/>
              <w:tab w:val="right" w:pos="9026" w:leader="dot"/>
            </w:tabs>
            <w:rPr/>
          </w:pPr>
          <w:hyperlink w:anchor="__RefHeading___Toc3331622_2142443653">
            <w:r>
              <w:rPr>
                <w:webHidden/>
                <w:rStyle w:val="IndexLink"/>
                <w:rtl w:val="true"/>
              </w:rPr>
              <w:t xml:space="preserve">الثاني </w:t>
            </w:r>
            <w:r>
              <w:rPr>
                <w:rStyle w:val="IndexLink"/>
                <w:rtl w:val="true"/>
              </w:rPr>
              <w:t xml:space="preserve">: </w:t>
            </w:r>
            <w:r>
              <w:rPr>
                <w:rStyle w:val="IndexLink"/>
                <w:rtl w:val="true"/>
              </w:rPr>
              <w:t>فيما إذا اشتري ربوياً بجنسه</w:t>
            </w:r>
            <w:r>
              <w:rPr>
                <w:rStyle w:val="IndexLink"/>
                <w:rtl w:val="true"/>
              </w:rPr>
              <w:tab/>
            </w:r>
            <w:r>
              <w:rPr>
                <w:rStyle w:val="IndexLink"/>
              </w:rPr>
              <w:t>113</w:t>
            </w:r>
          </w:hyperlink>
        </w:p>
        <w:p>
          <w:pPr>
            <w:pStyle w:val="Contents5"/>
            <w:tabs>
              <w:tab w:val="clear" w:pos="7892"/>
              <w:tab w:val="right" w:pos="9026" w:leader="dot"/>
            </w:tabs>
            <w:rPr/>
          </w:pPr>
          <w:hyperlink w:anchor="__RefHeading___Toc3331624_2142443653">
            <w:r>
              <w:rPr>
                <w:webHidden/>
                <w:rStyle w:val="IndexLink"/>
                <w:rtl w:val="true"/>
              </w:rPr>
              <w:t xml:space="preserve">الثالث </w:t>
            </w:r>
            <w:r>
              <w:rPr>
                <w:rStyle w:val="IndexLink"/>
                <w:rtl w:val="true"/>
              </w:rPr>
              <w:t xml:space="preserve">: </w:t>
            </w:r>
            <w:r>
              <w:rPr>
                <w:rStyle w:val="IndexLink"/>
                <w:rtl w:val="true"/>
              </w:rPr>
              <w:t>فيما لا يوجب العيب نقصاًفي القيمة</w:t>
            </w:r>
            <w:r>
              <w:rPr>
                <w:rStyle w:val="IndexLink"/>
                <w:rtl w:val="true"/>
              </w:rPr>
              <w:tab/>
            </w:r>
            <w:r>
              <w:rPr>
                <w:rStyle w:val="IndexLink"/>
              </w:rPr>
              <w:t>116</w:t>
            </w:r>
          </w:hyperlink>
        </w:p>
        <w:p>
          <w:pPr>
            <w:pStyle w:val="Contents3"/>
            <w:tabs>
              <w:tab w:val="clear" w:pos="8459"/>
              <w:tab w:val="right" w:pos="9026" w:leader="dot"/>
            </w:tabs>
            <w:rPr/>
          </w:pPr>
          <w:hyperlink w:anchor="__RefHeading___Toc3331626_2142443653">
            <w:r>
              <w:rPr>
                <w:webHidden/>
                <w:rStyle w:val="IndexLink"/>
                <w:rtl w:val="true"/>
              </w:rPr>
              <w:t>مسألة في مسقطات الأرش والردّ</w:t>
            </w:r>
            <w:r>
              <w:rPr>
                <w:rStyle w:val="IndexLink"/>
                <w:rtl w:val="true"/>
              </w:rPr>
              <w:tab/>
            </w:r>
            <w:r>
              <w:rPr>
                <w:rStyle w:val="IndexLink"/>
              </w:rPr>
              <w:t>117</w:t>
            </w:r>
          </w:hyperlink>
        </w:p>
        <w:p>
          <w:pPr>
            <w:pStyle w:val="Contents4"/>
            <w:tabs>
              <w:tab w:val="clear" w:pos="8176"/>
              <w:tab w:val="right" w:pos="9026" w:leader="dot"/>
            </w:tabs>
            <w:rPr/>
          </w:pPr>
          <w:hyperlink w:anchor="__RefHeading___Toc3331628_2142443653">
            <w:r>
              <w:rPr>
                <w:webHidden/>
                <w:rStyle w:val="IndexLink"/>
                <w:rtl w:val="true"/>
              </w:rPr>
              <w:t>اشارة</w:t>
            </w:r>
            <w:r>
              <w:rPr>
                <w:rStyle w:val="IndexLink"/>
                <w:rtl w:val="true"/>
              </w:rPr>
              <w:tab/>
            </w:r>
            <w:r>
              <w:rPr>
                <w:rStyle w:val="IndexLink"/>
              </w:rPr>
              <w:t>117</w:t>
            </w:r>
          </w:hyperlink>
        </w:p>
        <w:p>
          <w:pPr>
            <w:pStyle w:val="Contents4"/>
            <w:tabs>
              <w:tab w:val="clear" w:pos="8176"/>
              <w:tab w:val="right" w:pos="9026" w:leader="dot"/>
            </w:tabs>
            <w:rPr/>
          </w:pPr>
          <w:hyperlink w:anchor="__RefHeading___Toc3331630_2142443653">
            <w:r>
              <w:rPr>
                <w:webHidden/>
                <w:rStyle w:val="IndexLink"/>
                <w:rtl w:val="true"/>
              </w:rPr>
              <w:t xml:space="preserve">الأوّل </w:t>
            </w:r>
            <w:r>
              <w:rPr>
                <w:rStyle w:val="IndexLink"/>
                <w:rtl w:val="true"/>
              </w:rPr>
              <w:t xml:space="preserve">: </w:t>
            </w:r>
            <w:r>
              <w:rPr>
                <w:rStyle w:val="IndexLink"/>
                <w:rtl w:val="true"/>
              </w:rPr>
              <w:t>العلم بالعيب قبل العقد</w:t>
            </w:r>
            <w:r>
              <w:rPr>
                <w:rStyle w:val="IndexLink"/>
                <w:rtl w:val="true"/>
              </w:rPr>
              <w:tab/>
            </w:r>
            <w:r>
              <w:rPr>
                <w:rStyle w:val="IndexLink"/>
              </w:rPr>
              <w:t>117</w:t>
            </w:r>
          </w:hyperlink>
        </w:p>
        <w:p>
          <w:pPr>
            <w:pStyle w:val="Contents5"/>
            <w:tabs>
              <w:tab w:val="clear" w:pos="7892"/>
              <w:tab w:val="right" w:pos="9026" w:leader="dot"/>
            </w:tabs>
            <w:rPr/>
          </w:pPr>
          <w:hyperlink w:anchor="__RefHeading___Toc3331632_2142443653">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3331634_2142443653">
            <w:r>
              <w:rPr>
                <w:webHidden/>
                <w:rStyle w:val="IndexLink"/>
                <w:rtl w:val="true"/>
              </w:rPr>
              <w:t>حكم ما لو اشترط العالم بالعيب خيار العيب</w:t>
            </w:r>
            <w:r>
              <w:rPr>
                <w:rStyle w:val="IndexLink"/>
                <w:rtl w:val="true"/>
              </w:rPr>
              <w:tab/>
            </w:r>
            <w:r>
              <w:rPr>
                <w:rStyle w:val="IndexLink"/>
              </w:rPr>
              <w:t>120</w:t>
            </w:r>
          </w:hyperlink>
        </w:p>
        <w:p>
          <w:pPr>
            <w:pStyle w:val="Contents4"/>
            <w:tabs>
              <w:tab w:val="clear" w:pos="8176"/>
              <w:tab w:val="right" w:pos="9026" w:leader="dot"/>
            </w:tabs>
            <w:rPr/>
          </w:pPr>
          <w:hyperlink w:anchor="__RefHeading___Toc3331636_2142443653">
            <w:r>
              <w:rPr>
                <w:webHidden/>
                <w:rStyle w:val="IndexLink"/>
                <w:rtl w:val="true"/>
              </w:rPr>
              <w:t xml:space="preserve">الثاني </w:t>
            </w:r>
            <w:r>
              <w:rPr>
                <w:rStyle w:val="IndexLink"/>
                <w:rtl w:val="true"/>
              </w:rPr>
              <w:t xml:space="preserve">: </w:t>
            </w:r>
            <w:r>
              <w:rPr>
                <w:rStyle w:val="IndexLink"/>
                <w:rtl w:val="true"/>
              </w:rPr>
              <w:t>تبرّي البائع من العيوب</w:t>
            </w:r>
            <w:r>
              <w:rPr>
                <w:rStyle w:val="IndexLink"/>
                <w:rtl w:val="true"/>
              </w:rPr>
              <w:tab/>
            </w:r>
            <w:r>
              <w:rPr>
                <w:rStyle w:val="IndexLink"/>
              </w:rPr>
              <w:t>125</w:t>
            </w:r>
          </w:hyperlink>
        </w:p>
        <w:p>
          <w:pPr>
            <w:pStyle w:val="Contents5"/>
            <w:tabs>
              <w:tab w:val="clear" w:pos="7892"/>
              <w:tab w:val="right" w:pos="9026" w:leader="dot"/>
            </w:tabs>
            <w:rPr/>
          </w:pPr>
          <w:hyperlink w:anchor="__RefHeading___Toc3331638_2142443653">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3331640_2142443653">
            <w:r>
              <w:rPr>
                <w:webHidden/>
                <w:rStyle w:val="IndexLink"/>
                <w:rtl w:val="true"/>
              </w:rPr>
              <w:t>هل أنّ تبرّي البائع يوجب الغرر أم لا؟</w:t>
            </w:r>
            <w:r>
              <w:rPr>
                <w:rStyle w:val="IndexLink"/>
                <w:rtl w:val="true"/>
              </w:rPr>
              <w:tab/>
            </w:r>
            <w:r>
              <w:rPr>
                <w:rStyle w:val="IndexLink"/>
              </w:rPr>
              <w:t>128</w:t>
            </w:r>
          </w:hyperlink>
        </w:p>
        <w:p>
          <w:pPr>
            <w:pStyle w:val="Contents5"/>
            <w:tabs>
              <w:tab w:val="clear" w:pos="7892"/>
              <w:tab w:val="right" w:pos="9026" w:leader="dot"/>
            </w:tabs>
            <w:rPr/>
          </w:pPr>
          <w:hyperlink w:anchor="__RefHeading___Toc3331642_2142443653">
            <w:r>
              <w:rPr>
                <w:webHidden/>
                <w:rStyle w:val="IndexLink"/>
                <w:rtl w:val="true"/>
              </w:rPr>
              <w:t>إطلاق التبرّي يشمل العيوب الموجودة دون المتجدّدة</w:t>
            </w:r>
            <w:r>
              <w:rPr>
                <w:rStyle w:val="IndexLink"/>
                <w:rtl w:val="true"/>
              </w:rPr>
              <w:tab/>
            </w:r>
            <w:r>
              <w:rPr>
                <w:rStyle w:val="IndexLink"/>
              </w:rPr>
              <w:t>129</w:t>
            </w:r>
          </w:hyperlink>
        </w:p>
        <w:p>
          <w:pPr>
            <w:pStyle w:val="Contents5"/>
            <w:tabs>
              <w:tab w:val="clear" w:pos="7892"/>
              <w:tab w:val="right" w:pos="9026" w:leader="dot"/>
            </w:tabs>
            <w:rPr/>
          </w:pPr>
          <w:hyperlink w:anchor="__RefHeading___Toc3331644_2142443653">
            <w:r>
              <w:rPr>
                <w:webHidden/>
                <w:rStyle w:val="IndexLink"/>
                <w:rtl w:val="true"/>
              </w:rPr>
              <w:t>في كون التبرّي من قبيل الشرط في ضمن العقد</w:t>
            </w:r>
            <w:r>
              <w:rPr>
                <w:rStyle w:val="IndexLink"/>
                <w:rtl w:val="true"/>
              </w:rPr>
              <w:tab/>
            </w:r>
            <w:r>
              <w:rPr>
                <w:rStyle w:val="IndexLink"/>
              </w:rPr>
              <w:t>131</w:t>
            </w:r>
          </w:hyperlink>
        </w:p>
        <w:p>
          <w:pPr>
            <w:pStyle w:val="Contents5"/>
            <w:tabs>
              <w:tab w:val="clear" w:pos="7892"/>
              <w:tab w:val="right" w:pos="9026" w:leader="dot"/>
            </w:tabs>
            <w:rPr/>
          </w:pPr>
          <w:hyperlink w:anchor="__RefHeading___Toc3331646_2142443653">
            <w:r>
              <w:rPr>
                <w:webHidden/>
                <w:rStyle w:val="IndexLink"/>
                <w:rtl w:val="true"/>
              </w:rPr>
              <w:t>الكلام في سقوط الردّ والأرش في موارد اُخر</w:t>
            </w:r>
            <w:r>
              <w:rPr>
                <w:rStyle w:val="IndexLink"/>
                <w:rtl w:val="true"/>
              </w:rPr>
              <w:tab/>
            </w:r>
            <w:r>
              <w:rPr>
                <w:rStyle w:val="IndexLink"/>
              </w:rPr>
              <w:t>134</w:t>
            </w:r>
          </w:hyperlink>
        </w:p>
        <w:p>
          <w:pPr>
            <w:pStyle w:val="Contents6"/>
            <w:tabs>
              <w:tab w:val="clear" w:pos="7609"/>
              <w:tab w:val="right" w:pos="9026" w:leader="dot"/>
            </w:tabs>
            <w:rPr/>
          </w:pPr>
          <w:hyperlink w:anchor="__RefHeading___Toc3331648_2142443653">
            <w:r>
              <w:rPr>
                <w:webHidden/>
                <w:rStyle w:val="IndexLink"/>
                <w:rtl w:val="true"/>
              </w:rPr>
              <w:t xml:space="preserve">منها </w:t>
            </w:r>
            <w:r>
              <w:rPr>
                <w:rStyle w:val="IndexLink"/>
                <w:rtl w:val="true"/>
              </w:rPr>
              <w:t xml:space="preserve">: </w:t>
            </w:r>
            <w:r>
              <w:rPr>
                <w:rStyle w:val="IndexLink"/>
                <w:rtl w:val="true"/>
              </w:rPr>
              <w:t>زوال العيب قبل العلم به، بل وبعده قبل الردّ</w:t>
            </w:r>
            <w:r>
              <w:rPr>
                <w:rStyle w:val="IndexLink"/>
                <w:rtl w:val="true"/>
              </w:rPr>
              <w:tab/>
            </w:r>
            <w:r>
              <w:rPr>
                <w:rStyle w:val="IndexLink"/>
              </w:rPr>
              <w:t>134</w:t>
            </w:r>
          </w:hyperlink>
        </w:p>
        <w:p>
          <w:pPr>
            <w:pStyle w:val="Contents6"/>
            <w:tabs>
              <w:tab w:val="clear" w:pos="7609"/>
              <w:tab w:val="right" w:pos="9026" w:leader="dot"/>
            </w:tabs>
            <w:rPr/>
          </w:pPr>
          <w:hyperlink w:anchor="__RefHeading___Toc3331650_2142443653">
            <w:r>
              <w:rPr>
                <w:webHidden/>
                <w:rStyle w:val="IndexLink"/>
                <w:rtl w:val="true"/>
              </w:rPr>
              <w:t xml:space="preserve">ومنها </w:t>
            </w:r>
            <w:r>
              <w:rPr>
                <w:rStyle w:val="IndexLink"/>
                <w:rtl w:val="true"/>
              </w:rPr>
              <w:t xml:space="preserve">: </w:t>
            </w:r>
            <w:r>
              <w:rPr>
                <w:rStyle w:val="IndexLink"/>
                <w:rtl w:val="true"/>
              </w:rPr>
              <w:t>التصرّف بعد العلم بالعيب</w:t>
            </w:r>
            <w:r>
              <w:rPr>
                <w:rStyle w:val="IndexLink"/>
                <w:rtl w:val="true"/>
              </w:rPr>
              <w:tab/>
            </w:r>
            <w:r>
              <w:rPr>
                <w:rStyle w:val="IndexLink"/>
              </w:rPr>
              <w:t>137</w:t>
            </w:r>
          </w:hyperlink>
        </w:p>
        <w:p>
          <w:pPr>
            <w:pStyle w:val="Contents6"/>
            <w:tabs>
              <w:tab w:val="clear" w:pos="7609"/>
              <w:tab w:val="right" w:pos="9026" w:leader="dot"/>
            </w:tabs>
            <w:rPr/>
          </w:pPr>
          <w:hyperlink w:anchor="__RefHeading___Toc3331652_2142443653">
            <w:r>
              <w:rPr>
                <w:webHidden/>
                <w:rStyle w:val="IndexLink"/>
                <w:rtl w:val="true"/>
              </w:rPr>
              <w:t xml:space="preserve">ومنها </w:t>
            </w:r>
            <w:r>
              <w:rPr>
                <w:rStyle w:val="IndexLink"/>
                <w:rtl w:val="true"/>
              </w:rPr>
              <w:t xml:space="preserve">: </w:t>
            </w:r>
            <w:r>
              <w:rPr>
                <w:rStyle w:val="IndexLink"/>
                <w:rtl w:val="true"/>
              </w:rPr>
              <w:t>التصرّف في المعيب الذي لم تنقص قيمته بالعيب</w:t>
            </w:r>
            <w:r>
              <w:rPr>
                <w:rStyle w:val="IndexLink"/>
                <w:rtl w:val="true"/>
              </w:rPr>
              <w:tab/>
            </w:r>
            <w:r>
              <w:rPr>
                <w:rStyle w:val="IndexLink"/>
              </w:rPr>
              <w:t>141</w:t>
            </w:r>
          </w:hyperlink>
        </w:p>
        <w:p>
          <w:pPr>
            <w:pStyle w:val="Contents6"/>
            <w:tabs>
              <w:tab w:val="clear" w:pos="7609"/>
              <w:tab w:val="right" w:pos="9026" w:leader="dot"/>
            </w:tabs>
            <w:rPr/>
          </w:pPr>
          <w:hyperlink w:anchor="__RefHeading___Toc3331654_2142443653">
            <w:r>
              <w:rPr>
                <w:webHidden/>
                <w:rStyle w:val="IndexLink"/>
                <w:rtl w:val="true"/>
              </w:rPr>
              <w:t xml:space="preserve">ومنها </w:t>
            </w:r>
            <w:r>
              <w:rPr>
                <w:rStyle w:val="IndexLink"/>
                <w:rtl w:val="true"/>
              </w:rPr>
              <w:t xml:space="preserve">: </w:t>
            </w:r>
            <w:r>
              <w:rPr>
                <w:rStyle w:val="IndexLink"/>
                <w:rtl w:val="true"/>
              </w:rPr>
              <w:t>تأخير الأخذ بمقتضى الخيار</w:t>
            </w:r>
            <w:r>
              <w:rPr>
                <w:rStyle w:val="IndexLink"/>
                <w:rtl w:val="true"/>
              </w:rPr>
              <w:tab/>
            </w:r>
            <w:r>
              <w:rPr>
                <w:rStyle w:val="IndexLink"/>
              </w:rPr>
              <w:t>145</w:t>
            </w:r>
          </w:hyperlink>
        </w:p>
        <w:p>
          <w:pPr>
            <w:pStyle w:val="Contents3"/>
            <w:tabs>
              <w:tab w:val="clear" w:pos="8459"/>
              <w:tab w:val="right" w:pos="9026" w:leader="dot"/>
            </w:tabs>
            <w:rPr/>
          </w:pPr>
          <w:hyperlink w:anchor="__RefHeading___Toc3331656_2142443653">
            <w:r>
              <w:rPr>
                <w:webHidden/>
                <w:rStyle w:val="IndexLink"/>
                <w:rtl w:val="true"/>
              </w:rPr>
              <w:t>مسألة في عدم وجوب الإعلام بالعيب مطلقاً</w:t>
            </w:r>
            <w:r>
              <w:rPr>
                <w:rStyle w:val="IndexLink"/>
                <w:rtl w:val="true"/>
              </w:rPr>
              <w:tab/>
            </w:r>
            <w:r>
              <w:rPr>
                <w:rStyle w:val="IndexLink"/>
              </w:rPr>
              <w:t>148</w:t>
            </w:r>
          </w:hyperlink>
        </w:p>
        <w:p>
          <w:pPr>
            <w:pStyle w:val="Contents3"/>
            <w:tabs>
              <w:tab w:val="clear" w:pos="8459"/>
              <w:tab w:val="right" w:pos="9026" w:leader="dot"/>
            </w:tabs>
            <w:rPr/>
          </w:pPr>
          <w:hyperlink w:anchor="__RefHeading___Toc3331658_2142443653">
            <w:r>
              <w:rPr>
                <w:webHidden/>
                <w:rStyle w:val="IndexLink"/>
                <w:rtl w:val="true"/>
              </w:rPr>
              <w:t>مسائل في اختلاف المتبايعين</w:t>
            </w:r>
            <w:r>
              <w:rPr>
                <w:rStyle w:val="IndexLink"/>
                <w:rtl w:val="true"/>
              </w:rPr>
              <w:tab/>
            </w:r>
            <w:r>
              <w:rPr>
                <w:rStyle w:val="IndexLink"/>
              </w:rPr>
              <w:t>150</w:t>
            </w:r>
          </w:hyperlink>
        </w:p>
        <w:p>
          <w:pPr>
            <w:pStyle w:val="Contents4"/>
            <w:tabs>
              <w:tab w:val="clear" w:pos="8176"/>
              <w:tab w:val="right" w:pos="9026" w:leader="dot"/>
            </w:tabs>
            <w:rPr/>
          </w:pPr>
          <w:hyperlink w:anchor="__RefHeading___Toc3331660_2142443653">
            <w:r>
              <w:rPr>
                <w:webHidden/>
                <w:rStyle w:val="IndexLink"/>
                <w:rtl w:val="true"/>
              </w:rPr>
              <w:t>اشارة</w:t>
            </w:r>
            <w:r>
              <w:rPr>
                <w:rStyle w:val="IndexLink"/>
                <w:rtl w:val="true"/>
              </w:rPr>
              <w:tab/>
            </w:r>
            <w:r>
              <w:rPr>
                <w:rStyle w:val="IndexLink"/>
              </w:rPr>
              <w:t>150</w:t>
            </w:r>
          </w:hyperlink>
        </w:p>
        <w:p>
          <w:pPr>
            <w:pStyle w:val="Contents4"/>
            <w:tabs>
              <w:tab w:val="clear" w:pos="8176"/>
              <w:tab w:val="right" w:pos="9026" w:leader="dot"/>
            </w:tabs>
            <w:rPr/>
          </w:pPr>
          <w:hyperlink w:anchor="__RefHeading___Toc3331662_2142443653">
            <w:r>
              <w:rPr>
                <w:webHidden/>
                <w:rStyle w:val="IndexLink"/>
                <w:rtl w:val="true"/>
              </w:rPr>
              <w:t>في تشخيص المدّعي والمنكر</w:t>
            </w:r>
            <w:r>
              <w:rPr>
                <w:rStyle w:val="IndexLink"/>
                <w:rtl w:val="true"/>
              </w:rPr>
              <w:tab/>
            </w:r>
            <w:r>
              <w:rPr>
                <w:rStyle w:val="IndexLink"/>
              </w:rPr>
              <w:t>150</w:t>
            </w:r>
          </w:hyperlink>
        </w:p>
        <w:p>
          <w:pPr>
            <w:pStyle w:val="Contents4"/>
            <w:tabs>
              <w:tab w:val="clear" w:pos="8176"/>
              <w:tab w:val="right" w:pos="9026" w:leader="dot"/>
            </w:tabs>
            <w:rPr/>
          </w:pPr>
          <w:hyperlink w:anchor="__RefHeading___Toc3331664_2142443653">
            <w:r>
              <w:rPr>
                <w:webHidden/>
                <w:rStyle w:val="IndexLink"/>
                <w:rtl w:val="true"/>
              </w:rPr>
              <w:t xml:space="preserve">موارد اختلاف المتبايعين </w:t>
            </w:r>
            <w:r>
              <w:rPr>
                <w:rStyle w:val="IndexLink"/>
                <w:rtl w:val="true"/>
              </w:rPr>
              <w:t>:</w:t>
              <w:tab/>
            </w:r>
            <w:r>
              <w:rPr>
                <w:rStyle w:val="IndexLink"/>
              </w:rPr>
              <w:t>153</w:t>
            </w:r>
          </w:hyperlink>
        </w:p>
        <w:p>
          <w:pPr>
            <w:pStyle w:val="Contents5"/>
            <w:tabs>
              <w:tab w:val="clear" w:pos="7892"/>
              <w:tab w:val="right" w:pos="9026" w:leader="dot"/>
            </w:tabs>
            <w:rPr/>
          </w:pPr>
          <w:hyperlink w:anchor="__RefHeading___Toc3331666_2142443653">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331668_2142443653">
            <w:r>
              <w:rPr>
                <w:webHidden/>
                <w:rStyle w:val="IndexLink"/>
                <w:rtl w:val="true"/>
              </w:rPr>
              <w:t xml:space="preserve">الأوّل </w:t>
            </w:r>
            <w:r>
              <w:rPr>
                <w:rStyle w:val="IndexLink"/>
                <w:rtl w:val="true"/>
              </w:rPr>
              <w:t xml:space="preserve">: </w:t>
            </w:r>
            <w:r>
              <w:rPr>
                <w:rStyle w:val="IndexLink"/>
                <w:rtl w:val="true"/>
              </w:rPr>
              <w:t>الاختلاف في ثبوت الخيار</w:t>
            </w:r>
            <w:r>
              <w:rPr>
                <w:rStyle w:val="IndexLink"/>
                <w:rtl w:val="true"/>
              </w:rPr>
              <w:tab/>
            </w:r>
            <w:r>
              <w:rPr>
                <w:rStyle w:val="IndexLink"/>
              </w:rPr>
              <w:t>153</w:t>
            </w:r>
          </w:hyperlink>
        </w:p>
        <w:p>
          <w:pPr>
            <w:pStyle w:val="Contents5"/>
            <w:tabs>
              <w:tab w:val="clear" w:pos="7892"/>
              <w:tab w:val="right" w:pos="9026" w:leader="dot"/>
            </w:tabs>
            <w:rPr/>
          </w:pPr>
          <w:hyperlink w:anchor="__RefHeading___Toc3331670_2142443653">
            <w:r>
              <w:rPr>
                <w:webHidden/>
                <w:rStyle w:val="IndexLink"/>
                <w:rtl w:val="true"/>
              </w:rPr>
              <w:t xml:space="preserve">الثاني </w:t>
            </w:r>
            <w:r>
              <w:rPr>
                <w:rStyle w:val="IndexLink"/>
                <w:rtl w:val="true"/>
              </w:rPr>
              <w:t xml:space="preserve">: </w:t>
            </w:r>
            <w:r>
              <w:rPr>
                <w:rStyle w:val="IndexLink"/>
                <w:rtl w:val="true"/>
              </w:rPr>
              <w:t>اختلافهما في تعيّب المبيع</w:t>
            </w:r>
            <w:r>
              <w:rPr>
                <w:rStyle w:val="IndexLink"/>
                <w:rtl w:val="true"/>
              </w:rPr>
              <w:tab/>
            </w:r>
            <w:r>
              <w:rPr>
                <w:rStyle w:val="IndexLink"/>
              </w:rPr>
              <w:t>153</w:t>
            </w:r>
          </w:hyperlink>
        </w:p>
        <w:p>
          <w:pPr>
            <w:pStyle w:val="Contents5"/>
            <w:tabs>
              <w:tab w:val="clear" w:pos="7892"/>
              <w:tab w:val="right" w:pos="9026" w:leader="dot"/>
            </w:tabs>
            <w:rPr/>
          </w:pPr>
          <w:hyperlink w:anchor="__RefHeading___Toc3331672_2142443653">
            <w:r>
              <w:rPr>
                <w:webHidden/>
                <w:rStyle w:val="IndexLink"/>
                <w:rtl w:val="true"/>
              </w:rPr>
              <w:t xml:space="preserve">الثالث </w:t>
            </w:r>
            <w:r>
              <w:rPr>
                <w:rStyle w:val="IndexLink"/>
                <w:rtl w:val="true"/>
              </w:rPr>
              <w:t xml:space="preserve">: </w:t>
            </w:r>
            <w:r>
              <w:rPr>
                <w:rStyle w:val="IndexLink"/>
                <w:rtl w:val="true"/>
              </w:rPr>
              <w:t>الاختلاف في زمان حدوث العيب</w:t>
            </w:r>
            <w:r>
              <w:rPr>
                <w:rStyle w:val="IndexLink"/>
                <w:rtl w:val="true"/>
              </w:rPr>
              <w:tab/>
            </w:r>
            <w:r>
              <w:rPr>
                <w:rStyle w:val="IndexLink"/>
              </w:rPr>
              <w:t>155</w:t>
            </w:r>
          </w:hyperlink>
        </w:p>
        <w:p>
          <w:pPr>
            <w:pStyle w:val="Contents6"/>
            <w:tabs>
              <w:tab w:val="clear" w:pos="7609"/>
              <w:tab w:val="right" w:pos="9026" w:leader="dot"/>
            </w:tabs>
            <w:rPr/>
          </w:pPr>
          <w:hyperlink w:anchor="__RefHeading___Toc3331674_214244365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3331676_2142443653">
            <w:r>
              <w:rPr>
                <w:webHidden/>
                <w:rStyle w:val="IndexLink"/>
                <w:rtl w:val="true"/>
              </w:rPr>
              <w:t>حكم الاختلاف في حدوث العيب قبل القبض أو مضيّ الخيار</w:t>
            </w:r>
            <w:r>
              <w:rPr>
                <w:rStyle w:val="IndexLink"/>
                <w:rtl w:val="true"/>
              </w:rPr>
              <w:tab/>
            </w:r>
            <w:r>
              <w:rPr>
                <w:rStyle w:val="IndexLink"/>
              </w:rPr>
              <w:t>157</w:t>
            </w:r>
          </w:hyperlink>
        </w:p>
        <w:p>
          <w:pPr>
            <w:pStyle w:val="Contents6"/>
            <w:tabs>
              <w:tab w:val="clear" w:pos="7609"/>
              <w:tab w:val="right" w:pos="9026" w:leader="dot"/>
            </w:tabs>
            <w:rPr/>
          </w:pPr>
          <w:hyperlink w:anchor="__RefHeading___Toc3331678_2142443653">
            <w:r>
              <w:rPr>
                <w:webHidden/>
                <w:rStyle w:val="IndexLink"/>
                <w:rtl w:val="true"/>
              </w:rPr>
              <w:t>الاختلاف في حدوث العيب في أحد الأزمنة المتقدّمة وبعدها</w:t>
            </w:r>
            <w:r>
              <w:rPr>
                <w:rStyle w:val="IndexLink"/>
                <w:rtl w:val="true"/>
              </w:rPr>
              <w:tab/>
            </w:r>
            <w:r>
              <w:rPr>
                <w:rStyle w:val="IndexLink"/>
              </w:rPr>
              <w:t>157</w:t>
            </w:r>
          </w:hyperlink>
        </w:p>
        <w:p>
          <w:pPr>
            <w:pStyle w:val="Contents6"/>
            <w:tabs>
              <w:tab w:val="clear" w:pos="7609"/>
              <w:tab w:val="right" w:pos="9026" w:leader="dot"/>
            </w:tabs>
            <w:rPr/>
          </w:pPr>
          <w:hyperlink w:anchor="__RefHeading___Toc3331680_2142443653">
            <w:r>
              <w:rPr>
                <w:webHidden/>
                <w:rStyle w:val="IndexLink"/>
                <w:rtl w:val="true"/>
              </w:rPr>
              <w:t>لزوم التطابق بين الدعوى وردّها والحلف والبيّنة</w:t>
            </w:r>
            <w:r>
              <w:rPr>
                <w:rStyle w:val="IndexLink"/>
                <w:rtl w:val="true"/>
              </w:rPr>
              <w:tab/>
            </w:r>
            <w:r>
              <w:rPr>
                <w:rStyle w:val="IndexLink"/>
              </w:rPr>
              <w:t>161</w:t>
            </w:r>
          </w:hyperlink>
        </w:p>
        <w:p>
          <w:pPr>
            <w:pStyle w:val="Contents6"/>
            <w:tabs>
              <w:tab w:val="clear" w:pos="7609"/>
              <w:tab w:val="right" w:pos="9026" w:leader="dot"/>
            </w:tabs>
            <w:rPr/>
          </w:pPr>
          <w:hyperlink w:anchor="__RefHeading___Toc3331682_2142443653">
            <w:r>
              <w:rPr>
                <w:webHidden/>
                <w:rStyle w:val="IndexLink"/>
                <w:rtl w:val="true"/>
              </w:rPr>
              <w:t>اشتراط الجزم في الحلف وإن استند للأمارات</w:t>
            </w:r>
            <w:r>
              <w:rPr>
                <w:rStyle w:val="IndexLink"/>
                <w:rtl w:val="true"/>
              </w:rPr>
              <w:tab/>
            </w:r>
            <w:r>
              <w:rPr>
                <w:rStyle w:val="IndexLink"/>
              </w:rPr>
              <w:t>162</w:t>
            </w:r>
          </w:hyperlink>
        </w:p>
        <w:p>
          <w:pPr>
            <w:pStyle w:val="Contents6"/>
            <w:tabs>
              <w:tab w:val="clear" w:pos="7609"/>
              <w:tab w:val="right" w:pos="9026" w:leader="dot"/>
            </w:tabs>
            <w:rPr/>
          </w:pPr>
          <w:hyperlink w:anchor="__RefHeading___Toc3331684_2142443653">
            <w:r>
              <w:rPr>
                <w:webHidden/>
                <w:rStyle w:val="IndexLink"/>
                <w:rtl w:val="true"/>
              </w:rPr>
              <w:t xml:space="preserve">فرع </w:t>
            </w:r>
            <w:r>
              <w:rPr>
                <w:rStyle w:val="IndexLink"/>
                <w:rtl w:val="true"/>
              </w:rPr>
              <w:t xml:space="preserve">: </w:t>
            </w:r>
            <w:r>
              <w:rPr>
                <w:rStyle w:val="IndexLink"/>
                <w:rtl w:val="true"/>
              </w:rPr>
              <w:t>في لزوم ردّ المعيب على الموكّل دون الوكيل</w:t>
            </w:r>
            <w:r>
              <w:rPr>
                <w:rStyle w:val="IndexLink"/>
                <w:rtl w:val="true"/>
              </w:rPr>
              <w:tab/>
            </w:r>
            <w:r>
              <w:rPr>
                <w:rStyle w:val="IndexLink"/>
              </w:rPr>
              <w:t>165</w:t>
            </w:r>
          </w:hyperlink>
        </w:p>
        <w:p>
          <w:pPr>
            <w:pStyle w:val="Contents5"/>
            <w:tabs>
              <w:tab w:val="clear" w:pos="7892"/>
              <w:tab w:val="right" w:pos="9026" w:leader="dot"/>
            </w:tabs>
            <w:rPr/>
          </w:pPr>
          <w:hyperlink w:anchor="__RefHeading___Toc3331686_2142443653">
            <w:r>
              <w:rPr>
                <w:webHidden/>
                <w:rStyle w:val="IndexLink"/>
                <w:rtl w:val="true"/>
              </w:rPr>
              <w:t xml:space="preserve">الرابع </w:t>
            </w:r>
            <w:r>
              <w:rPr>
                <w:rStyle w:val="IndexLink"/>
                <w:rtl w:val="true"/>
              </w:rPr>
              <w:t xml:space="preserve">: </w:t>
            </w:r>
            <w:r>
              <w:rPr>
                <w:rStyle w:val="IndexLink"/>
                <w:rtl w:val="true"/>
              </w:rPr>
              <w:t>الاختلاف في السلعة</w:t>
            </w:r>
            <w:r>
              <w:rPr>
                <w:rStyle w:val="IndexLink"/>
                <w:rtl w:val="true"/>
              </w:rPr>
              <w:tab/>
            </w:r>
            <w:r>
              <w:rPr>
                <w:rStyle w:val="IndexLink"/>
              </w:rPr>
              <w:t>167</w:t>
            </w:r>
          </w:hyperlink>
        </w:p>
        <w:p>
          <w:pPr>
            <w:pStyle w:val="Contents6"/>
            <w:tabs>
              <w:tab w:val="clear" w:pos="7609"/>
              <w:tab w:val="right" w:pos="9026" w:leader="dot"/>
            </w:tabs>
            <w:rPr/>
          </w:pPr>
          <w:hyperlink w:anchor="__RefHeading___Toc3331688_2142443653">
            <w:r>
              <w:rPr>
                <w:webHidden/>
                <w:rStyle w:val="IndexLink"/>
                <w:rtl w:val="true"/>
              </w:rPr>
              <w:t>الاختلاف في السلعة مع الخلاف في الخيار</w:t>
            </w:r>
            <w:r>
              <w:rPr>
                <w:rStyle w:val="IndexLink"/>
                <w:rtl w:val="true"/>
              </w:rPr>
              <w:tab/>
            </w:r>
            <w:r>
              <w:rPr>
                <w:rStyle w:val="IndexLink"/>
              </w:rPr>
              <w:t>167</w:t>
            </w:r>
          </w:hyperlink>
        </w:p>
        <w:p>
          <w:pPr>
            <w:pStyle w:val="Contents6"/>
            <w:tabs>
              <w:tab w:val="clear" w:pos="7609"/>
              <w:tab w:val="right" w:pos="9026" w:leader="dot"/>
            </w:tabs>
            <w:rPr/>
          </w:pPr>
          <w:hyperlink w:anchor="__RefHeading___Toc3331690_2142443653">
            <w:r>
              <w:rPr>
                <w:webHidden/>
                <w:rStyle w:val="IndexLink"/>
                <w:rtl w:val="true"/>
              </w:rPr>
              <w:t>الاختلاف في السلعة بعد الاتّفاق على الخيار</w:t>
            </w:r>
            <w:r>
              <w:rPr>
                <w:rStyle w:val="IndexLink"/>
                <w:rtl w:val="true"/>
              </w:rPr>
              <w:tab/>
            </w:r>
            <w:r>
              <w:rPr>
                <w:rStyle w:val="IndexLink"/>
              </w:rPr>
              <w:t>170</w:t>
            </w:r>
          </w:hyperlink>
        </w:p>
        <w:p>
          <w:pPr>
            <w:pStyle w:val="Contents6"/>
            <w:tabs>
              <w:tab w:val="clear" w:pos="7609"/>
              <w:tab w:val="right" w:pos="9026" w:leader="dot"/>
            </w:tabs>
            <w:rPr/>
          </w:pPr>
          <w:hyperlink w:anchor="__RefHeading___Toc3331692_2142443653">
            <w:r>
              <w:rPr>
                <w:webHidden/>
                <w:rStyle w:val="IndexLink"/>
                <w:rtl w:val="true"/>
              </w:rPr>
              <w:t xml:space="preserve">فهنا صورتان </w:t>
            </w:r>
            <w:r>
              <w:rPr>
                <w:rStyle w:val="IndexLink"/>
                <w:rtl w:val="true"/>
              </w:rPr>
              <w:t>:</w:t>
              <w:tab/>
            </w:r>
            <w:r>
              <w:rPr>
                <w:rStyle w:val="IndexLink"/>
              </w:rPr>
              <w:t>170</w:t>
            </w:r>
          </w:hyperlink>
        </w:p>
        <w:p>
          <w:pPr>
            <w:pStyle w:val="Contents6"/>
            <w:tabs>
              <w:tab w:val="clear" w:pos="7609"/>
              <w:tab w:val="right" w:pos="9026" w:leader="dot"/>
            </w:tabs>
            <w:rPr/>
          </w:pPr>
          <w:hyperlink w:anchor="__RefHeading___Toc3331694_2142443653">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3331696_2142443653">
            <w:r>
              <w:rPr>
                <w:webHidden/>
                <w:rStyle w:val="IndexLink"/>
                <w:rtl w:val="true"/>
              </w:rPr>
              <w:t xml:space="preserve">الاُولى </w:t>
            </w:r>
            <w:r>
              <w:rPr>
                <w:rStyle w:val="IndexLink"/>
                <w:rtl w:val="true"/>
              </w:rPr>
              <w:t xml:space="preserve">: </w:t>
            </w:r>
            <w:r>
              <w:rPr>
                <w:rStyle w:val="IndexLink"/>
                <w:rtl w:val="true"/>
              </w:rPr>
              <w:t>أن يريد المشتري بردّ السلعة المعيوبة الفسخ</w:t>
            </w:r>
            <w:r>
              <w:rPr>
                <w:rStyle w:val="IndexLink"/>
                <w:rtl w:val="true"/>
              </w:rPr>
              <w:tab/>
            </w:r>
            <w:r>
              <w:rPr>
                <w:rStyle w:val="IndexLink"/>
              </w:rPr>
              <w:t>170</w:t>
            </w:r>
          </w:hyperlink>
        </w:p>
        <w:p>
          <w:pPr>
            <w:pStyle w:val="Contents6"/>
            <w:tabs>
              <w:tab w:val="clear" w:pos="7609"/>
              <w:tab w:val="right" w:pos="9026" w:leader="dot"/>
            </w:tabs>
            <w:rPr/>
          </w:pPr>
          <w:hyperlink w:anchor="__RefHeading___Toc3331698_2142443653">
            <w:r>
              <w:rPr>
                <w:webHidden/>
                <w:rStyle w:val="IndexLink"/>
                <w:rtl w:val="true"/>
              </w:rPr>
              <w:t xml:space="preserve">الثانية </w:t>
            </w:r>
            <w:r>
              <w:rPr>
                <w:rStyle w:val="IndexLink"/>
                <w:rtl w:val="true"/>
              </w:rPr>
              <w:t xml:space="preserve">: </w:t>
            </w:r>
            <w:r>
              <w:rPr>
                <w:rStyle w:val="IndexLink"/>
                <w:rtl w:val="true"/>
              </w:rPr>
              <w:t>في اختلافهما في السلعة في مقام الدفع</w:t>
            </w:r>
            <w:r>
              <w:rPr>
                <w:rStyle w:val="IndexLink"/>
                <w:rtl w:val="true"/>
              </w:rPr>
              <w:tab/>
            </w:r>
            <w:r>
              <w:rPr>
                <w:rStyle w:val="IndexLink"/>
              </w:rPr>
              <w:t>173</w:t>
            </w:r>
          </w:hyperlink>
        </w:p>
        <w:p>
          <w:pPr>
            <w:pStyle w:val="Contents5"/>
            <w:tabs>
              <w:tab w:val="clear" w:pos="7892"/>
              <w:tab w:val="right" w:pos="9026" w:leader="dot"/>
            </w:tabs>
            <w:rPr/>
          </w:pPr>
          <w:hyperlink w:anchor="__RefHeading___Toc3331700_2142443653">
            <w:r>
              <w:rPr>
                <w:webHidden/>
                <w:rStyle w:val="IndexLink"/>
                <w:rtl w:val="true"/>
              </w:rPr>
              <w:t xml:space="preserve">الخامس </w:t>
            </w:r>
            <w:r>
              <w:rPr>
                <w:rStyle w:val="IndexLink"/>
                <w:rtl w:val="true"/>
              </w:rPr>
              <w:t xml:space="preserve">: </w:t>
            </w:r>
            <w:r>
              <w:rPr>
                <w:rStyle w:val="IndexLink"/>
                <w:rtl w:val="true"/>
              </w:rPr>
              <w:t>الاختلاف في المسقط بالمعنى الأعمّ</w:t>
            </w:r>
            <w:r>
              <w:rPr>
                <w:rStyle w:val="IndexLink"/>
                <w:rtl w:val="true"/>
              </w:rPr>
              <w:tab/>
            </w:r>
            <w:r>
              <w:rPr>
                <w:rStyle w:val="IndexLink"/>
              </w:rPr>
              <w:t>174</w:t>
            </w:r>
          </w:hyperlink>
        </w:p>
        <w:p>
          <w:pPr>
            <w:pStyle w:val="Contents6"/>
            <w:tabs>
              <w:tab w:val="clear" w:pos="7609"/>
              <w:tab w:val="right" w:pos="9026" w:leader="dot"/>
            </w:tabs>
            <w:rPr/>
          </w:pPr>
          <w:hyperlink w:anchor="__RefHeading___Toc3331702_2142443653">
            <w:r>
              <w:rPr>
                <w:webHidden/>
                <w:rStyle w:val="IndexLink"/>
                <w:rtl w:val="true"/>
              </w:rPr>
              <w:t xml:space="preserve">فيه صور </w:t>
            </w:r>
            <w:r>
              <w:rPr>
                <w:rStyle w:val="IndexLink"/>
                <w:rtl w:val="true"/>
              </w:rPr>
              <w:t>:</w:t>
              <w:tab/>
            </w:r>
            <w:r>
              <w:rPr>
                <w:rStyle w:val="IndexLink"/>
              </w:rPr>
              <w:t>174</w:t>
            </w:r>
          </w:hyperlink>
        </w:p>
        <w:p>
          <w:pPr>
            <w:pStyle w:val="Contents6"/>
            <w:tabs>
              <w:tab w:val="clear" w:pos="7609"/>
              <w:tab w:val="right" w:pos="9026" w:leader="dot"/>
            </w:tabs>
            <w:rPr/>
          </w:pPr>
          <w:hyperlink w:anchor="__RefHeading___Toc3331704_2142443653">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3331706_2142443653">
            <w:r>
              <w:rPr>
                <w:webHidden/>
                <w:rStyle w:val="IndexLink"/>
                <w:rtl w:val="true"/>
              </w:rPr>
              <w:t xml:space="preserve">منها </w:t>
            </w:r>
            <w:r>
              <w:rPr>
                <w:rStyle w:val="IndexLink"/>
                <w:rtl w:val="true"/>
              </w:rPr>
              <w:t xml:space="preserve">: </w:t>
            </w:r>
            <w:r>
              <w:rPr>
                <w:rStyle w:val="IndexLink"/>
                <w:rtl w:val="true"/>
              </w:rPr>
              <w:t>ما لو اختلفا في علم المشتري بالعيب</w:t>
            </w:r>
            <w:r>
              <w:rPr>
                <w:rStyle w:val="IndexLink"/>
                <w:rtl w:val="true"/>
              </w:rPr>
              <w:tab/>
            </w:r>
            <w:r>
              <w:rPr>
                <w:rStyle w:val="IndexLink"/>
              </w:rPr>
              <w:t>174</w:t>
            </w:r>
          </w:hyperlink>
        </w:p>
        <w:p>
          <w:pPr>
            <w:pStyle w:val="Contents6"/>
            <w:tabs>
              <w:tab w:val="clear" w:pos="7609"/>
              <w:tab w:val="right" w:pos="9026" w:leader="dot"/>
            </w:tabs>
            <w:rPr/>
          </w:pPr>
          <w:hyperlink w:anchor="__RefHeading___Toc3331708_2142443653">
            <w:r>
              <w:rPr>
                <w:webHidden/>
                <w:rStyle w:val="IndexLink"/>
                <w:rtl w:val="true"/>
              </w:rPr>
              <w:t xml:space="preserve">ومنها </w:t>
            </w:r>
            <w:r>
              <w:rPr>
                <w:rStyle w:val="IndexLink"/>
                <w:rtl w:val="true"/>
              </w:rPr>
              <w:t xml:space="preserve">: </w:t>
            </w:r>
            <w:r>
              <w:rPr>
                <w:rStyle w:val="IndexLink"/>
                <w:rtl w:val="true"/>
              </w:rPr>
              <w:t>ما لو اختلفا في زواله قبل علم المشتري</w:t>
            </w:r>
            <w:r>
              <w:rPr>
                <w:rStyle w:val="IndexLink"/>
                <w:rtl w:val="true"/>
              </w:rPr>
              <w:tab/>
            </w:r>
            <w:r>
              <w:rPr>
                <w:rStyle w:val="IndexLink"/>
              </w:rPr>
              <w:t>177</w:t>
            </w:r>
          </w:hyperlink>
        </w:p>
        <w:p>
          <w:pPr>
            <w:pStyle w:val="Contents6"/>
            <w:tabs>
              <w:tab w:val="clear" w:pos="7609"/>
              <w:tab w:val="right" w:pos="9026" w:leader="dot"/>
            </w:tabs>
            <w:rPr/>
          </w:pPr>
          <w:hyperlink w:anchor="__RefHeading___Toc3331710_2142443653">
            <w:r>
              <w:rPr>
                <w:webHidden/>
                <w:rStyle w:val="IndexLink"/>
                <w:rtl w:val="true"/>
              </w:rPr>
              <w:t xml:space="preserve">ومنها </w:t>
            </w:r>
            <w:r>
              <w:rPr>
                <w:rStyle w:val="IndexLink"/>
                <w:rtl w:val="true"/>
              </w:rPr>
              <w:t xml:space="preserve">: </w:t>
            </w:r>
            <w:r>
              <w:rPr>
                <w:rStyle w:val="IndexLink"/>
                <w:rtl w:val="true"/>
              </w:rPr>
              <w:t>ما لو اختلفا في زمان حدوث عيب مشاهد</w:t>
            </w:r>
            <w:r>
              <w:rPr>
                <w:rStyle w:val="IndexLink"/>
                <w:rtl w:val="true"/>
              </w:rPr>
              <w:tab/>
            </w:r>
            <w:r>
              <w:rPr>
                <w:rStyle w:val="IndexLink"/>
              </w:rPr>
              <w:t>182</w:t>
            </w:r>
          </w:hyperlink>
        </w:p>
        <w:p>
          <w:pPr>
            <w:pStyle w:val="Contents6"/>
            <w:tabs>
              <w:tab w:val="clear" w:pos="7609"/>
              <w:tab w:val="right" w:pos="9026" w:leader="dot"/>
            </w:tabs>
            <w:rPr/>
          </w:pPr>
          <w:hyperlink w:anchor="__RefHeading___Toc3331712_2142443653">
            <w:r>
              <w:rPr>
                <w:webHidden/>
                <w:rStyle w:val="IndexLink"/>
                <w:rtl w:val="true"/>
              </w:rPr>
              <w:t xml:space="preserve">ومنها </w:t>
            </w:r>
            <w:r>
              <w:rPr>
                <w:rStyle w:val="IndexLink"/>
                <w:rtl w:val="true"/>
              </w:rPr>
              <w:t xml:space="preserve">: </w:t>
            </w:r>
            <w:r>
              <w:rPr>
                <w:rStyle w:val="IndexLink"/>
                <w:rtl w:val="true"/>
              </w:rPr>
              <w:t>ما لو اختلفا في البراءة</w:t>
            </w:r>
            <w:r>
              <w:rPr>
                <w:rStyle w:val="IndexLink"/>
                <w:rtl w:val="true"/>
              </w:rPr>
              <w:tab/>
            </w:r>
            <w:r>
              <w:rPr>
                <w:rStyle w:val="IndexLink"/>
              </w:rPr>
              <w:t>183</w:t>
            </w:r>
          </w:hyperlink>
        </w:p>
        <w:p>
          <w:pPr>
            <w:pStyle w:val="Contents6"/>
            <w:tabs>
              <w:tab w:val="clear" w:pos="7609"/>
              <w:tab w:val="right" w:pos="9026" w:leader="dot"/>
            </w:tabs>
            <w:rPr/>
          </w:pPr>
          <w:hyperlink w:anchor="__RefHeading___Toc3331714_2142443653">
            <w:r>
              <w:rPr>
                <w:webHidden/>
                <w:rStyle w:val="IndexLink"/>
                <w:rtl w:val="true"/>
              </w:rPr>
              <w:t xml:space="preserve">ومنها </w:t>
            </w:r>
            <w:r>
              <w:rPr>
                <w:rStyle w:val="IndexLink"/>
                <w:rtl w:val="true"/>
              </w:rPr>
              <w:t xml:space="preserve">: </w:t>
            </w:r>
            <w:r>
              <w:rPr>
                <w:rStyle w:val="IndexLink"/>
                <w:rtl w:val="true"/>
              </w:rPr>
              <w:t>ما لو ادّعى البائع رضا المشتري بالعيب بعد العلم به</w:t>
            </w:r>
            <w:r>
              <w:rPr>
                <w:rStyle w:val="IndexLink"/>
                <w:rtl w:val="true"/>
              </w:rPr>
              <w:tab/>
            </w:r>
            <w:r>
              <w:rPr>
                <w:rStyle w:val="IndexLink"/>
              </w:rPr>
              <w:t>186</w:t>
            </w:r>
          </w:hyperlink>
        </w:p>
        <w:p>
          <w:pPr>
            <w:pStyle w:val="Contents5"/>
            <w:tabs>
              <w:tab w:val="clear" w:pos="7892"/>
              <w:tab w:val="right" w:pos="9026" w:leader="dot"/>
            </w:tabs>
            <w:rPr/>
          </w:pPr>
          <w:hyperlink w:anchor="__RefHeading___Toc3331716_2142443653">
            <w:r>
              <w:rPr>
                <w:webHidden/>
                <w:rStyle w:val="IndexLink"/>
                <w:rtl w:val="true"/>
              </w:rPr>
              <w:t xml:space="preserve">السادس </w:t>
            </w:r>
            <w:r>
              <w:rPr>
                <w:rStyle w:val="IndexLink"/>
                <w:rtl w:val="true"/>
              </w:rPr>
              <w:t xml:space="preserve">: </w:t>
            </w:r>
            <w:r>
              <w:rPr>
                <w:rStyle w:val="IndexLink"/>
                <w:rtl w:val="true"/>
              </w:rPr>
              <w:t>في الاختلاف في الفسخ</w:t>
            </w:r>
            <w:r>
              <w:rPr>
                <w:rStyle w:val="IndexLink"/>
                <w:rtl w:val="true"/>
              </w:rPr>
              <w:tab/>
            </w:r>
            <w:r>
              <w:rPr>
                <w:rStyle w:val="IndexLink"/>
              </w:rPr>
              <w:t>187</w:t>
            </w:r>
          </w:hyperlink>
        </w:p>
        <w:p>
          <w:pPr>
            <w:pStyle w:val="Contents6"/>
            <w:tabs>
              <w:tab w:val="clear" w:pos="7609"/>
              <w:tab w:val="right" w:pos="9026" w:leader="dot"/>
            </w:tabs>
            <w:rPr/>
          </w:pPr>
          <w:hyperlink w:anchor="__RefHeading___Toc3331718_2142443653">
            <w:r>
              <w:rPr>
                <w:webHidden/>
                <w:rStyle w:val="IndexLink"/>
                <w:rtl w:val="true"/>
              </w:rPr>
              <w:t xml:space="preserve">وفيه مسائل </w:t>
            </w:r>
            <w:r>
              <w:rPr>
                <w:rStyle w:val="IndexLink"/>
                <w:rtl w:val="true"/>
              </w:rPr>
              <w:t>:</w:t>
              <w:tab/>
            </w:r>
            <w:r>
              <w:rPr>
                <w:rStyle w:val="IndexLink"/>
              </w:rPr>
              <w:t>187</w:t>
            </w:r>
          </w:hyperlink>
        </w:p>
        <w:p>
          <w:pPr>
            <w:pStyle w:val="Contents6"/>
            <w:tabs>
              <w:tab w:val="clear" w:pos="7609"/>
              <w:tab w:val="right" w:pos="9026" w:leader="dot"/>
            </w:tabs>
            <w:rPr/>
          </w:pPr>
          <w:hyperlink w:anchor="__RefHeading___Toc3331720_2142443653">
            <w:r>
              <w:rPr>
                <w:webHidden/>
                <w:rStyle w:val="IndexLink"/>
                <w:rtl w:val="true"/>
              </w:rPr>
              <w:t xml:space="preserve">الاُولى </w:t>
            </w:r>
            <w:r>
              <w:rPr>
                <w:rStyle w:val="IndexLink"/>
                <w:rtl w:val="true"/>
              </w:rPr>
              <w:t xml:space="preserve">: </w:t>
            </w:r>
            <w:r>
              <w:rPr>
                <w:rStyle w:val="IndexLink"/>
                <w:rtl w:val="true"/>
              </w:rPr>
              <w:t>الاختلاف في أصل الفسخ</w:t>
            </w:r>
            <w:r>
              <w:rPr>
                <w:rStyle w:val="IndexLink"/>
                <w:rtl w:val="true"/>
              </w:rPr>
              <w:tab/>
            </w:r>
            <w:r>
              <w:rPr>
                <w:rStyle w:val="IndexLink"/>
              </w:rPr>
              <w:t>187</w:t>
            </w:r>
          </w:hyperlink>
        </w:p>
        <w:p>
          <w:pPr>
            <w:pStyle w:val="Contents6"/>
            <w:tabs>
              <w:tab w:val="clear" w:pos="7609"/>
              <w:tab w:val="right" w:pos="9026" w:leader="dot"/>
            </w:tabs>
            <w:rPr/>
          </w:pPr>
          <w:hyperlink w:anchor="__RefHeading___Toc3331722_2142443653">
            <w:r>
              <w:rPr>
                <w:webHidden/>
                <w:rStyle w:val="IndexLink"/>
                <w:rtl w:val="true"/>
              </w:rPr>
              <w:t xml:space="preserve">الثانية </w:t>
            </w:r>
            <w:r>
              <w:rPr>
                <w:rStyle w:val="IndexLink"/>
                <w:rtl w:val="true"/>
              </w:rPr>
              <w:t xml:space="preserve">: </w:t>
            </w:r>
            <w:r>
              <w:rPr>
                <w:rStyle w:val="IndexLink"/>
                <w:rtl w:val="true"/>
              </w:rPr>
              <w:t>الاختلاف في تأخّر الفسخ عن أوّل الوقت</w:t>
            </w:r>
            <w:r>
              <w:rPr>
                <w:rStyle w:val="IndexLink"/>
                <w:rtl w:val="true"/>
              </w:rPr>
              <w:tab/>
            </w:r>
            <w:r>
              <w:rPr>
                <w:rStyle w:val="IndexLink"/>
              </w:rPr>
              <w:t>190</w:t>
            </w:r>
          </w:hyperlink>
        </w:p>
        <w:p>
          <w:pPr>
            <w:pStyle w:val="Contents6"/>
            <w:tabs>
              <w:tab w:val="clear" w:pos="7609"/>
              <w:tab w:val="right" w:pos="9026" w:leader="dot"/>
            </w:tabs>
            <w:rPr/>
          </w:pPr>
          <w:hyperlink w:anchor="__RefHeading___Toc3331724_2142443653">
            <w:r>
              <w:rPr>
                <w:webHidden/>
                <w:rStyle w:val="IndexLink"/>
                <w:rtl w:val="true"/>
              </w:rPr>
              <w:t xml:space="preserve">الثالثة </w:t>
            </w:r>
            <w:r>
              <w:rPr>
                <w:rStyle w:val="IndexLink"/>
                <w:rtl w:val="true"/>
              </w:rPr>
              <w:t xml:space="preserve">: </w:t>
            </w:r>
            <w:r>
              <w:rPr>
                <w:rStyle w:val="IndexLink"/>
                <w:rtl w:val="true"/>
              </w:rPr>
              <w:t>الاختلاف في العلم بالخيار أو بفوريته</w:t>
            </w:r>
            <w:r>
              <w:rPr>
                <w:rStyle w:val="IndexLink"/>
                <w:rtl w:val="true"/>
              </w:rPr>
              <w:tab/>
            </w:r>
            <w:r>
              <w:rPr>
                <w:rStyle w:val="IndexLink"/>
              </w:rPr>
              <w:t>191</w:t>
            </w:r>
          </w:hyperlink>
        </w:p>
        <w:p>
          <w:pPr>
            <w:pStyle w:val="Contents3"/>
            <w:tabs>
              <w:tab w:val="clear" w:pos="8459"/>
              <w:tab w:val="right" w:pos="9026" w:leader="dot"/>
            </w:tabs>
            <w:rPr/>
          </w:pPr>
          <w:hyperlink w:anchor="__RefHeading___Toc3331726_2142443653">
            <w:r>
              <w:rPr>
                <w:webHidden/>
                <w:rStyle w:val="IndexLink"/>
                <w:rtl w:val="true"/>
              </w:rPr>
              <w:t>القول في ماهية العيب</w:t>
            </w:r>
            <w:r>
              <w:rPr>
                <w:rStyle w:val="IndexLink"/>
                <w:rtl w:val="true"/>
              </w:rPr>
              <w:tab/>
            </w:r>
            <w:r>
              <w:rPr>
                <w:rStyle w:val="IndexLink"/>
              </w:rPr>
              <w:t>193</w:t>
            </w:r>
          </w:hyperlink>
        </w:p>
        <w:p>
          <w:pPr>
            <w:pStyle w:val="Contents4"/>
            <w:tabs>
              <w:tab w:val="clear" w:pos="8176"/>
              <w:tab w:val="right" w:pos="9026" w:leader="dot"/>
            </w:tabs>
            <w:rPr/>
          </w:pPr>
          <w:hyperlink w:anchor="__RefHeading___Toc3331728_2142443653">
            <w:r>
              <w:rPr>
                <w:webHidden/>
                <w:rStyle w:val="IndexLink"/>
                <w:rtl w:val="true"/>
              </w:rPr>
              <w:t>تعريف العيب</w:t>
            </w:r>
            <w:r>
              <w:rPr>
                <w:rStyle w:val="IndexLink"/>
                <w:rtl w:val="true"/>
              </w:rPr>
              <w:tab/>
            </w:r>
            <w:r>
              <w:rPr>
                <w:rStyle w:val="IndexLink"/>
              </w:rPr>
              <w:t>193</w:t>
            </w:r>
          </w:hyperlink>
        </w:p>
        <w:p>
          <w:pPr>
            <w:pStyle w:val="Contents4"/>
            <w:tabs>
              <w:tab w:val="clear" w:pos="8176"/>
              <w:tab w:val="right" w:pos="9026" w:leader="dot"/>
            </w:tabs>
            <w:rPr/>
          </w:pPr>
          <w:hyperlink w:anchor="__RefHeading___Toc3331730_2142443653">
            <w:r>
              <w:rPr>
                <w:webHidden/>
                <w:rStyle w:val="IndexLink"/>
                <w:rtl w:val="true"/>
              </w:rPr>
              <w:t>عدم انحصار خيار العيب بموارد العيب بحسب أصل الخلقة</w:t>
            </w:r>
            <w:r>
              <w:rPr>
                <w:rStyle w:val="IndexLink"/>
                <w:rtl w:val="true"/>
              </w:rPr>
              <w:tab/>
            </w:r>
            <w:r>
              <w:rPr>
                <w:rStyle w:val="IndexLink"/>
              </w:rPr>
              <w:t>196</w:t>
            </w:r>
          </w:hyperlink>
        </w:p>
        <w:p>
          <w:pPr>
            <w:pStyle w:val="Contents4"/>
            <w:tabs>
              <w:tab w:val="clear" w:pos="8176"/>
              <w:tab w:val="right" w:pos="9026" w:leader="dot"/>
            </w:tabs>
            <w:rPr/>
          </w:pPr>
          <w:hyperlink w:anchor="__RefHeading___Toc3331732_2142443653">
            <w:r>
              <w:rPr>
                <w:webHidden/>
                <w:rStyle w:val="IndexLink"/>
                <w:rtl w:val="true"/>
              </w:rPr>
              <w:t>حكم الزيادة أو النقيصة الموجبة لزيادة القيمة أو عدم النقص</w:t>
            </w:r>
            <w:r>
              <w:rPr>
                <w:rStyle w:val="IndexLink"/>
                <w:rtl w:val="true"/>
              </w:rPr>
              <w:tab/>
            </w:r>
            <w:r>
              <w:rPr>
                <w:rStyle w:val="IndexLink"/>
              </w:rPr>
              <w:t>198</w:t>
            </w:r>
          </w:hyperlink>
        </w:p>
        <w:p>
          <w:pPr>
            <w:pStyle w:val="Contents4"/>
            <w:tabs>
              <w:tab w:val="clear" w:pos="8176"/>
              <w:tab w:val="right" w:pos="9026" w:leader="dot"/>
            </w:tabs>
            <w:rPr/>
          </w:pPr>
          <w:hyperlink w:anchor="__RefHeading___Toc3331734_2142443653">
            <w:r>
              <w:rPr>
                <w:webHidden/>
                <w:rStyle w:val="IndexLink"/>
                <w:rtl w:val="true"/>
              </w:rPr>
              <w:t xml:space="preserve">حكم النقص الشائع الذي يصدق عليه </w:t>
            </w:r>
            <w:r>
              <w:rPr>
                <w:rStyle w:val="IndexLink"/>
                <w:rtl w:val="true"/>
              </w:rPr>
              <w:t>«</w:t>
            </w:r>
            <w:r>
              <w:rPr>
                <w:rStyle w:val="IndexLink"/>
                <w:rtl w:val="true"/>
              </w:rPr>
              <w:t>العيب</w:t>
            </w:r>
            <w:r>
              <w:rPr>
                <w:rStyle w:val="IndexLink"/>
                <w:rtl w:val="true"/>
              </w:rPr>
              <w:t>»</w:t>
              <w:tab/>
            </w:r>
            <w:r>
              <w:rPr>
                <w:rStyle w:val="IndexLink"/>
              </w:rPr>
              <w:t>201</w:t>
            </w:r>
          </w:hyperlink>
        </w:p>
        <w:p>
          <w:pPr>
            <w:pStyle w:val="Contents4"/>
            <w:tabs>
              <w:tab w:val="clear" w:pos="8176"/>
              <w:tab w:val="right" w:pos="9026" w:leader="dot"/>
            </w:tabs>
            <w:rPr/>
          </w:pPr>
          <w:hyperlink w:anchor="__RefHeading___Toc3331736_2142443653">
            <w:r>
              <w:rPr>
                <w:webHidden/>
                <w:rStyle w:val="IndexLink"/>
                <w:rtl w:val="true"/>
              </w:rPr>
              <w:t>حكم النقص عن الخلقة الأصلية الذي لا يكون عيباً</w:t>
            </w:r>
            <w:r>
              <w:rPr>
                <w:rStyle w:val="IndexLink"/>
                <w:rtl w:val="true"/>
              </w:rPr>
              <w:tab/>
            </w:r>
            <w:r>
              <w:rPr>
                <w:rStyle w:val="IndexLink"/>
              </w:rPr>
              <w:t>202</w:t>
            </w:r>
          </w:hyperlink>
        </w:p>
        <w:p>
          <w:pPr>
            <w:pStyle w:val="Contents4"/>
            <w:tabs>
              <w:tab w:val="clear" w:pos="8176"/>
              <w:tab w:val="right" w:pos="9026" w:leader="dot"/>
            </w:tabs>
            <w:rPr/>
          </w:pPr>
          <w:hyperlink w:anchor="__RefHeading___Toc3331738_2142443653">
            <w:r>
              <w:rPr>
                <w:webHidden/>
                <w:rStyle w:val="IndexLink"/>
                <w:rtl w:val="true"/>
              </w:rPr>
              <w:t>ثمرة المقام</w:t>
            </w:r>
            <w:r>
              <w:rPr>
                <w:rStyle w:val="IndexLink"/>
                <w:rtl w:val="true"/>
              </w:rPr>
              <w:tab/>
            </w:r>
            <w:r>
              <w:rPr>
                <w:rStyle w:val="IndexLink"/>
              </w:rPr>
              <w:t>204</w:t>
            </w:r>
          </w:hyperlink>
        </w:p>
        <w:p>
          <w:pPr>
            <w:pStyle w:val="Contents3"/>
            <w:tabs>
              <w:tab w:val="clear" w:pos="8459"/>
              <w:tab w:val="right" w:pos="9026" w:leader="dot"/>
            </w:tabs>
            <w:rPr/>
          </w:pPr>
          <w:hyperlink w:anchor="__RefHeading___Toc3331740_2142443653">
            <w:r>
              <w:rPr>
                <w:webHidden/>
                <w:rStyle w:val="IndexLink"/>
                <w:rtl w:val="true"/>
              </w:rPr>
              <w:t>الكلام في الأرش</w:t>
            </w:r>
            <w:r>
              <w:rPr>
                <w:rStyle w:val="IndexLink"/>
                <w:rtl w:val="true"/>
              </w:rPr>
              <w:tab/>
            </w:r>
            <w:r>
              <w:rPr>
                <w:rStyle w:val="IndexLink"/>
              </w:rPr>
              <w:t>206</w:t>
            </w:r>
          </w:hyperlink>
        </w:p>
        <w:p>
          <w:pPr>
            <w:pStyle w:val="Contents4"/>
            <w:tabs>
              <w:tab w:val="clear" w:pos="8176"/>
              <w:tab w:val="right" w:pos="9026" w:leader="dot"/>
            </w:tabs>
            <w:rPr/>
          </w:pPr>
          <w:hyperlink w:anchor="__RefHeading___Toc3331742_2142443653">
            <w:r>
              <w:rPr>
                <w:webHidden/>
                <w:rStyle w:val="IndexLink"/>
                <w:rtl w:val="true"/>
              </w:rPr>
              <w:t>معنى الأرش لغة واصطلاحاً</w:t>
            </w:r>
            <w:r>
              <w:rPr>
                <w:rStyle w:val="IndexLink"/>
                <w:rtl w:val="true"/>
              </w:rPr>
              <w:tab/>
            </w:r>
            <w:r>
              <w:rPr>
                <w:rStyle w:val="IndexLink"/>
              </w:rPr>
              <w:t>206</w:t>
            </w:r>
          </w:hyperlink>
        </w:p>
        <w:p>
          <w:pPr>
            <w:pStyle w:val="Contents4"/>
            <w:tabs>
              <w:tab w:val="clear" w:pos="8176"/>
              <w:tab w:val="right" w:pos="9026" w:leader="dot"/>
            </w:tabs>
            <w:rPr/>
          </w:pPr>
          <w:hyperlink w:anchor="__RefHeading___Toc3331744_2142443653">
            <w:r>
              <w:rPr>
                <w:webHidden/>
                <w:rStyle w:val="IndexLink"/>
                <w:rtl w:val="true"/>
              </w:rPr>
              <w:t>المراد بالضمان في مورد الأرش وتحديد مقداره</w:t>
            </w:r>
            <w:r>
              <w:rPr>
                <w:rStyle w:val="IndexLink"/>
                <w:rtl w:val="true"/>
              </w:rPr>
              <w:tab/>
            </w:r>
            <w:r>
              <w:rPr>
                <w:rStyle w:val="IndexLink"/>
              </w:rPr>
              <w:t>207</w:t>
            </w:r>
          </w:hyperlink>
        </w:p>
        <w:p>
          <w:pPr>
            <w:pStyle w:val="Contents4"/>
            <w:tabs>
              <w:tab w:val="clear" w:pos="8176"/>
              <w:tab w:val="right" w:pos="9026" w:leader="dot"/>
            </w:tabs>
            <w:rPr/>
          </w:pPr>
          <w:hyperlink w:anchor="__RefHeading___Toc3331746_2142443653">
            <w:r>
              <w:rPr>
                <w:webHidden/>
                <w:rStyle w:val="IndexLink"/>
                <w:rtl w:val="true"/>
              </w:rPr>
              <w:t>عدم لزوم دفع الأرش من عين الثمن المسمّى</w:t>
            </w:r>
            <w:r>
              <w:rPr>
                <w:rStyle w:val="IndexLink"/>
                <w:rtl w:val="true"/>
              </w:rPr>
              <w:tab/>
            </w:r>
            <w:r>
              <w:rPr>
                <w:rStyle w:val="IndexLink"/>
              </w:rPr>
              <w:t>212</w:t>
            </w:r>
          </w:hyperlink>
        </w:p>
        <w:p>
          <w:pPr>
            <w:pStyle w:val="Contents4"/>
            <w:tabs>
              <w:tab w:val="clear" w:pos="8176"/>
              <w:tab w:val="right" w:pos="9026" w:leader="dot"/>
            </w:tabs>
            <w:rPr/>
          </w:pPr>
          <w:hyperlink w:anchor="__RefHeading___Toc3331748_2142443653">
            <w:r>
              <w:rPr>
                <w:webHidden/>
                <w:rStyle w:val="IndexLink"/>
                <w:rtl w:val="true"/>
              </w:rPr>
              <w:t>هل المدفوع من غير النقدين نفس الأرش أو بدله؟</w:t>
            </w:r>
            <w:r>
              <w:rPr>
                <w:rStyle w:val="IndexLink"/>
                <w:rtl w:val="true"/>
              </w:rPr>
              <w:tab/>
            </w:r>
            <w:r>
              <w:rPr>
                <w:rStyle w:val="IndexLink"/>
              </w:rPr>
              <w:t>217</w:t>
            </w:r>
          </w:hyperlink>
        </w:p>
        <w:p>
          <w:pPr>
            <w:pStyle w:val="Contents4"/>
            <w:tabs>
              <w:tab w:val="clear" w:pos="8176"/>
              <w:tab w:val="right" w:pos="9026" w:leader="dot"/>
            </w:tabs>
            <w:rPr/>
          </w:pPr>
          <w:hyperlink w:anchor="__RefHeading___Toc3331750_2142443653">
            <w:r>
              <w:rPr>
                <w:webHidden/>
                <w:rStyle w:val="IndexLink"/>
                <w:rtl w:val="true"/>
              </w:rPr>
              <w:t>عدم ثبوت الأرش المستوعب في العيب المقارن للعقد</w:t>
            </w:r>
            <w:r>
              <w:rPr>
                <w:rStyle w:val="IndexLink"/>
                <w:rtl w:val="true"/>
              </w:rPr>
              <w:tab/>
            </w:r>
            <w:r>
              <w:rPr>
                <w:rStyle w:val="IndexLink"/>
              </w:rPr>
              <w:t>218</w:t>
            </w:r>
          </w:hyperlink>
        </w:p>
        <w:p>
          <w:pPr>
            <w:pStyle w:val="Contents3"/>
            <w:tabs>
              <w:tab w:val="clear" w:pos="8459"/>
              <w:tab w:val="right" w:pos="9026" w:leader="dot"/>
            </w:tabs>
            <w:rPr/>
          </w:pPr>
          <w:hyperlink w:anchor="__RefHeading___Toc3331752_2142443653">
            <w:r>
              <w:rPr>
                <w:webHidden/>
                <w:rStyle w:val="IndexLink"/>
                <w:rtl w:val="true"/>
              </w:rPr>
              <w:t xml:space="preserve">مسألة </w:t>
            </w:r>
            <w:r>
              <w:rPr>
                <w:rStyle w:val="IndexLink"/>
                <w:rtl w:val="true"/>
              </w:rPr>
              <w:t xml:space="preserve">: </w:t>
            </w:r>
            <w:r>
              <w:rPr>
                <w:rStyle w:val="IndexLink"/>
                <w:rtl w:val="true"/>
              </w:rPr>
              <w:t>في معرفة الأرش</w:t>
            </w:r>
            <w:r>
              <w:rPr>
                <w:rStyle w:val="IndexLink"/>
                <w:rtl w:val="true"/>
              </w:rPr>
              <w:tab/>
            </w:r>
            <w:r>
              <w:rPr>
                <w:rStyle w:val="IndexLink"/>
              </w:rPr>
              <w:t>222</w:t>
            </w:r>
          </w:hyperlink>
        </w:p>
        <w:p>
          <w:pPr>
            <w:pStyle w:val="Contents3"/>
            <w:tabs>
              <w:tab w:val="clear" w:pos="8459"/>
              <w:tab w:val="right" w:pos="9026" w:leader="dot"/>
            </w:tabs>
            <w:rPr/>
          </w:pPr>
          <w:hyperlink w:anchor="__RefHeading___Toc3331754_2142443653">
            <w:r>
              <w:rPr>
                <w:webHidden/>
                <w:rStyle w:val="IndexLink"/>
                <w:rtl w:val="true"/>
              </w:rPr>
              <w:t>مسألة في اختلاف المقوّمين</w:t>
            </w:r>
            <w:r>
              <w:rPr>
                <w:rStyle w:val="IndexLink"/>
                <w:rtl w:val="true"/>
              </w:rPr>
              <w:tab/>
            </w:r>
            <w:r>
              <w:rPr>
                <w:rStyle w:val="IndexLink"/>
              </w:rPr>
              <w:t>226</w:t>
            </w:r>
          </w:hyperlink>
        </w:p>
        <w:p>
          <w:pPr>
            <w:pStyle w:val="Contents2"/>
            <w:tabs>
              <w:tab w:val="clear" w:pos="8743"/>
              <w:tab w:val="right" w:pos="9026" w:leader="dot"/>
            </w:tabs>
            <w:rPr/>
          </w:pPr>
          <w:hyperlink w:anchor="__RefHeading___Toc3331756_2142443653">
            <w:r>
              <w:rPr>
                <w:webHidden/>
                <w:rStyle w:val="IndexLink"/>
                <w:rtl w:val="true"/>
              </w:rPr>
              <w:t>القول في الشروط التي تقع في العقد وشروط صحّتها</w:t>
            </w:r>
            <w:r>
              <w:rPr>
                <w:rStyle w:val="IndexLink"/>
                <w:rtl w:val="true"/>
              </w:rPr>
              <w:tab/>
            </w:r>
            <w:r>
              <w:rPr>
                <w:rStyle w:val="IndexLink"/>
              </w:rPr>
              <w:t>232</w:t>
            </w:r>
          </w:hyperlink>
        </w:p>
        <w:p>
          <w:pPr>
            <w:pStyle w:val="Contents3"/>
            <w:tabs>
              <w:tab w:val="clear" w:pos="8459"/>
              <w:tab w:val="right" w:pos="9026" w:leader="dot"/>
            </w:tabs>
            <w:rPr/>
          </w:pPr>
          <w:hyperlink w:anchor="__RefHeading___Toc3331758_2142443653">
            <w:r>
              <w:rPr>
                <w:webHidden/>
                <w:rStyle w:val="IndexLink"/>
                <w:rtl w:val="true"/>
              </w:rPr>
              <w:t>اشارة</w:t>
            </w:r>
            <w:r>
              <w:rPr>
                <w:rStyle w:val="IndexLink"/>
                <w:rtl w:val="true"/>
              </w:rPr>
              <w:tab/>
            </w:r>
            <w:r>
              <w:rPr>
                <w:rStyle w:val="IndexLink"/>
              </w:rPr>
              <w:t>232</w:t>
            </w:r>
          </w:hyperlink>
        </w:p>
        <w:p>
          <w:pPr>
            <w:pStyle w:val="Contents3"/>
            <w:tabs>
              <w:tab w:val="clear" w:pos="8459"/>
              <w:tab w:val="right" w:pos="9026" w:leader="dot"/>
            </w:tabs>
            <w:rPr/>
          </w:pPr>
          <w:hyperlink w:anchor="__RefHeading___Toc3331760_2142443653">
            <w:r>
              <w:rPr>
                <w:webHidden/>
                <w:rStyle w:val="IndexLink"/>
                <w:rtl w:val="true"/>
              </w:rPr>
              <w:t>شروط صحّة الشرط</w:t>
            </w:r>
            <w:r>
              <w:rPr>
                <w:rStyle w:val="IndexLink"/>
                <w:rtl w:val="true"/>
              </w:rPr>
              <w:tab/>
            </w:r>
            <w:r>
              <w:rPr>
                <w:rStyle w:val="IndexLink"/>
              </w:rPr>
              <w:t>234</w:t>
            </w:r>
          </w:hyperlink>
        </w:p>
        <w:p>
          <w:pPr>
            <w:pStyle w:val="Contents4"/>
            <w:tabs>
              <w:tab w:val="clear" w:pos="8176"/>
              <w:tab w:val="right" w:pos="9026" w:leader="dot"/>
            </w:tabs>
            <w:rPr/>
          </w:pPr>
          <w:hyperlink w:anchor="__RefHeading___Toc3331762_2142443653">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3331764_2142443653">
            <w:r>
              <w:rPr>
                <w:webHidden/>
                <w:rStyle w:val="IndexLink"/>
                <w:rtl w:val="true"/>
              </w:rPr>
              <w:t xml:space="preserve">الأوّل </w:t>
            </w:r>
            <w:r>
              <w:rPr>
                <w:rStyle w:val="IndexLink"/>
                <w:rtl w:val="true"/>
              </w:rPr>
              <w:t xml:space="preserve">: </w:t>
            </w:r>
            <w:r>
              <w:rPr>
                <w:rStyle w:val="IndexLink"/>
                <w:rtl w:val="true"/>
              </w:rPr>
              <w:t>أن يكون داخلاً تحت قدرة المشروط عليه</w:t>
            </w:r>
            <w:r>
              <w:rPr>
                <w:rStyle w:val="IndexLink"/>
                <w:rtl w:val="true"/>
              </w:rPr>
              <w:tab/>
            </w:r>
            <w:r>
              <w:rPr>
                <w:rStyle w:val="IndexLink"/>
              </w:rPr>
              <w:t>234</w:t>
            </w:r>
          </w:hyperlink>
        </w:p>
        <w:p>
          <w:pPr>
            <w:pStyle w:val="Contents5"/>
            <w:tabs>
              <w:tab w:val="clear" w:pos="7892"/>
              <w:tab w:val="right" w:pos="9026" w:leader="dot"/>
            </w:tabs>
            <w:rPr/>
          </w:pPr>
          <w:hyperlink w:anchor="__RefHeading___Toc3331766_2142443653">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3331768_2142443653">
            <w:r>
              <w:rPr>
                <w:webHidden/>
                <w:rStyle w:val="IndexLink"/>
                <w:rtl w:val="true"/>
              </w:rPr>
              <w:t>حال شرط الفعل</w:t>
            </w:r>
            <w:r>
              <w:rPr>
                <w:rStyle w:val="IndexLink"/>
                <w:rtl w:val="true"/>
              </w:rPr>
              <w:tab/>
            </w:r>
            <w:r>
              <w:rPr>
                <w:rStyle w:val="IndexLink"/>
              </w:rPr>
              <w:t>236</w:t>
            </w:r>
          </w:hyperlink>
        </w:p>
        <w:p>
          <w:pPr>
            <w:pStyle w:val="Contents5"/>
            <w:tabs>
              <w:tab w:val="clear" w:pos="7892"/>
              <w:tab w:val="right" w:pos="9026" w:leader="dot"/>
            </w:tabs>
            <w:rPr/>
          </w:pPr>
          <w:hyperlink w:anchor="__RefHeading___Toc3331770_2142443653">
            <w:r>
              <w:rPr>
                <w:webHidden/>
                <w:rStyle w:val="IndexLink"/>
                <w:rtl w:val="true"/>
              </w:rPr>
              <w:t>حال شرط النتيجة</w:t>
            </w:r>
            <w:r>
              <w:rPr>
                <w:rStyle w:val="IndexLink"/>
                <w:rtl w:val="true"/>
              </w:rPr>
              <w:tab/>
            </w:r>
            <w:r>
              <w:rPr>
                <w:rStyle w:val="IndexLink"/>
              </w:rPr>
              <w:t>238</w:t>
            </w:r>
          </w:hyperlink>
        </w:p>
        <w:p>
          <w:pPr>
            <w:pStyle w:val="Contents4"/>
            <w:tabs>
              <w:tab w:val="clear" w:pos="8176"/>
              <w:tab w:val="right" w:pos="9026" w:leader="dot"/>
            </w:tabs>
            <w:rPr/>
          </w:pPr>
          <w:hyperlink w:anchor="__RefHeading___Toc3331772_2142443653">
            <w:r>
              <w:rPr>
                <w:webHidden/>
                <w:rStyle w:val="IndexLink"/>
                <w:rtl w:val="true"/>
              </w:rPr>
              <w:t xml:space="preserve">الثاني </w:t>
            </w:r>
            <w:r>
              <w:rPr>
                <w:rStyle w:val="IndexLink"/>
                <w:rtl w:val="true"/>
              </w:rPr>
              <w:t xml:space="preserve">: </w:t>
            </w:r>
            <w:r>
              <w:rPr>
                <w:rStyle w:val="IndexLink"/>
                <w:rtl w:val="true"/>
              </w:rPr>
              <w:t>أن يكون الشرط سائغاً في نفسه</w:t>
            </w:r>
            <w:r>
              <w:rPr>
                <w:rStyle w:val="IndexLink"/>
                <w:rtl w:val="true"/>
              </w:rPr>
              <w:tab/>
            </w:r>
            <w:r>
              <w:rPr>
                <w:rStyle w:val="IndexLink"/>
              </w:rPr>
              <w:t>242</w:t>
            </w:r>
          </w:hyperlink>
        </w:p>
        <w:p>
          <w:pPr>
            <w:pStyle w:val="Contents4"/>
            <w:tabs>
              <w:tab w:val="clear" w:pos="8176"/>
              <w:tab w:val="right" w:pos="9026" w:leader="dot"/>
            </w:tabs>
            <w:rPr/>
          </w:pPr>
          <w:hyperlink w:anchor="__RefHeading___Toc3331774_2142443653">
            <w:r>
              <w:rPr>
                <w:webHidden/>
                <w:rStyle w:val="IndexLink"/>
                <w:rtl w:val="true"/>
              </w:rPr>
              <w:t xml:space="preserve">الثالث </w:t>
            </w:r>
            <w:r>
              <w:rPr>
                <w:rStyle w:val="IndexLink"/>
                <w:rtl w:val="true"/>
              </w:rPr>
              <w:t xml:space="preserve">: </w:t>
            </w:r>
            <w:r>
              <w:rPr>
                <w:rStyle w:val="IndexLink"/>
                <w:rtl w:val="true"/>
              </w:rPr>
              <w:t>أن يكون الاشتراط عقلائياً</w:t>
            </w:r>
            <w:r>
              <w:rPr>
                <w:rStyle w:val="IndexLink"/>
                <w:rtl w:val="true"/>
              </w:rPr>
              <w:tab/>
            </w:r>
            <w:r>
              <w:rPr>
                <w:rStyle w:val="IndexLink"/>
              </w:rPr>
              <w:t>245</w:t>
            </w:r>
          </w:hyperlink>
        </w:p>
        <w:p>
          <w:pPr>
            <w:pStyle w:val="Contents4"/>
            <w:tabs>
              <w:tab w:val="clear" w:pos="8176"/>
              <w:tab w:val="right" w:pos="9026" w:leader="dot"/>
            </w:tabs>
            <w:rPr/>
          </w:pPr>
          <w:hyperlink w:anchor="__RefHeading___Toc3331776_2142443653">
            <w:r>
              <w:rPr>
                <w:webHidden/>
                <w:rStyle w:val="IndexLink"/>
                <w:rtl w:val="true"/>
              </w:rPr>
              <w:t xml:space="preserve">الرابع </w:t>
            </w:r>
            <w:r>
              <w:rPr>
                <w:rStyle w:val="IndexLink"/>
                <w:rtl w:val="true"/>
              </w:rPr>
              <w:t xml:space="preserve">: </w:t>
            </w:r>
            <w:r>
              <w:rPr>
                <w:rStyle w:val="IndexLink"/>
                <w:rtl w:val="true"/>
              </w:rPr>
              <w:t>أن لا يكون مخالفاً للكتاب والسنّة</w:t>
            </w:r>
            <w:r>
              <w:rPr>
                <w:rStyle w:val="IndexLink"/>
                <w:rtl w:val="true"/>
              </w:rPr>
              <w:tab/>
            </w:r>
            <w:r>
              <w:rPr>
                <w:rStyle w:val="IndexLink"/>
              </w:rPr>
              <w:t>247</w:t>
            </w:r>
          </w:hyperlink>
        </w:p>
        <w:p>
          <w:pPr>
            <w:pStyle w:val="Contents5"/>
            <w:tabs>
              <w:tab w:val="clear" w:pos="7892"/>
              <w:tab w:val="right" w:pos="9026" w:leader="dot"/>
            </w:tabs>
            <w:rPr/>
          </w:pPr>
          <w:hyperlink w:anchor="__RefHeading___Toc3331778_2142443653">
            <w:r>
              <w:rPr>
                <w:webHidden/>
                <w:rStyle w:val="IndexLink"/>
                <w:rtl w:val="true"/>
              </w:rPr>
              <w:t>أدلّة بطلان الشرط المخالف للكتاب</w:t>
            </w:r>
            <w:r>
              <w:rPr>
                <w:rStyle w:val="IndexLink"/>
                <w:rtl w:val="true"/>
              </w:rPr>
              <w:tab/>
            </w:r>
            <w:r>
              <w:rPr>
                <w:rStyle w:val="IndexLink"/>
              </w:rPr>
              <w:t>247</w:t>
            </w:r>
          </w:hyperlink>
        </w:p>
        <w:p>
          <w:pPr>
            <w:pStyle w:val="Contents5"/>
            <w:tabs>
              <w:tab w:val="clear" w:pos="7892"/>
              <w:tab w:val="right" w:pos="9026" w:leader="dot"/>
            </w:tabs>
            <w:rPr/>
          </w:pPr>
          <w:hyperlink w:anchor="__RefHeading___Toc3331780_2142443653">
            <w:r>
              <w:rPr>
                <w:webHidden/>
                <w:rStyle w:val="IndexLink"/>
                <w:rtl w:val="true"/>
              </w:rPr>
              <w:t>أدلّة بطلان الشرط المخالف للسنّة</w:t>
            </w:r>
            <w:r>
              <w:rPr>
                <w:rStyle w:val="IndexLink"/>
                <w:rtl w:val="true"/>
              </w:rPr>
              <w:tab/>
            </w:r>
            <w:r>
              <w:rPr>
                <w:rStyle w:val="IndexLink"/>
              </w:rPr>
              <w:t>247</w:t>
            </w:r>
          </w:hyperlink>
        </w:p>
        <w:p>
          <w:pPr>
            <w:pStyle w:val="Contents5"/>
            <w:tabs>
              <w:tab w:val="clear" w:pos="7892"/>
              <w:tab w:val="right" w:pos="9026" w:leader="dot"/>
            </w:tabs>
            <w:rPr/>
          </w:pPr>
          <w:hyperlink w:anchor="__RefHeading___Toc3331782_2142443653">
            <w:r>
              <w:rPr>
                <w:webHidden/>
                <w:rStyle w:val="IndexLink"/>
                <w:rtl w:val="true"/>
              </w:rPr>
              <w:t>هل موافقة الكتاب شرط أو مخالفته مانعة؟</w:t>
            </w:r>
            <w:r>
              <w:rPr>
                <w:rStyle w:val="IndexLink"/>
                <w:rtl w:val="true"/>
              </w:rPr>
              <w:tab/>
            </w:r>
            <w:r>
              <w:rPr>
                <w:rStyle w:val="IndexLink"/>
              </w:rPr>
              <w:t>253</w:t>
            </w:r>
          </w:hyperlink>
        </w:p>
        <w:p>
          <w:pPr>
            <w:pStyle w:val="Contents5"/>
            <w:tabs>
              <w:tab w:val="clear" w:pos="7892"/>
              <w:tab w:val="right" w:pos="9026" w:leader="dot"/>
            </w:tabs>
            <w:rPr/>
          </w:pPr>
          <w:hyperlink w:anchor="__RefHeading___Toc3331784_2142443653">
            <w:r>
              <w:rPr>
                <w:webHidden/>
                <w:rStyle w:val="IndexLink"/>
                <w:rtl w:val="true"/>
              </w:rPr>
              <w:t>في التعارض بين صحيحة ابن سنان وموثّقة إسحاق</w:t>
            </w:r>
            <w:r>
              <w:rPr>
                <w:rStyle w:val="IndexLink"/>
                <w:rtl w:val="true"/>
              </w:rPr>
              <w:tab/>
            </w:r>
            <w:r>
              <w:rPr>
                <w:rStyle w:val="IndexLink"/>
              </w:rPr>
              <w:t>257</w:t>
            </w:r>
          </w:hyperlink>
        </w:p>
        <w:p>
          <w:pPr>
            <w:pStyle w:val="Contents5"/>
            <w:tabs>
              <w:tab w:val="clear" w:pos="7892"/>
              <w:tab w:val="right" w:pos="9026" w:leader="dot"/>
            </w:tabs>
            <w:rPr/>
          </w:pPr>
          <w:hyperlink w:anchor="__RefHeading___Toc3331786_2142443653">
            <w:r>
              <w:rPr>
                <w:webHidden/>
                <w:rStyle w:val="IndexLink"/>
                <w:rtl w:val="true"/>
              </w:rPr>
              <w:t>بيان معنى الشرط</w:t>
            </w:r>
            <w:r>
              <w:rPr>
                <w:rStyle w:val="IndexLink"/>
                <w:rtl w:val="true"/>
              </w:rPr>
              <w:tab/>
            </w:r>
            <w:r>
              <w:rPr>
                <w:rStyle w:val="IndexLink"/>
              </w:rPr>
              <w:t>261</w:t>
            </w:r>
          </w:hyperlink>
        </w:p>
        <w:p>
          <w:pPr>
            <w:pStyle w:val="Contents5"/>
            <w:tabs>
              <w:tab w:val="clear" w:pos="7892"/>
              <w:tab w:val="right" w:pos="9026" w:leader="dot"/>
            </w:tabs>
            <w:rPr/>
          </w:pPr>
          <w:hyperlink w:anchor="__RefHeading___Toc3331788_2142443653">
            <w:r>
              <w:rPr>
                <w:webHidden/>
                <w:rStyle w:val="IndexLink"/>
                <w:rtl w:val="true"/>
              </w:rPr>
              <w:t>في تشخيص الشرط المخالف للكتاب والسنّة</w:t>
            </w:r>
            <w:r>
              <w:rPr>
                <w:rStyle w:val="IndexLink"/>
                <w:rtl w:val="true"/>
              </w:rPr>
              <w:tab/>
            </w:r>
            <w:r>
              <w:rPr>
                <w:rStyle w:val="IndexLink"/>
              </w:rPr>
              <w:t>266</w:t>
            </w:r>
          </w:hyperlink>
        </w:p>
        <w:p>
          <w:pPr>
            <w:pStyle w:val="Contents5"/>
            <w:tabs>
              <w:tab w:val="clear" w:pos="7892"/>
              <w:tab w:val="right" w:pos="9026" w:leader="dot"/>
            </w:tabs>
            <w:rPr/>
          </w:pPr>
          <w:hyperlink w:anchor="__RefHeading___Toc3331790_2142443653">
            <w:r>
              <w:rPr>
                <w:webHidden/>
                <w:rStyle w:val="IndexLink"/>
                <w:rtl w:val="true"/>
              </w:rPr>
              <w:t>جواز اشتراط ترك التزويج والتسرّي على الزوج</w:t>
            </w:r>
            <w:r>
              <w:rPr>
                <w:rStyle w:val="IndexLink"/>
                <w:rtl w:val="true"/>
              </w:rPr>
              <w:tab/>
            </w:r>
            <w:r>
              <w:rPr>
                <w:rStyle w:val="IndexLink"/>
              </w:rPr>
              <w:t>272</w:t>
            </w:r>
          </w:hyperlink>
        </w:p>
        <w:p>
          <w:pPr>
            <w:pStyle w:val="Contents5"/>
            <w:tabs>
              <w:tab w:val="clear" w:pos="7892"/>
              <w:tab w:val="right" w:pos="9026" w:leader="dot"/>
            </w:tabs>
            <w:rPr/>
          </w:pPr>
          <w:hyperlink w:anchor="__RefHeading___Toc3331792_2142443653">
            <w:r>
              <w:rPr>
                <w:webHidden/>
                <w:rStyle w:val="IndexLink"/>
                <w:rtl w:val="true"/>
              </w:rPr>
              <w:t>المراد من مخالفة الشرط للكتاب</w:t>
            </w:r>
            <w:r>
              <w:rPr>
                <w:rStyle w:val="IndexLink"/>
                <w:rtl w:val="true"/>
              </w:rPr>
              <w:tab/>
            </w:r>
            <w:r>
              <w:rPr>
                <w:rStyle w:val="IndexLink"/>
              </w:rPr>
              <w:t>279</w:t>
            </w:r>
          </w:hyperlink>
        </w:p>
        <w:p>
          <w:pPr>
            <w:pStyle w:val="Contents5"/>
            <w:tabs>
              <w:tab w:val="clear" w:pos="7892"/>
              <w:tab w:val="right" w:pos="9026" w:leader="dot"/>
            </w:tabs>
            <w:rPr/>
          </w:pPr>
          <w:hyperlink w:anchor="__RefHeading___Toc3331794_2142443653">
            <w:r>
              <w:rPr>
                <w:webHidden/>
                <w:rStyle w:val="IndexLink"/>
                <w:rtl w:val="true"/>
              </w:rPr>
              <w:t>التمسّك بالأصل لإثبات عدم المخالفة</w:t>
            </w:r>
            <w:r>
              <w:rPr>
                <w:rStyle w:val="IndexLink"/>
                <w:rtl w:val="true"/>
              </w:rPr>
              <w:tab/>
            </w:r>
            <w:r>
              <w:rPr>
                <w:rStyle w:val="IndexLink"/>
              </w:rPr>
              <w:t>280</w:t>
            </w:r>
          </w:hyperlink>
        </w:p>
        <w:p>
          <w:pPr>
            <w:pStyle w:val="Contents5"/>
            <w:tabs>
              <w:tab w:val="clear" w:pos="7892"/>
              <w:tab w:val="right" w:pos="9026" w:leader="dot"/>
            </w:tabs>
            <w:rPr/>
          </w:pPr>
          <w:hyperlink w:anchor="__RefHeading___Toc3331796_2142443653">
            <w:r>
              <w:rPr>
                <w:webHidden/>
                <w:rStyle w:val="IndexLink"/>
                <w:rtl w:val="true"/>
              </w:rPr>
              <w:t>تقريب العلاّمة الحائري لأصالة عدم القرشية</w:t>
            </w:r>
            <w:r>
              <w:rPr>
                <w:rStyle w:val="IndexLink"/>
                <w:rtl w:val="true"/>
              </w:rPr>
              <w:tab/>
            </w:r>
            <w:r>
              <w:rPr>
                <w:rStyle w:val="IndexLink"/>
              </w:rPr>
              <w:t>283</w:t>
            </w:r>
          </w:hyperlink>
        </w:p>
        <w:p>
          <w:pPr>
            <w:pStyle w:val="Contents5"/>
            <w:tabs>
              <w:tab w:val="clear" w:pos="7892"/>
              <w:tab w:val="right" w:pos="9026" w:leader="dot"/>
            </w:tabs>
            <w:rPr/>
          </w:pPr>
          <w:hyperlink w:anchor="__RefHeading___Toc3331798_2142443653">
            <w:r>
              <w:rPr>
                <w:webHidden/>
                <w:rStyle w:val="IndexLink"/>
                <w:rtl w:val="true"/>
              </w:rPr>
              <w:t>كلام الشيخ الأعظم وما يرد عليه</w:t>
            </w:r>
            <w:r>
              <w:rPr>
                <w:rStyle w:val="IndexLink"/>
                <w:rtl w:val="true"/>
              </w:rPr>
              <w:tab/>
            </w:r>
            <w:r>
              <w:rPr>
                <w:rStyle w:val="IndexLink"/>
              </w:rPr>
              <w:t>284</w:t>
            </w:r>
          </w:hyperlink>
        </w:p>
        <w:p>
          <w:pPr>
            <w:pStyle w:val="Contents5"/>
            <w:tabs>
              <w:tab w:val="clear" w:pos="7892"/>
              <w:tab w:val="right" w:pos="9026" w:leader="dot"/>
            </w:tabs>
            <w:rPr/>
          </w:pPr>
          <w:hyperlink w:anchor="__RefHeading___Toc3331800_2142443653">
            <w:r>
              <w:rPr>
                <w:webHidden/>
                <w:rStyle w:val="IndexLink"/>
                <w:rtl w:val="true"/>
              </w:rPr>
              <w:t>توجيه المحقّق الأصفهاني ونقده</w:t>
            </w:r>
            <w:r>
              <w:rPr>
                <w:rStyle w:val="IndexLink"/>
                <w:rtl w:val="true"/>
              </w:rPr>
              <w:tab/>
            </w:r>
            <w:r>
              <w:rPr>
                <w:rStyle w:val="IndexLink"/>
              </w:rPr>
              <w:t>285</w:t>
            </w:r>
          </w:hyperlink>
        </w:p>
        <w:p>
          <w:pPr>
            <w:pStyle w:val="Contents5"/>
            <w:tabs>
              <w:tab w:val="clear" w:pos="7892"/>
              <w:tab w:val="right" w:pos="9026" w:leader="dot"/>
            </w:tabs>
            <w:rPr/>
          </w:pPr>
          <w:hyperlink w:anchor="__RefHeading___Toc3331802_2142443653">
            <w:r>
              <w:rPr>
                <w:webHidden/>
                <w:rStyle w:val="IndexLink"/>
                <w:rtl w:val="true"/>
              </w:rPr>
              <w:t>بناء المحقّق الخراساني على أصالة عدم المخالفة لإحراز الموضوع</w:t>
            </w:r>
            <w:r>
              <w:rPr>
                <w:rStyle w:val="IndexLink"/>
                <w:rtl w:val="true"/>
              </w:rPr>
              <w:tab/>
            </w:r>
            <w:r>
              <w:rPr>
                <w:rStyle w:val="IndexLink"/>
              </w:rPr>
              <w:t>288</w:t>
            </w:r>
          </w:hyperlink>
        </w:p>
        <w:p>
          <w:pPr>
            <w:pStyle w:val="Contents5"/>
            <w:tabs>
              <w:tab w:val="clear" w:pos="7892"/>
              <w:tab w:val="right" w:pos="9026" w:leader="dot"/>
            </w:tabs>
            <w:rPr/>
          </w:pPr>
          <w:hyperlink w:anchor="__RefHeading___Toc3331804_2142443653">
            <w:r>
              <w:rPr>
                <w:webHidden/>
                <w:rStyle w:val="IndexLink"/>
                <w:rtl w:val="true"/>
              </w:rPr>
              <w:t>تفصيل المحقّق النائيني في القيد المأخوذ في موضوع الحكم</w:t>
            </w:r>
            <w:r>
              <w:rPr>
                <w:rStyle w:val="IndexLink"/>
                <w:rtl w:val="true"/>
              </w:rPr>
              <w:tab/>
            </w:r>
            <w:r>
              <w:rPr>
                <w:rStyle w:val="IndexLink"/>
              </w:rPr>
              <w:t>289</w:t>
            </w:r>
          </w:hyperlink>
        </w:p>
        <w:p>
          <w:pPr>
            <w:pStyle w:val="Contents4"/>
            <w:tabs>
              <w:tab w:val="clear" w:pos="8176"/>
              <w:tab w:val="right" w:pos="9026" w:leader="dot"/>
            </w:tabs>
            <w:rPr/>
          </w:pPr>
          <w:hyperlink w:anchor="__RefHeading___Toc3331806_2142443653">
            <w:r>
              <w:rPr>
                <w:webHidden/>
                <w:rStyle w:val="IndexLink"/>
                <w:rtl w:val="true"/>
              </w:rPr>
              <w:t xml:space="preserve">الخامس </w:t>
            </w:r>
            <w:r>
              <w:rPr>
                <w:rStyle w:val="IndexLink"/>
                <w:rtl w:val="true"/>
              </w:rPr>
              <w:t xml:space="preserve">: </w:t>
            </w:r>
            <w:r>
              <w:rPr>
                <w:rStyle w:val="IndexLink"/>
                <w:rtl w:val="true"/>
              </w:rPr>
              <w:t>أن لا يكون منافياً لمقتضى العقد</w:t>
            </w:r>
            <w:r>
              <w:rPr>
                <w:rStyle w:val="IndexLink"/>
                <w:rtl w:val="true"/>
              </w:rPr>
              <w:tab/>
            </w:r>
            <w:r>
              <w:rPr>
                <w:rStyle w:val="IndexLink"/>
              </w:rPr>
              <w:t>292</w:t>
            </w:r>
          </w:hyperlink>
        </w:p>
        <w:p>
          <w:pPr>
            <w:pStyle w:val="Contents5"/>
            <w:tabs>
              <w:tab w:val="clear" w:pos="7892"/>
              <w:tab w:val="right" w:pos="9026" w:leader="dot"/>
            </w:tabs>
            <w:rPr/>
          </w:pPr>
          <w:hyperlink w:anchor="__RefHeading___Toc3331808_2142443653">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3331810_2142443653">
            <w:r>
              <w:rPr>
                <w:webHidden/>
                <w:rStyle w:val="IndexLink"/>
                <w:rtl w:val="true"/>
              </w:rPr>
              <w:t>تحديد دائرة الشرط المخالف لمقتضى العقد</w:t>
            </w:r>
            <w:r>
              <w:rPr>
                <w:rStyle w:val="IndexLink"/>
                <w:rtl w:val="true"/>
              </w:rPr>
              <w:tab/>
            </w:r>
            <w:r>
              <w:rPr>
                <w:rStyle w:val="IndexLink"/>
              </w:rPr>
              <w:t>293</w:t>
            </w:r>
          </w:hyperlink>
        </w:p>
        <w:p>
          <w:pPr>
            <w:pStyle w:val="Contents5"/>
            <w:tabs>
              <w:tab w:val="clear" w:pos="7892"/>
              <w:tab w:val="right" w:pos="9026" w:leader="dot"/>
            </w:tabs>
            <w:rPr/>
          </w:pPr>
          <w:hyperlink w:anchor="__RefHeading___Toc3331812_2142443653">
            <w:r>
              <w:rPr>
                <w:webHidden/>
                <w:rStyle w:val="IndexLink"/>
                <w:rtl w:val="true"/>
              </w:rPr>
              <w:t>حول صحّة اشتراط الربح لأحد المتعاملين والخسران على الآخر</w:t>
            </w:r>
            <w:r>
              <w:rPr>
                <w:rStyle w:val="IndexLink"/>
                <w:rtl w:val="true"/>
              </w:rPr>
              <w:tab/>
            </w:r>
            <w:r>
              <w:rPr>
                <w:rStyle w:val="IndexLink"/>
              </w:rPr>
              <w:t>297</w:t>
            </w:r>
          </w:hyperlink>
        </w:p>
        <w:p>
          <w:pPr>
            <w:pStyle w:val="Contents5"/>
            <w:tabs>
              <w:tab w:val="clear" w:pos="7892"/>
              <w:tab w:val="right" w:pos="9026" w:leader="dot"/>
            </w:tabs>
            <w:rPr/>
          </w:pPr>
          <w:hyperlink w:anchor="__RefHeading___Toc3331814_2142443653">
            <w:r>
              <w:rPr>
                <w:webHidden/>
                <w:rStyle w:val="IndexLink"/>
                <w:rtl w:val="true"/>
              </w:rPr>
              <w:t>هل يصحّ اشتراط الاختلاف في ربح التجارة؟</w:t>
            </w:r>
            <w:r>
              <w:rPr>
                <w:rStyle w:val="IndexLink"/>
                <w:rtl w:val="true"/>
              </w:rPr>
              <w:tab/>
            </w:r>
            <w:r>
              <w:rPr>
                <w:rStyle w:val="IndexLink"/>
              </w:rPr>
              <w:t>300</w:t>
            </w:r>
          </w:hyperlink>
        </w:p>
        <w:p>
          <w:pPr>
            <w:pStyle w:val="Contents5"/>
            <w:tabs>
              <w:tab w:val="clear" w:pos="7892"/>
              <w:tab w:val="right" w:pos="9026" w:leader="dot"/>
            </w:tabs>
            <w:rPr/>
          </w:pPr>
          <w:hyperlink w:anchor="__RefHeading___Toc3331816_2142443653">
            <w:r>
              <w:rPr>
                <w:webHidden/>
                <w:rStyle w:val="IndexLink"/>
                <w:rtl w:val="true"/>
              </w:rPr>
              <w:t>كيفية دفع الإشكال عن باب المضاربة</w:t>
            </w:r>
            <w:r>
              <w:rPr>
                <w:rStyle w:val="IndexLink"/>
                <w:rtl w:val="true"/>
              </w:rPr>
              <w:tab/>
            </w:r>
            <w:r>
              <w:rPr>
                <w:rStyle w:val="IndexLink"/>
              </w:rPr>
              <w:t>302</w:t>
            </w:r>
          </w:hyperlink>
        </w:p>
        <w:p>
          <w:pPr>
            <w:pStyle w:val="Contents5"/>
            <w:tabs>
              <w:tab w:val="clear" w:pos="7892"/>
              <w:tab w:val="right" w:pos="9026" w:leader="dot"/>
            </w:tabs>
            <w:rPr/>
          </w:pPr>
          <w:hyperlink w:anchor="__RefHeading___Toc3331818_2142443653">
            <w:r>
              <w:rPr>
                <w:webHidden/>
                <w:rStyle w:val="IndexLink"/>
                <w:rtl w:val="true"/>
              </w:rPr>
              <w:t>حول جواز اشتراط الضمان في الإجارة</w:t>
            </w:r>
            <w:r>
              <w:rPr>
                <w:rStyle w:val="IndexLink"/>
                <w:rtl w:val="true"/>
              </w:rPr>
              <w:tab/>
            </w:r>
            <w:r>
              <w:rPr>
                <w:rStyle w:val="IndexLink"/>
              </w:rPr>
              <w:t>303</w:t>
            </w:r>
          </w:hyperlink>
        </w:p>
        <w:p>
          <w:pPr>
            <w:pStyle w:val="Contents6"/>
            <w:tabs>
              <w:tab w:val="clear" w:pos="7609"/>
              <w:tab w:val="right" w:pos="9026" w:leader="dot"/>
            </w:tabs>
            <w:rPr/>
          </w:pPr>
          <w:hyperlink w:anchor="__RefHeading___Toc3331820_2142443653">
            <w:r>
              <w:rPr>
                <w:webHidden/>
                <w:rStyle w:val="IndexLink"/>
                <w:rtl w:val="true"/>
              </w:rPr>
              <w:t>اشارة</w:t>
            </w:r>
            <w:r>
              <w:rPr>
                <w:rStyle w:val="IndexLink"/>
                <w:rtl w:val="true"/>
              </w:rPr>
              <w:tab/>
            </w:r>
            <w:r>
              <w:rPr>
                <w:rStyle w:val="IndexLink"/>
              </w:rPr>
              <w:t>303</w:t>
            </w:r>
          </w:hyperlink>
        </w:p>
        <w:p>
          <w:pPr>
            <w:pStyle w:val="Contents6"/>
            <w:tabs>
              <w:tab w:val="clear" w:pos="7609"/>
              <w:tab w:val="right" w:pos="9026" w:leader="dot"/>
            </w:tabs>
            <w:rPr/>
          </w:pPr>
          <w:hyperlink w:anchor="__RefHeading___Toc3331822_2142443653">
            <w:r>
              <w:rPr>
                <w:webHidden/>
                <w:rStyle w:val="IndexLink"/>
                <w:rtl w:val="true"/>
              </w:rPr>
              <w:t>تفصيل المحقّق النائيني بين إجارة الأعيان والإجارة على الأعمال</w:t>
            </w:r>
            <w:r>
              <w:rPr>
                <w:rStyle w:val="IndexLink"/>
                <w:rtl w:val="true"/>
              </w:rPr>
              <w:tab/>
            </w:r>
            <w:r>
              <w:rPr>
                <w:rStyle w:val="IndexLink"/>
              </w:rPr>
              <w:t>307</w:t>
            </w:r>
          </w:hyperlink>
        </w:p>
        <w:p>
          <w:pPr>
            <w:pStyle w:val="Contents6"/>
            <w:tabs>
              <w:tab w:val="clear" w:pos="7609"/>
              <w:tab w:val="right" w:pos="9026" w:leader="dot"/>
            </w:tabs>
            <w:rPr/>
          </w:pPr>
          <w:hyperlink w:anchor="__RefHeading___Toc3331824_2142443653">
            <w:r>
              <w:rPr>
                <w:webHidden/>
                <w:rStyle w:val="IndexLink"/>
                <w:rtl w:val="true"/>
              </w:rPr>
              <w:t>حكم الشكّ في مخالفة الشرط لمقتضى العقد</w:t>
            </w:r>
            <w:r>
              <w:rPr>
                <w:rStyle w:val="IndexLink"/>
                <w:rtl w:val="true"/>
              </w:rPr>
              <w:tab/>
            </w:r>
            <w:r>
              <w:rPr>
                <w:rStyle w:val="IndexLink"/>
              </w:rPr>
              <w:t>310</w:t>
            </w:r>
          </w:hyperlink>
        </w:p>
        <w:p>
          <w:pPr>
            <w:pStyle w:val="Contents4"/>
            <w:tabs>
              <w:tab w:val="clear" w:pos="8176"/>
              <w:tab w:val="right" w:pos="9026" w:leader="dot"/>
            </w:tabs>
            <w:rPr/>
          </w:pPr>
          <w:hyperlink w:anchor="__RefHeading___Toc3331826_2142443653">
            <w:r>
              <w:rPr>
                <w:webHidden/>
                <w:rStyle w:val="IndexLink"/>
                <w:rtl w:val="true"/>
              </w:rPr>
              <w:t xml:space="preserve">السادس </w:t>
            </w:r>
            <w:r>
              <w:rPr>
                <w:rStyle w:val="IndexLink"/>
                <w:rtl w:val="true"/>
              </w:rPr>
              <w:t xml:space="preserve">: </w:t>
            </w:r>
            <w:r>
              <w:rPr>
                <w:rStyle w:val="IndexLink"/>
                <w:rtl w:val="true"/>
              </w:rPr>
              <w:t>أن لا يكون مجهولاً جهالة توجب الغرر في البيع</w:t>
            </w:r>
            <w:r>
              <w:rPr>
                <w:rStyle w:val="IndexLink"/>
                <w:rtl w:val="true"/>
              </w:rPr>
              <w:tab/>
            </w:r>
            <w:r>
              <w:rPr>
                <w:rStyle w:val="IndexLink"/>
              </w:rPr>
              <w:t>312</w:t>
            </w:r>
          </w:hyperlink>
        </w:p>
        <w:p>
          <w:pPr>
            <w:pStyle w:val="Contents4"/>
            <w:tabs>
              <w:tab w:val="clear" w:pos="8176"/>
              <w:tab w:val="right" w:pos="9026" w:leader="dot"/>
            </w:tabs>
            <w:rPr/>
          </w:pPr>
          <w:hyperlink w:anchor="__RefHeading___Toc3331828_2142443653">
            <w:r>
              <w:rPr>
                <w:webHidden/>
                <w:rStyle w:val="IndexLink"/>
                <w:rtl w:val="true"/>
              </w:rPr>
              <w:t xml:space="preserve">السابع </w:t>
            </w:r>
            <w:r>
              <w:rPr>
                <w:rStyle w:val="IndexLink"/>
                <w:rtl w:val="true"/>
              </w:rPr>
              <w:t xml:space="preserve">: </w:t>
            </w:r>
            <w:r>
              <w:rPr>
                <w:rStyle w:val="IndexLink"/>
                <w:rtl w:val="true"/>
              </w:rPr>
              <w:t>أن لا يكون مستلزماً لمحال</w:t>
            </w:r>
            <w:r>
              <w:rPr>
                <w:rStyle w:val="IndexLink"/>
                <w:rtl w:val="true"/>
              </w:rPr>
              <w:tab/>
            </w:r>
            <w:r>
              <w:rPr>
                <w:rStyle w:val="IndexLink"/>
              </w:rPr>
              <w:t>315</w:t>
            </w:r>
          </w:hyperlink>
        </w:p>
        <w:p>
          <w:pPr>
            <w:pStyle w:val="Contents4"/>
            <w:tabs>
              <w:tab w:val="clear" w:pos="8176"/>
              <w:tab w:val="right" w:pos="9026" w:leader="dot"/>
            </w:tabs>
            <w:rPr/>
          </w:pPr>
          <w:hyperlink w:anchor="__RefHeading___Toc3331830_2142443653">
            <w:r>
              <w:rPr>
                <w:webHidden/>
                <w:rStyle w:val="IndexLink"/>
                <w:rtl w:val="true"/>
              </w:rPr>
              <w:t xml:space="preserve">الثامن </w:t>
            </w:r>
            <w:r>
              <w:rPr>
                <w:rStyle w:val="IndexLink"/>
                <w:rtl w:val="true"/>
              </w:rPr>
              <w:t xml:space="preserve">: </w:t>
            </w:r>
            <w:r>
              <w:rPr>
                <w:rStyle w:val="IndexLink"/>
                <w:rtl w:val="true"/>
              </w:rPr>
              <w:t>أن يلتزما به في ضمن العقد</w:t>
            </w:r>
            <w:r>
              <w:rPr>
                <w:rStyle w:val="IndexLink"/>
                <w:rtl w:val="true"/>
              </w:rPr>
              <w:tab/>
            </w:r>
            <w:r>
              <w:rPr>
                <w:rStyle w:val="IndexLink"/>
              </w:rPr>
              <w:t>318</w:t>
            </w:r>
          </w:hyperlink>
        </w:p>
        <w:p>
          <w:pPr>
            <w:pStyle w:val="Contents5"/>
            <w:tabs>
              <w:tab w:val="clear" w:pos="7892"/>
              <w:tab w:val="right" w:pos="9026" w:leader="dot"/>
            </w:tabs>
            <w:rPr/>
          </w:pPr>
          <w:hyperlink w:anchor="__RefHeading___Toc3331832_2142443653">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3331834_2142443653">
            <w:r>
              <w:rPr>
                <w:webHidden/>
                <w:rStyle w:val="IndexLink"/>
                <w:rtl w:val="true"/>
              </w:rPr>
              <w:t>وجوب العمل بالشروط الابتدائية</w:t>
            </w:r>
            <w:r>
              <w:rPr>
                <w:rStyle w:val="IndexLink"/>
                <w:rtl w:val="true"/>
              </w:rPr>
              <w:tab/>
            </w:r>
            <w:r>
              <w:rPr>
                <w:rStyle w:val="IndexLink"/>
              </w:rPr>
              <w:t>319</w:t>
            </w:r>
          </w:hyperlink>
        </w:p>
        <w:p>
          <w:pPr>
            <w:pStyle w:val="Contents5"/>
            <w:tabs>
              <w:tab w:val="clear" w:pos="7892"/>
              <w:tab w:val="right" w:pos="9026" w:leader="dot"/>
            </w:tabs>
            <w:rPr/>
          </w:pPr>
          <w:hyperlink w:anchor="__RefHeading___Toc3331836_2142443653">
            <w:r>
              <w:rPr>
                <w:webHidden/>
                <w:rStyle w:val="IndexLink"/>
                <w:rtl w:val="true"/>
              </w:rPr>
              <w:t>هل يجب العمل بالشرط المتواطأ عليه قبل العقد؟</w:t>
            </w:r>
            <w:r>
              <w:rPr>
                <w:rStyle w:val="IndexLink"/>
                <w:rtl w:val="true"/>
              </w:rPr>
              <w:tab/>
            </w:r>
            <w:r>
              <w:rPr>
                <w:rStyle w:val="IndexLink"/>
              </w:rPr>
              <w:t>320</w:t>
            </w:r>
          </w:hyperlink>
        </w:p>
        <w:p>
          <w:pPr>
            <w:pStyle w:val="Contents5"/>
            <w:tabs>
              <w:tab w:val="clear" w:pos="7892"/>
              <w:tab w:val="right" w:pos="9026" w:leader="dot"/>
            </w:tabs>
            <w:rPr/>
          </w:pPr>
          <w:hyperlink w:anchor="__RefHeading___Toc3331838_2142443653">
            <w:r>
              <w:rPr>
                <w:webHidden/>
                <w:rStyle w:val="IndexLink"/>
                <w:rtl w:val="true"/>
              </w:rPr>
              <w:t>حول كلام الشيخ الأعظم في المقام</w:t>
            </w:r>
            <w:r>
              <w:rPr>
                <w:rStyle w:val="IndexLink"/>
                <w:rtl w:val="true"/>
              </w:rPr>
              <w:tab/>
            </w:r>
            <w:r>
              <w:rPr>
                <w:rStyle w:val="IndexLink"/>
              </w:rPr>
              <w:t>324</w:t>
            </w:r>
          </w:hyperlink>
        </w:p>
        <w:p>
          <w:pPr>
            <w:pStyle w:val="Contents4"/>
            <w:tabs>
              <w:tab w:val="clear" w:pos="8176"/>
              <w:tab w:val="right" w:pos="9026" w:leader="dot"/>
            </w:tabs>
            <w:rPr/>
          </w:pPr>
          <w:hyperlink w:anchor="__RefHeading___Toc3331840_2142443653">
            <w:r>
              <w:rPr>
                <w:webHidden/>
                <w:rStyle w:val="IndexLink"/>
                <w:rtl w:val="true"/>
              </w:rPr>
              <w:t xml:space="preserve">التاسع </w:t>
            </w:r>
            <w:r>
              <w:rPr>
                <w:rStyle w:val="IndexLink"/>
                <w:rtl w:val="true"/>
              </w:rPr>
              <w:t xml:space="preserve">: </w:t>
            </w:r>
            <w:r>
              <w:rPr>
                <w:rStyle w:val="IndexLink"/>
                <w:rtl w:val="true"/>
              </w:rPr>
              <w:t>التنجيز</w:t>
            </w:r>
            <w:r>
              <w:rPr>
                <w:rStyle w:val="IndexLink"/>
                <w:rtl w:val="true"/>
              </w:rPr>
              <w:tab/>
            </w:r>
            <w:r>
              <w:rPr>
                <w:rStyle w:val="IndexLink"/>
              </w:rPr>
              <w:t>326</w:t>
            </w:r>
          </w:hyperlink>
        </w:p>
        <w:p>
          <w:pPr>
            <w:pStyle w:val="Contents3"/>
            <w:tabs>
              <w:tab w:val="clear" w:pos="8459"/>
              <w:tab w:val="right" w:pos="9026" w:leader="dot"/>
            </w:tabs>
            <w:rPr/>
          </w:pPr>
          <w:hyperlink w:anchor="__RefHeading___Toc3331842_2142443653">
            <w:r>
              <w:rPr>
                <w:webHidden/>
                <w:rStyle w:val="IndexLink"/>
                <w:rtl w:val="true"/>
              </w:rPr>
              <w:t>مسألة في الشرط الصحيح وحكمه</w:t>
            </w:r>
            <w:r>
              <w:rPr>
                <w:rStyle w:val="IndexLink"/>
                <w:rtl w:val="true"/>
              </w:rPr>
              <w:tab/>
            </w:r>
            <w:r>
              <w:rPr>
                <w:rStyle w:val="IndexLink"/>
              </w:rPr>
              <w:t>328</w:t>
            </w:r>
          </w:hyperlink>
        </w:p>
        <w:p>
          <w:pPr>
            <w:pStyle w:val="Contents4"/>
            <w:tabs>
              <w:tab w:val="clear" w:pos="8176"/>
              <w:tab w:val="right" w:pos="9026" w:leader="dot"/>
            </w:tabs>
            <w:rPr/>
          </w:pPr>
          <w:hyperlink w:anchor="__RefHeading___Toc3331844_2142443653">
            <w:r>
              <w:rPr>
                <w:webHidden/>
                <w:rStyle w:val="IndexLink"/>
                <w:rtl w:val="true"/>
              </w:rPr>
              <w:t>أقسام الشروط من شرط الفعل وشرط النتيجة وشرط الوصف</w:t>
            </w:r>
            <w:r>
              <w:rPr>
                <w:rStyle w:val="IndexLink"/>
                <w:rtl w:val="true"/>
              </w:rPr>
              <w:tab/>
            </w:r>
            <w:r>
              <w:rPr>
                <w:rStyle w:val="IndexLink"/>
              </w:rPr>
              <w:t>328</w:t>
            </w:r>
          </w:hyperlink>
        </w:p>
        <w:p>
          <w:pPr>
            <w:pStyle w:val="Contents4"/>
            <w:tabs>
              <w:tab w:val="clear" w:pos="8176"/>
              <w:tab w:val="right" w:pos="9026" w:leader="dot"/>
            </w:tabs>
            <w:rPr/>
          </w:pPr>
          <w:hyperlink w:anchor="__RefHeading___Toc3331846_2142443653">
            <w:r>
              <w:rPr>
                <w:webHidden/>
                <w:rStyle w:val="IndexLink"/>
                <w:rtl w:val="true"/>
              </w:rPr>
              <w:t xml:space="preserve">دلالة حديث </w:t>
            </w:r>
            <w:r>
              <w:rPr>
                <w:rStyle w:val="IndexLink"/>
                <w:rtl w:val="true"/>
              </w:rPr>
              <w:t>«</w:t>
            </w:r>
            <w:r>
              <w:rPr>
                <w:rStyle w:val="IndexLink"/>
                <w:rtl w:val="true"/>
              </w:rPr>
              <w:t>المؤمنون</w:t>
            </w:r>
            <w:r>
              <w:rPr>
                <w:rStyle w:val="IndexLink"/>
                <w:rtl w:val="true"/>
              </w:rPr>
              <w:t xml:space="preserve">...» </w:t>
            </w:r>
            <w:r>
              <w:rPr>
                <w:rStyle w:val="IndexLink"/>
                <w:rtl w:val="true"/>
              </w:rPr>
              <w:t>على وجوب الالتزام بالشرط</w:t>
            </w:r>
            <w:r>
              <w:rPr>
                <w:rStyle w:val="IndexLink"/>
                <w:rtl w:val="true"/>
              </w:rPr>
              <w:tab/>
            </w:r>
            <w:r>
              <w:rPr>
                <w:rStyle w:val="IndexLink"/>
              </w:rPr>
              <w:t>330</w:t>
            </w:r>
          </w:hyperlink>
        </w:p>
        <w:p>
          <w:pPr>
            <w:pStyle w:val="Contents4"/>
            <w:tabs>
              <w:tab w:val="clear" w:pos="8176"/>
              <w:tab w:val="right" w:pos="9026" w:leader="dot"/>
            </w:tabs>
            <w:rPr/>
          </w:pPr>
          <w:hyperlink w:anchor="__RefHeading___Toc3331848_2142443653">
            <w:r>
              <w:rPr>
                <w:webHidden/>
                <w:rStyle w:val="IndexLink"/>
                <w:rtl w:val="true"/>
              </w:rPr>
              <w:t>في إمكان إيقاع عنوان من عناوين المعاملات بالشرط</w:t>
            </w:r>
            <w:r>
              <w:rPr>
                <w:rStyle w:val="IndexLink"/>
                <w:rtl w:val="true"/>
              </w:rPr>
              <w:tab/>
            </w:r>
            <w:r>
              <w:rPr>
                <w:rStyle w:val="IndexLink"/>
              </w:rPr>
              <w:t>336</w:t>
            </w:r>
          </w:hyperlink>
        </w:p>
        <w:p>
          <w:pPr>
            <w:pStyle w:val="Contents4"/>
            <w:tabs>
              <w:tab w:val="clear" w:pos="8176"/>
              <w:tab w:val="right" w:pos="9026" w:leader="dot"/>
            </w:tabs>
            <w:rPr/>
          </w:pPr>
          <w:hyperlink w:anchor="__RefHeading___Toc3331850_2142443653">
            <w:r>
              <w:rPr>
                <w:webHidden/>
                <w:rStyle w:val="IndexLink"/>
                <w:rtl w:val="true"/>
              </w:rPr>
              <w:t>في وجوب الوفاء بشرط الفعل</w:t>
            </w:r>
            <w:r>
              <w:rPr>
                <w:rStyle w:val="IndexLink"/>
                <w:rtl w:val="true"/>
              </w:rPr>
              <w:tab/>
            </w:r>
            <w:r>
              <w:rPr>
                <w:rStyle w:val="IndexLink"/>
              </w:rPr>
              <w:t>338</w:t>
            </w:r>
          </w:hyperlink>
        </w:p>
        <w:p>
          <w:pPr>
            <w:pStyle w:val="Contents4"/>
            <w:tabs>
              <w:tab w:val="clear" w:pos="8176"/>
              <w:tab w:val="right" w:pos="9026" w:leader="dot"/>
            </w:tabs>
            <w:rPr/>
          </w:pPr>
          <w:hyperlink w:anchor="__RefHeading___Toc3331852_2142443653">
            <w:r>
              <w:rPr>
                <w:webHidden/>
                <w:rStyle w:val="IndexLink"/>
                <w:rtl w:val="true"/>
              </w:rPr>
              <w:t>عدم تعلّق الوجوب الشرعي بعنوان الشرط</w:t>
            </w:r>
            <w:r>
              <w:rPr>
                <w:rStyle w:val="IndexLink"/>
                <w:rtl w:val="true"/>
              </w:rPr>
              <w:tab/>
            </w:r>
            <w:r>
              <w:rPr>
                <w:rStyle w:val="IndexLink"/>
              </w:rPr>
              <w:t>341</w:t>
            </w:r>
          </w:hyperlink>
        </w:p>
        <w:p>
          <w:pPr>
            <w:pStyle w:val="Contents4"/>
            <w:tabs>
              <w:tab w:val="clear" w:pos="8176"/>
              <w:tab w:val="right" w:pos="9026" w:leader="dot"/>
            </w:tabs>
            <w:rPr/>
          </w:pPr>
          <w:hyperlink w:anchor="__RefHeading___Toc3331854_2142443653">
            <w:r>
              <w:rPr>
                <w:webHidden/>
                <w:rStyle w:val="IndexLink"/>
                <w:rtl w:val="true"/>
              </w:rPr>
              <w:t>الاشتراط موجب لثبوت الحقّ</w:t>
            </w:r>
            <w:r>
              <w:rPr>
                <w:rStyle w:val="IndexLink"/>
                <w:rtl w:val="true"/>
              </w:rPr>
              <w:tab/>
            </w:r>
            <w:r>
              <w:rPr>
                <w:rStyle w:val="IndexLink"/>
              </w:rPr>
              <w:t>343</w:t>
            </w:r>
          </w:hyperlink>
        </w:p>
        <w:p>
          <w:pPr>
            <w:pStyle w:val="Contents4"/>
            <w:tabs>
              <w:tab w:val="clear" w:pos="8176"/>
              <w:tab w:val="right" w:pos="9026" w:leader="dot"/>
            </w:tabs>
            <w:rPr/>
          </w:pPr>
          <w:hyperlink w:anchor="__RefHeading___Toc3331856_2142443653">
            <w:r>
              <w:rPr>
                <w:webHidden/>
                <w:rStyle w:val="IndexLink"/>
                <w:rtl w:val="true"/>
              </w:rPr>
              <w:t>تخيير المشروط له بين الإجبار والفسخ</w:t>
            </w:r>
            <w:r>
              <w:rPr>
                <w:rStyle w:val="IndexLink"/>
                <w:rtl w:val="true"/>
              </w:rPr>
              <w:tab/>
            </w:r>
            <w:r>
              <w:rPr>
                <w:rStyle w:val="IndexLink"/>
              </w:rPr>
              <w:t>344</w:t>
            </w:r>
          </w:hyperlink>
        </w:p>
        <w:p>
          <w:pPr>
            <w:pStyle w:val="Contents4"/>
            <w:tabs>
              <w:tab w:val="clear" w:pos="8176"/>
              <w:tab w:val="right" w:pos="9026" w:leader="dot"/>
            </w:tabs>
            <w:rPr/>
          </w:pPr>
          <w:hyperlink w:anchor="__RefHeading___Toc3331858_2142443653">
            <w:r>
              <w:rPr>
                <w:webHidden/>
                <w:rStyle w:val="IndexLink"/>
                <w:rtl w:val="true"/>
              </w:rPr>
              <w:t>ثبوت الإلزام حتّى في العقود الجائزة</w:t>
            </w:r>
            <w:r>
              <w:rPr>
                <w:rStyle w:val="IndexLink"/>
                <w:rtl w:val="true"/>
              </w:rPr>
              <w:tab/>
            </w:r>
            <w:r>
              <w:rPr>
                <w:rStyle w:val="IndexLink"/>
              </w:rPr>
              <w:t>345</w:t>
            </w:r>
          </w:hyperlink>
        </w:p>
        <w:p>
          <w:pPr>
            <w:pStyle w:val="Contents4"/>
            <w:tabs>
              <w:tab w:val="clear" w:pos="8176"/>
              <w:tab w:val="right" w:pos="9026" w:leader="dot"/>
            </w:tabs>
            <w:rPr/>
          </w:pPr>
          <w:hyperlink w:anchor="__RefHeading___Toc3331860_2142443653">
            <w:r>
              <w:rPr>
                <w:webHidden/>
                <w:rStyle w:val="IndexLink"/>
                <w:rtl w:val="true"/>
              </w:rPr>
              <w:t>ثبوت الخيار إن كان للشرط دخالة في القيم</w:t>
            </w:r>
            <w:r>
              <w:rPr>
                <w:rStyle w:val="IndexLink"/>
                <w:rtl w:val="true"/>
              </w:rPr>
              <w:tab/>
            </w:r>
            <w:r>
              <w:rPr>
                <w:rStyle w:val="IndexLink"/>
              </w:rPr>
              <w:t>346</w:t>
            </w:r>
          </w:hyperlink>
        </w:p>
        <w:p>
          <w:pPr>
            <w:pStyle w:val="Contents4"/>
            <w:tabs>
              <w:tab w:val="clear" w:pos="8176"/>
              <w:tab w:val="right" w:pos="9026" w:leader="dot"/>
            </w:tabs>
            <w:rPr/>
          </w:pPr>
          <w:hyperlink w:anchor="__RefHeading___Toc3331862_2142443653">
            <w:r>
              <w:rPr>
                <w:webHidden/>
                <w:rStyle w:val="IndexLink"/>
                <w:rtl w:val="true"/>
              </w:rPr>
              <w:t>الشروط التي يجوز للحاكم الإجبار عليها وغيرها</w:t>
            </w:r>
            <w:r>
              <w:rPr>
                <w:rStyle w:val="IndexLink"/>
                <w:rtl w:val="true"/>
              </w:rPr>
              <w:tab/>
            </w:r>
            <w:r>
              <w:rPr>
                <w:rStyle w:val="IndexLink"/>
              </w:rPr>
              <w:t>347</w:t>
            </w:r>
          </w:hyperlink>
        </w:p>
        <w:p>
          <w:pPr>
            <w:pStyle w:val="Contents5"/>
            <w:tabs>
              <w:tab w:val="clear" w:pos="7892"/>
              <w:tab w:val="right" w:pos="9026" w:leader="dot"/>
            </w:tabs>
            <w:rPr/>
          </w:pPr>
          <w:hyperlink w:anchor="__RefHeading___Toc3331864_2142443653">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3331866_2142443653">
            <w:r>
              <w:rPr>
                <w:webHidden/>
                <w:rStyle w:val="IndexLink"/>
                <w:rtl w:val="true"/>
              </w:rPr>
              <w:t>بقي اُمور</w:t>
            </w:r>
            <w:r>
              <w:rPr>
                <w:rStyle w:val="IndexLink"/>
                <w:rtl w:val="true"/>
              </w:rPr>
              <w:t>:</w:t>
              <w:tab/>
            </w:r>
            <w:r>
              <w:rPr>
                <w:rStyle w:val="IndexLink"/>
              </w:rPr>
              <w:t>348</w:t>
            </w:r>
          </w:hyperlink>
        </w:p>
        <w:p>
          <w:pPr>
            <w:pStyle w:val="Contents5"/>
            <w:tabs>
              <w:tab w:val="clear" w:pos="7892"/>
              <w:tab w:val="right" w:pos="9026" w:leader="dot"/>
            </w:tabs>
            <w:rPr/>
          </w:pPr>
          <w:hyperlink w:anchor="__RefHeading___Toc3331868_2142443653">
            <w:r>
              <w:rPr>
                <w:webHidden/>
                <w:rStyle w:val="IndexLink"/>
                <w:rtl w:val="true"/>
              </w:rPr>
              <w:t>الأمر الأوّل في حكم الشرط المتعذّر</w:t>
            </w:r>
            <w:r>
              <w:rPr>
                <w:rStyle w:val="IndexLink"/>
                <w:rtl w:val="true"/>
              </w:rPr>
              <w:tab/>
            </w:r>
            <w:r>
              <w:rPr>
                <w:rStyle w:val="IndexLink"/>
              </w:rPr>
              <w:t>349</w:t>
            </w:r>
          </w:hyperlink>
        </w:p>
        <w:p>
          <w:pPr>
            <w:pStyle w:val="Contents5"/>
            <w:tabs>
              <w:tab w:val="clear" w:pos="7892"/>
              <w:tab w:val="right" w:pos="9026" w:leader="dot"/>
            </w:tabs>
            <w:rPr/>
          </w:pPr>
          <w:hyperlink w:anchor="__RefHeading___Toc3331870_2142443653">
            <w:r>
              <w:rPr>
                <w:webHidden/>
                <w:rStyle w:val="IndexLink"/>
                <w:rtl w:val="true"/>
              </w:rPr>
              <w:t>عدم ثبوت الأرش عند تعذّر الشرط</w:t>
            </w:r>
            <w:r>
              <w:rPr>
                <w:rStyle w:val="IndexLink"/>
                <w:rtl w:val="true"/>
              </w:rPr>
              <w:tab/>
            </w:r>
            <w:r>
              <w:rPr>
                <w:rStyle w:val="IndexLink"/>
              </w:rPr>
              <w:t>351</w:t>
            </w:r>
          </w:hyperlink>
        </w:p>
        <w:p>
          <w:pPr>
            <w:pStyle w:val="Contents5"/>
            <w:tabs>
              <w:tab w:val="clear" w:pos="7892"/>
              <w:tab w:val="right" w:pos="9026" w:leader="dot"/>
            </w:tabs>
            <w:rPr/>
          </w:pPr>
          <w:hyperlink w:anchor="__RefHeading___Toc3331872_2142443653">
            <w:r>
              <w:rPr>
                <w:webHidden/>
                <w:rStyle w:val="IndexLink"/>
                <w:rtl w:val="true"/>
              </w:rPr>
              <w:t xml:space="preserve">الأمر الثاني </w:t>
            </w:r>
            <w:r>
              <w:rPr>
                <w:rStyle w:val="IndexLink"/>
                <w:rtl w:val="true"/>
              </w:rPr>
              <w:t xml:space="preserve">: </w:t>
            </w:r>
            <w:r>
              <w:rPr>
                <w:rStyle w:val="IndexLink"/>
                <w:rtl w:val="true"/>
              </w:rPr>
              <w:t>حكم تعذّر الشرط مع خروج العين عن سلطنة المشروط عليه</w:t>
            </w:r>
            <w:r>
              <w:rPr>
                <w:rStyle w:val="IndexLink"/>
                <w:rtl w:val="true"/>
              </w:rPr>
              <w:tab/>
            </w:r>
            <w:r>
              <w:rPr>
                <w:rStyle w:val="IndexLink"/>
              </w:rPr>
              <w:t>354</w:t>
            </w:r>
          </w:hyperlink>
        </w:p>
        <w:p>
          <w:pPr>
            <w:pStyle w:val="Contents6"/>
            <w:tabs>
              <w:tab w:val="clear" w:pos="7609"/>
              <w:tab w:val="right" w:pos="9026" w:leader="dot"/>
            </w:tabs>
            <w:rPr/>
          </w:pPr>
          <w:hyperlink w:anchor="__RefHeading___Toc3331874_2142443653">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3331876_2142443653">
            <w:r>
              <w:rPr>
                <w:webHidden/>
                <w:rStyle w:val="IndexLink"/>
                <w:rtl w:val="true"/>
              </w:rPr>
              <w:t>أنحاء خروج العين عن سلطنة المشروط عليه</w:t>
            </w:r>
            <w:r>
              <w:rPr>
                <w:rStyle w:val="IndexLink"/>
                <w:rtl w:val="true"/>
              </w:rPr>
              <w:tab/>
            </w:r>
            <w:r>
              <w:rPr>
                <w:rStyle w:val="IndexLink"/>
              </w:rPr>
              <w:t>354</w:t>
            </w:r>
          </w:hyperlink>
        </w:p>
        <w:p>
          <w:pPr>
            <w:pStyle w:val="Contents6"/>
            <w:tabs>
              <w:tab w:val="clear" w:pos="7609"/>
              <w:tab w:val="right" w:pos="9026" w:leader="dot"/>
            </w:tabs>
            <w:rPr/>
          </w:pPr>
          <w:hyperlink w:anchor="__RefHeading___Toc3331878_2142443653">
            <w:r>
              <w:rPr>
                <w:webHidden/>
                <w:rStyle w:val="IndexLink"/>
                <w:rtl w:val="true"/>
              </w:rPr>
              <w:t>ثبوت الخيار مع خروج العين بالتلف</w:t>
            </w:r>
            <w:r>
              <w:rPr>
                <w:rStyle w:val="IndexLink"/>
                <w:rtl w:val="true"/>
              </w:rPr>
              <w:tab/>
            </w:r>
            <w:r>
              <w:rPr>
                <w:rStyle w:val="IndexLink"/>
              </w:rPr>
              <w:t>354</w:t>
            </w:r>
          </w:hyperlink>
        </w:p>
        <w:p>
          <w:pPr>
            <w:pStyle w:val="Contents6"/>
            <w:tabs>
              <w:tab w:val="clear" w:pos="7609"/>
              <w:tab w:val="right" w:pos="9026" w:leader="dot"/>
            </w:tabs>
            <w:rPr/>
          </w:pPr>
          <w:hyperlink w:anchor="__RefHeading___Toc3331880_2142443653">
            <w:r>
              <w:rPr>
                <w:webHidden/>
                <w:rStyle w:val="IndexLink"/>
                <w:rtl w:val="true"/>
              </w:rPr>
              <w:t>في ثبوت الخيار مع خروج العين بغصب ونحوه</w:t>
            </w:r>
            <w:r>
              <w:rPr>
                <w:rStyle w:val="IndexLink"/>
                <w:rtl w:val="true"/>
              </w:rPr>
              <w:tab/>
            </w:r>
            <w:r>
              <w:rPr>
                <w:rStyle w:val="IndexLink"/>
              </w:rPr>
              <w:t>357</w:t>
            </w:r>
          </w:hyperlink>
        </w:p>
        <w:p>
          <w:pPr>
            <w:pStyle w:val="Contents6"/>
            <w:tabs>
              <w:tab w:val="clear" w:pos="7609"/>
              <w:tab w:val="right" w:pos="9026" w:leader="dot"/>
            </w:tabs>
            <w:rPr/>
          </w:pPr>
          <w:hyperlink w:anchor="__RefHeading___Toc3331882_2142443653">
            <w:r>
              <w:rPr>
                <w:webHidden/>
                <w:rStyle w:val="IndexLink"/>
                <w:rtl w:val="true"/>
              </w:rPr>
              <w:t>في ثبوت الخيار مع خروج العين بالنقل</w:t>
            </w:r>
            <w:r>
              <w:rPr>
                <w:rStyle w:val="IndexLink"/>
                <w:rtl w:val="true"/>
              </w:rPr>
              <w:tab/>
            </w:r>
            <w:r>
              <w:rPr>
                <w:rStyle w:val="IndexLink"/>
              </w:rPr>
              <w:t>358</w:t>
            </w:r>
          </w:hyperlink>
        </w:p>
        <w:p>
          <w:pPr>
            <w:pStyle w:val="Contents5"/>
            <w:tabs>
              <w:tab w:val="clear" w:pos="7892"/>
              <w:tab w:val="right" w:pos="9026" w:leader="dot"/>
            </w:tabs>
            <w:rPr/>
          </w:pPr>
          <w:hyperlink w:anchor="__RefHeading___Toc3331884_2142443653">
            <w:r>
              <w:rPr>
                <w:webHidden/>
                <w:rStyle w:val="IndexLink"/>
                <w:rtl w:val="true"/>
              </w:rPr>
              <w:t xml:space="preserve">الأمر الثالث </w:t>
            </w:r>
            <w:r>
              <w:rPr>
                <w:rStyle w:val="IndexLink"/>
                <w:rtl w:val="true"/>
              </w:rPr>
              <w:t xml:space="preserve">: </w:t>
            </w:r>
            <w:r>
              <w:rPr>
                <w:rStyle w:val="IndexLink"/>
                <w:rtl w:val="true"/>
              </w:rPr>
              <w:t>فيما لو كان تصرّف المشروط عليه المخرج للعين منافياً للشرط</w:t>
            </w:r>
            <w:r>
              <w:rPr>
                <w:rStyle w:val="IndexLink"/>
                <w:rtl w:val="true"/>
              </w:rPr>
              <w:tab/>
            </w:r>
            <w:r>
              <w:rPr>
                <w:rStyle w:val="IndexLink"/>
              </w:rPr>
              <w:t>362</w:t>
            </w:r>
          </w:hyperlink>
        </w:p>
        <w:p>
          <w:pPr>
            <w:pStyle w:val="Contents5"/>
            <w:tabs>
              <w:tab w:val="clear" w:pos="7892"/>
              <w:tab w:val="right" w:pos="9026" w:leader="dot"/>
            </w:tabs>
            <w:rPr/>
          </w:pPr>
          <w:hyperlink w:anchor="__RefHeading___Toc3331886_2142443653">
            <w:r>
              <w:rPr>
                <w:webHidden/>
                <w:rStyle w:val="IndexLink"/>
                <w:rtl w:val="true"/>
              </w:rPr>
              <w:t xml:space="preserve">الأمر الرابع </w:t>
            </w:r>
            <w:r>
              <w:rPr>
                <w:rStyle w:val="IndexLink"/>
                <w:rtl w:val="true"/>
              </w:rPr>
              <w:t xml:space="preserve">: </w:t>
            </w:r>
            <w:r>
              <w:rPr>
                <w:rStyle w:val="IndexLink"/>
                <w:rtl w:val="true"/>
              </w:rPr>
              <w:t>في أنّ للمشروط له إسقاط حقّه</w:t>
            </w:r>
            <w:r>
              <w:rPr>
                <w:rStyle w:val="IndexLink"/>
                <w:rtl w:val="true"/>
              </w:rPr>
              <w:tab/>
            </w:r>
            <w:r>
              <w:rPr>
                <w:rStyle w:val="IndexLink"/>
              </w:rPr>
              <w:t>367</w:t>
            </w:r>
          </w:hyperlink>
        </w:p>
        <w:p>
          <w:pPr>
            <w:pStyle w:val="Contents5"/>
            <w:tabs>
              <w:tab w:val="clear" w:pos="7892"/>
              <w:tab w:val="right" w:pos="9026" w:leader="dot"/>
            </w:tabs>
            <w:rPr/>
          </w:pPr>
          <w:hyperlink w:anchor="__RefHeading___Toc3331888_2142443653">
            <w:r>
              <w:rPr>
                <w:webHidden/>
                <w:rStyle w:val="IndexLink"/>
                <w:rtl w:val="true"/>
              </w:rPr>
              <w:t xml:space="preserve">الأمر الخامس </w:t>
            </w:r>
            <w:r>
              <w:rPr>
                <w:rStyle w:val="IndexLink"/>
                <w:rtl w:val="true"/>
              </w:rPr>
              <w:t xml:space="preserve">: </w:t>
            </w:r>
            <w:r>
              <w:rPr>
                <w:rStyle w:val="IndexLink"/>
                <w:rtl w:val="true"/>
              </w:rPr>
              <w:t>في عدم تقسيط الثمن على الشرط</w:t>
            </w:r>
            <w:r>
              <w:rPr>
                <w:rStyle w:val="IndexLink"/>
                <w:rtl w:val="true"/>
              </w:rPr>
              <w:tab/>
            </w:r>
            <w:r>
              <w:rPr>
                <w:rStyle w:val="IndexLink"/>
              </w:rPr>
              <w:t>370</w:t>
            </w:r>
          </w:hyperlink>
        </w:p>
        <w:p>
          <w:pPr>
            <w:pStyle w:val="Contents6"/>
            <w:tabs>
              <w:tab w:val="clear" w:pos="7609"/>
              <w:tab w:val="right" w:pos="9026" w:leader="dot"/>
            </w:tabs>
            <w:rPr/>
          </w:pPr>
          <w:hyperlink w:anchor="__RefHeading___Toc3331890_2142443653">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3331892_2142443653">
            <w:r>
              <w:rPr>
                <w:webHidden/>
                <w:rStyle w:val="IndexLink"/>
                <w:rtl w:val="true"/>
              </w:rPr>
              <w:t>في الاستدلال للتقسيط برواية عمر بن حنظلة</w:t>
            </w:r>
            <w:r>
              <w:rPr>
                <w:rStyle w:val="IndexLink"/>
                <w:rtl w:val="true"/>
              </w:rPr>
              <w:tab/>
            </w:r>
            <w:r>
              <w:rPr>
                <w:rStyle w:val="IndexLink"/>
              </w:rPr>
              <w:t>375</w:t>
            </w:r>
          </w:hyperlink>
        </w:p>
        <w:p>
          <w:pPr>
            <w:pStyle w:val="Contents3"/>
            <w:tabs>
              <w:tab w:val="clear" w:pos="8459"/>
              <w:tab w:val="right" w:pos="9026" w:leader="dot"/>
            </w:tabs>
            <w:rPr/>
          </w:pPr>
          <w:hyperlink w:anchor="__RefHeading___Toc3331894_2142443653">
            <w:r>
              <w:rPr>
                <w:webHidden/>
                <w:rStyle w:val="IndexLink"/>
                <w:rtl w:val="true"/>
              </w:rPr>
              <w:t>القول في حكم الشرط الفاسد</w:t>
            </w:r>
            <w:r>
              <w:rPr>
                <w:rStyle w:val="IndexLink"/>
                <w:rtl w:val="true"/>
              </w:rPr>
              <w:tab/>
            </w:r>
            <w:r>
              <w:rPr>
                <w:rStyle w:val="IndexLink"/>
              </w:rPr>
              <w:t>377</w:t>
            </w:r>
          </w:hyperlink>
        </w:p>
        <w:p>
          <w:pPr>
            <w:pStyle w:val="Contents4"/>
            <w:tabs>
              <w:tab w:val="clear" w:pos="8176"/>
              <w:tab w:val="right" w:pos="9026" w:leader="dot"/>
            </w:tabs>
            <w:rPr/>
          </w:pPr>
          <w:hyperlink w:anchor="__RefHeading___Toc3331896_2142443653">
            <w:r>
              <w:rPr>
                <w:webHidden/>
                <w:rStyle w:val="IndexLink"/>
                <w:rtl w:val="true"/>
              </w:rPr>
              <w:t xml:space="preserve">وفيه اُمور </w:t>
            </w:r>
            <w:r>
              <w:rPr>
                <w:rStyle w:val="IndexLink"/>
                <w:rtl w:val="true"/>
              </w:rPr>
              <w:t>:</w:t>
              <w:tab/>
            </w:r>
            <w:r>
              <w:rPr>
                <w:rStyle w:val="IndexLink"/>
              </w:rPr>
              <w:t>377</w:t>
            </w:r>
          </w:hyperlink>
        </w:p>
        <w:p>
          <w:pPr>
            <w:pStyle w:val="Contents5"/>
            <w:tabs>
              <w:tab w:val="clear" w:pos="7892"/>
              <w:tab w:val="right" w:pos="9026" w:leader="dot"/>
            </w:tabs>
            <w:rPr/>
          </w:pPr>
          <w:hyperlink w:anchor="__RefHeading___Toc3331898_2142443653">
            <w:r>
              <w:rPr>
                <w:webHidden/>
                <w:rStyle w:val="IndexLink"/>
                <w:rtl w:val="true"/>
              </w:rPr>
              <w:t xml:space="preserve">الأوّل </w:t>
            </w:r>
            <w:r>
              <w:rPr>
                <w:rStyle w:val="IndexLink"/>
                <w:rtl w:val="true"/>
              </w:rPr>
              <w:t xml:space="preserve">: </w:t>
            </w:r>
            <w:r>
              <w:rPr>
                <w:rStyle w:val="IndexLink"/>
                <w:rtl w:val="true"/>
              </w:rPr>
              <w:t>حول سراية فساد الشرط إلى العقد حسب القواعد</w:t>
            </w:r>
            <w:r>
              <w:rPr>
                <w:rStyle w:val="IndexLink"/>
                <w:rtl w:val="true"/>
              </w:rPr>
              <w:tab/>
            </w:r>
            <w:r>
              <w:rPr>
                <w:rStyle w:val="IndexLink"/>
              </w:rPr>
              <w:t>377</w:t>
            </w:r>
          </w:hyperlink>
        </w:p>
        <w:p>
          <w:pPr>
            <w:pStyle w:val="Contents5"/>
            <w:tabs>
              <w:tab w:val="clear" w:pos="7892"/>
              <w:tab w:val="right" w:pos="9026" w:leader="dot"/>
            </w:tabs>
            <w:rPr/>
          </w:pPr>
          <w:hyperlink w:anchor="__RefHeading___Toc3331900_2142443653">
            <w:r>
              <w:rPr>
                <w:webHidden/>
                <w:rStyle w:val="IndexLink"/>
                <w:rtl w:val="true"/>
              </w:rPr>
              <w:t xml:space="preserve">الثاني </w:t>
            </w:r>
            <w:r>
              <w:rPr>
                <w:rStyle w:val="IndexLink"/>
                <w:rtl w:val="true"/>
              </w:rPr>
              <w:t xml:space="preserve">: </w:t>
            </w:r>
            <w:r>
              <w:rPr>
                <w:rStyle w:val="IndexLink"/>
                <w:rtl w:val="true"/>
              </w:rPr>
              <w:t>في الاستدلال بالروايات على إفساد الشرط الفاسد</w:t>
            </w:r>
            <w:r>
              <w:rPr>
                <w:rStyle w:val="IndexLink"/>
                <w:rtl w:val="true"/>
              </w:rPr>
              <w:tab/>
            </w:r>
            <w:r>
              <w:rPr>
                <w:rStyle w:val="IndexLink"/>
              </w:rPr>
              <w:t>384</w:t>
            </w:r>
          </w:hyperlink>
        </w:p>
        <w:p>
          <w:pPr>
            <w:pStyle w:val="Contents5"/>
            <w:tabs>
              <w:tab w:val="clear" w:pos="7892"/>
              <w:tab w:val="right" w:pos="9026" w:leader="dot"/>
            </w:tabs>
            <w:rPr/>
          </w:pPr>
          <w:hyperlink w:anchor="__RefHeading___Toc3331902_2142443653">
            <w:r>
              <w:rPr>
                <w:webHidden/>
                <w:rStyle w:val="IndexLink"/>
                <w:rtl w:val="true"/>
              </w:rPr>
              <w:t xml:space="preserve">الثالث </w:t>
            </w:r>
            <w:r>
              <w:rPr>
                <w:rStyle w:val="IndexLink"/>
                <w:rtl w:val="true"/>
              </w:rPr>
              <w:t xml:space="preserve">: </w:t>
            </w:r>
            <w:r>
              <w:rPr>
                <w:rStyle w:val="IndexLink"/>
                <w:rtl w:val="true"/>
              </w:rPr>
              <w:t>في عموم خيار تخلّف الشرط للشروط الفاسدة</w:t>
            </w:r>
            <w:r>
              <w:rPr>
                <w:rStyle w:val="IndexLink"/>
                <w:rtl w:val="true"/>
              </w:rPr>
              <w:tab/>
            </w:r>
            <w:r>
              <w:rPr>
                <w:rStyle w:val="IndexLink"/>
              </w:rPr>
              <w:t>388</w:t>
            </w:r>
          </w:hyperlink>
        </w:p>
        <w:p>
          <w:pPr>
            <w:pStyle w:val="Contents3"/>
            <w:tabs>
              <w:tab w:val="clear" w:pos="8459"/>
              <w:tab w:val="right" w:pos="9026" w:leader="dot"/>
            </w:tabs>
            <w:rPr/>
          </w:pPr>
          <w:hyperlink w:anchor="__RefHeading___Toc3331904_2142443653">
            <w:r>
              <w:rPr>
                <w:webHidden/>
                <w:rStyle w:val="IndexLink"/>
                <w:rtl w:val="true"/>
              </w:rPr>
              <w:t>القول في أحكام الخيار</w:t>
            </w:r>
            <w:r>
              <w:rPr>
                <w:rStyle w:val="IndexLink"/>
                <w:rtl w:val="true"/>
              </w:rPr>
              <w:tab/>
            </w:r>
            <w:r>
              <w:rPr>
                <w:rStyle w:val="IndexLink"/>
              </w:rPr>
              <w:t>392</w:t>
            </w:r>
          </w:hyperlink>
        </w:p>
        <w:p>
          <w:pPr>
            <w:pStyle w:val="Contents4"/>
            <w:tabs>
              <w:tab w:val="clear" w:pos="8176"/>
              <w:tab w:val="right" w:pos="9026" w:leader="dot"/>
            </w:tabs>
            <w:rPr/>
          </w:pPr>
          <w:hyperlink w:anchor="__RefHeading___Toc3331906_2142443653">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3331908_2142443653">
            <w:r>
              <w:rPr>
                <w:webHidden/>
                <w:rStyle w:val="IndexLink"/>
                <w:rtl w:val="true"/>
              </w:rPr>
              <w:t>مسألة في أنّ جميع الخيارات موروثة</w:t>
            </w:r>
            <w:r>
              <w:rPr>
                <w:rStyle w:val="IndexLink"/>
                <w:rtl w:val="true"/>
              </w:rPr>
              <w:tab/>
            </w:r>
            <w:r>
              <w:rPr>
                <w:rStyle w:val="IndexLink"/>
              </w:rPr>
              <w:t>394</w:t>
            </w:r>
          </w:hyperlink>
        </w:p>
        <w:p>
          <w:pPr>
            <w:pStyle w:val="Contents5"/>
            <w:tabs>
              <w:tab w:val="clear" w:pos="7892"/>
              <w:tab w:val="right" w:pos="9026" w:leader="dot"/>
            </w:tabs>
            <w:rPr/>
          </w:pPr>
          <w:hyperlink w:anchor="__RefHeading___Toc3331910_2142443653">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3331912_2142443653">
            <w:r>
              <w:rPr>
                <w:webHidden/>
                <w:rStyle w:val="IndexLink"/>
                <w:rtl w:val="true"/>
              </w:rPr>
              <w:t>هل إرث الخيار تابع لإرث المال ؟</w:t>
            </w:r>
            <w:r>
              <w:rPr>
                <w:rStyle w:val="IndexLink"/>
                <w:rtl w:val="true"/>
              </w:rPr>
              <w:tab/>
            </w:r>
            <w:r>
              <w:rPr>
                <w:rStyle w:val="IndexLink"/>
              </w:rPr>
              <w:t>398</w:t>
            </w:r>
          </w:hyperlink>
        </w:p>
        <w:p>
          <w:pPr>
            <w:pStyle w:val="Contents4"/>
            <w:tabs>
              <w:tab w:val="clear" w:pos="8176"/>
              <w:tab w:val="right" w:pos="9026" w:leader="dot"/>
            </w:tabs>
            <w:rPr/>
          </w:pPr>
          <w:hyperlink w:anchor="__RefHeading___Toc3331914_2142443653">
            <w:r>
              <w:rPr>
                <w:webHidden/>
                <w:rStyle w:val="IndexLink"/>
                <w:rtl w:val="true"/>
              </w:rPr>
              <w:t xml:space="preserve">مسألة </w:t>
            </w:r>
            <w:r>
              <w:rPr>
                <w:rStyle w:val="IndexLink"/>
                <w:rtl w:val="true"/>
              </w:rPr>
              <w:t xml:space="preserve">: </w:t>
            </w:r>
            <w:r>
              <w:rPr>
                <w:rStyle w:val="IndexLink"/>
                <w:rtl w:val="true"/>
              </w:rPr>
              <w:t>في كيفية استحقاق الورثة للخيار</w:t>
            </w:r>
            <w:r>
              <w:rPr>
                <w:rStyle w:val="IndexLink"/>
                <w:rtl w:val="true"/>
              </w:rPr>
              <w:tab/>
            </w:r>
            <w:r>
              <w:rPr>
                <w:rStyle w:val="IndexLink"/>
              </w:rPr>
              <w:t>404</w:t>
            </w:r>
          </w:hyperlink>
        </w:p>
        <w:p>
          <w:pPr>
            <w:pStyle w:val="Contents5"/>
            <w:tabs>
              <w:tab w:val="clear" w:pos="7892"/>
              <w:tab w:val="right" w:pos="9026" w:leader="dot"/>
            </w:tabs>
            <w:rPr/>
          </w:pPr>
          <w:hyperlink w:anchor="__RefHeading___Toc3331916_2142443653">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3331918_2142443653">
            <w:r>
              <w:rPr>
                <w:webHidden/>
                <w:rStyle w:val="IndexLink"/>
                <w:rtl w:val="true"/>
              </w:rPr>
              <w:t>الموارد التي توهّم النقض على عدم انقسام الحقّ الشخصي</w:t>
            </w:r>
            <w:r>
              <w:rPr>
                <w:rStyle w:val="IndexLink"/>
                <w:rtl w:val="true"/>
              </w:rPr>
              <w:tab/>
            </w:r>
            <w:r>
              <w:rPr>
                <w:rStyle w:val="IndexLink"/>
              </w:rPr>
              <w:t>411</w:t>
            </w:r>
          </w:hyperlink>
        </w:p>
        <w:p>
          <w:pPr>
            <w:pStyle w:val="Contents3"/>
            <w:tabs>
              <w:tab w:val="clear" w:pos="8459"/>
              <w:tab w:val="right" w:pos="9026" w:leader="dot"/>
            </w:tabs>
            <w:rPr/>
          </w:pPr>
          <w:hyperlink w:anchor="__RefHeading___Toc3331920_2142443653">
            <w:r>
              <w:rPr>
                <w:webHidden/>
                <w:rStyle w:val="IndexLink"/>
                <w:rtl w:val="true"/>
              </w:rPr>
              <w:t xml:space="preserve">فرع </w:t>
            </w:r>
            <w:r>
              <w:rPr>
                <w:rStyle w:val="IndexLink"/>
                <w:rtl w:val="true"/>
              </w:rPr>
              <w:t xml:space="preserve">: </w:t>
            </w:r>
            <w:r>
              <w:rPr>
                <w:rStyle w:val="IndexLink"/>
                <w:rtl w:val="true"/>
              </w:rPr>
              <w:t>حول الإشكال في تحقّق ماهية الفسخ بفسخ الورثة</w:t>
            </w:r>
            <w:r>
              <w:rPr>
                <w:rStyle w:val="IndexLink"/>
                <w:rtl w:val="true"/>
              </w:rPr>
              <w:tab/>
            </w:r>
            <w:r>
              <w:rPr>
                <w:rStyle w:val="IndexLink"/>
              </w:rPr>
              <w:t>417</w:t>
            </w:r>
          </w:hyperlink>
        </w:p>
        <w:p>
          <w:pPr>
            <w:pStyle w:val="Contents4"/>
            <w:tabs>
              <w:tab w:val="clear" w:pos="8176"/>
              <w:tab w:val="right" w:pos="9026" w:leader="dot"/>
            </w:tabs>
            <w:rPr/>
          </w:pPr>
          <w:hyperlink w:anchor="__RefHeading___Toc3331922_2142443653">
            <w:r>
              <w:rPr>
                <w:webHidden/>
                <w:rStyle w:val="IndexLink"/>
                <w:rtl w:val="true"/>
              </w:rPr>
              <w:t>اشارة</w:t>
            </w:r>
            <w:r>
              <w:rPr>
                <w:rStyle w:val="IndexLink"/>
                <w:rtl w:val="true"/>
              </w:rPr>
              <w:tab/>
            </w:r>
            <w:r>
              <w:rPr>
                <w:rStyle w:val="IndexLink"/>
              </w:rPr>
              <w:t>417</w:t>
            </w:r>
          </w:hyperlink>
        </w:p>
        <w:p>
          <w:pPr>
            <w:pStyle w:val="Contents4"/>
            <w:tabs>
              <w:tab w:val="clear" w:pos="8176"/>
              <w:tab w:val="right" w:pos="9026" w:leader="dot"/>
            </w:tabs>
            <w:rPr/>
          </w:pPr>
          <w:hyperlink w:anchor="__RefHeading___Toc3331924_2142443653">
            <w:r>
              <w:rPr>
                <w:webHidden/>
                <w:rStyle w:val="IndexLink"/>
                <w:rtl w:val="true"/>
              </w:rPr>
              <w:t>الجواب عن الإشكال</w:t>
            </w:r>
            <w:r>
              <w:rPr>
                <w:rStyle w:val="IndexLink"/>
                <w:rtl w:val="true"/>
              </w:rPr>
              <w:tab/>
            </w:r>
            <w:r>
              <w:rPr>
                <w:rStyle w:val="IndexLink"/>
              </w:rPr>
              <w:t>419</w:t>
            </w:r>
          </w:hyperlink>
        </w:p>
        <w:p>
          <w:pPr>
            <w:pStyle w:val="Contents4"/>
            <w:tabs>
              <w:tab w:val="clear" w:pos="8176"/>
              <w:tab w:val="right" w:pos="9026" w:leader="dot"/>
            </w:tabs>
            <w:rPr/>
          </w:pPr>
          <w:hyperlink w:anchor="__RefHeading___Toc3331926_2142443653">
            <w:r>
              <w:rPr>
                <w:webHidden/>
                <w:rStyle w:val="IndexLink"/>
                <w:rtl w:val="true"/>
              </w:rPr>
              <w:t>حكم فسخ الورثة لو كان للميّت دين مستغرق</w:t>
            </w:r>
            <w:r>
              <w:rPr>
                <w:rStyle w:val="IndexLink"/>
                <w:rtl w:val="true"/>
              </w:rPr>
              <w:tab/>
            </w:r>
            <w:r>
              <w:rPr>
                <w:rStyle w:val="IndexLink"/>
              </w:rPr>
              <w:t>422</w:t>
            </w:r>
          </w:hyperlink>
        </w:p>
        <w:p>
          <w:pPr>
            <w:pStyle w:val="Contents3"/>
            <w:tabs>
              <w:tab w:val="clear" w:pos="8459"/>
              <w:tab w:val="right" w:pos="9026" w:leader="dot"/>
            </w:tabs>
            <w:rPr/>
          </w:pPr>
          <w:hyperlink w:anchor="__RefHeading___Toc3331928_2142443653">
            <w:r>
              <w:rPr>
                <w:webHidden/>
                <w:rStyle w:val="IndexLink"/>
                <w:rtl w:val="true"/>
              </w:rPr>
              <w:t>مسألة في أنّ الأجنبيّ لا يورّث الخيار الثابت له</w:t>
            </w:r>
            <w:r>
              <w:rPr>
                <w:rStyle w:val="IndexLink"/>
                <w:rtl w:val="true"/>
              </w:rPr>
              <w:tab/>
            </w:r>
            <w:r>
              <w:rPr>
                <w:rStyle w:val="IndexLink"/>
              </w:rPr>
              <w:t>423</w:t>
            </w:r>
          </w:hyperlink>
        </w:p>
        <w:p>
          <w:pPr>
            <w:pStyle w:val="Contents3"/>
            <w:tabs>
              <w:tab w:val="clear" w:pos="8459"/>
              <w:tab w:val="right" w:pos="9026" w:leader="dot"/>
            </w:tabs>
            <w:rPr/>
          </w:pPr>
          <w:hyperlink w:anchor="__RefHeading___Toc3331930_2142443653">
            <w:r>
              <w:rPr>
                <w:webHidden/>
                <w:rStyle w:val="IndexLink"/>
                <w:rtl w:val="true"/>
              </w:rPr>
              <w:t xml:space="preserve">مسألة </w:t>
            </w:r>
            <w:r>
              <w:rPr>
                <w:rStyle w:val="IndexLink"/>
                <w:rtl w:val="true"/>
              </w:rPr>
              <w:t xml:space="preserve">: </w:t>
            </w:r>
            <w:r>
              <w:rPr>
                <w:rStyle w:val="IndexLink"/>
                <w:rtl w:val="true"/>
              </w:rPr>
              <w:t>في حصول الفسخ بالفعل</w:t>
            </w:r>
            <w:r>
              <w:rPr>
                <w:rStyle w:val="IndexLink"/>
                <w:rtl w:val="true"/>
              </w:rPr>
              <w:tab/>
            </w:r>
            <w:r>
              <w:rPr>
                <w:rStyle w:val="IndexLink"/>
              </w:rPr>
              <w:t>425</w:t>
            </w:r>
          </w:hyperlink>
        </w:p>
        <w:p>
          <w:pPr>
            <w:pStyle w:val="Contents4"/>
            <w:tabs>
              <w:tab w:val="clear" w:pos="8176"/>
              <w:tab w:val="right" w:pos="9026" w:leader="dot"/>
            </w:tabs>
            <w:rPr/>
          </w:pPr>
          <w:hyperlink w:anchor="__RefHeading___Toc3331932_2142443653">
            <w:r>
              <w:rPr>
                <w:webHidden/>
                <w:rStyle w:val="IndexLink"/>
                <w:rtl w:val="true"/>
              </w:rPr>
              <w:t>اشارة</w:t>
            </w:r>
            <w:r>
              <w:rPr>
                <w:rStyle w:val="IndexLink"/>
                <w:rtl w:val="true"/>
              </w:rPr>
              <w:tab/>
            </w:r>
            <w:r>
              <w:rPr>
                <w:rStyle w:val="IndexLink"/>
              </w:rPr>
              <w:t>425</w:t>
            </w:r>
          </w:hyperlink>
        </w:p>
        <w:p>
          <w:pPr>
            <w:pStyle w:val="Contents4"/>
            <w:tabs>
              <w:tab w:val="clear" w:pos="8176"/>
              <w:tab w:val="right" w:pos="9026" w:leader="dot"/>
            </w:tabs>
            <w:rPr/>
          </w:pPr>
          <w:hyperlink w:anchor="__RefHeading___Toc3331934_2142443653">
            <w:r>
              <w:rPr>
                <w:webHidden/>
                <w:rStyle w:val="IndexLink"/>
                <w:rtl w:val="true"/>
              </w:rPr>
              <w:t>حكم الشكّ في كون القول أو الفعل فسخاً</w:t>
            </w:r>
            <w:r>
              <w:rPr>
                <w:rStyle w:val="IndexLink"/>
                <w:rtl w:val="true"/>
              </w:rPr>
              <w:tab/>
            </w:r>
            <w:r>
              <w:rPr>
                <w:rStyle w:val="IndexLink"/>
              </w:rPr>
              <w:t>426</w:t>
            </w:r>
          </w:hyperlink>
        </w:p>
        <w:p>
          <w:pPr>
            <w:pStyle w:val="Contents4"/>
            <w:tabs>
              <w:tab w:val="clear" w:pos="8176"/>
              <w:tab w:val="right" w:pos="9026" w:leader="dot"/>
            </w:tabs>
            <w:rPr/>
          </w:pPr>
          <w:hyperlink w:anchor="__RefHeading___Toc3331936_2142443653">
            <w:r>
              <w:rPr>
                <w:webHidden/>
                <w:rStyle w:val="IndexLink"/>
                <w:rtl w:val="true"/>
              </w:rPr>
              <w:t>عدم دلالة التصرّفات الاعتبارية على الفسخ</w:t>
            </w:r>
            <w:r>
              <w:rPr>
                <w:rStyle w:val="IndexLink"/>
                <w:rtl w:val="true"/>
              </w:rPr>
              <w:tab/>
            </w:r>
            <w:r>
              <w:rPr>
                <w:rStyle w:val="IndexLink"/>
              </w:rPr>
              <w:t>429</w:t>
            </w:r>
          </w:hyperlink>
        </w:p>
        <w:p>
          <w:pPr>
            <w:pStyle w:val="Contents3"/>
            <w:tabs>
              <w:tab w:val="clear" w:pos="8459"/>
              <w:tab w:val="right" w:pos="9026" w:leader="dot"/>
            </w:tabs>
            <w:rPr/>
          </w:pPr>
          <w:hyperlink w:anchor="__RefHeading___Toc3331938_2142443653">
            <w:r>
              <w:rPr>
                <w:webHidden/>
                <w:rStyle w:val="IndexLink"/>
                <w:rtl w:val="true"/>
              </w:rPr>
              <w:t xml:space="preserve">مسألة </w:t>
            </w:r>
            <w:r>
              <w:rPr>
                <w:rStyle w:val="IndexLink"/>
                <w:rtl w:val="true"/>
              </w:rPr>
              <w:t xml:space="preserve">: </w:t>
            </w:r>
            <w:r>
              <w:rPr>
                <w:rStyle w:val="IndexLink"/>
                <w:rtl w:val="true"/>
              </w:rPr>
              <w:t>في أنّ التصرّف سبب للفسخ لا كاشف عنه</w:t>
            </w:r>
            <w:r>
              <w:rPr>
                <w:rStyle w:val="IndexLink"/>
                <w:rtl w:val="true"/>
              </w:rPr>
              <w:tab/>
            </w:r>
            <w:r>
              <w:rPr>
                <w:rStyle w:val="IndexLink"/>
              </w:rPr>
              <w:t>431</w:t>
            </w:r>
          </w:hyperlink>
        </w:p>
        <w:p>
          <w:pPr>
            <w:pStyle w:val="Contents4"/>
            <w:tabs>
              <w:tab w:val="clear" w:pos="8176"/>
              <w:tab w:val="right" w:pos="9026" w:leader="dot"/>
            </w:tabs>
            <w:rPr/>
          </w:pPr>
          <w:hyperlink w:anchor="__RefHeading___Toc3331940_2142443653">
            <w:r>
              <w:rPr>
                <w:webHidden/>
                <w:rStyle w:val="IndexLink"/>
                <w:rtl w:val="true"/>
              </w:rPr>
              <w:t>اشارة</w:t>
            </w:r>
            <w:r>
              <w:rPr>
                <w:rStyle w:val="IndexLink"/>
                <w:rtl w:val="true"/>
              </w:rPr>
              <w:tab/>
            </w:r>
            <w:r>
              <w:rPr>
                <w:rStyle w:val="IndexLink"/>
              </w:rPr>
              <w:t>431</w:t>
            </w:r>
          </w:hyperlink>
        </w:p>
        <w:p>
          <w:pPr>
            <w:pStyle w:val="Contents4"/>
            <w:tabs>
              <w:tab w:val="clear" w:pos="8176"/>
              <w:tab w:val="right" w:pos="9026" w:leader="dot"/>
            </w:tabs>
            <w:rPr/>
          </w:pPr>
          <w:hyperlink w:anchor="__RefHeading___Toc3331942_2142443653">
            <w:r>
              <w:rPr>
                <w:webHidden/>
                <w:rStyle w:val="IndexLink"/>
                <w:rtl w:val="true"/>
              </w:rPr>
              <w:t>إشكالات تحقّق الفسخ بالتصرّف المعاملي على السببية</w:t>
            </w:r>
            <w:r>
              <w:rPr>
                <w:rStyle w:val="IndexLink"/>
                <w:rtl w:val="true"/>
              </w:rPr>
              <w:tab/>
            </w:r>
            <w:r>
              <w:rPr>
                <w:rStyle w:val="IndexLink"/>
              </w:rPr>
              <w:t>436</w:t>
            </w:r>
          </w:hyperlink>
        </w:p>
        <w:p>
          <w:pPr>
            <w:pStyle w:val="Contents3"/>
            <w:tabs>
              <w:tab w:val="clear" w:pos="8459"/>
              <w:tab w:val="right" w:pos="9026" w:leader="dot"/>
            </w:tabs>
            <w:rPr/>
          </w:pPr>
          <w:hyperlink w:anchor="__RefHeading___Toc3331944_2142443653">
            <w:r>
              <w:rPr>
                <w:webHidden/>
                <w:rStyle w:val="IndexLink"/>
                <w:rtl w:val="true"/>
              </w:rPr>
              <w:t xml:space="preserve">فرع </w:t>
            </w:r>
            <w:r>
              <w:rPr>
                <w:rStyle w:val="IndexLink"/>
                <w:rtl w:val="true"/>
              </w:rPr>
              <w:t xml:space="preserve">: </w:t>
            </w:r>
            <w:r>
              <w:rPr>
                <w:rStyle w:val="IndexLink"/>
                <w:rtl w:val="true"/>
              </w:rPr>
              <w:t>في صور التصرّف في العوضين دفعة واحدة وأحكامها</w:t>
            </w:r>
            <w:r>
              <w:rPr>
                <w:rStyle w:val="IndexLink"/>
                <w:rtl w:val="true"/>
              </w:rPr>
              <w:tab/>
            </w:r>
            <w:r>
              <w:rPr>
                <w:rStyle w:val="IndexLink"/>
              </w:rPr>
              <w:t>444</w:t>
            </w:r>
          </w:hyperlink>
        </w:p>
        <w:p>
          <w:pPr>
            <w:pStyle w:val="Contents4"/>
            <w:tabs>
              <w:tab w:val="clear" w:pos="8176"/>
              <w:tab w:val="right" w:pos="9026" w:leader="dot"/>
            </w:tabs>
            <w:rPr/>
          </w:pPr>
          <w:hyperlink w:anchor="__RefHeading___Toc3331946_2142443653">
            <w:r>
              <w:rPr>
                <w:webHidden/>
                <w:rStyle w:val="IndexLink"/>
                <w:rtl w:val="true"/>
              </w:rPr>
              <w:t>اشارة</w:t>
            </w:r>
            <w:r>
              <w:rPr>
                <w:rStyle w:val="IndexLink"/>
                <w:rtl w:val="true"/>
              </w:rPr>
              <w:tab/>
            </w:r>
            <w:r>
              <w:rPr>
                <w:rStyle w:val="IndexLink"/>
              </w:rPr>
              <w:t>444</w:t>
            </w:r>
          </w:hyperlink>
        </w:p>
        <w:p>
          <w:pPr>
            <w:pStyle w:val="Contents4"/>
            <w:tabs>
              <w:tab w:val="clear" w:pos="8176"/>
              <w:tab w:val="right" w:pos="9026" w:leader="dot"/>
            </w:tabs>
            <w:rPr/>
          </w:pPr>
          <w:hyperlink w:anchor="__RefHeading___Toc3331948_2142443653">
            <w:r>
              <w:rPr>
                <w:webHidden/>
                <w:rStyle w:val="IndexLink"/>
                <w:rtl w:val="true"/>
              </w:rPr>
              <w:t>حكم ما لو اشترى عبداً بجارية فقال أعتقتهما</w:t>
            </w:r>
            <w:r>
              <w:rPr>
                <w:rStyle w:val="IndexLink"/>
                <w:rtl w:val="true"/>
              </w:rPr>
              <w:tab/>
            </w:r>
            <w:r>
              <w:rPr>
                <w:rStyle w:val="IndexLink"/>
              </w:rPr>
              <w:t>445</w:t>
            </w:r>
          </w:hyperlink>
        </w:p>
        <w:p>
          <w:pPr>
            <w:pStyle w:val="Contents4"/>
            <w:tabs>
              <w:tab w:val="clear" w:pos="8176"/>
              <w:tab w:val="right" w:pos="9026" w:leader="dot"/>
            </w:tabs>
            <w:rPr/>
          </w:pPr>
          <w:hyperlink w:anchor="__RefHeading___Toc3331950_2142443653">
            <w:r>
              <w:rPr>
                <w:webHidden/>
                <w:rStyle w:val="IndexLink"/>
                <w:rtl w:val="true"/>
              </w:rPr>
              <w:t>الاُصول المتصوّرة عند الشكّ في صحّة العتق والملك</w:t>
            </w:r>
            <w:r>
              <w:rPr>
                <w:rStyle w:val="IndexLink"/>
                <w:rtl w:val="true"/>
              </w:rPr>
              <w:tab/>
            </w:r>
            <w:r>
              <w:rPr>
                <w:rStyle w:val="IndexLink"/>
              </w:rPr>
              <w:t>449</w:t>
            </w:r>
          </w:hyperlink>
        </w:p>
        <w:p>
          <w:pPr>
            <w:pStyle w:val="Contents3"/>
            <w:tabs>
              <w:tab w:val="clear" w:pos="8459"/>
              <w:tab w:val="right" w:pos="9026" w:leader="dot"/>
            </w:tabs>
            <w:rPr/>
          </w:pPr>
          <w:hyperlink w:anchor="__RefHeading___Toc3331952_2142443653">
            <w:r>
              <w:rPr>
                <w:webHidden/>
                <w:rStyle w:val="IndexLink"/>
                <w:rtl w:val="true"/>
              </w:rPr>
              <w:t xml:space="preserve">مسألة </w:t>
            </w:r>
            <w:r>
              <w:rPr>
                <w:rStyle w:val="IndexLink"/>
                <w:rtl w:val="true"/>
              </w:rPr>
              <w:t xml:space="preserve">: </w:t>
            </w:r>
            <w:r>
              <w:rPr>
                <w:rStyle w:val="IndexLink"/>
                <w:rtl w:val="true"/>
              </w:rPr>
              <w:t>في جواز تصرّف غير ذي الخيار تصرّفاً يمنع عن استرداد العين</w:t>
            </w:r>
            <w:r>
              <w:rPr>
                <w:rStyle w:val="IndexLink"/>
                <w:rtl w:val="true"/>
              </w:rPr>
              <w:tab/>
            </w:r>
            <w:r>
              <w:rPr>
                <w:rStyle w:val="IndexLink"/>
              </w:rPr>
              <w:t>451</w:t>
            </w:r>
          </w:hyperlink>
        </w:p>
        <w:p>
          <w:pPr>
            <w:pStyle w:val="Contents4"/>
            <w:tabs>
              <w:tab w:val="clear" w:pos="8176"/>
              <w:tab w:val="right" w:pos="9026" w:leader="dot"/>
            </w:tabs>
            <w:rPr/>
          </w:pPr>
          <w:hyperlink w:anchor="__RefHeading___Toc3331954_2142443653">
            <w:r>
              <w:rPr>
                <w:webHidden/>
                <w:rStyle w:val="IndexLink"/>
                <w:rtl w:val="true"/>
              </w:rPr>
              <w:t>اشارة</w:t>
            </w:r>
            <w:r>
              <w:rPr>
                <w:rStyle w:val="IndexLink"/>
                <w:rtl w:val="true"/>
              </w:rPr>
              <w:tab/>
            </w:r>
            <w:r>
              <w:rPr>
                <w:rStyle w:val="IndexLink"/>
              </w:rPr>
              <w:t>451</w:t>
            </w:r>
          </w:hyperlink>
        </w:p>
        <w:p>
          <w:pPr>
            <w:pStyle w:val="Contents4"/>
            <w:tabs>
              <w:tab w:val="clear" w:pos="8176"/>
              <w:tab w:val="right" w:pos="9026" w:leader="dot"/>
            </w:tabs>
            <w:rPr/>
          </w:pPr>
          <w:hyperlink w:anchor="__RefHeading___Toc3331956_2142443653">
            <w:r>
              <w:rPr>
                <w:webHidden/>
                <w:rStyle w:val="IndexLink"/>
                <w:rtl w:val="true"/>
              </w:rPr>
              <w:t>الأحكام المترتّبة على جواز تصرّف غير ذي الخيار في العين</w:t>
            </w:r>
            <w:r>
              <w:rPr>
                <w:rStyle w:val="IndexLink"/>
                <w:rtl w:val="true"/>
              </w:rPr>
              <w:tab/>
            </w:r>
            <w:r>
              <w:rPr>
                <w:rStyle w:val="IndexLink"/>
              </w:rPr>
              <w:t>452</w:t>
            </w:r>
          </w:hyperlink>
        </w:p>
        <w:p>
          <w:pPr>
            <w:pStyle w:val="Contents4"/>
            <w:tabs>
              <w:tab w:val="clear" w:pos="8176"/>
              <w:tab w:val="right" w:pos="9026" w:leader="dot"/>
            </w:tabs>
            <w:rPr/>
          </w:pPr>
          <w:hyperlink w:anchor="__RefHeading___Toc3331958_2142443653">
            <w:r>
              <w:rPr>
                <w:webHidden/>
                <w:rStyle w:val="IndexLink"/>
                <w:rtl w:val="true"/>
              </w:rPr>
              <w:t>كلام السيّد اليزدي وبيان وجه النظر فيه</w:t>
            </w:r>
            <w:r>
              <w:rPr>
                <w:rStyle w:val="IndexLink"/>
                <w:rtl w:val="true"/>
              </w:rPr>
              <w:tab/>
            </w:r>
            <w:r>
              <w:rPr>
                <w:rStyle w:val="IndexLink"/>
              </w:rPr>
              <w:t>454</w:t>
            </w:r>
          </w:hyperlink>
        </w:p>
        <w:p>
          <w:pPr>
            <w:pStyle w:val="Contents4"/>
            <w:tabs>
              <w:tab w:val="clear" w:pos="8176"/>
              <w:tab w:val="right" w:pos="9026" w:leader="dot"/>
            </w:tabs>
            <w:rPr/>
          </w:pPr>
          <w:hyperlink w:anchor="__RefHeading___Toc3331960_2142443653">
            <w:r>
              <w:rPr>
                <w:webHidden/>
                <w:rStyle w:val="IndexLink"/>
                <w:rtl w:val="true"/>
              </w:rPr>
              <w:t>كلام المحقّق الأصفهاني ونقده</w:t>
            </w:r>
            <w:r>
              <w:rPr>
                <w:rStyle w:val="IndexLink"/>
                <w:rtl w:val="true"/>
              </w:rPr>
              <w:tab/>
            </w:r>
            <w:r>
              <w:rPr>
                <w:rStyle w:val="IndexLink"/>
              </w:rPr>
              <w:t>455</w:t>
            </w:r>
          </w:hyperlink>
        </w:p>
        <w:p>
          <w:pPr>
            <w:pStyle w:val="Contents4"/>
            <w:tabs>
              <w:tab w:val="clear" w:pos="8176"/>
              <w:tab w:val="right" w:pos="9026" w:leader="dot"/>
            </w:tabs>
            <w:rPr/>
          </w:pPr>
          <w:hyperlink w:anchor="__RefHeading___Toc3331962_2142443653">
            <w:r>
              <w:rPr>
                <w:webHidden/>
                <w:rStyle w:val="IndexLink"/>
                <w:rtl w:val="true"/>
              </w:rPr>
              <w:t>كلام المحقّق النائيني والإيراد عليه</w:t>
            </w:r>
            <w:r>
              <w:rPr>
                <w:rStyle w:val="IndexLink"/>
                <w:rtl w:val="true"/>
              </w:rPr>
              <w:tab/>
            </w:r>
            <w:r>
              <w:rPr>
                <w:rStyle w:val="IndexLink"/>
              </w:rPr>
              <w:t>459</w:t>
            </w:r>
          </w:hyperlink>
        </w:p>
        <w:p>
          <w:pPr>
            <w:pStyle w:val="Contents4"/>
            <w:tabs>
              <w:tab w:val="clear" w:pos="8176"/>
              <w:tab w:val="right" w:pos="9026" w:leader="dot"/>
            </w:tabs>
            <w:rPr/>
          </w:pPr>
          <w:hyperlink w:anchor="__RefHeading___Toc3331964_2142443653">
            <w:r>
              <w:rPr>
                <w:webHidden/>
                <w:rStyle w:val="IndexLink"/>
                <w:rtl w:val="true"/>
              </w:rPr>
              <w:t>في جواز التصرّف وعدمه في الخيارات المجعولة</w:t>
            </w:r>
            <w:r>
              <w:rPr>
                <w:rStyle w:val="IndexLink"/>
                <w:rtl w:val="true"/>
              </w:rPr>
              <w:tab/>
            </w:r>
            <w:r>
              <w:rPr>
                <w:rStyle w:val="IndexLink"/>
              </w:rPr>
              <w:t>459</w:t>
            </w:r>
          </w:hyperlink>
        </w:p>
        <w:p>
          <w:pPr>
            <w:pStyle w:val="Contents4"/>
            <w:tabs>
              <w:tab w:val="clear" w:pos="8176"/>
              <w:tab w:val="right" w:pos="9026" w:leader="dot"/>
            </w:tabs>
            <w:rPr/>
          </w:pPr>
          <w:hyperlink w:anchor="__RefHeading___Toc3331966_2142443653">
            <w:r>
              <w:rPr>
                <w:webHidden/>
                <w:rStyle w:val="IndexLink"/>
                <w:rtl w:val="true"/>
              </w:rPr>
              <w:t>حكم شرط الخيار بردّ الثمن</w:t>
            </w:r>
            <w:r>
              <w:rPr>
                <w:rStyle w:val="IndexLink"/>
                <w:rtl w:val="true"/>
              </w:rPr>
              <w:tab/>
            </w:r>
            <w:r>
              <w:rPr>
                <w:rStyle w:val="IndexLink"/>
              </w:rPr>
              <w:t>461</w:t>
            </w:r>
          </w:hyperlink>
        </w:p>
        <w:p>
          <w:pPr>
            <w:pStyle w:val="Contents4"/>
            <w:tabs>
              <w:tab w:val="clear" w:pos="8176"/>
              <w:tab w:val="right" w:pos="9026" w:leader="dot"/>
            </w:tabs>
            <w:rPr/>
          </w:pPr>
          <w:hyperlink w:anchor="__RefHeading___Toc3331968_2142443653">
            <w:r>
              <w:rPr>
                <w:webHidden/>
                <w:rStyle w:val="IndexLink"/>
                <w:rtl w:val="true"/>
              </w:rPr>
              <w:t>جواز التصرّف في العين قبل زمان الخيار</w:t>
            </w:r>
            <w:r>
              <w:rPr>
                <w:rStyle w:val="IndexLink"/>
                <w:rtl w:val="true"/>
              </w:rPr>
              <w:tab/>
            </w:r>
            <w:r>
              <w:rPr>
                <w:rStyle w:val="IndexLink"/>
              </w:rPr>
              <w:t>462</w:t>
            </w:r>
          </w:hyperlink>
        </w:p>
        <w:p>
          <w:pPr>
            <w:pStyle w:val="Contents4"/>
            <w:tabs>
              <w:tab w:val="clear" w:pos="8176"/>
              <w:tab w:val="right" w:pos="9026" w:leader="dot"/>
            </w:tabs>
            <w:rPr/>
          </w:pPr>
          <w:hyperlink w:anchor="__RefHeading___Toc3331970_2142443653">
            <w:r>
              <w:rPr>
                <w:webHidden/>
                <w:rStyle w:val="IndexLink"/>
                <w:rtl w:val="true"/>
              </w:rPr>
              <w:t>هل يجوز التصرّف غير المنافي قبل زمان الخيار؟</w:t>
            </w:r>
            <w:r>
              <w:rPr>
                <w:rStyle w:val="IndexLink"/>
                <w:rtl w:val="true"/>
              </w:rPr>
              <w:tab/>
            </w:r>
            <w:r>
              <w:rPr>
                <w:rStyle w:val="IndexLink"/>
              </w:rPr>
              <w:t>465</w:t>
            </w:r>
          </w:hyperlink>
        </w:p>
        <w:p>
          <w:pPr>
            <w:pStyle w:val="Contents4"/>
            <w:tabs>
              <w:tab w:val="clear" w:pos="8176"/>
              <w:tab w:val="right" w:pos="9026" w:leader="dot"/>
            </w:tabs>
            <w:rPr/>
          </w:pPr>
          <w:hyperlink w:anchor="__RefHeading___Toc3331972_2142443653">
            <w:r>
              <w:rPr>
                <w:webHidden/>
                <w:rStyle w:val="IndexLink"/>
                <w:rtl w:val="true"/>
              </w:rPr>
              <w:t>جواز الإجارة في زمان الخيار</w:t>
            </w:r>
            <w:r>
              <w:rPr>
                <w:rStyle w:val="IndexLink"/>
                <w:rtl w:val="true"/>
              </w:rPr>
              <w:tab/>
            </w:r>
            <w:r>
              <w:rPr>
                <w:rStyle w:val="IndexLink"/>
              </w:rPr>
              <w:t>466</w:t>
            </w:r>
          </w:hyperlink>
        </w:p>
        <w:p>
          <w:pPr>
            <w:pStyle w:val="Contents3"/>
            <w:tabs>
              <w:tab w:val="clear" w:pos="8459"/>
              <w:tab w:val="right" w:pos="9026" w:leader="dot"/>
            </w:tabs>
            <w:rPr/>
          </w:pPr>
          <w:hyperlink w:anchor="__RefHeading___Toc3331974_2142443653">
            <w:r>
              <w:rPr>
                <w:webHidden/>
                <w:rStyle w:val="IndexLink"/>
                <w:rtl w:val="true"/>
              </w:rPr>
              <w:t xml:space="preserve">فرع </w:t>
            </w:r>
            <w:r>
              <w:rPr>
                <w:rStyle w:val="IndexLink"/>
                <w:rtl w:val="true"/>
              </w:rPr>
              <w:t xml:space="preserve">: </w:t>
            </w:r>
            <w:r>
              <w:rPr>
                <w:rStyle w:val="IndexLink"/>
                <w:rtl w:val="true"/>
              </w:rPr>
              <w:t>في سقوط الخيار بإذن صاحبه في التصرّف المخرج</w:t>
            </w:r>
            <w:r>
              <w:rPr>
                <w:rStyle w:val="IndexLink"/>
                <w:rtl w:val="true"/>
              </w:rPr>
              <w:tab/>
            </w:r>
            <w:r>
              <w:rPr>
                <w:rStyle w:val="IndexLink"/>
              </w:rPr>
              <w:t>468</w:t>
            </w:r>
          </w:hyperlink>
        </w:p>
        <w:p>
          <w:pPr>
            <w:pStyle w:val="Contents3"/>
            <w:tabs>
              <w:tab w:val="clear" w:pos="8459"/>
              <w:tab w:val="right" w:pos="9026" w:leader="dot"/>
            </w:tabs>
            <w:rPr/>
          </w:pPr>
          <w:hyperlink w:anchor="__RefHeading___Toc3331976_2142443653">
            <w:r>
              <w:rPr>
                <w:webHidden/>
                <w:rStyle w:val="IndexLink"/>
                <w:rtl w:val="true"/>
              </w:rPr>
              <w:t>مسألة في عدم توقّف الملكية على انقضاء الخيار</w:t>
            </w:r>
            <w:r>
              <w:rPr>
                <w:rStyle w:val="IndexLink"/>
                <w:rtl w:val="true"/>
              </w:rPr>
              <w:tab/>
            </w:r>
            <w:r>
              <w:rPr>
                <w:rStyle w:val="IndexLink"/>
              </w:rPr>
              <w:t>471</w:t>
            </w:r>
          </w:hyperlink>
        </w:p>
        <w:p>
          <w:pPr>
            <w:pStyle w:val="Contents4"/>
            <w:tabs>
              <w:tab w:val="clear" w:pos="8176"/>
              <w:tab w:val="right" w:pos="9026" w:leader="dot"/>
            </w:tabs>
            <w:rPr/>
          </w:pPr>
          <w:hyperlink w:anchor="__RefHeading___Toc3331978_2142443653">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3331980_2142443653">
            <w:r>
              <w:rPr>
                <w:webHidden/>
                <w:rStyle w:val="IndexLink"/>
                <w:rtl w:val="true"/>
              </w:rPr>
              <w:t>الاستدلال بالروايات على عدم التوقّف</w:t>
            </w:r>
            <w:r>
              <w:rPr>
                <w:rStyle w:val="IndexLink"/>
                <w:rtl w:val="true"/>
              </w:rPr>
              <w:tab/>
            </w:r>
            <w:r>
              <w:rPr>
                <w:rStyle w:val="IndexLink"/>
              </w:rPr>
              <w:t>473</w:t>
            </w:r>
          </w:hyperlink>
        </w:p>
        <w:p>
          <w:pPr>
            <w:pStyle w:val="Contents4"/>
            <w:tabs>
              <w:tab w:val="clear" w:pos="8176"/>
              <w:tab w:val="right" w:pos="9026" w:leader="dot"/>
            </w:tabs>
            <w:rPr/>
          </w:pPr>
          <w:hyperlink w:anchor="__RefHeading___Toc3331982_2142443653">
            <w:r>
              <w:rPr>
                <w:webHidden/>
                <w:rStyle w:val="IndexLink"/>
                <w:rtl w:val="true"/>
              </w:rPr>
              <w:t>أدلّة توقّف الملكية على انقضاء الخيار</w:t>
            </w:r>
            <w:r>
              <w:rPr>
                <w:rStyle w:val="IndexLink"/>
                <w:rtl w:val="true"/>
              </w:rPr>
              <w:tab/>
            </w:r>
            <w:r>
              <w:rPr>
                <w:rStyle w:val="IndexLink"/>
              </w:rPr>
              <w:t>478</w:t>
            </w:r>
          </w:hyperlink>
        </w:p>
        <w:p>
          <w:pPr>
            <w:pStyle w:val="Contents3"/>
            <w:tabs>
              <w:tab w:val="clear" w:pos="8459"/>
              <w:tab w:val="right" w:pos="9026" w:leader="dot"/>
            </w:tabs>
            <w:rPr/>
          </w:pPr>
          <w:hyperlink w:anchor="__RefHeading___Toc3331984_2142443653">
            <w:r>
              <w:rPr>
                <w:webHidden/>
                <w:rStyle w:val="IndexLink"/>
                <w:rtl w:val="true"/>
              </w:rPr>
              <w:t xml:space="preserve">مسألة </w:t>
            </w:r>
            <w:r>
              <w:rPr>
                <w:rStyle w:val="IndexLink"/>
                <w:rtl w:val="true"/>
              </w:rPr>
              <w:t xml:space="preserve">: </w:t>
            </w:r>
            <w:r>
              <w:rPr>
                <w:rStyle w:val="IndexLink"/>
                <w:rtl w:val="true"/>
              </w:rPr>
              <w:t>في قاعدة التلف في زمن الخيار ممّن لا خيار له</w:t>
            </w:r>
            <w:r>
              <w:rPr>
                <w:rStyle w:val="IndexLink"/>
                <w:rtl w:val="true"/>
              </w:rPr>
              <w:tab/>
            </w:r>
            <w:r>
              <w:rPr>
                <w:rStyle w:val="IndexLink"/>
              </w:rPr>
              <w:t>481</w:t>
            </w:r>
          </w:hyperlink>
        </w:p>
        <w:p>
          <w:pPr>
            <w:pStyle w:val="Contents4"/>
            <w:tabs>
              <w:tab w:val="clear" w:pos="8176"/>
              <w:tab w:val="right" w:pos="9026" w:leader="dot"/>
            </w:tabs>
            <w:rPr/>
          </w:pPr>
          <w:hyperlink w:anchor="__RefHeading___Toc3331986_2142443653">
            <w:r>
              <w:rPr>
                <w:webHidden/>
                <w:rStyle w:val="IndexLink"/>
                <w:rtl w:val="true"/>
              </w:rPr>
              <w:t>اشارة</w:t>
            </w:r>
            <w:r>
              <w:rPr>
                <w:rStyle w:val="IndexLink"/>
                <w:rtl w:val="true"/>
              </w:rPr>
              <w:tab/>
            </w:r>
            <w:r>
              <w:rPr>
                <w:rStyle w:val="IndexLink"/>
              </w:rPr>
              <w:t>481</w:t>
            </w:r>
          </w:hyperlink>
        </w:p>
        <w:p>
          <w:pPr>
            <w:pStyle w:val="Contents4"/>
            <w:tabs>
              <w:tab w:val="clear" w:pos="8176"/>
              <w:tab w:val="right" w:pos="9026" w:leader="dot"/>
            </w:tabs>
            <w:rPr/>
          </w:pPr>
          <w:hyperlink w:anchor="__RefHeading___Toc3331988_2142443653">
            <w:r>
              <w:rPr>
                <w:webHidden/>
                <w:rStyle w:val="IndexLink"/>
                <w:rtl w:val="true"/>
              </w:rPr>
              <w:t>اختصاص الروايات بالشرط في الحيوان</w:t>
            </w:r>
            <w:r>
              <w:rPr>
                <w:rStyle w:val="IndexLink"/>
                <w:rtl w:val="true"/>
              </w:rPr>
              <w:tab/>
            </w:r>
            <w:r>
              <w:rPr>
                <w:rStyle w:val="IndexLink"/>
              </w:rPr>
              <w:t>484</w:t>
            </w:r>
          </w:hyperlink>
        </w:p>
        <w:p>
          <w:pPr>
            <w:pStyle w:val="Contents4"/>
            <w:tabs>
              <w:tab w:val="clear" w:pos="8176"/>
              <w:tab w:val="right" w:pos="9026" w:leader="dot"/>
            </w:tabs>
            <w:rPr/>
          </w:pPr>
          <w:hyperlink w:anchor="__RefHeading___Toc3331990_2142443653">
            <w:r>
              <w:rPr>
                <w:webHidden/>
                <w:rStyle w:val="IndexLink"/>
                <w:rtl w:val="true"/>
              </w:rPr>
              <w:t>هل ضمان الثمن على من لا خيار له ؟</w:t>
            </w:r>
            <w:r>
              <w:rPr>
                <w:rStyle w:val="IndexLink"/>
                <w:rtl w:val="true"/>
              </w:rPr>
              <w:tab/>
            </w:r>
            <w:r>
              <w:rPr>
                <w:rStyle w:val="IndexLink"/>
              </w:rPr>
              <w:t>488</w:t>
            </w:r>
          </w:hyperlink>
        </w:p>
        <w:p>
          <w:pPr>
            <w:pStyle w:val="Contents4"/>
            <w:tabs>
              <w:tab w:val="clear" w:pos="8176"/>
              <w:tab w:val="right" w:pos="9026" w:leader="dot"/>
            </w:tabs>
            <w:rPr/>
          </w:pPr>
          <w:hyperlink w:anchor="__RefHeading___Toc3331992_2142443653">
            <w:r>
              <w:rPr>
                <w:webHidden/>
                <w:rStyle w:val="IndexLink"/>
                <w:rtl w:val="true"/>
              </w:rPr>
              <w:t>في جريان القاعدة في الكلّي</w:t>
            </w:r>
            <w:r>
              <w:rPr>
                <w:rStyle w:val="IndexLink"/>
                <w:rtl w:val="true"/>
              </w:rPr>
              <w:tab/>
            </w:r>
            <w:r>
              <w:rPr>
                <w:rStyle w:val="IndexLink"/>
              </w:rPr>
              <w:t>490</w:t>
            </w:r>
          </w:hyperlink>
        </w:p>
        <w:p>
          <w:pPr>
            <w:pStyle w:val="Contents4"/>
            <w:tabs>
              <w:tab w:val="clear" w:pos="8176"/>
              <w:tab w:val="right" w:pos="9026" w:leader="dot"/>
            </w:tabs>
            <w:rPr/>
          </w:pPr>
          <w:hyperlink w:anchor="__RefHeading___Toc3331994_2142443653">
            <w:r>
              <w:rPr>
                <w:webHidden/>
                <w:rStyle w:val="IndexLink"/>
                <w:rtl w:val="true"/>
              </w:rPr>
              <w:t>المراد من الضمان في المقام</w:t>
            </w:r>
            <w:r>
              <w:rPr>
                <w:rStyle w:val="IndexLink"/>
                <w:rtl w:val="true"/>
              </w:rPr>
              <w:tab/>
            </w:r>
            <w:r>
              <w:rPr>
                <w:rStyle w:val="IndexLink"/>
              </w:rPr>
              <w:t>493</w:t>
            </w:r>
          </w:hyperlink>
        </w:p>
        <w:p>
          <w:pPr>
            <w:pStyle w:val="Contents4"/>
            <w:tabs>
              <w:tab w:val="clear" w:pos="8176"/>
              <w:tab w:val="right" w:pos="9026" w:leader="dot"/>
            </w:tabs>
            <w:rPr/>
          </w:pPr>
          <w:hyperlink w:anchor="__RefHeading___Toc3331996_2142443653">
            <w:r>
              <w:rPr>
                <w:webHidden/>
                <w:rStyle w:val="IndexLink"/>
                <w:rtl w:val="true"/>
              </w:rPr>
              <w:t>إشكال عدم معقولية الضمان المعاملي</w:t>
            </w:r>
            <w:r>
              <w:rPr>
                <w:rStyle w:val="IndexLink"/>
                <w:rtl w:val="true"/>
              </w:rPr>
              <w:tab/>
            </w:r>
            <w:r>
              <w:rPr>
                <w:rStyle w:val="IndexLink"/>
              </w:rPr>
              <w:t>497</w:t>
            </w:r>
          </w:hyperlink>
        </w:p>
        <w:p>
          <w:pPr>
            <w:pStyle w:val="Contents4"/>
            <w:tabs>
              <w:tab w:val="clear" w:pos="8176"/>
              <w:tab w:val="right" w:pos="9026" w:leader="dot"/>
            </w:tabs>
            <w:rPr/>
          </w:pPr>
          <w:hyperlink w:anchor="__RefHeading___Toc3331998_2142443653">
            <w:r>
              <w:rPr>
                <w:webHidden/>
                <w:rStyle w:val="IndexLink"/>
                <w:rtl w:val="true"/>
              </w:rPr>
              <w:t>ما يترتّب على تلف الكلّ أو الجزء أو الوصف في زمان الخيار</w:t>
            </w:r>
            <w:r>
              <w:rPr>
                <w:rStyle w:val="IndexLink"/>
                <w:rtl w:val="true"/>
              </w:rPr>
              <w:tab/>
            </w:r>
            <w:r>
              <w:rPr>
                <w:rStyle w:val="IndexLink"/>
              </w:rPr>
              <w:t>499</w:t>
            </w:r>
          </w:hyperlink>
        </w:p>
        <w:p>
          <w:pPr>
            <w:pStyle w:val="Contents4"/>
            <w:tabs>
              <w:tab w:val="clear" w:pos="8176"/>
              <w:tab w:val="right" w:pos="9026" w:leader="dot"/>
            </w:tabs>
            <w:rPr/>
          </w:pPr>
          <w:hyperlink w:anchor="__RefHeading___Toc3332000_2142443653">
            <w:r>
              <w:rPr>
                <w:webHidden/>
                <w:rStyle w:val="IndexLink"/>
                <w:rtl w:val="true"/>
              </w:rPr>
              <w:t>اختصاص القاعدة بالتلف دون الإتلاف</w:t>
            </w:r>
            <w:r>
              <w:rPr>
                <w:rStyle w:val="IndexLink"/>
                <w:rtl w:val="true"/>
              </w:rPr>
              <w:tab/>
            </w:r>
            <w:r>
              <w:rPr>
                <w:rStyle w:val="IndexLink"/>
              </w:rPr>
              <w:t>500</w:t>
            </w:r>
          </w:hyperlink>
        </w:p>
        <w:p>
          <w:pPr>
            <w:pStyle w:val="Contents3"/>
            <w:tabs>
              <w:tab w:val="clear" w:pos="8459"/>
              <w:tab w:val="right" w:pos="9026" w:leader="dot"/>
            </w:tabs>
            <w:rPr/>
          </w:pPr>
          <w:hyperlink w:anchor="__RefHeading___Toc3332002_2142443653">
            <w:r>
              <w:rPr>
                <w:webHidden/>
                <w:rStyle w:val="IndexLink"/>
                <w:rtl w:val="true"/>
              </w:rPr>
              <w:t xml:space="preserve">مسألة </w:t>
            </w:r>
            <w:r>
              <w:rPr>
                <w:rStyle w:val="IndexLink"/>
                <w:rtl w:val="true"/>
              </w:rPr>
              <w:t xml:space="preserve">: </w:t>
            </w:r>
            <w:r>
              <w:rPr>
                <w:rStyle w:val="IndexLink"/>
                <w:rtl w:val="true"/>
              </w:rPr>
              <w:t>في لزوم تسليم المثمن والثمن في زمان الخيار</w:t>
            </w:r>
            <w:r>
              <w:rPr>
                <w:rStyle w:val="IndexLink"/>
                <w:rtl w:val="true"/>
              </w:rPr>
              <w:tab/>
            </w:r>
            <w:r>
              <w:rPr>
                <w:rStyle w:val="IndexLink"/>
              </w:rPr>
              <w:t>501</w:t>
            </w:r>
          </w:hyperlink>
        </w:p>
        <w:p>
          <w:pPr>
            <w:pStyle w:val="Contents3"/>
            <w:tabs>
              <w:tab w:val="clear" w:pos="8459"/>
              <w:tab w:val="right" w:pos="9026" w:leader="dot"/>
            </w:tabs>
            <w:rPr/>
          </w:pPr>
          <w:hyperlink w:anchor="__RefHeading___Toc3332004_2142443653">
            <w:r>
              <w:rPr>
                <w:webHidden/>
                <w:rStyle w:val="IndexLink"/>
                <w:rtl w:val="true"/>
              </w:rPr>
              <w:t xml:space="preserve">مسألة </w:t>
            </w:r>
            <w:r>
              <w:rPr>
                <w:rStyle w:val="IndexLink"/>
                <w:rtl w:val="true"/>
              </w:rPr>
              <w:t xml:space="preserve">: </w:t>
            </w:r>
            <w:r>
              <w:rPr>
                <w:rStyle w:val="IndexLink"/>
                <w:rtl w:val="true"/>
              </w:rPr>
              <w:t>في عدم سقوط الخيار بتلف العين</w:t>
            </w:r>
            <w:r>
              <w:rPr>
                <w:rStyle w:val="IndexLink"/>
                <w:rtl w:val="true"/>
              </w:rPr>
              <w:tab/>
            </w:r>
            <w:r>
              <w:rPr>
                <w:rStyle w:val="IndexLink"/>
              </w:rPr>
              <w:t>503</w:t>
            </w:r>
          </w:hyperlink>
        </w:p>
        <w:p>
          <w:pPr>
            <w:pStyle w:val="Contents3"/>
            <w:tabs>
              <w:tab w:val="clear" w:pos="8459"/>
              <w:tab w:val="right" w:pos="9026" w:leader="dot"/>
            </w:tabs>
            <w:rPr/>
          </w:pPr>
          <w:hyperlink w:anchor="__RefHeading___Toc3332006_2142443653">
            <w:r>
              <w:rPr>
                <w:webHidden/>
                <w:rStyle w:val="IndexLink"/>
                <w:rtl w:val="true"/>
              </w:rPr>
              <w:t xml:space="preserve">مسألة </w:t>
            </w:r>
            <w:r>
              <w:rPr>
                <w:rStyle w:val="IndexLink"/>
                <w:rtl w:val="true"/>
              </w:rPr>
              <w:t xml:space="preserve">: </w:t>
            </w:r>
            <w:r>
              <w:rPr>
                <w:rStyle w:val="IndexLink"/>
                <w:rtl w:val="true"/>
              </w:rPr>
              <w:t>هل يضمن المتبايعان ما في يدهما بعد الفسخ؟</w:t>
            </w:r>
            <w:r>
              <w:rPr>
                <w:rStyle w:val="IndexLink"/>
                <w:rtl w:val="true"/>
              </w:rPr>
              <w:tab/>
            </w:r>
            <w:r>
              <w:rPr>
                <w:rStyle w:val="IndexLink"/>
              </w:rPr>
              <w:t>507</w:t>
            </w:r>
          </w:hyperlink>
        </w:p>
        <w:p>
          <w:pPr>
            <w:pStyle w:val="Contents2"/>
            <w:tabs>
              <w:tab w:val="clear" w:pos="8743"/>
              <w:tab w:val="right" w:pos="9026" w:leader="dot"/>
            </w:tabs>
            <w:rPr/>
          </w:pPr>
          <w:hyperlink w:anchor="__RefHeading___Toc3332008_2142443653">
            <w:r>
              <w:rPr>
                <w:webHidden/>
                <w:rStyle w:val="IndexLink"/>
                <w:rtl w:val="true"/>
              </w:rPr>
              <w:t>القول في النقد والنسيئة</w:t>
            </w:r>
            <w:r>
              <w:rPr>
                <w:rStyle w:val="IndexLink"/>
                <w:rtl w:val="true"/>
              </w:rPr>
              <w:tab/>
            </w:r>
            <w:r>
              <w:rPr>
                <w:rStyle w:val="IndexLink"/>
              </w:rPr>
              <w:t>510</w:t>
            </w:r>
          </w:hyperlink>
        </w:p>
        <w:p>
          <w:pPr>
            <w:pStyle w:val="Contents3"/>
            <w:tabs>
              <w:tab w:val="clear" w:pos="8459"/>
              <w:tab w:val="right" w:pos="9026" w:leader="dot"/>
            </w:tabs>
            <w:rPr/>
          </w:pPr>
          <w:hyperlink w:anchor="__RefHeading___Toc3332010_2142443653">
            <w:r>
              <w:rPr>
                <w:webHidden/>
                <w:rStyle w:val="IndexLink"/>
                <w:rtl w:val="true"/>
              </w:rPr>
              <w:t>اشارة</w:t>
            </w:r>
            <w:r>
              <w:rPr>
                <w:rStyle w:val="IndexLink"/>
                <w:rtl w:val="true"/>
              </w:rPr>
              <w:tab/>
            </w:r>
            <w:r>
              <w:rPr>
                <w:rStyle w:val="IndexLink"/>
              </w:rPr>
              <w:t>510</w:t>
            </w:r>
          </w:hyperlink>
        </w:p>
        <w:p>
          <w:pPr>
            <w:pStyle w:val="Contents3"/>
            <w:tabs>
              <w:tab w:val="clear" w:pos="8459"/>
              <w:tab w:val="right" w:pos="9026" w:leader="dot"/>
            </w:tabs>
            <w:rPr/>
          </w:pPr>
          <w:hyperlink w:anchor="__RefHeading___Toc3332012_2142443653">
            <w:r>
              <w:rPr>
                <w:webHidden/>
                <w:rStyle w:val="IndexLink"/>
                <w:rtl w:val="true"/>
              </w:rPr>
              <w:t xml:space="preserve">مسألة </w:t>
            </w:r>
            <w:r>
              <w:rPr>
                <w:rStyle w:val="IndexLink"/>
                <w:rtl w:val="true"/>
              </w:rPr>
              <w:t xml:space="preserve">: </w:t>
            </w:r>
            <w:r>
              <w:rPr>
                <w:rStyle w:val="IndexLink"/>
                <w:rtl w:val="true"/>
              </w:rPr>
              <w:t>في تحقيق قولهم</w:t>
            </w:r>
            <w:r>
              <w:rPr>
                <w:rStyle w:val="IndexLink"/>
                <w:rtl w:val="true"/>
              </w:rPr>
              <w:t xml:space="preserve">: </w:t>
            </w:r>
            <w:r>
              <w:rPr>
                <w:rStyle w:val="IndexLink"/>
                <w:rtl w:val="true"/>
              </w:rPr>
              <w:t>إطلاق العقد يقتضي النقد</w:t>
            </w:r>
            <w:r>
              <w:rPr>
                <w:rStyle w:val="IndexLink"/>
                <w:rtl w:val="true"/>
              </w:rPr>
              <w:tab/>
            </w:r>
            <w:r>
              <w:rPr>
                <w:rStyle w:val="IndexLink"/>
              </w:rPr>
              <w:t>512</w:t>
            </w:r>
          </w:hyperlink>
        </w:p>
        <w:p>
          <w:pPr>
            <w:pStyle w:val="Contents3"/>
            <w:tabs>
              <w:tab w:val="clear" w:pos="8459"/>
              <w:tab w:val="right" w:pos="9026" w:leader="dot"/>
            </w:tabs>
            <w:rPr/>
          </w:pPr>
          <w:hyperlink w:anchor="__RefHeading___Toc3332014_2142443653">
            <w:r>
              <w:rPr>
                <w:webHidden/>
                <w:rStyle w:val="IndexLink"/>
                <w:rtl w:val="true"/>
              </w:rPr>
              <w:t xml:space="preserve">مسألة </w:t>
            </w:r>
            <w:r>
              <w:rPr>
                <w:rStyle w:val="IndexLink"/>
                <w:rtl w:val="true"/>
              </w:rPr>
              <w:t xml:space="preserve">: </w:t>
            </w:r>
            <w:r>
              <w:rPr>
                <w:rStyle w:val="IndexLink"/>
                <w:rtl w:val="true"/>
              </w:rPr>
              <w:t>في جواز اشتراط تأجيل الثمن وما يعتبر فيه</w:t>
            </w:r>
            <w:r>
              <w:rPr>
                <w:rStyle w:val="IndexLink"/>
                <w:rtl w:val="true"/>
              </w:rPr>
              <w:tab/>
            </w:r>
            <w:r>
              <w:rPr>
                <w:rStyle w:val="IndexLink"/>
              </w:rPr>
              <w:t>517</w:t>
            </w:r>
          </w:hyperlink>
        </w:p>
        <w:p>
          <w:pPr>
            <w:pStyle w:val="Contents3"/>
            <w:tabs>
              <w:tab w:val="clear" w:pos="8459"/>
              <w:tab w:val="right" w:pos="9026" w:leader="dot"/>
            </w:tabs>
            <w:rPr/>
          </w:pPr>
          <w:hyperlink w:anchor="__RefHeading___Toc3332016_2142443653">
            <w:r>
              <w:rPr>
                <w:webHidden/>
                <w:rStyle w:val="IndexLink"/>
                <w:rtl w:val="true"/>
              </w:rPr>
              <w:t xml:space="preserve">مسألة </w:t>
            </w:r>
            <w:r>
              <w:rPr>
                <w:rStyle w:val="IndexLink"/>
                <w:rtl w:val="true"/>
              </w:rPr>
              <w:t xml:space="preserve">: </w:t>
            </w:r>
            <w:r>
              <w:rPr>
                <w:rStyle w:val="IndexLink"/>
                <w:rtl w:val="true"/>
              </w:rPr>
              <w:t>فيما لو باع بثمن حالاًّ وبأزيد منه مؤجّلاً</w:t>
            </w:r>
            <w:r>
              <w:rPr>
                <w:rStyle w:val="IndexLink"/>
                <w:rtl w:val="true"/>
              </w:rPr>
              <w:tab/>
            </w:r>
            <w:r>
              <w:rPr>
                <w:rStyle w:val="IndexLink"/>
              </w:rPr>
              <w:t>520</w:t>
            </w:r>
          </w:hyperlink>
        </w:p>
        <w:p>
          <w:pPr>
            <w:pStyle w:val="Contents4"/>
            <w:tabs>
              <w:tab w:val="clear" w:pos="8176"/>
              <w:tab w:val="right" w:pos="9026" w:leader="dot"/>
            </w:tabs>
            <w:rPr/>
          </w:pPr>
          <w:hyperlink w:anchor="__RefHeading___Toc3332018_2142443653">
            <w:r>
              <w:rPr>
                <w:webHidden/>
                <w:rStyle w:val="IndexLink"/>
                <w:rtl w:val="true"/>
              </w:rPr>
              <w:t>اشارة</w:t>
            </w:r>
            <w:r>
              <w:rPr>
                <w:rStyle w:val="IndexLink"/>
                <w:rtl w:val="true"/>
              </w:rPr>
              <w:tab/>
            </w:r>
            <w:r>
              <w:rPr>
                <w:rStyle w:val="IndexLink"/>
              </w:rPr>
              <w:t>520</w:t>
            </w:r>
          </w:hyperlink>
        </w:p>
        <w:p>
          <w:pPr>
            <w:pStyle w:val="Contents4"/>
            <w:tabs>
              <w:tab w:val="clear" w:pos="8176"/>
              <w:tab w:val="right" w:pos="9026" w:leader="dot"/>
            </w:tabs>
            <w:rPr/>
          </w:pPr>
          <w:hyperlink w:anchor="__RefHeading___Toc3332020_2142443653">
            <w:r>
              <w:rPr>
                <w:webHidden/>
                <w:rStyle w:val="IndexLink"/>
                <w:rtl w:val="true"/>
              </w:rPr>
              <w:t>حكم المسألة بحسب الأخبار</w:t>
            </w:r>
            <w:r>
              <w:rPr>
                <w:rStyle w:val="IndexLink"/>
                <w:rtl w:val="true"/>
              </w:rPr>
              <w:tab/>
            </w:r>
            <w:r>
              <w:rPr>
                <w:rStyle w:val="IndexLink"/>
              </w:rPr>
              <w:t>525</w:t>
            </w:r>
          </w:hyperlink>
        </w:p>
        <w:p>
          <w:pPr>
            <w:pStyle w:val="Contents3"/>
            <w:tabs>
              <w:tab w:val="clear" w:pos="8459"/>
              <w:tab w:val="right" w:pos="9026" w:leader="dot"/>
            </w:tabs>
            <w:rPr/>
          </w:pPr>
          <w:hyperlink w:anchor="__RefHeading___Toc3332022_2142443653">
            <w:r>
              <w:rPr>
                <w:webHidden/>
                <w:rStyle w:val="IndexLink"/>
                <w:rtl w:val="true"/>
              </w:rPr>
              <w:t xml:space="preserve">مسألة </w:t>
            </w:r>
            <w:r>
              <w:rPr>
                <w:rStyle w:val="IndexLink"/>
                <w:rtl w:val="true"/>
              </w:rPr>
              <w:t xml:space="preserve">: </w:t>
            </w:r>
            <w:r>
              <w:rPr>
                <w:rStyle w:val="IndexLink"/>
                <w:rtl w:val="true"/>
              </w:rPr>
              <w:t>في أنّ النسيئة لا تصير نقدا بإسقاط الأجل</w:t>
            </w:r>
            <w:r>
              <w:rPr>
                <w:rStyle w:val="IndexLink"/>
                <w:rtl w:val="true"/>
              </w:rPr>
              <w:tab/>
            </w:r>
            <w:r>
              <w:rPr>
                <w:rStyle w:val="IndexLink"/>
              </w:rPr>
              <w:t>529</w:t>
            </w:r>
          </w:hyperlink>
        </w:p>
        <w:p>
          <w:pPr>
            <w:pStyle w:val="Contents4"/>
            <w:tabs>
              <w:tab w:val="clear" w:pos="8176"/>
              <w:tab w:val="right" w:pos="9026" w:leader="dot"/>
            </w:tabs>
            <w:rPr/>
          </w:pPr>
          <w:hyperlink w:anchor="__RefHeading___Toc3332024_2142443653">
            <w:r>
              <w:rPr>
                <w:webHidden/>
                <w:rStyle w:val="IndexLink"/>
                <w:rtl w:val="true"/>
              </w:rPr>
              <w:t>اشارة</w:t>
            </w:r>
            <w:r>
              <w:rPr>
                <w:rStyle w:val="IndexLink"/>
                <w:rtl w:val="true"/>
              </w:rPr>
              <w:tab/>
            </w:r>
            <w:r>
              <w:rPr>
                <w:rStyle w:val="IndexLink"/>
              </w:rPr>
              <w:t>529</w:t>
            </w:r>
          </w:hyperlink>
        </w:p>
        <w:p>
          <w:pPr>
            <w:pStyle w:val="Contents4"/>
            <w:tabs>
              <w:tab w:val="clear" w:pos="8176"/>
              <w:tab w:val="right" w:pos="9026" w:leader="dot"/>
            </w:tabs>
            <w:rPr/>
          </w:pPr>
          <w:hyperlink w:anchor="__RefHeading___Toc3332026_2142443653">
            <w:r>
              <w:rPr>
                <w:webHidden/>
                <w:rStyle w:val="IndexLink"/>
                <w:rtl w:val="true"/>
              </w:rPr>
              <w:t>النسيئة بيع خاصّ مقابل النقد</w:t>
            </w:r>
            <w:r>
              <w:rPr>
                <w:rStyle w:val="IndexLink"/>
                <w:rtl w:val="true"/>
              </w:rPr>
              <w:tab/>
            </w:r>
            <w:r>
              <w:rPr>
                <w:rStyle w:val="IndexLink"/>
              </w:rPr>
              <w:t>529</w:t>
            </w:r>
          </w:hyperlink>
        </w:p>
        <w:p>
          <w:pPr>
            <w:pStyle w:val="Contents4"/>
            <w:tabs>
              <w:tab w:val="clear" w:pos="8176"/>
              <w:tab w:val="right" w:pos="9026" w:leader="dot"/>
            </w:tabs>
            <w:rPr/>
          </w:pPr>
          <w:hyperlink w:anchor="__RefHeading___Toc3332028_2142443653">
            <w:r>
              <w:rPr>
                <w:webHidden/>
                <w:rStyle w:val="IndexLink"/>
                <w:rtl w:val="true"/>
              </w:rPr>
              <w:t>عدم سقوط التأجيل بالإسقاط</w:t>
            </w:r>
            <w:r>
              <w:rPr>
                <w:rStyle w:val="IndexLink"/>
                <w:rtl w:val="true"/>
              </w:rPr>
              <w:tab/>
            </w:r>
            <w:r>
              <w:rPr>
                <w:rStyle w:val="IndexLink"/>
              </w:rPr>
              <w:t>531</w:t>
            </w:r>
          </w:hyperlink>
        </w:p>
        <w:p>
          <w:pPr>
            <w:pStyle w:val="Contents3"/>
            <w:tabs>
              <w:tab w:val="clear" w:pos="8459"/>
              <w:tab w:val="right" w:pos="9026" w:leader="dot"/>
            </w:tabs>
            <w:rPr/>
          </w:pPr>
          <w:hyperlink w:anchor="__RefHeading___Toc3332030_2142443653">
            <w:r>
              <w:rPr>
                <w:webHidden/>
                <w:rStyle w:val="IndexLink"/>
                <w:rtl w:val="true"/>
              </w:rPr>
              <w:t xml:space="preserve">مسألة </w:t>
            </w:r>
            <w:r>
              <w:rPr>
                <w:rStyle w:val="IndexLink"/>
                <w:rtl w:val="true"/>
              </w:rPr>
              <w:t xml:space="preserve">: </w:t>
            </w:r>
            <w:r>
              <w:rPr>
                <w:rStyle w:val="IndexLink"/>
                <w:rtl w:val="true"/>
              </w:rPr>
              <w:t>في أ نّه هل يجب على الدائن قبول الدين عند تسليمه؟</w:t>
            </w:r>
            <w:r>
              <w:rPr>
                <w:rStyle w:val="IndexLink"/>
                <w:rtl w:val="true"/>
              </w:rPr>
              <w:tab/>
            </w:r>
            <w:r>
              <w:rPr>
                <w:rStyle w:val="IndexLink"/>
              </w:rPr>
              <w:t>535</w:t>
            </w:r>
          </w:hyperlink>
        </w:p>
        <w:p>
          <w:pPr>
            <w:pStyle w:val="Contents4"/>
            <w:tabs>
              <w:tab w:val="clear" w:pos="8176"/>
              <w:tab w:val="right" w:pos="9026" w:leader="dot"/>
            </w:tabs>
            <w:rPr/>
          </w:pPr>
          <w:hyperlink w:anchor="__RefHeading___Toc3332032_2142443653">
            <w:r>
              <w:rPr>
                <w:webHidden/>
                <w:rStyle w:val="IndexLink"/>
                <w:rtl w:val="true"/>
              </w:rPr>
              <w:t>اشارة</w:t>
            </w:r>
            <w:r>
              <w:rPr>
                <w:rStyle w:val="IndexLink"/>
                <w:rtl w:val="true"/>
              </w:rPr>
              <w:tab/>
            </w:r>
            <w:r>
              <w:rPr>
                <w:rStyle w:val="IndexLink"/>
              </w:rPr>
              <w:t>535</w:t>
            </w:r>
          </w:hyperlink>
        </w:p>
        <w:p>
          <w:pPr>
            <w:pStyle w:val="Contents4"/>
            <w:tabs>
              <w:tab w:val="clear" w:pos="8176"/>
              <w:tab w:val="right" w:pos="9026" w:leader="dot"/>
            </w:tabs>
            <w:rPr/>
          </w:pPr>
          <w:hyperlink w:anchor="__RefHeading___Toc3332034_2142443653">
            <w:r>
              <w:rPr>
                <w:webHidden/>
                <w:rStyle w:val="IndexLink"/>
                <w:rtl w:val="true"/>
              </w:rPr>
              <w:t>إلزام الحاكم الدائن الممتنع بقبول الدين</w:t>
            </w:r>
            <w:r>
              <w:rPr>
                <w:rStyle w:val="IndexLink"/>
                <w:rtl w:val="true"/>
              </w:rPr>
              <w:tab/>
            </w:r>
            <w:r>
              <w:rPr>
                <w:rStyle w:val="IndexLink"/>
              </w:rPr>
              <w:t>538</w:t>
            </w:r>
          </w:hyperlink>
        </w:p>
        <w:p>
          <w:pPr>
            <w:pStyle w:val="Contents4"/>
            <w:tabs>
              <w:tab w:val="clear" w:pos="8176"/>
              <w:tab w:val="right" w:pos="9026" w:leader="dot"/>
            </w:tabs>
            <w:rPr/>
          </w:pPr>
          <w:hyperlink w:anchor="__RefHeading___Toc3332036_2142443653">
            <w:r>
              <w:rPr>
                <w:webHidden/>
                <w:rStyle w:val="IndexLink"/>
                <w:rtl w:val="true"/>
              </w:rPr>
              <w:t>حكم ما لو لم يمكن الرجوع إلى الحاكم أو عدول المؤمنين</w:t>
            </w:r>
            <w:r>
              <w:rPr>
                <w:rStyle w:val="IndexLink"/>
                <w:rtl w:val="true"/>
              </w:rPr>
              <w:tab/>
            </w:r>
            <w:r>
              <w:rPr>
                <w:rStyle w:val="IndexLink"/>
              </w:rPr>
              <w:t>540</w:t>
            </w:r>
          </w:hyperlink>
        </w:p>
        <w:p>
          <w:pPr>
            <w:pStyle w:val="Contents3"/>
            <w:tabs>
              <w:tab w:val="clear" w:pos="8459"/>
              <w:tab w:val="right" w:pos="9026" w:leader="dot"/>
            </w:tabs>
            <w:rPr/>
          </w:pPr>
          <w:hyperlink w:anchor="__RefHeading___Toc3332038_2142443653">
            <w:r>
              <w:rPr>
                <w:webHidden/>
                <w:rStyle w:val="IndexLink"/>
                <w:rtl w:val="true"/>
              </w:rPr>
              <w:t xml:space="preserve">مسألة </w:t>
            </w:r>
            <w:r>
              <w:rPr>
                <w:rStyle w:val="IndexLink"/>
                <w:rtl w:val="true"/>
              </w:rPr>
              <w:t xml:space="preserve">: </w:t>
            </w:r>
            <w:r>
              <w:rPr>
                <w:rStyle w:val="IndexLink"/>
                <w:rtl w:val="true"/>
              </w:rPr>
              <w:t>في عدم جواز تأجيل الثمن الحالّ بأزيد منه</w:t>
            </w:r>
            <w:r>
              <w:rPr>
                <w:rStyle w:val="IndexLink"/>
                <w:rtl w:val="true"/>
              </w:rPr>
              <w:tab/>
            </w:r>
            <w:r>
              <w:rPr>
                <w:rStyle w:val="IndexLink"/>
              </w:rPr>
              <w:t>543</w:t>
            </w:r>
          </w:hyperlink>
        </w:p>
        <w:p>
          <w:pPr>
            <w:pStyle w:val="Contents4"/>
            <w:tabs>
              <w:tab w:val="clear" w:pos="8176"/>
              <w:tab w:val="right" w:pos="9026" w:leader="dot"/>
            </w:tabs>
            <w:rPr/>
          </w:pPr>
          <w:hyperlink w:anchor="__RefHeading___Toc3332040_2142443653">
            <w:r>
              <w:rPr>
                <w:webHidden/>
                <w:rStyle w:val="IndexLink"/>
                <w:rtl w:val="true"/>
              </w:rPr>
              <w:t>اشارة</w:t>
            </w:r>
            <w:r>
              <w:rPr>
                <w:rStyle w:val="IndexLink"/>
                <w:rtl w:val="true"/>
              </w:rPr>
              <w:tab/>
            </w:r>
            <w:r>
              <w:rPr>
                <w:rStyle w:val="IndexLink"/>
              </w:rPr>
              <w:t>543</w:t>
            </w:r>
          </w:hyperlink>
        </w:p>
        <w:p>
          <w:pPr>
            <w:pStyle w:val="Contents4"/>
            <w:tabs>
              <w:tab w:val="clear" w:pos="8176"/>
              <w:tab w:val="right" w:pos="9026" w:leader="dot"/>
            </w:tabs>
            <w:rPr/>
          </w:pPr>
          <w:hyperlink w:anchor="__RefHeading___Toc3332042_2142443653">
            <w:r>
              <w:rPr>
                <w:webHidden/>
                <w:rStyle w:val="IndexLink"/>
                <w:rtl w:val="true"/>
              </w:rPr>
              <w:t>بحث في أخبار تعليم حيل الربا</w:t>
            </w:r>
            <w:r>
              <w:rPr>
                <w:rStyle w:val="IndexLink"/>
                <w:rtl w:val="true"/>
              </w:rPr>
              <w:tab/>
            </w:r>
            <w:r>
              <w:rPr>
                <w:rStyle w:val="IndexLink"/>
              </w:rPr>
              <w:t>545</w:t>
            </w:r>
          </w:hyperlink>
        </w:p>
        <w:p>
          <w:pPr>
            <w:pStyle w:val="Contents3"/>
            <w:tabs>
              <w:tab w:val="clear" w:pos="8459"/>
              <w:tab w:val="right" w:pos="9026" w:leader="dot"/>
            </w:tabs>
            <w:rPr/>
          </w:pPr>
          <w:hyperlink w:anchor="__RefHeading___Toc3332044_2142443653">
            <w:r>
              <w:rPr>
                <w:webHidden/>
                <w:rStyle w:val="IndexLink"/>
                <w:rtl w:val="true"/>
              </w:rPr>
              <w:t xml:space="preserve">مسألة </w:t>
            </w:r>
            <w:r>
              <w:rPr>
                <w:rStyle w:val="IndexLink"/>
                <w:rtl w:val="true"/>
              </w:rPr>
              <w:t xml:space="preserve">: </w:t>
            </w:r>
            <w:r>
              <w:rPr>
                <w:rStyle w:val="IndexLink"/>
                <w:rtl w:val="true"/>
              </w:rPr>
              <w:t>في صور بيع المبتاع بالثمن المؤجّل</w:t>
            </w:r>
            <w:r>
              <w:rPr>
                <w:rStyle w:val="IndexLink"/>
                <w:rtl w:val="true"/>
              </w:rPr>
              <w:tab/>
            </w:r>
            <w:r>
              <w:rPr>
                <w:rStyle w:val="IndexLink"/>
              </w:rPr>
              <w:t>549</w:t>
            </w:r>
          </w:hyperlink>
        </w:p>
        <w:p>
          <w:pPr>
            <w:pStyle w:val="Contents4"/>
            <w:tabs>
              <w:tab w:val="clear" w:pos="8176"/>
              <w:tab w:val="right" w:pos="9026" w:leader="dot"/>
            </w:tabs>
            <w:rPr/>
          </w:pPr>
          <w:hyperlink w:anchor="__RefHeading___Toc3332046_2142443653">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3332048_2142443653">
            <w:r>
              <w:rPr>
                <w:webHidden/>
                <w:rStyle w:val="IndexLink"/>
                <w:rtl w:val="true"/>
              </w:rPr>
              <w:t>حكم بيع المبتاع بالثمن المؤجّل بعد حلوله بنقصان</w:t>
            </w:r>
            <w:r>
              <w:rPr>
                <w:rStyle w:val="IndexLink"/>
                <w:rtl w:val="true"/>
              </w:rPr>
              <w:tab/>
            </w:r>
            <w:r>
              <w:rPr>
                <w:rStyle w:val="IndexLink"/>
              </w:rPr>
              <w:t>550</w:t>
            </w:r>
          </w:hyperlink>
        </w:p>
        <w:p>
          <w:pPr>
            <w:pStyle w:val="Contents4"/>
            <w:tabs>
              <w:tab w:val="clear" w:pos="8176"/>
              <w:tab w:val="right" w:pos="9026" w:leader="dot"/>
            </w:tabs>
            <w:rPr/>
          </w:pPr>
          <w:hyperlink w:anchor="__RefHeading___Toc3332050_2142443653">
            <w:r>
              <w:rPr>
                <w:webHidden/>
                <w:rStyle w:val="IndexLink"/>
                <w:rtl w:val="true"/>
              </w:rPr>
              <w:t>الروايات الدالّة على عدم جواز بيع المبتاع بالثمن المؤجّل</w:t>
            </w:r>
            <w:r>
              <w:rPr>
                <w:rStyle w:val="IndexLink"/>
                <w:rtl w:val="true"/>
              </w:rPr>
              <w:tab/>
            </w:r>
            <w:r>
              <w:rPr>
                <w:rStyle w:val="IndexLink"/>
              </w:rPr>
              <w:t>554</w:t>
            </w:r>
          </w:hyperlink>
        </w:p>
        <w:p>
          <w:pPr>
            <w:pStyle w:val="Contents4"/>
            <w:tabs>
              <w:tab w:val="clear" w:pos="8176"/>
              <w:tab w:val="right" w:pos="9026" w:leader="dot"/>
            </w:tabs>
            <w:rPr/>
          </w:pPr>
          <w:hyperlink w:anchor="__RefHeading___Toc3332052_2142443653">
            <w:r>
              <w:rPr>
                <w:webHidden/>
                <w:rStyle w:val="IndexLink"/>
                <w:rtl w:val="true"/>
              </w:rPr>
              <w:t>حكم ما لو باع شيئاً بشرط أن يبيعه منه</w:t>
            </w:r>
            <w:r>
              <w:rPr>
                <w:rStyle w:val="IndexLink"/>
                <w:rtl w:val="true"/>
              </w:rPr>
              <w:tab/>
            </w:r>
            <w:r>
              <w:rPr>
                <w:rStyle w:val="IndexLink"/>
              </w:rPr>
              <w:t>558</w:t>
            </w:r>
          </w:hyperlink>
        </w:p>
        <w:p>
          <w:pPr>
            <w:pStyle w:val="Contents2"/>
            <w:tabs>
              <w:tab w:val="clear" w:pos="8743"/>
              <w:tab w:val="right" w:pos="9026" w:leader="dot"/>
            </w:tabs>
            <w:rPr/>
          </w:pPr>
          <w:hyperlink w:anchor="__RefHeading___Toc3332054_2142443653">
            <w:r>
              <w:rPr>
                <w:webHidden/>
                <w:rStyle w:val="IndexLink"/>
                <w:rtl w:val="true"/>
              </w:rPr>
              <w:t>القول في القبض</w:t>
            </w:r>
            <w:r>
              <w:rPr>
                <w:rStyle w:val="IndexLink"/>
                <w:rtl w:val="true"/>
              </w:rPr>
              <w:tab/>
            </w:r>
            <w:r>
              <w:rPr>
                <w:rStyle w:val="IndexLink"/>
              </w:rPr>
              <w:t>562</w:t>
            </w:r>
          </w:hyperlink>
        </w:p>
        <w:p>
          <w:pPr>
            <w:pStyle w:val="Contents3"/>
            <w:tabs>
              <w:tab w:val="clear" w:pos="8459"/>
              <w:tab w:val="right" w:pos="9026" w:leader="dot"/>
            </w:tabs>
            <w:rPr/>
          </w:pPr>
          <w:hyperlink w:anchor="__RefHeading___Toc3332056_2142443653">
            <w:r>
              <w:rPr>
                <w:webHidden/>
                <w:rStyle w:val="IndexLink"/>
                <w:rtl w:val="true"/>
              </w:rPr>
              <w:t>اشارة</w:t>
            </w:r>
            <w:r>
              <w:rPr>
                <w:rStyle w:val="IndexLink"/>
                <w:rtl w:val="true"/>
              </w:rPr>
              <w:tab/>
            </w:r>
            <w:r>
              <w:rPr>
                <w:rStyle w:val="IndexLink"/>
              </w:rPr>
              <w:t>562</w:t>
            </w:r>
          </w:hyperlink>
        </w:p>
        <w:p>
          <w:pPr>
            <w:pStyle w:val="Contents3"/>
            <w:tabs>
              <w:tab w:val="clear" w:pos="8459"/>
              <w:tab w:val="right" w:pos="9026" w:leader="dot"/>
            </w:tabs>
            <w:rPr/>
          </w:pPr>
          <w:hyperlink w:anchor="__RefHeading___Toc3332058_2142443653">
            <w:r>
              <w:rPr>
                <w:webHidden/>
                <w:rStyle w:val="IndexLink"/>
                <w:rtl w:val="true"/>
              </w:rPr>
              <w:t>المراد من القبض لغةً واصطلاحاً</w:t>
            </w:r>
            <w:r>
              <w:rPr>
                <w:rStyle w:val="IndexLink"/>
                <w:rtl w:val="true"/>
              </w:rPr>
              <w:tab/>
            </w:r>
            <w:r>
              <w:rPr>
                <w:rStyle w:val="IndexLink"/>
              </w:rPr>
              <w:t>564</w:t>
            </w:r>
          </w:hyperlink>
        </w:p>
        <w:p>
          <w:pPr>
            <w:pStyle w:val="Contents4"/>
            <w:tabs>
              <w:tab w:val="clear" w:pos="8176"/>
              <w:tab w:val="right" w:pos="9026" w:leader="dot"/>
            </w:tabs>
            <w:rPr/>
          </w:pPr>
          <w:hyperlink w:anchor="__RefHeading___Toc3332060_2142443653">
            <w:r>
              <w:rPr>
                <w:webHidden/>
                <w:rStyle w:val="IndexLink"/>
                <w:rtl w:val="true"/>
              </w:rPr>
              <w:t>المعنى اللغوي للقبض</w:t>
            </w:r>
            <w:r>
              <w:rPr>
                <w:rStyle w:val="IndexLink"/>
                <w:rtl w:val="true"/>
              </w:rPr>
              <w:tab/>
            </w:r>
            <w:r>
              <w:rPr>
                <w:rStyle w:val="IndexLink"/>
              </w:rPr>
              <w:t>564</w:t>
            </w:r>
          </w:hyperlink>
        </w:p>
        <w:p>
          <w:pPr>
            <w:pStyle w:val="Contents4"/>
            <w:tabs>
              <w:tab w:val="clear" w:pos="8176"/>
              <w:tab w:val="right" w:pos="9026" w:leader="dot"/>
            </w:tabs>
            <w:rPr/>
          </w:pPr>
          <w:hyperlink w:anchor="__RefHeading___Toc3332062_2142443653">
            <w:r>
              <w:rPr>
                <w:webHidden/>
                <w:rStyle w:val="IndexLink"/>
                <w:rtl w:val="true"/>
              </w:rPr>
              <w:t>معنى القبض في المعاملات</w:t>
            </w:r>
            <w:r>
              <w:rPr>
                <w:rStyle w:val="IndexLink"/>
                <w:rtl w:val="true"/>
              </w:rPr>
              <w:tab/>
            </w:r>
            <w:r>
              <w:rPr>
                <w:rStyle w:val="IndexLink"/>
              </w:rPr>
              <w:t>565</w:t>
            </w:r>
          </w:hyperlink>
        </w:p>
        <w:p>
          <w:pPr>
            <w:pStyle w:val="Contents4"/>
            <w:tabs>
              <w:tab w:val="clear" w:pos="8176"/>
              <w:tab w:val="right" w:pos="9026" w:leader="dot"/>
            </w:tabs>
            <w:rPr/>
          </w:pPr>
          <w:hyperlink w:anchor="__RefHeading___Toc3332064_2142443653">
            <w:r>
              <w:rPr>
                <w:webHidden/>
                <w:rStyle w:val="IndexLink"/>
                <w:rtl w:val="true"/>
              </w:rPr>
              <w:t>كفاية مجرّد الاستيلاء في الخروج عن ضمان المبيع</w:t>
            </w:r>
            <w:r>
              <w:rPr>
                <w:rStyle w:val="IndexLink"/>
                <w:rtl w:val="true"/>
              </w:rPr>
              <w:tab/>
            </w:r>
            <w:r>
              <w:rPr>
                <w:rStyle w:val="IndexLink"/>
              </w:rPr>
              <w:t>569</w:t>
            </w:r>
          </w:hyperlink>
        </w:p>
        <w:p>
          <w:pPr>
            <w:pStyle w:val="Contents4"/>
            <w:tabs>
              <w:tab w:val="clear" w:pos="8176"/>
              <w:tab w:val="right" w:pos="9026" w:leader="dot"/>
            </w:tabs>
            <w:rPr/>
          </w:pPr>
          <w:hyperlink w:anchor="__RefHeading___Toc3332066_2142443653">
            <w:r>
              <w:rPr>
                <w:webHidden/>
                <w:rStyle w:val="IndexLink"/>
                <w:rtl w:val="true"/>
              </w:rPr>
              <w:t>في كفاية الكيل والوزن في تحقّق القبض</w:t>
            </w:r>
            <w:r>
              <w:rPr>
                <w:rStyle w:val="IndexLink"/>
                <w:rtl w:val="true"/>
              </w:rPr>
              <w:tab/>
            </w:r>
            <w:r>
              <w:rPr>
                <w:rStyle w:val="IndexLink"/>
              </w:rPr>
              <w:t>572</w:t>
            </w:r>
          </w:hyperlink>
        </w:p>
        <w:p>
          <w:pPr>
            <w:pStyle w:val="Contents2"/>
            <w:tabs>
              <w:tab w:val="clear" w:pos="8743"/>
              <w:tab w:val="right" w:pos="9026" w:leader="dot"/>
            </w:tabs>
            <w:rPr/>
          </w:pPr>
          <w:hyperlink w:anchor="__RefHeading___Toc3332068_2142443653">
            <w:r>
              <w:rPr>
                <w:webHidden/>
                <w:rStyle w:val="IndexLink"/>
                <w:rtl w:val="true"/>
              </w:rPr>
              <w:t>القول في وجوب التسليم</w:t>
            </w:r>
            <w:r>
              <w:rPr>
                <w:rStyle w:val="IndexLink"/>
                <w:rtl w:val="true"/>
              </w:rPr>
              <w:tab/>
            </w:r>
            <w:r>
              <w:rPr>
                <w:rStyle w:val="IndexLink"/>
              </w:rPr>
              <w:t>576</w:t>
            </w:r>
          </w:hyperlink>
        </w:p>
        <w:p>
          <w:pPr>
            <w:pStyle w:val="Contents3"/>
            <w:tabs>
              <w:tab w:val="clear" w:pos="8459"/>
              <w:tab w:val="right" w:pos="9026" w:leader="dot"/>
            </w:tabs>
            <w:rPr/>
          </w:pPr>
          <w:hyperlink w:anchor="__RefHeading___Toc3332070_2142443653">
            <w:r>
              <w:rPr>
                <w:webHidden/>
                <w:rStyle w:val="IndexLink"/>
                <w:rtl w:val="true"/>
              </w:rPr>
              <w:t>اشارة</w:t>
            </w:r>
            <w:r>
              <w:rPr>
                <w:rStyle w:val="IndexLink"/>
                <w:rtl w:val="true"/>
              </w:rPr>
              <w:tab/>
            </w:r>
            <w:r>
              <w:rPr>
                <w:rStyle w:val="IndexLink"/>
              </w:rPr>
              <w:t>576</w:t>
            </w:r>
          </w:hyperlink>
        </w:p>
        <w:p>
          <w:pPr>
            <w:pStyle w:val="Contents3"/>
            <w:tabs>
              <w:tab w:val="clear" w:pos="8459"/>
              <w:tab w:val="right" w:pos="9026" w:leader="dot"/>
            </w:tabs>
            <w:rPr/>
          </w:pPr>
          <w:hyperlink w:anchor="__RefHeading___Toc3332072_2142443653">
            <w:r>
              <w:rPr>
                <w:webHidden/>
                <w:rStyle w:val="IndexLink"/>
                <w:rtl w:val="true"/>
              </w:rPr>
              <w:t xml:space="preserve">مسألة </w:t>
            </w:r>
            <w:r>
              <w:rPr>
                <w:rStyle w:val="IndexLink"/>
                <w:rtl w:val="true"/>
              </w:rPr>
              <w:t xml:space="preserve">: </w:t>
            </w:r>
            <w:r>
              <w:rPr>
                <w:rStyle w:val="IndexLink"/>
                <w:rtl w:val="true"/>
              </w:rPr>
              <w:t>في وجوب تسليم المثمن والثمن وآثاره</w:t>
            </w:r>
            <w:r>
              <w:rPr>
                <w:rStyle w:val="IndexLink"/>
                <w:rtl w:val="true"/>
              </w:rPr>
              <w:tab/>
            </w:r>
            <w:r>
              <w:rPr>
                <w:rStyle w:val="IndexLink"/>
              </w:rPr>
              <w:t>578</w:t>
            </w:r>
          </w:hyperlink>
        </w:p>
        <w:p>
          <w:pPr>
            <w:pStyle w:val="Contents4"/>
            <w:tabs>
              <w:tab w:val="clear" w:pos="8176"/>
              <w:tab w:val="right" w:pos="9026" w:leader="dot"/>
            </w:tabs>
            <w:rPr/>
          </w:pPr>
          <w:hyperlink w:anchor="__RefHeading___Toc3332074_2142443653">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3332076_2142443653">
            <w:r>
              <w:rPr>
                <w:webHidden/>
                <w:rStyle w:val="IndexLink"/>
                <w:rtl w:val="true"/>
              </w:rPr>
              <w:t>الآثار المترتّبة على وجوب التسليم</w:t>
            </w:r>
            <w:r>
              <w:rPr>
                <w:rStyle w:val="IndexLink"/>
                <w:rtl w:val="true"/>
              </w:rPr>
              <w:tab/>
            </w:r>
            <w:r>
              <w:rPr>
                <w:rStyle w:val="IndexLink"/>
              </w:rPr>
              <w:t>579</w:t>
            </w:r>
          </w:hyperlink>
        </w:p>
        <w:p>
          <w:pPr>
            <w:pStyle w:val="Contents3"/>
            <w:tabs>
              <w:tab w:val="clear" w:pos="8459"/>
              <w:tab w:val="right" w:pos="9026" w:leader="dot"/>
            </w:tabs>
            <w:rPr/>
          </w:pPr>
          <w:hyperlink w:anchor="__RefHeading___Toc3332078_2142443653">
            <w:r>
              <w:rPr>
                <w:webHidden/>
                <w:rStyle w:val="IndexLink"/>
                <w:rtl w:val="true"/>
              </w:rPr>
              <w:t xml:space="preserve">مسألة </w:t>
            </w:r>
            <w:r>
              <w:rPr>
                <w:rStyle w:val="IndexLink"/>
                <w:rtl w:val="true"/>
              </w:rPr>
              <w:t xml:space="preserve">: </w:t>
            </w:r>
            <w:r>
              <w:rPr>
                <w:rStyle w:val="IndexLink"/>
                <w:rtl w:val="true"/>
              </w:rPr>
              <w:t>في وجوب تفريغ البائع للمبيع من أمواله</w:t>
            </w:r>
            <w:r>
              <w:rPr>
                <w:rStyle w:val="IndexLink"/>
                <w:rtl w:val="true"/>
              </w:rPr>
              <w:tab/>
            </w:r>
            <w:r>
              <w:rPr>
                <w:rStyle w:val="IndexLink"/>
              </w:rPr>
              <w:t>583</w:t>
            </w:r>
          </w:hyperlink>
        </w:p>
        <w:p>
          <w:pPr>
            <w:pStyle w:val="Contents4"/>
            <w:tabs>
              <w:tab w:val="clear" w:pos="8176"/>
              <w:tab w:val="right" w:pos="9026" w:leader="dot"/>
            </w:tabs>
            <w:rPr/>
          </w:pPr>
          <w:hyperlink w:anchor="__RefHeading___Toc3332080_2142443653">
            <w:r>
              <w:rPr>
                <w:webHidden/>
                <w:rStyle w:val="IndexLink"/>
                <w:rtl w:val="true"/>
              </w:rPr>
              <w:t>اشارة</w:t>
            </w:r>
            <w:r>
              <w:rPr>
                <w:rStyle w:val="IndexLink"/>
                <w:rtl w:val="true"/>
              </w:rPr>
              <w:tab/>
            </w:r>
            <w:r>
              <w:rPr>
                <w:rStyle w:val="IndexLink"/>
              </w:rPr>
              <w:t>583</w:t>
            </w:r>
          </w:hyperlink>
        </w:p>
        <w:p>
          <w:pPr>
            <w:pStyle w:val="Contents4"/>
            <w:tabs>
              <w:tab w:val="clear" w:pos="8176"/>
              <w:tab w:val="right" w:pos="9026" w:leader="dot"/>
            </w:tabs>
            <w:rPr/>
          </w:pPr>
          <w:hyperlink w:anchor="__RefHeading___Toc3332082_2142443653">
            <w:r>
              <w:rPr>
                <w:webHidden/>
                <w:rStyle w:val="IndexLink"/>
                <w:rtl w:val="true"/>
              </w:rPr>
              <w:t>حكم ما لو كان المبيع أرضاً مشغولة بزرع البائع</w:t>
            </w:r>
            <w:r>
              <w:rPr>
                <w:rStyle w:val="IndexLink"/>
                <w:rtl w:val="true"/>
              </w:rPr>
              <w:tab/>
            </w:r>
            <w:r>
              <w:rPr>
                <w:rStyle w:val="IndexLink"/>
              </w:rPr>
              <w:t>585</w:t>
            </w:r>
          </w:hyperlink>
        </w:p>
        <w:p>
          <w:pPr>
            <w:pStyle w:val="Contents4"/>
            <w:tabs>
              <w:tab w:val="clear" w:pos="8176"/>
              <w:tab w:val="right" w:pos="9026" w:leader="dot"/>
            </w:tabs>
            <w:rPr/>
          </w:pPr>
          <w:hyperlink w:anchor="__RefHeading___Toc3332084_2142443653">
            <w:r>
              <w:rPr>
                <w:webHidden/>
                <w:rStyle w:val="IndexLink"/>
                <w:rtl w:val="true"/>
              </w:rPr>
              <w:t>عدم جواز قلع زرع البائع ولا إلزامه به</w:t>
            </w:r>
            <w:r>
              <w:rPr>
                <w:rStyle w:val="IndexLink"/>
                <w:rtl w:val="true"/>
              </w:rPr>
              <w:tab/>
            </w:r>
            <w:r>
              <w:rPr>
                <w:rStyle w:val="IndexLink"/>
              </w:rPr>
              <w:t>587</w:t>
            </w:r>
          </w:hyperlink>
        </w:p>
        <w:p>
          <w:pPr>
            <w:pStyle w:val="Contents4"/>
            <w:tabs>
              <w:tab w:val="clear" w:pos="8176"/>
              <w:tab w:val="right" w:pos="9026" w:leader="dot"/>
            </w:tabs>
            <w:rPr/>
          </w:pPr>
          <w:hyperlink w:anchor="__RefHeading___Toc3332086_2142443653">
            <w:r>
              <w:rPr>
                <w:webHidden/>
                <w:rStyle w:val="IndexLink"/>
                <w:rtl w:val="true"/>
              </w:rPr>
              <w:t>حكم ما لو امتنع البائع من تسليم المبيع</w:t>
            </w:r>
            <w:r>
              <w:rPr>
                <w:rStyle w:val="IndexLink"/>
                <w:rtl w:val="true"/>
              </w:rPr>
              <w:tab/>
            </w:r>
            <w:r>
              <w:rPr>
                <w:rStyle w:val="IndexLink"/>
              </w:rPr>
              <w:t>589</w:t>
            </w:r>
          </w:hyperlink>
        </w:p>
        <w:p>
          <w:pPr>
            <w:pStyle w:val="Contents2"/>
            <w:tabs>
              <w:tab w:val="clear" w:pos="8743"/>
              <w:tab w:val="right" w:pos="9026" w:leader="dot"/>
            </w:tabs>
            <w:rPr/>
          </w:pPr>
          <w:hyperlink w:anchor="__RefHeading___Toc3332088_2142443653">
            <w:r>
              <w:rPr>
                <w:webHidden/>
                <w:rStyle w:val="IndexLink"/>
                <w:rtl w:val="true"/>
              </w:rPr>
              <w:t>القول في أحكام القبض</w:t>
            </w:r>
            <w:r>
              <w:rPr>
                <w:rStyle w:val="IndexLink"/>
                <w:rtl w:val="true"/>
              </w:rPr>
              <w:tab/>
            </w:r>
            <w:r>
              <w:rPr>
                <w:rStyle w:val="IndexLink"/>
              </w:rPr>
              <w:t>592</w:t>
            </w:r>
          </w:hyperlink>
        </w:p>
        <w:p>
          <w:pPr>
            <w:pStyle w:val="Contents3"/>
            <w:tabs>
              <w:tab w:val="clear" w:pos="8459"/>
              <w:tab w:val="right" w:pos="9026" w:leader="dot"/>
            </w:tabs>
            <w:rPr/>
          </w:pPr>
          <w:hyperlink w:anchor="__RefHeading___Toc3332090_2142443653">
            <w:r>
              <w:rPr>
                <w:webHidden/>
                <w:rStyle w:val="IndexLink"/>
                <w:rtl w:val="true"/>
              </w:rPr>
              <w:t>اشارة</w:t>
            </w:r>
            <w:r>
              <w:rPr>
                <w:rStyle w:val="IndexLink"/>
                <w:rtl w:val="true"/>
              </w:rPr>
              <w:tab/>
            </w:r>
            <w:r>
              <w:rPr>
                <w:rStyle w:val="IndexLink"/>
              </w:rPr>
              <w:t>592</w:t>
            </w:r>
          </w:hyperlink>
        </w:p>
        <w:p>
          <w:pPr>
            <w:pStyle w:val="Contents3"/>
            <w:tabs>
              <w:tab w:val="clear" w:pos="8459"/>
              <w:tab w:val="right" w:pos="9026" w:leader="dot"/>
            </w:tabs>
            <w:rPr/>
          </w:pPr>
          <w:hyperlink w:anchor="__RefHeading___Toc3332092_2142443653">
            <w:r>
              <w:rPr>
                <w:webHidden/>
                <w:rStyle w:val="IndexLink"/>
                <w:rtl w:val="true"/>
              </w:rPr>
              <w:t>مسألة في ضمان المبيع على المشتري بعد القبض</w:t>
            </w:r>
            <w:r>
              <w:rPr>
                <w:rStyle w:val="IndexLink"/>
                <w:rtl w:val="true"/>
              </w:rPr>
              <w:tab/>
            </w:r>
            <w:r>
              <w:rPr>
                <w:rStyle w:val="IndexLink"/>
              </w:rPr>
              <w:t>594</w:t>
            </w:r>
          </w:hyperlink>
        </w:p>
        <w:p>
          <w:pPr>
            <w:pStyle w:val="Contents4"/>
            <w:tabs>
              <w:tab w:val="clear" w:pos="8176"/>
              <w:tab w:val="right" w:pos="9026" w:leader="dot"/>
            </w:tabs>
            <w:rPr/>
          </w:pPr>
          <w:hyperlink w:anchor="__RefHeading___Toc3332094_2142443653">
            <w:r>
              <w:rPr>
                <w:webHidden/>
                <w:rStyle w:val="IndexLink"/>
                <w:rtl w:val="true"/>
              </w:rPr>
              <w:t>اشارة</w:t>
            </w:r>
            <w:r>
              <w:rPr>
                <w:rStyle w:val="IndexLink"/>
                <w:rtl w:val="true"/>
              </w:rPr>
              <w:tab/>
            </w:r>
            <w:r>
              <w:rPr>
                <w:rStyle w:val="IndexLink"/>
              </w:rPr>
              <w:t>594</w:t>
            </w:r>
          </w:hyperlink>
        </w:p>
        <w:p>
          <w:pPr>
            <w:pStyle w:val="Contents4"/>
            <w:tabs>
              <w:tab w:val="clear" w:pos="8176"/>
              <w:tab w:val="right" w:pos="9026" w:leader="dot"/>
            </w:tabs>
            <w:rPr/>
          </w:pPr>
          <w:hyperlink w:anchor="__RefHeading___Toc3332096_2142443653">
            <w:r>
              <w:rPr>
                <w:webHidden/>
                <w:rStyle w:val="IndexLink"/>
                <w:rtl w:val="true"/>
              </w:rPr>
              <w:t>في أنّ الضمان في المقام ضمان المعاوضة</w:t>
            </w:r>
            <w:r>
              <w:rPr>
                <w:rStyle w:val="IndexLink"/>
                <w:rtl w:val="true"/>
              </w:rPr>
              <w:tab/>
            </w:r>
            <w:r>
              <w:rPr>
                <w:rStyle w:val="IndexLink"/>
              </w:rPr>
              <w:t>594</w:t>
            </w:r>
          </w:hyperlink>
        </w:p>
        <w:p>
          <w:pPr>
            <w:pStyle w:val="Contents4"/>
            <w:tabs>
              <w:tab w:val="clear" w:pos="8176"/>
              <w:tab w:val="right" w:pos="9026" w:leader="dot"/>
            </w:tabs>
            <w:rPr/>
          </w:pPr>
          <w:hyperlink w:anchor="__RefHeading___Toc3332098_2142443653">
            <w:r>
              <w:rPr>
                <w:webHidden/>
                <w:rStyle w:val="IndexLink"/>
                <w:rtl w:val="true"/>
              </w:rPr>
              <w:t>انفساخ العقد حقيقة آناً ما قبل التلف</w:t>
            </w:r>
            <w:r>
              <w:rPr>
                <w:rStyle w:val="IndexLink"/>
                <w:rtl w:val="true"/>
              </w:rPr>
              <w:tab/>
            </w:r>
            <w:r>
              <w:rPr>
                <w:rStyle w:val="IndexLink"/>
              </w:rPr>
              <w:t>599</w:t>
            </w:r>
          </w:hyperlink>
        </w:p>
        <w:p>
          <w:pPr>
            <w:pStyle w:val="Contents4"/>
            <w:tabs>
              <w:tab w:val="clear" w:pos="8176"/>
              <w:tab w:val="right" w:pos="9026" w:leader="dot"/>
            </w:tabs>
            <w:rPr/>
          </w:pPr>
          <w:hyperlink w:anchor="__RefHeading___Toc3332100_2142443653">
            <w:r>
              <w:rPr>
                <w:webHidden/>
                <w:rStyle w:val="IndexLink"/>
                <w:rtl w:val="true"/>
              </w:rPr>
              <w:t>المراد بالنبوي هو التلف العرفي ولو مع عدم إقباض البائع</w:t>
            </w:r>
            <w:r>
              <w:rPr>
                <w:rStyle w:val="IndexLink"/>
                <w:rtl w:val="true"/>
              </w:rPr>
              <w:tab/>
            </w:r>
            <w:r>
              <w:rPr>
                <w:rStyle w:val="IndexLink"/>
              </w:rPr>
              <w:t>601</w:t>
            </w:r>
          </w:hyperlink>
        </w:p>
        <w:p>
          <w:pPr>
            <w:pStyle w:val="Contents4"/>
            <w:tabs>
              <w:tab w:val="clear" w:pos="8176"/>
              <w:tab w:val="right" w:pos="9026" w:leader="dot"/>
            </w:tabs>
            <w:rPr/>
          </w:pPr>
          <w:hyperlink w:anchor="__RefHeading___Toc3332102_2142443653">
            <w:r>
              <w:rPr>
                <w:webHidden/>
                <w:rStyle w:val="IndexLink"/>
                <w:rtl w:val="true"/>
              </w:rPr>
              <w:t>حكم إتلاف المشتري للمبيع</w:t>
            </w:r>
            <w:r>
              <w:rPr>
                <w:rStyle w:val="IndexLink"/>
                <w:rtl w:val="true"/>
              </w:rPr>
              <w:tab/>
            </w:r>
            <w:r>
              <w:rPr>
                <w:rStyle w:val="IndexLink"/>
              </w:rPr>
              <w:t>603</w:t>
            </w:r>
          </w:hyperlink>
        </w:p>
        <w:p>
          <w:pPr>
            <w:pStyle w:val="Contents4"/>
            <w:tabs>
              <w:tab w:val="clear" w:pos="8176"/>
              <w:tab w:val="right" w:pos="9026" w:leader="dot"/>
            </w:tabs>
            <w:rPr/>
          </w:pPr>
          <w:hyperlink w:anchor="__RefHeading___Toc3332104_2142443653">
            <w:r>
              <w:rPr>
                <w:webHidden/>
                <w:rStyle w:val="IndexLink"/>
                <w:rtl w:val="true"/>
              </w:rPr>
              <w:t>حكم إتلاف البائع للمبيع</w:t>
            </w:r>
            <w:r>
              <w:rPr>
                <w:rStyle w:val="IndexLink"/>
                <w:rtl w:val="true"/>
              </w:rPr>
              <w:tab/>
            </w:r>
            <w:r>
              <w:rPr>
                <w:rStyle w:val="IndexLink"/>
              </w:rPr>
              <w:t>604</w:t>
            </w:r>
          </w:hyperlink>
        </w:p>
        <w:p>
          <w:pPr>
            <w:pStyle w:val="Contents4"/>
            <w:tabs>
              <w:tab w:val="clear" w:pos="8176"/>
              <w:tab w:val="right" w:pos="9026" w:leader="dot"/>
            </w:tabs>
            <w:rPr/>
          </w:pPr>
          <w:hyperlink w:anchor="__RefHeading___Toc3332106_2142443653">
            <w:r>
              <w:rPr>
                <w:webHidden/>
                <w:rStyle w:val="IndexLink"/>
                <w:rtl w:val="true"/>
              </w:rPr>
              <w:t>عدم جواز حبس القيمة المضمونة إلى دفع المشتري للثمن</w:t>
            </w:r>
            <w:r>
              <w:rPr>
                <w:rStyle w:val="IndexLink"/>
                <w:rtl w:val="true"/>
              </w:rPr>
              <w:tab/>
            </w:r>
            <w:r>
              <w:rPr>
                <w:rStyle w:val="IndexLink"/>
              </w:rPr>
              <w:t>605</w:t>
            </w:r>
          </w:hyperlink>
        </w:p>
        <w:p>
          <w:pPr>
            <w:pStyle w:val="Contents4"/>
            <w:tabs>
              <w:tab w:val="clear" w:pos="8176"/>
              <w:tab w:val="right" w:pos="9026" w:leader="dot"/>
            </w:tabs>
            <w:rPr/>
          </w:pPr>
          <w:hyperlink w:anchor="__RefHeading___Toc3332108_2142443653">
            <w:r>
              <w:rPr>
                <w:webHidden/>
                <w:rStyle w:val="IndexLink"/>
                <w:rtl w:val="true"/>
              </w:rPr>
              <w:t>حكم تلف عوض المبيع المعيّن قبل قبضه</w:t>
            </w:r>
            <w:r>
              <w:rPr>
                <w:rStyle w:val="IndexLink"/>
                <w:rtl w:val="true"/>
              </w:rPr>
              <w:tab/>
            </w:r>
            <w:r>
              <w:rPr>
                <w:rStyle w:val="IndexLink"/>
              </w:rPr>
              <w:t>607</w:t>
            </w:r>
          </w:hyperlink>
        </w:p>
        <w:p>
          <w:pPr>
            <w:pStyle w:val="Contents4"/>
            <w:tabs>
              <w:tab w:val="clear" w:pos="8176"/>
              <w:tab w:val="right" w:pos="9026" w:leader="dot"/>
            </w:tabs>
            <w:rPr/>
          </w:pPr>
          <w:hyperlink w:anchor="__RefHeading___Toc3332110_2142443653">
            <w:r>
              <w:rPr>
                <w:webHidden/>
                <w:rStyle w:val="IndexLink"/>
                <w:rtl w:val="true"/>
              </w:rPr>
              <w:t>عدم إلحاق سائر المعاوضات بالبيع</w:t>
            </w:r>
            <w:r>
              <w:rPr>
                <w:rStyle w:val="IndexLink"/>
                <w:rtl w:val="true"/>
              </w:rPr>
              <w:tab/>
            </w:r>
            <w:r>
              <w:rPr>
                <w:rStyle w:val="IndexLink"/>
              </w:rPr>
              <w:t>609</w:t>
            </w:r>
          </w:hyperlink>
        </w:p>
        <w:p>
          <w:pPr>
            <w:pStyle w:val="Contents4"/>
            <w:tabs>
              <w:tab w:val="clear" w:pos="8176"/>
              <w:tab w:val="right" w:pos="9026" w:leader="dot"/>
            </w:tabs>
            <w:rPr/>
          </w:pPr>
          <w:hyperlink w:anchor="__RefHeading___Toc3332112_2142443653">
            <w:r>
              <w:rPr>
                <w:webHidden/>
                <w:rStyle w:val="IndexLink"/>
                <w:rtl w:val="true"/>
              </w:rPr>
              <w:t>حكم تلف بعض المبيع قبل القبض</w:t>
            </w:r>
            <w:r>
              <w:rPr>
                <w:rStyle w:val="IndexLink"/>
                <w:rtl w:val="true"/>
              </w:rPr>
              <w:tab/>
            </w:r>
            <w:r>
              <w:rPr>
                <w:rStyle w:val="IndexLink"/>
              </w:rPr>
              <w:t>609</w:t>
            </w:r>
          </w:hyperlink>
        </w:p>
        <w:p>
          <w:pPr>
            <w:pStyle w:val="Contents4"/>
            <w:tabs>
              <w:tab w:val="clear" w:pos="8176"/>
              <w:tab w:val="right" w:pos="9026" w:leader="dot"/>
            </w:tabs>
            <w:rPr/>
          </w:pPr>
          <w:hyperlink w:anchor="__RefHeading___Toc3332114_2142443653">
            <w:r>
              <w:rPr>
                <w:webHidden/>
                <w:rStyle w:val="IndexLink"/>
                <w:rtl w:val="true"/>
              </w:rPr>
              <w:t>حكم تلف أوصاف المبيع قبل القبض</w:t>
            </w:r>
            <w:r>
              <w:rPr>
                <w:rStyle w:val="IndexLink"/>
                <w:rtl w:val="true"/>
              </w:rPr>
              <w:tab/>
            </w:r>
            <w:r>
              <w:rPr>
                <w:rStyle w:val="IndexLink"/>
              </w:rPr>
              <w:t>612</w:t>
            </w:r>
          </w:hyperlink>
        </w:p>
        <w:p>
          <w:pPr>
            <w:pStyle w:val="Contents3"/>
            <w:tabs>
              <w:tab w:val="clear" w:pos="8459"/>
              <w:tab w:val="right" w:pos="9026" w:leader="dot"/>
            </w:tabs>
            <w:rPr/>
          </w:pPr>
          <w:hyperlink w:anchor="__RefHeading___Toc3332116_2142443653">
            <w:r>
              <w:rPr>
                <w:webHidden/>
                <w:rStyle w:val="IndexLink"/>
                <w:rtl w:val="true"/>
              </w:rPr>
              <w:t xml:space="preserve">مسألة </w:t>
            </w:r>
            <w:r>
              <w:rPr>
                <w:rStyle w:val="IndexLink"/>
                <w:rtl w:val="true"/>
              </w:rPr>
              <w:t xml:space="preserve">: </w:t>
            </w:r>
            <w:r>
              <w:rPr>
                <w:rStyle w:val="IndexLink"/>
                <w:rtl w:val="true"/>
              </w:rPr>
              <w:t>في بيع ما يكال ويوزن قبل قبضه</w:t>
            </w:r>
            <w:r>
              <w:rPr>
                <w:rStyle w:val="IndexLink"/>
                <w:rtl w:val="true"/>
              </w:rPr>
              <w:tab/>
            </w:r>
            <w:r>
              <w:rPr>
                <w:rStyle w:val="IndexLink"/>
              </w:rPr>
              <w:t>614</w:t>
            </w:r>
          </w:hyperlink>
        </w:p>
        <w:p>
          <w:pPr>
            <w:pStyle w:val="Contents4"/>
            <w:tabs>
              <w:tab w:val="clear" w:pos="8176"/>
              <w:tab w:val="right" w:pos="9026" w:leader="dot"/>
            </w:tabs>
            <w:rPr/>
          </w:pPr>
          <w:hyperlink w:anchor="__RefHeading___Toc3332118_2142443653">
            <w:r>
              <w:rPr>
                <w:webHidden/>
                <w:rStyle w:val="IndexLink"/>
                <w:rtl w:val="true"/>
              </w:rPr>
              <w:t>اشارة</w:t>
            </w:r>
            <w:r>
              <w:rPr>
                <w:rStyle w:val="IndexLink"/>
                <w:rtl w:val="true"/>
              </w:rPr>
              <w:tab/>
            </w:r>
            <w:r>
              <w:rPr>
                <w:rStyle w:val="IndexLink"/>
              </w:rPr>
              <w:t>614</w:t>
            </w:r>
          </w:hyperlink>
        </w:p>
        <w:p>
          <w:pPr>
            <w:pStyle w:val="Contents4"/>
            <w:tabs>
              <w:tab w:val="clear" w:pos="8176"/>
              <w:tab w:val="right" w:pos="9026" w:leader="dot"/>
            </w:tabs>
            <w:rPr/>
          </w:pPr>
          <w:hyperlink w:anchor="__RefHeading___Toc3332120_2142443653">
            <w:r>
              <w:rPr>
                <w:webHidden/>
                <w:rStyle w:val="IndexLink"/>
                <w:rtl w:val="true"/>
              </w:rPr>
              <w:t>الروايات الواردة في بيع المتاع قبل قبضه</w:t>
            </w:r>
            <w:r>
              <w:rPr>
                <w:rStyle w:val="IndexLink"/>
                <w:rtl w:val="true"/>
              </w:rPr>
              <w:tab/>
            </w:r>
            <w:r>
              <w:rPr>
                <w:rStyle w:val="IndexLink"/>
              </w:rPr>
              <w:t>615</w:t>
            </w:r>
          </w:hyperlink>
        </w:p>
        <w:p>
          <w:pPr>
            <w:pStyle w:val="Contents4"/>
            <w:tabs>
              <w:tab w:val="clear" w:pos="8176"/>
              <w:tab w:val="right" w:pos="9026" w:leader="dot"/>
            </w:tabs>
            <w:rPr/>
          </w:pPr>
          <w:hyperlink w:anchor="__RefHeading___Toc3332122_2142443653">
            <w:r>
              <w:rPr>
                <w:webHidden/>
                <w:rStyle w:val="IndexLink"/>
                <w:rtl w:val="true"/>
              </w:rPr>
              <w:t>القرائن الدالّة على إرادة الكراهة</w:t>
            </w:r>
            <w:r>
              <w:rPr>
                <w:rStyle w:val="IndexLink"/>
                <w:rtl w:val="true"/>
              </w:rPr>
              <w:tab/>
            </w:r>
            <w:r>
              <w:rPr>
                <w:rStyle w:val="IndexLink"/>
              </w:rPr>
              <w:t>619</w:t>
            </w:r>
          </w:hyperlink>
        </w:p>
        <w:p>
          <w:pPr>
            <w:pStyle w:val="Contents4"/>
            <w:tabs>
              <w:tab w:val="clear" w:pos="8176"/>
              <w:tab w:val="right" w:pos="9026" w:leader="dot"/>
            </w:tabs>
            <w:rPr/>
          </w:pPr>
          <w:hyperlink w:anchor="__RefHeading___Toc3332124_2142443653">
            <w:r>
              <w:rPr>
                <w:webHidden/>
                <w:rStyle w:val="IndexLink"/>
                <w:rtl w:val="true"/>
              </w:rPr>
              <w:t>شمول النهي عن بيع ما لم يقبض للمبيع والثمن</w:t>
            </w:r>
            <w:r>
              <w:rPr>
                <w:rStyle w:val="IndexLink"/>
                <w:rtl w:val="true"/>
              </w:rPr>
              <w:tab/>
            </w:r>
            <w:r>
              <w:rPr>
                <w:rStyle w:val="IndexLink"/>
              </w:rPr>
              <w:t>624</w:t>
            </w:r>
          </w:hyperlink>
        </w:p>
        <w:p>
          <w:pPr>
            <w:pStyle w:val="Contents4"/>
            <w:tabs>
              <w:tab w:val="clear" w:pos="8176"/>
              <w:tab w:val="right" w:pos="9026" w:leader="dot"/>
            </w:tabs>
            <w:rPr/>
          </w:pPr>
          <w:hyperlink w:anchor="__RefHeading___Toc3332126_2142443653">
            <w:r>
              <w:rPr>
                <w:webHidden/>
                <w:rStyle w:val="IndexLink"/>
                <w:rtl w:val="true"/>
              </w:rPr>
              <w:t>شمول النهي لجميع أسباب النقل</w:t>
            </w:r>
            <w:r>
              <w:rPr>
                <w:rStyle w:val="IndexLink"/>
                <w:rtl w:val="true"/>
              </w:rPr>
              <w:tab/>
            </w:r>
            <w:r>
              <w:rPr>
                <w:rStyle w:val="IndexLink"/>
              </w:rPr>
              <w:t>626</w:t>
            </w:r>
          </w:hyperlink>
        </w:p>
        <w:p>
          <w:pPr>
            <w:pStyle w:val="Contents4"/>
            <w:tabs>
              <w:tab w:val="clear" w:pos="8176"/>
              <w:tab w:val="right" w:pos="9026" w:leader="dot"/>
            </w:tabs>
            <w:rPr/>
          </w:pPr>
          <w:hyperlink w:anchor="__RefHeading___Toc3332128_2142443653">
            <w:r>
              <w:rPr>
                <w:webHidden/>
                <w:rStyle w:val="IndexLink"/>
                <w:rtl w:val="true"/>
              </w:rPr>
              <w:t>حكم نقل غير المقبوض بغير البيع</w:t>
            </w:r>
            <w:r>
              <w:rPr>
                <w:rStyle w:val="IndexLink"/>
                <w:rtl w:val="true"/>
              </w:rPr>
              <w:tab/>
            </w:r>
            <w:r>
              <w:rPr>
                <w:rStyle w:val="IndexLink"/>
              </w:rPr>
              <w:t>626</w:t>
            </w:r>
          </w:hyperlink>
        </w:p>
        <w:p>
          <w:pPr>
            <w:pStyle w:val="Contents2"/>
            <w:tabs>
              <w:tab w:val="clear" w:pos="8743"/>
              <w:tab w:val="right" w:pos="9026" w:leader="dot"/>
            </w:tabs>
            <w:rPr/>
          </w:pPr>
          <w:hyperlink w:anchor="__RefHeading___Toc3332130_2142443653">
            <w:r>
              <w:rPr>
                <w:webHidden/>
                <w:rStyle w:val="IndexLink"/>
                <w:rtl w:val="true"/>
              </w:rPr>
              <w:t>الفهارس العامّة</w:t>
            </w:r>
            <w:r>
              <w:rPr>
                <w:rStyle w:val="IndexLink"/>
                <w:rtl w:val="true"/>
              </w:rPr>
              <w:tab/>
            </w:r>
            <w:r>
              <w:rPr>
                <w:rStyle w:val="IndexLink"/>
              </w:rPr>
              <w:t>628</w:t>
            </w:r>
          </w:hyperlink>
        </w:p>
        <w:p>
          <w:pPr>
            <w:pStyle w:val="Contents3"/>
            <w:tabs>
              <w:tab w:val="clear" w:pos="8459"/>
              <w:tab w:val="right" w:pos="9026" w:leader="dot"/>
            </w:tabs>
            <w:rPr/>
          </w:pPr>
          <w:hyperlink w:anchor="__RefHeading___Toc3332132_2142443653">
            <w:r>
              <w:rPr>
                <w:webHidden/>
                <w:rStyle w:val="IndexLink"/>
                <w:rtl w:val="true"/>
              </w:rPr>
              <w:t>اشارة</w:t>
            </w:r>
            <w:r>
              <w:rPr>
                <w:rStyle w:val="IndexLink"/>
                <w:rtl w:val="true"/>
              </w:rPr>
              <w:tab/>
            </w:r>
            <w:r>
              <w:rPr>
                <w:rStyle w:val="IndexLink"/>
              </w:rPr>
              <w:t>628</w:t>
            </w:r>
          </w:hyperlink>
        </w:p>
        <w:p>
          <w:pPr>
            <w:pStyle w:val="Contents3"/>
            <w:tabs>
              <w:tab w:val="clear" w:pos="8459"/>
              <w:tab w:val="right" w:pos="9026" w:leader="dot"/>
            </w:tabs>
            <w:rPr/>
          </w:pPr>
          <w:hyperlink w:anchor="__RefHeading___Toc3332134_2142443653">
            <w:r>
              <w:rPr>
                <w:webHidden/>
                <w:rStyle w:val="IndexLink"/>
              </w:rPr>
              <w:t>1</w:t>
            </w:r>
            <w:r>
              <w:rPr>
                <w:rStyle w:val="IndexLink"/>
                <w:rtl w:val="true"/>
              </w:rPr>
              <w:t xml:space="preserve">- </w:t>
            </w:r>
            <w:r>
              <w:rPr>
                <w:rStyle w:val="IndexLink"/>
                <w:rtl w:val="true"/>
              </w:rPr>
              <w:t>فهرس الآيات الكريمة</w:t>
            </w:r>
            <w:r>
              <w:rPr>
                <w:rStyle w:val="IndexLink"/>
                <w:rtl w:val="true"/>
              </w:rPr>
              <w:tab/>
            </w:r>
            <w:r>
              <w:rPr>
                <w:rStyle w:val="IndexLink"/>
              </w:rPr>
              <w:t>630</w:t>
            </w:r>
          </w:hyperlink>
        </w:p>
        <w:p>
          <w:pPr>
            <w:pStyle w:val="Contents3"/>
            <w:tabs>
              <w:tab w:val="clear" w:pos="8459"/>
              <w:tab w:val="right" w:pos="9026" w:leader="dot"/>
            </w:tabs>
            <w:rPr/>
          </w:pPr>
          <w:hyperlink w:anchor="__RefHeading___Toc3332136_2142443653">
            <w:r>
              <w:rPr>
                <w:webHidden/>
                <w:rStyle w:val="IndexLink"/>
              </w:rPr>
              <w:t>2</w:t>
            </w:r>
            <w:r>
              <w:rPr>
                <w:rStyle w:val="IndexLink"/>
                <w:rtl w:val="true"/>
              </w:rPr>
              <w:t xml:space="preserve">- </w:t>
            </w:r>
            <w:r>
              <w:rPr>
                <w:rStyle w:val="IndexLink"/>
                <w:rtl w:val="true"/>
              </w:rPr>
              <w:t>فهرس الأحاديث الشريفة</w:t>
            </w:r>
            <w:r>
              <w:rPr>
                <w:rStyle w:val="IndexLink"/>
                <w:rtl w:val="true"/>
              </w:rPr>
              <w:tab/>
            </w:r>
            <w:r>
              <w:rPr>
                <w:rStyle w:val="IndexLink"/>
              </w:rPr>
              <w:t>634</w:t>
            </w:r>
          </w:hyperlink>
        </w:p>
        <w:p>
          <w:pPr>
            <w:pStyle w:val="Contents3"/>
            <w:tabs>
              <w:tab w:val="clear" w:pos="8459"/>
              <w:tab w:val="right" w:pos="9026" w:leader="dot"/>
            </w:tabs>
            <w:rPr/>
          </w:pPr>
          <w:hyperlink w:anchor="__RefHeading___Toc3332138_2142443653">
            <w:r>
              <w:rPr>
                <w:webHidden/>
                <w:rStyle w:val="IndexLink"/>
              </w:rPr>
              <w:t>3</w:t>
            </w:r>
            <w:r>
              <w:rPr>
                <w:rStyle w:val="IndexLink"/>
                <w:rtl w:val="true"/>
              </w:rPr>
              <w:t xml:space="preserve">- </w:t>
            </w:r>
            <w:r>
              <w:rPr>
                <w:rStyle w:val="IndexLink"/>
                <w:rtl w:val="true"/>
              </w:rPr>
              <w:t>فهرس أسماء المعصومين علیهم السلام</w:t>
            </w:r>
            <w:r>
              <w:rPr>
                <w:rStyle w:val="IndexLink"/>
                <w:rtl w:val="true"/>
              </w:rPr>
              <w:tab/>
            </w:r>
            <w:r>
              <w:rPr>
                <w:rStyle w:val="IndexLink"/>
              </w:rPr>
              <w:t>644</w:t>
            </w:r>
          </w:hyperlink>
        </w:p>
        <w:p>
          <w:pPr>
            <w:pStyle w:val="Contents3"/>
            <w:tabs>
              <w:tab w:val="clear" w:pos="8459"/>
              <w:tab w:val="right" w:pos="9026" w:leader="dot"/>
            </w:tabs>
            <w:rPr/>
          </w:pPr>
          <w:hyperlink w:anchor="__RefHeading___Toc3332140_2142443653">
            <w:r>
              <w:rPr>
                <w:webHidden/>
                <w:rStyle w:val="IndexLink"/>
              </w:rPr>
              <w:t>4</w:t>
            </w:r>
            <w:r>
              <w:rPr>
                <w:rStyle w:val="IndexLink"/>
                <w:rtl w:val="true"/>
              </w:rPr>
              <w:t xml:space="preserve">- </w:t>
            </w:r>
            <w:r>
              <w:rPr>
                <w:rStyle w:val="IndexLink"/>
                <w:rtl w:val="true"/>
              </w:rPr>
              <w:t>فهرس الأعلام</w:t>
            </w:r>
            <w:r>
              <w:rPr>
                <w:rStyle w:val="IndexLink"/>
                <w:rtl w:val="true"/>
              </w:rPr>
              <w:tab/>
            </w:r>
            <w:r>
              <w:rPr>
                <w:rStyle w:val="IndexLink"/>
              </w:rPr>
              <w:t>646</w:t>
            </w:r>
          </w:hyperlink>
        </w:p>
        <w:p>
          <w:pPr>
            <w:pStyle w:val="Contents3"/>
            <w:tabs>
              <w:tab w:val="clear" w:pos="8459"/>
              <w:tab w:val="right" w:pos="9026" w:leader="dot"/>
            </w:tabs>
            <w:rPr/>
          </w:pPr>
          <w:hyperlink w:anchor="__RefHeading___Toc3332142_2142443653">
            <w:r>
              <w:rPr>
                <w:webHidden/>
                <w:rStyle w:val="IndexLink"/>
              </w:rPr>
              <w:t>5</w:t>
            </w:r>
            <w:r>
              <w:rPr>
                <w:rStyle w:val="IndexLink"/>
                <w:rtl w:val="true"/>
              </w:rPr>
              <w:t xml:space="preserve">- </w:t>
            </w:r>
            <w:r>
              <w:rPr>
                <w:rStyle w:val="IndexLink"/>
                <w:rtl w:val="true"/>
              </w:rPr>
              <w:t>فهرس الكتب الواردة في المتن</w:t>
            </w:r>
            <w:r>
              <w:rPr>
                <w:rStyle w:val="IndexLink"/>
                <w:rtl w:val="true"/>
              </w:rPr>
              <w:tab/>
            </w:r>
            <w:r>
              <w:rPr>
                <w:rStyle w:val="IndexLink"/>
              </w:rPr>
              <w:t>655</w:t>
            </w:r>
          </w:hyperlink>
        </w:p>
        <w:p>
          <w:pPr>
            <w:pStyle w:val="Contents3"/>
            <w:tabs>
              <w:tab w:val="clear" w:pos="8459"/>
              <w:tab w:val="right" w:pos="9026" w:leader="dot"/>
            </w:tabs>
            <w:rPr/>
          </w:pPr>
          <w:hyperlink w:anchor="__RefHeading___Toc3332144_2142443653">
            <w:r>
              <w:rPr>
                <w:webHidden/>
                <w:rStyle w:val="IndexLink"/>
              </w:rPr>
              <w:t>6</w:t>
            </w:r>
            <w:r>
              <w:rPr>
                <w:rStyle w:val="IndexLink"/>
                <w:rtl w:val="true"/>
              </w:rPr>
              <w:t xml:space="preserve">- </w:t>
            </w:r>
            <w:r>
              <w:rPr>
                <w:rStyle w:val="IndexLink"/>
                <w:rtl w:val="true"/>
              </w:rPr>
              <w:t>فهرس مصادر التحقيق</w:t>
            </w:r>
            <w:r>
              <w:rPr>
                <w:rStyle w:val="IndexLink"/>
                <w:rtl w:val="true"/>
              </w:rPr>
              <w:tab/>
            </w:r>
            <w:r>
              <w:rPr>
                <w:rStyle w:val="IndexLink"/>
              </w:rPr>
              <w:t>658</w:t>
            </w:r>
          </w:hyperlink>
        </w:p>
        <w:p>
          <w:pPr>
            <w:pStyle w:val="Contents3"/>
            <w:tabs>
              <w:tab w:val="clear" w:pos="8459"/>
              <w:tab w:val="right" w:pos="9026" w:leader="dot"/>
            </w:tabs>
            <w:rPr/>
          </w:pPr>
          <w:hyperlink w:anchor="__RefHeading___Toc3332146_2142443653">
            <w:r>
              <w:rPr>
                <w:webHidden/>
                <w:rStyle w:val="IndexLink"/>
              </w:rPr>
              <w:t>7</w:t>
            </w:r>
            <w:r>
              <w:rPr>
                <w:rStyle w:val="IndexLink"/>
                <w:rtl w:val="true"/>
              </w:rPr>
              <w:t xml:space="preserve">- </w:t>
            </w:r>
            <w:r>
              <w:rPr>
                <w:rStyle w:val="IndexLink"/>
                <w:rtl w:val="true"/>
              </w:rPr>
              <w:t>فهرس الموضوعات</w:t>
            </w:r>
            <w:r>
              <w:rPr>
                <w:rStyle w:val="IndexLink"/>
                <w:rtl w:val="true"/>
              </w:rPr>
              <w:tab/>
            </w:r>
            <w:r>
              <w:rPr>
                <w:rStyle w:val="IndexLink"/>
              </w:rPr>
              <w:t>672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22_162139"/>
      <w:bookmarkStart w:id="1" w:name="pg15222_162139"/>
      <w:bookmarkEnd w:id="1"/>
    </w:p>
    <w:p>
      <w:pPr>
        <w:pStyle w:val="Heading2"/>
        <w:numPr>
          <w:ilvl w:val="1"/>
          <w:numId w:val="1"/>
        </w:numPr>
        <w:rPr/>
      </w:pPr>
      <w:bookmarkStart w:id="2" w:name="pg15222_162139"/>
      <w:bookmarkStart w:id="3" w:name="__RefHeading___Toc3331504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المجلد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31506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والصلاة والسلام على محمّد وآله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الطاهرين ولعنة اللّه على أعدائهم أجمعين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222_162145"/>
      <w:bookmarkStart w:id="8" w:name="pg15222_162145"/>
      <w:bookmarkEnd w:id="8"/>
    </w:p>
    <w:p>
      <w:pPr>
        <w:pStyle w:val="Heading2"/>
        <w:numPr>
          <w:ilvl w:val="1"/>
          <w:numId w:val="1"/>
        </w:numPr>
        <w:rPr/>
      </w:pPr>
      <w:bookmarkStart w:id="9" w:name="pg15222_162145"/>
      <w:bookmarkStart w:id="10" w:name="__RefHeading___Toc3331508_2142443653"/>
      <w:bookmarkStart w:id="11" w:name="_Toc3"/>
      <w:bookmarkEnd w:id="9"/>
      <w:bookmarkEnd w:id="10"/>
      <w:r>
        <w:rPr>
          <w:rtl w:val="true"/>
        </w:rPr>
        <w:t xml:space="preserve">السابع </w:t>
      </w:r>
      <w:r>
        <w:rPr>
          <w:rtl w:val="true"/>
        </w:rPr>
        <w:t xml:space="preserve">: </w:t>
      </w:r>
      <w:r>
        <w:rPr>
          <w:rtl w:val="true"/>
        </w:rPr>
        <w:t>خيار العيب</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3331510_2142443653"/>
      <w:bookmarkStart w:id="13" w:name="_Toc4"/>
      <w:bookmarkEnd w:id="12"/>
      <w:r>
        <w:rPr>
          <w:rtl w:val="true"/>
        </w:rPr>
        <w:t>اشارة</w:t>
      </w:r>
      <w:bookmarkEnd w:id="1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5222_162147"/>
      <w:bookmarkStart w:id="15" w:name="pg15222_162147"/>
      <w:bookmarkEnd w:id="15"/>
    </w:p>
    <w:p>
      <w:pPr>
        <w:pStyle w:val="Heading3"/>
        <w:numPr>
          <w:ilvl w:val="2"/>
          <w:numId w:val="1"/>
        </w:numPr>
        <w:rPr/>
      </w:pPr>
      <w:bookmarkStart w:id="16" w:name="pg15222_162147"/>
      <w:bookmarkStart w:id="17" w:name="__RefHeading___Toc3331512_2142443653"/>
      <w:bookmarkStart w:id="18" w:name="_Toc5"/>
      <w:bookmarkEnd w:id="16"/>
      <w:bookmarkEnd w:id="17"/>
      <w:r>
        <w:rPr>
          <w:rtl w:val="true"/>
        </w:rPr>
        <w:t>القول في خيار العيب</w:t>
      </w:r>
      <w:bookmarkEnd w:id="18"/>
    </w:p>
    <w:p>
      <w:pPr>
        <w:pStyle w:val="Heading4"/>
        <w:numPr>
          <w:ilvl w:val="3"/>
          <w:numId w:val="1"/>
        </w:numPr>
        <w:rPr/>
      </w:pPr>
      <w:bookmarkStart w:id="19" w:name="__RefHeading___Toc3331514_2142443653"/>
      <w:bookmarkStart w:id="20" w:name="_Toc6"/>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 xml:space="preserve">وهو سابع الخيارات ، ولا إشكال في ثبوته نصّاً </w:t>
      </w:r>
      <w:r>
        <w:rPr>
          <w:rStyle w:val="FootnoteAnchor"/>
          <w:rtl w:val="true"/>
        </w:rPr>
        <w:footnoteReference w:id="2"/>
      </w:r>
      <w:r>
        <w:rPr>
          <w:rFonts w:ascii="IRNazanin" w:hAnsi="IRNazanin" w:eastAsia="IRNazanin"/>
          <w:color w:val="111111"/>
          <w:sz w:val="28"/>
          <w:sz w:val="28"/>
          <w:szCs w:val="28"/>
          <w:rtl w:val="true"/>
          <w:lang w:bidi="fa-IR"/>
        </w:rPr>
        <w:t>وفتوى</w:t>
      </w:r>
      <w:r>
        <w:rPr>
          <w:rStyle w:val="FootnoteAnchor"/>
          <w:rtl w:val="true"/>
        </w:rPr>
        <w:footnoteReference w:id="3"/>
      </w:r>
      <w:r>
        <w:rPr>
          <w:rFonts w:ascii="Amiri" w:hAnsi="Amiri" w:eastAsia="Amiri" w:cs="Amiri"/>
          <w:color w:val="111111"/>
          <w:sz w:val="28"/>
          <w:sz w:val="28"/>
          <w:szCs w:val="28"/>
          <w:rtl w:val="true"/>
          <w:lang w:bidi="ar-SA"/>
        </w:rPr>
        <w:t xml:space="preserve">، لكن </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3331516_2142443653"/>
      <w:bookmarkStart w:id="22" w:name="_Toc7"/>
      <w:bookmarkEnd w:id="21"/>
      <w:r>
        <w:rPr>
          <w:rtl w:val="true"/>
        </w:rPr>
        <w:t>إشكال غررية البيع إذا كان المشتري جاهلاً بصفة السلامة</w:t>
      </w:r>
      <w:bookmarkEnd w:id="22"/>
    </w:p>
    <w:p>
      <w:pPr>
        <w:pStyle w:val="BookText"/>
        <w:rPr/>
      </w:pPr>
      <w:r>
        <w:rPr>
          <w:rFonts w:ascii="Amiri" w:hAnsi="Amiri" w:eastAsia="Amiri" w:cs="Amiri"/>
          <w:color w:val="111111"/>
          <w:sz w:val="28"/>
          <w:sz w:val="28"/>
          <w:szCs w:val="28"/>
          <w:rtl w:val="true"/>
          <w:lang w:bidi="ar-SA"/>
        </w:rPr>
        <w:t>قد يستشكل في ثبوته فيما إذا جهل المشتري مثلاً ، صفة السلامة والصحّة جهلاً بسيطاً ، فإنّه موجب للغرر المبطل للبيع ، فلا وجه لثبوت الخيار فيه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عنه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العقد يقتضي وقوعه مبنيّاً على السلامة ، وترك الاشتراط صريحاً ؛ اعتماداً على أصالة السلامة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الاشتراط الضمني الارتكازي ، سبب لرفع الغرر ، فضلاً عن الاشتراط صريحاً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الاشتراط الصريح لا يوجب رفع الغرر ، فضلاً عن الضمني الارتكازي ؛ فإنّ ما يوجب رفعه هو العلم بالصفة ، أو إخبار البائع بها ، أو توصيفه في ضمن العقد بالصحّة ، فإنّه يرجع إلى الإخبار بها ؛ إذ الأوصاف والقيود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الجمل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تصير تامّة ومحتملة للصدق والكذب في ضمن الجمل التامّة ، إخبارية كانت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إخبار عن كونه عالماً في ضمن الإخبار عن رؤيته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إنشائية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زيداً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السلعة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إخبار بصحّتها ، فبناء على رفع الغرر بإخبار البائع</w:t>
      </w:r>
      <w:r>
        <w:rPr>
          <w:rStyle w:val="FootnoteAnchor"/>
          <w:rtl w:val="true"/>
        </w:rPr>
        <w:footnoteReference w:id="6"/>
      </w:r>
      <w:r>
        <w:rPr>
          <w:rFonts w:ascii="Amiri" w:hAnsi="Amiri" w:eastAsia="Amiri" w:cs="Amiri"/>
          <w:color w:val="111111"/>
          <w:sz w:val="28"/>
          <w:sz w:val="28"/>
          <w:szCs w:val="28"/>
          <w:rtl w:val="true"/>
          <w:lang w:bidi="ar-SA"/>
        </w:rPr>
        <w:t xml:space="preserve">، يوجب ذلك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الاشتراط ولو صريحاً ، فلا يستلزم الإخبار ، فضلاً عن قبول الاشتراط ، كما لو شرط المشتري كون العين سليمة ، وقبل البائع ، وفضلاً عمّا إذا كان ضمنياً ؛ ضرورة أنّ الاشتراط أو قبوله ، ليس إخباراً عن الصحّة ، ولهذا لا يقبل الصدق والكذب ، فلا وجه لرفع الغرر به ، بناءً على كون الغرر هو الجهالة ، كما هو المعهود منهم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صريحاً أو ضمناً في المقام أيضاً ، لا يوجب رفعه إلاّ مع إحراز كونه غير مستند إلى أصالة الصحّة ؛ فإنّه مع الاستناد إليها ، لا يوجب إخباره للمشتري أمراً زائداً عمّا هو عنده ، بل لو أخبر ألف شاهد مستندين إليها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يوجب للمشتري شيئاً زائداً عمّا هو عنده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نفس أصالة الصحّة لا توجب رفع الغرر ، بل الموجب له هو </w:t>
      </w:r>
    </w:p>
    <w:p>
      <w:pPr>
        <w:pStyle w:val="BookText"/>
        <w:rPr/>
      </w:pPr>
      <w:r>
        <w:rPr>
          <w:rFonts w:ascii="Amiri" w:hAnsi="Amiri" w:eastAsia="Amiri" w:cs="Amiri"/>
          <w:color w:val="111111"/>
          <w:sz w:val="28"/>
          <w:sz w:val="28"/>
          <w:szCs w:val="28"/>
          <w:rtl w:val="true"/>
          <w:lang w:bidi="ar-SA"/>
        </w:rPr>
        <w:t xml:space="preserve">بناء المتعاملين على الصحّة ، وابتناء المعاملة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الصحّة من الاُصول العقلائية ، بل من الأمارات العقلائية التي يعتمد عليها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 إمّا للغلبة التامّة التي لا ينبغي إنكارها ، أو لغير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رافعة للغرر ، من غير حاجة إلى التشبّث بالشرط ، أو بالإخبار ضمناً أو صريحاً ، فأصالة الصحّة كإخبار البائع قبل المعاملة ، كافية في رفعه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المستعملين في أبواب العبادات والمعاملات ، العلم الوجداني الرافع للجهل الوجداني ، بل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إحرازها بالطريق العقلي أو العقلائي ، فإخبار البائع طريق عقلائي ، كأصالة الصحّة التي هي أصل محرز عقلائي ، أو أمارة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مراد العلاّمة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المبيع من الأعيان والأشخاص ، السلامة من العيوب والصحّة ، فإذا أقدم المشتري على بذل ماله في مقابلة تلك العين ، فإنّما بنى إقدامه على غالب ظنّه المستند إلى أصالة السلامة</w:t>
      </w:r>
      <w:r>
        <w:rPr>
          <w:rStyle w:val="FootnoteAnchor"/>
          <w:rtl w:val="true"/>
        </w:rPr>
        <w:footnoteReference w:id="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أصل للاشتراط أو الوصف الضمنيين في البيع ، فكما أنّ إخبار البائع بالوصف الموجب لرفع الغرر ، لا يوجب أن يكون البيع مبنيّاً عليه ومشروطاً به ، كذلك مع الإحراز بالأصل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الوجدان أصدق شاهد على أن لا تواطؤ بين المتعاملين على وصف الصحّة في نوع المعاملات </w:t>
      </w:r>
      <w:r>
        <w:rPr>
          <w:rFonts w:eastAsia="Amiri" w:cs="Amiri" w:ascii="Amiri" w:hAnsi="Amiri"/>
          <w:color w:val="111111"/>
          <w:sz w:val="28"/>
          <w:szCs w:val="28"/>
          <w:rtl w:val="true"/>
          <w:lang w:bidi="ar-SA"/>
        </w:rPr>
        <w:t xml:space="preserve">. </w:t>
      </w:r>
      <w:bookmarkStart w:id="23" w:name="pg15222_162150"/>
    </w:p>
    <w:p>
      <w:pPr>
        <w:pStyle w:val="BookText"/>
        <w:rPr/>
      </w:pPr>
      <w:bookmarkEnd w:id="23"/>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اتّفق في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بعض الجهات ، أو لأجل عدم جريان أصالة الصحّة في نوع خاصّ ، أو صنف كذلك ، أو عند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اشتراطها في ضمن المعاملة ، يثبت للمشروط له خيار التخلّف مضافاً إلى خيار العيب </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3331518_2142443653"/>
      <w:bookmarkStart w:id="25" w:name="_Toc8"/>
      <w:bookmarkEnd w:id="24"/>
      <w:r>
        <w:rPr>
          <w:rtl w:val="true"/>
        </w:rPr>
        <w:t>عدم اقتضاء أصالة الإطلاق للصحّة</w:t>
      </w:r>
      <w:bookmarkEnd w:id="25"/>
    </w:p>
    <w:p>
      <w:pPr>
        <w:pStyle w:val="BookText"/>
        <w:rPr/>
      </w:pPr>
      <w:r>
        <w:rPr>
          <w:rFonts w:ascii="Amiri" w:hAnsi="Amiri" w:eastAsia="Amiri" w:cs="Amiri"/>
          <w:color w:val="111111"/>
          <w:sz w:val="28"/>
          <w:sz w:val="28"/>
          <w:szCs w:val="28"/>
          <w:rtl w:val="true"/>
          <w:lang w:bidi="ar-SA"/>
        </w:rPr>
        <w:t xml:space="preserve">وأمّا ما يتراءى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أصالة الإطلاق تقتضي أن يكون المتعلّق هو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والعيب وإن كانا قيدين عقلاً ، لكنّ الصحّة ليست قيداً بحسب نظر العرف ، فلا تحتاج إلى نصب الدالّ عليها في إفادة المقيّد بها ؛ فإنّ وصف الصحّة في نظر العرف ، لا يزيد على الماهية بشيء ، فعدم نصب القرينة ، كافٍ في الحمل على الصحيح</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ضرورة أنّ تردّد الشيء الخارجي بين الصحيح والفاسد عرفي ، لا عقلي دقيق ، ومورد الترديد هو نفس الشيء ، ولا إشكال في أ نّه لا يرجع ذلك إلى أنّ هذا الشيء ؛ إمّا نفسه ، أو 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فوصف الصحّة كوصف العيب ، أمر عارض على الشيء عرفاً ، والإطلاق يقتضي أن لا يكون المأخوذ في موضوع العقد إلاّ نفس السلعة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معنى الإطلاق هو الشيء سواء كان صحيحاً أو معيباً ، حتّى يلزم التبرّي من العيب ، وعدم ثبوت خياره ، بل معناه عدم الأخذ في متعلّق العقد إلاّ </w:t>
      </w:r>
      <w:bookmarkStart w:id="26" w:name="pg15222_162151"/>
    </w:p>
    <w:p>
      <w:pPr>
        <w:pStyle w:val="BookText"/>
        <w:rPr/>
      </w:pPr>
      <w:bookmarkEnd w:id="26"/>
      <w:r>
        <w:rPr>
          <w:rFonts w:ascii="Amiri" w:hAnsi="Amiri" w:eastAsia="Amiri" w:cs="Amiri"/>
          <w:color w:val="111111"/>
          <w:sz w:val="28"/>
          <w:sz w:val="28"/>
          <w:szCs w:val="28"/>
          <w:rtl w:val="true"/>
          <w:lang w:bidi="ar-SA"/>
        </w:rPr>
        <w:t xml:space="preserve">نفس الشيء ، من غير تقييد وتوصيف ، فمقتضاه هو كون المتعلّق نفس السلعة ، وهو على خلاف ما أفادوا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331520_2142443653"/>
      <w:bookmarkStart w:id="28" w:name="_Toc9"/>
      <w:bookmarkEnd w:id="27"/>
      <w:r>
        <w:rPr>
          <w:rtl w:val="true"/>
        </w:rPr>
        <w:t>بطلان الانصراف إلى الصحيح</w:t>
      </w:r>
      <w:bookmarkEnd w:id="28"/>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الغلبة موجبة للانصراف ، ولمّا رأوا أنّ الانصراف لا يجري في مثل النذر والعهد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المعاملات وغيرها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استجود الشيخ الأعظم</w:t>
      </w:r>
      <w:r>
        <w:rPr>
          <w:rStyle w:val="FootnoteAnchor"/>
          <w:rtl w:val="true"/>
        </w:rPr>
        <w:footnoteReference w:id="11"/>
      </w:r>
      <w:r>
        <w:rPr>
          <w:rFonts w:ascii="Amiri" w:hAnsi="Amiri" w:eastAsia="Amiri" w:cs="Amiri"/>
          <w:color w:val="111111"/>
          <w:sz w:val="28"/>
          <w:sz w:val="28"/>
          <w:szCs w:val="28"/>
          <w:rtl w:val="true"/>
          <w:lang w:bidi="ar-SA"/>
        </w:rPr>
        <w:t xml:space="preserve">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 حيث يظهر منه أنّ ظاهر الإقدام يوجب الانصراف ؛ فإنّ المتعامل لا يقدم إلاّ على إعطاء الشيء في مقابل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أسوأ حالاً ممّا تقدّم ؛ ضرورة أنّ البائع المنشئ للمعاملة ، لا يكون قصده إلاّ بيع متاعه وأخذ ثمنه ، لا بيع متاعه الصحيح ، بل بيع الفاسد بقيمة الصحيح أقرب بقصده ، وإنّما القاصد للصحيح هو المشتري ، وهو غير منشئ للعقد ، فلو أراد المشتري الاشتراط على البائع ، لا بدّ من تحميله عليه قبل المعاملة ، حتّى تقع المعاملة على طبق قصده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تمام همّه بيع ماله كائناً ما كان ، لا بيع الصحيح وإن كان المشتري طالباً للصحيح ، وفي الثمن بالعكس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البائع العالم بالعيب ، كغيره في الإنشاء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bookmarkStart w:id="29" w:name="pg15222_162152"/>
    </w:p>
    <w:p>
      <w:pPr>
        <w:pStyle w:val="BookText"/>
        <w:rPr/>
      </w:pPr>
      <w:bookmarkEnd w:id="29"/>
      <w:r>
        <w:rPr>
          <w:rFonts w:ascii="Amiri" w:hAnsi="Amiri" w:eastAsia="Amiri" w:cs="Amiri"/>
          <w:color w:val="111111"/>
          <w:sz w:val="28"/>
          <w:sz w:val="28"/>
          <w:szCs w:val="28"/>
          <w:rtl w:val="true"/>
          <w:lang w:bidi="ar-SA"/>
        </w:rPr>
        <w:t>في الصحيح عنده يلتزم بالصحّة ، وكذا في مجهوله ، دون ما إذا كان معيباً عنده</w:t>
      </w:r>
      <w:r>
        <w:rPr>
          <w:rStyle w:val="FootnoteAnchor"/>
          <w:rtl w:val="true"/>
        </w:rPr>
        <w:footnoteReference w:id="13"/>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الاشتراط أو التوصيف الضمنيين ، لا وجه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الاشتراط الصريح ، لا يرجع إلى التأكيد</w:t>
      </w:r>
      <w:r>
        <w:rPr>
          <w:rStyle w:val="FootnoteAnchor"/>
          <w:rtl w:val="true"/>
        </w:rPr>
        <w:footnoteReference w:id="14"/>
      </w:r>
      <w:r>
        <w:rPr>
          <w:rFonts w:ascii="Amiri" w:hAnsi="Amiri" w:eastAsia="Amiri" w:cs="Amiri"/>
          <w:color w:val="111111"/>
          <w:sz w:val="28"/>
          <w:sz w:val="28"/>
          <w:szCs w:val="28"/>
          <w:rtl w:val="true"/>
          <w:lang w:bidi="ar-SA"/>
        </w:rPr>
        <w:t xml:space="preserve">، بل هو اشتراط مستقلّ يوجب تخلّفه خياره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331522_2142443653"/>
      <w:bookmarkStart w:id="31" w:name="_Toc10"/>
      <w:bookmarkEnd w:id="30"/>
      <w:r>
        <w:rPr>
          <w:rtl w:val="true"/>
        </w:rPr>
        <w:t>عدم رجوع خيار العيب إلى تخلّف الشرط</w:t>
      </w:r>
      <w:bookmarkEnd w:id="31"/>
    </w:p>
    <w:p>
      <w:pPr>
        <w:pStyle w:val="BookText"/>
        <w:rPr/>
      </w:pPr>
      <w:r>
        <w:rPr>
          <w:rFonts w:ascii="Amiri" w:hAnsi="Amiri" w:eastAsia="Amiri" w:cs="Amiri"/>
          <w:color w:val="111111"/>
          <w:sz w:val="28"/>
          <w:sz w:val="28"/>
          <w:szCs w:val="28"/>
          <w:rtl w:val="true"/>
          <w:lang w:bidi="ar-SA"/>
        </w:rPr>
        <w:t xml:space="preserve">كما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إرجاع خيار العيب إلى تخلّف الشرط ؛ بدعوى أنّ الشرط الضمني ملازم للمعاملة ، أو أغلبي فيها </w:t>
      </w:r>
      <w:r>
        <w:rPr>
          <w:rStyle w:val="FootnoteAnchor"/>
          <w:rtl w:val="true"/>
        </w:rPr>
        <w:footnoteReference w:id="15"/>
      </w:r>
      <w:r>
        <w:rPr>
          <w:rFonts w:ascii="Amiri" w:hAnsi="Amiri" w:eastAsia="Amiri" w:cs="Amiri"/>
          <w:color w:val="111111"/>
          <w:sz w:val="28"/>
          <w:sz w:val="28"/>
          <w:szCs w:val="28"/>
          <w:rtl w:val="true"/>
          <w:lang w:bidi="ar-SA"/>
        </w:rPr>
        <w:t>غير وجيه ، مع أ نّه لا إشعار في روايات الباب</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خيار العيب عقلائي ، لا تعبّدي ، والأخبار محمولة على ذلك ، وإن كان ثبوت بعض الأحكام تعبّدياً ، وليس في محيط العقلاء إلاّ ثبوت خيار العيب ، ولو كان راجعاً إلى تخلّف الشرط لكان أولى بالاحتجاج ؛ لأ نّه تخلّف ما هو القرار بينهما ، مع أ نّه لا اسم ولا رسم لخيار الشرط في محيطهم ، كما هو كذلك في الشرع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رواية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على أ نّها عذراء، فلم يجدها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فضل القيمة إذا علم أ نّه صادق</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فغير منسوبة إلى الامام علیه السلام ، وإن حكي عن المجلسي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الرضا علیه السلام </w:t>
      </w:r>
      <w:r>
        <w:rPr>
          <w:rStyle w:val="FootnoteAnchor"/>
          <w:rtl w:val="true"/>
        </w:rPr>
        <w:footnoteReference w:id="18"/>
      </w:r>
      <w:r>
        <w:rPr>
          <w:rFonts w:ascii="Amiri" w:hAnsi="Amiri" w:eastAsia="Amiri" w:cs="Amiri"/>
          <w:color w:val="111111"/>
          <w:sz w:val="28"/>
          <w:sz w:val="28"/>
          <w:szCs w:val="28"/>
          <w:rtl w:val="true"/>
          <w:lang w:bidi="ar-SA"/>
        </w:rPr>
        <w:t xml:space="preserve">، لكنّه غير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اجتهاد من يونس ، وهو غير بعيد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روايات خيار الحيوان أنّ إحداث الحدث يوجب سقوط الخيار ، وقد مثّل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التقبيل ، واللمس ، والنظر إلى ما لا يحلّ له</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وعليه فالوط‌ء أولى منها في ذلك ، ويظهر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يجدها 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فرض أنّ عدم الوجدان كان بالإصبع ، كان داخلاً في اللمس ، أو كان أولى منه في السقوط ، وأمّا حصول العلم بالاستخبار ، أو بقول النساء</w:t>
      </w:r>
      <w:r>
        <w:rPr>
          <w:rStyle w:val="FootnoteAnchor"/>
          <w:rtl w:val="true"/>
        </w:rPr>
        <w:footnoteReference w:id="20"/>
      </w:r>
      <w:r>
        <w:rPr>
          <w:rFonts w:ascii="IRNazanin" w:hAnsi="IRNazanin" w:eastAsia="IRNazanin"/>
          <w:color w:val="111111"/>
          <w:sz w:val="28"/>
          <w:sz w:val="28"/>
          <w:szCs w:val="28"/>
          <w:rtl w:val="true"/>
          <w:lang w:bidi="fa-IR"/>
        </w:rPr>
        <w:t xml:space="preserve">، فهو خلاف ظاهر الوجدان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وعليه فيكون سقوط خيار الشرط ؛ لأجل التصرّف الذي هو إحداث الحدث ، وسقوط الردّ من خيار العيب أيضاً لذلك ، ويكون حقّ الأرش على حاله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صحّ صدورها من الرضا علیه السلام ، فيحتمل فيها أن يكون الحكم كذلك ، هذا مضافاً إلى ما أورد عليها الأعلام من الإشكالات</w:t>
      </w:r>
      <w:r>
        <w:rPr>
          <w:rStyle w:val="FootnoteAnchor"/>
          <w:rtl w:val="true"/>
        </w:rPr>
        <w:footnoteReference w:id="21"/>
      </w:r>
      <w:r>
        <w:rPr>
          <w:rFonts w:ascii="Amiri" w:hAnsi="Amiri" w:eastAsia="Amiri" w:cs="Amiri"/>
          <w:color w:val="111111"/>
          <w:sz w:val="28"/>
          <w:sz w:val="28"/>
          <w:szCs w:val="28"/>
          <w:rtl w:val="true"/>
          <w:lang w:bidi="ar-SA"/>
        </w:rPr>
        <w:t xml:space="preserve">، وإن كان بعضها لا يخلو من إشكال </w:t>
      </w:r>
      <w:r>
        <w:rPr>
          <w:rFonts w:eastAsia="Amiri" w:cs="Amiri" w:ascii="Amiri" w:hAnsi="Amiri"/>
          <w:color w:val="111111"/>
          <w:sz w:val="28"/>
          <w:szCs w:val="28"/>
          <w:rtl w:val="true"/>
          <w:lang w:bidi="ar-SA"/>
        </w:rPr>
        <w:t xml:space="preserve">. </w:t>
      </w:r>
      <w:bookmarkStart w:id="32" w:name="pg15222_162155"/>
    </w:p>
    <w:p>
      <w:pPr>
        <w:pStyle w:val="Heading3"/>
        <w:numPr>
          <w:ilvl w:val="2"/>
          <w:numId w:val="1"/>
        </w:numPr>
        <w:rPr/>
      </w:pPr>
      <w:bookmarkStart w:id="33" w:name="__RefHeading___Toc3331524_2142443653"/>
      <w:bookmarkStart w:id="34" w:name="_Toc11"/>
      <w:bookmarkEnd w:id="32"/>
      <w:bookmarkEnd w:id="33"/>
      <w:r>
        <w:rPr>
          <w:rtl w:val="true"/>
        </w:rPr>
        <w:t>مسألة حول التخيير بين الردّ والأرش في خيار العيب</w:t>
      </w:r>
      <w:bookmarkEnd w:id="34"/>
    </w:p>
    <w:p>
      <w:pPr>
        <w:pStyle w:val="Heading4"/>
        <w:numPr>
          <w:ilvl w:val="3"/>
          <w:numId w:val="1"/>
        </w:numPr>
        <w:rPr/>
      </w:pPr>
      <w:bookmarkStart w:id="35" w:name="__RefHeading___Toc3331526_2142443653"/>
      <w:bookmarkStart w:id="36" w:name="_Toc12"/>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مع العيب في المبيع عقلائي</w:t>
      </w:r>
      <w:r>
        <w:rPr>
          <w:rStyle w:val="FootnoteAnchor"/>
          <w:rtl w:val="true"/>
        </w:rPr>
        <w:footnoteReference w:id="22"/>
      </w:r>
      <w:r>
        <w:rPr>
          <w:rFonts w:ascii="Amiri" w:hAnsi="Amiri" w:eastAsia="Amiri" w:cs="Amiri"/>
          <w:color w:val="111111"/>
          <w:sz w:val="28"/>
          <w:sz w:val="28"/>
          <w:szCs w:val="28"/>
          <w:rtl w:val="true"/>
          <w:lang w:bidi="ar-SA"/>
        </w:rPr>
        <w:t xml:space="preserve">؛ لا يختصّ بمحيط الشرع والمسلمين ، وليس لبناء المتعاملين ، ولا للاشتراط الضمني ، بل كما أنّ الخيار ثابت في الغبن مع اعتقاد البائع أو المشتري بأنّ القيمة كذا ، فاتّضح خلافه ، كذلك لو أقدم المشتري بتوهّم صحّة المبيع ؛ اتّكالاً على أصالة الصحّة أو أمر آخر ، ثمّ ظهر خلافه ، يثبت له الخيار ، من غير التزام من البائع ، أو اشتراط من المشتري </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331528_2142443653"/>
      <w:bookmarkStart w:id="38" w:name="_Toc13"/>
      <w:bookmarkEnd w:id="37"/>
      <w:r>
        <w:rPr>
          <w:rtl w:val="true"/>
        </w:rPr>
        <w:t>في عقلائية التخيير بين الردّ والأرش</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تخيير المشتري بين الفسخ وأخذ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إنّ له إلزام البائع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عقلائي ، فيكون ما هو المشهور المدّعى عليه الإجماع</w:t>
      </w:r>
      <w:r>
        <w:rPr>
          <w:rStyle w:val="FootnoteAnchor"/>
          <w:rtl w:val="true"/>
        </w:rPr>
        <w:footnoteReference w:id="23"/>
      </w:r>
      <w:r>
        <w:rPr>
          <w:rFonts w:ascii="Amiri" w:hAnsi="Amiri" w:eastAsia="Amiri" w:cs="Amiri"/>
          <w:color w:val="111111"/>
          <w:sz w:val="28"/>
          <w:sz w:val="28"/>
          <w:szCs w:val="28"/>
          <w:rtl w:val="true"/>
          <w:lang w:bidi="ar-SA"/>
        </w:rPr>
        <w:t xml:space="preserve">، هو ممّا عليه العقلاء ، أم لا ؟ </w:t>
      </w:r>
      <w:bookmarkStart w:id="39" w:name="pg15222_162156"/>
    </w:p>
    <w:p>
      <w:pPr>
        <w:pStyle w:val="BookText"/>
        <w:rPr/>
      </w:pPr>
      <w:bookmarkEnd w:id="39"/>
      <w:r>
        <w:rPr>
          <w:rFonts w:ascii="Amiri" w:hAnsi="Amiri" w:eastAsia="Amiri" w:cs="Amiri"/>
          <w:color w:val="111111"/>
          <w:sz w:val="28"/>
          <w:sz w:val="28"/>
          <w:szCs w:val="28"/>
          <w:rtl w:val="true"/>
          <w:lang w:bidi="ar-SA"/>
        </w:rPr>
        <w:t xml:space="preserve">الظاهر أنّ ما هو عقلائي هو خيار الفسخ ابتداءً ، وأمّا الأرش فهو ثابت لدى العقلاء عند تعذّر الردّ ، كما لو تصرّف في المبيع تصرّفاً معتدّاً به ، مخرجاً له عن الصورة الأوّلية ، كالقطع ، والخياطة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 نظير وط‌ء الجارية ؛ فإنّ له خصوصية عند العقلاء ، ولهذا عدّ في الأخبار</w:t>
      </w:r>
      <w:r>
        <w:rPr>
          <w:rStyle w:val="FootnoteAnchor"/>
          <w:rtl w:val="true"/>
        </w:rPr>
        <w:footnoteReference w:id="24"/>
      </w:r>
      <w:r>
        <w:rPr>
          <w:rFonts w:ascii="Amiri" w:hAnsi="Amiri" w:eastAsia="Amiri" w:cs="Amiri"/>
          <w:color w:val="111111"/>
          <w:sz w:val="28"/>
          <w:sz w:val="28"/>
          <w:szCs w:val="28"/>
          <w:rtl w:val="true"/>
          <w:lang w:bidi="ar-SA"/>
        </w:rPr>
        <w:t xml:space="preserve">الأخفّ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كالتقبيل ، واللمس ، والنظر إلى ما لا يحلّ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الموجبة لسقوط الخيار </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331530_2142443653"/>
      <w:bookmarkStart w:id="41" w:name="_Toc14"/>
      <w:bookmarkEnd w:id="40"/>
      <w:r>
        <w:rPr>
          <w:rtl w:val="true"/>
        </w:rPr>
        <w:t>السرّ في ثبوت الأرش</w:t>
      </w:r>
      <w:bookmarkEnd w:id="41"/>
    </w:p>
    <w:p>
      <w:pPr>
        <w:pStyle w:val="BookText"/>
        <w:rPr/>
      </w:pPr>
      <w:r>
        <w:rPr>
          <w:rFonts w:ascii="Amiri" w:hAnsi="Amiri" w:eastAsia="Amiri" w:cs="Amiri"/>
          <w:color w:val="111111"/>
          <w:sz w:val="28"/>
          <w:sz w:val="28"/>
          <w:szCs w:val="28"/>
          <w:rtl w:val="true"/>
          <w:lang w:bidi="ar-SA"/>
        </w:rPr>
        <w:t xml:space="preserve">فالسرّ في ثبوت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وصف الصحّة وإن لم يكن جزءاً للمبيع ، ولم يقع جزءاً من الثمن في قباله ، لكنّه لدخله في زيادة القيمة ، يكون كالعلّة لإعطاء مقدار من الثمن بإزاء المثمن ، فإذا ظهر العيب فيه ، ظهر أنّ إعطاء ذلك المقدار كان بلا وجه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لا يرونه بعد تغيّر العين ، ملزماً بترك الفسخ ؛ لخروج العين عمّا كانت عليه ، وترك المطالبة بالأرش ، بل له أخذ الأرش ، فالرجوع ليس بجزء الثمن ، بل لأجل كون الإعطاء بلحاظ الوصف المفقود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القواعد العقلائية ، والنقض ببعض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وارد ؛ لأنّ القاعدة هناك أيضاً كذلك ، وعدم الالتزام للتسالم بين الأصحاب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هو المتفاهم من روايات خيار العيب أيضاً ، كصريح مرسلة </w:t>
      </w:r>
    </w:p>
    <w:p>
      <w:pPr>
        <w:pStyle w:val="BookText"/>
        <w:rPr/>
      </w:pPr>
      <w:r>
        <w:rPr>
          <w:rFonts w:ascii="IRNazanin" w:hAnsi="IRNazanin" w:eastAsia="IRNazanin"/>
          <w:color w:val="111111"/>
          <w:sz w:val="28"/>
          <w:sz w:val="28"/>
          <w:szCs w:val="28"/>
          <w:rtl w:val="true"/>
          <w:lang w:bidi="fa-IR"/>
        </w:rPr>
        <w:t xml:space="preserve">جميل ،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يشتري الثوب أو المتاع ، فيجد فيه عيباً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ردّه على صاحبه ، وأخذ الثمن ، وإن كان الثوب قد قطع أو خيط أو صبغ ، يرجع بنقصان العيب</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المتبادر من سائر الروايات التي أثبتت الأرش مشروطاً بالتصرّف ، هو ثبوت الأرش عند تعذّر الردّ ، كصحيحة ابن سنان عن أبي عبداللّه علیه السلام في حديث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التي ليست بحبلى إذا وطأها صاحبها ، ويوضع عنها من ثمنها بقدر عيب إن كان فيها</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وغيرها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المتفاهم من مثلها ولا سيّما مع كون الحكم عقلائياً كما مرّ ، أنّ الثابت هو الردّ فقط ما لم يتصرّف ، ومعه يثبت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أنّ المراد منها هو التخيير بين الردّ والأرش ، ساقط مخالف لفهم العرف كما لا يخفى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ما ذكرناه هو مقتضى الجمع بين الروايات أيضاً ؛ لأنّ الظاهر من رواية ميسّر ، عن أبي عبداللّه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اشترى زقّ زيت ، فوجد فيه درديّاً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يعلم أنّ ذلك يكون في الزيت ، لم يرده ، وإن لم يعلم أنّ ذلك يكون في الزيت ، ردّه على صاحبه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الحكم هو الردّ ، لا التخيير بينه وبين الأرش ؛ فإنّه خلاف الظاهر ، وبعد تقييد إطلاقها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إطلاق بعض روايات اُخر</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المفصّلة بين قيام العين بعينها وعدم التصرّف فيها </w:t>
      </w:r>
      <w:r>
        <w:rPr>
          <w:rStyle w:val="FootnoteAnchor"/>
          <w:rtl w:val="true"/>
        </w:rPr>
        <w:footnoteReference w:id="30"/>
      </w:r>
      <w:r>
        <w:rPr>
          <w:rFonts w:ascii="Amiri" w:hAnsi="Amiri" w:eastAsia="Amiri" w:cs="Amiri"/>
          <w:color w:val="111111"/>
          <w:sz w:val="28"/>
          <w:sz w:val="28"/>
          <w:szCs w:val="28"/>
          <w:rtl w:val="true"/>
          <w:lang w:bidi="ar-SA"/>
        </w:rPr>
        <w:t xml:space="preserve">، يثبت أنّ الحكم أوّلاً هو الردّ ، ومع عروض ما ذكر هو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بعض الروايات الدالّة على الأرش ، ووقوع التعارض بين الطائفتين ، والحكم بالتخيير العملي المنتج لما عليه الأصحاب</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غير محلّه ؛ لعدم وجدان رواية مطلقة في باب الأرش ، فإنّ رواية يونس المتقدّمة</w:t>
      </w:r>
      <w:r>
        <w:rPr>
          <w:rStyle w:val="FootnoteAnchor"/>
          <w:rtl w:val="true"/>
        </w:rPr>
        <w:footnoteReference w:id="32"/>
      </w:r>
      <w:r>
        <w:rPr>
          <w:rFonts w:ascii="Amiri" w:hAnsi="Amiri" w:eastAsia="Amiri" w:cs="Amiri"/>
          <w:color w:val="111111"/>
          <w:sz w:val="28"/>
          <w:sz w:val="28"/>
          <w:szCs w:val="28"/>
          <w:rtl w:val="true"/>
          <w:lang w:bidi="ar-SA"/>
        </w:rPr>
        <w:t>يكون الظاهر منها ، أ نّه حينما وطأها لم يجدها عذراء ، ورواية عمر بن يزيد</w:t>
      </w:r>
      <w:r>
        <w:rPr>
          <w:rStyle w:val="FootnoteAnchor"/>
          <w:rtl w:val="true"/>
        </w:rPr>
        <w:footnoteReference w:id="33"/>
      </w:r>
      <w:r>
        <w:rPr>
          <w:rFonts w:ascii="IRNazanin" w:hAnsi="IRNazanin" w:eastAsia="IRNazanin"/>
          <w:color w:val="111111"/>
          <w:sz w:val="28"/>
          <w:sz w:val="28"/>
          <w:szCs w:val="28"/>
          <w:rtl w:val="true"/>
          <w:lang w:bidi="fa-IR"/>
        </w:rPr>
        <w:t xml:space="preserve">لا يظهر منها أنّ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يلزمه ذلك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هو الأرش ، بل الظاهر خلافه ، فراجعها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رواية السكوني</w:t>
      </w:r>
      <w:r>
        <w:rPr>
          <w:rStyle w:val="FootnoteAnchor"/>
          <w:rtl w:val="true"/>
        </w:rPr>
        <w:footnoteReference w:id="34"/>
      </w:r>
      <w:r>
        <w:rPr>
          <w:rFonts w:ascii="Amiri" w:hAnsi="Amiri" w:eastAsia="Amiri" w:cs="Amiri"/>
          <w:color w:val="111111"/>
          <w:sz w:val="28"/>
          <w:sz w:val="28"/>
          <w:szCs w:val="28"/>
          <w:rtl w:val="true"/>
          <w:lang w:bidi="ar-SA"/>
        </w:rPr>
        <w:t xml:space="preserve">فإنّ الحمل على الأرش فيها ، يحتاج إلى تكلّف ،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ينبغي الإشكال في أ نّه ليس من تصنيفات الرضا علیه السلام كما لا يخفى على من راجعه وتدبّر في تعبيراته ، بل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يظهر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عالم ذي قريحة مستقيمة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مشتمل على روايات مرسلة ، وفتاوى من صاحبه ، وما حكي عنه في المقام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مضمونه قريباً من سائر الروايات</w:t>
      </w:r>
      <w:r>
        <w:rPr>
          <w:rStyle w:val="FootnoteAnchor"/>
          <w:rtl w:val="true"/>
        </w:rPr>
        <w:footnoteReference w:id="35"/>
      </w:r>
      <w:r>
        <w:rPr>
          <w:rFonts w:ascii="Amiri" w:hAnsi="Amiri" w:eastAsia="Amiri" w:cs="Amiri"/>
          <w:color w:val="111111"/>
          <w:sz w:val="28"/>
          <w:sz w:val="28"/>
          <w:szCs w:val="28"/>
          <w:rtl w:val="true"/>
          <w:lang w:bidi="ar-SA"/>
        </w:rPr>
        <w:t xml:space="preserve">، ولا سيّما مرسلة جميل </w:t>
      </w:r>
      <w:r>
        <w:rPr>
          <w:rStyle w:val="FootnoteAnchor"/>
          <w:rtl w:val="true"/>
        </w:rPr>
        <w:footnoteReference w:id="36"/>
      </w:r>
      <w:r>
        <w:rPr>
          <w:rFonts w:ascii="Amiri" w:hAnsi="Amiri" w:eastAsia="Amiri" w:cs="Amiri"/>
          <w:color w:val="111111"/>
          <w:sz w:val="28"/>
          <w:sz w:val="28"/>
          <w:szCs w:val="28"/>
          <w:rtl w:val="true"/>
          <w:lang w:bidi="ar-SA"/>
        </w:rPr>
        <w:t xml:space="preserve">وما حكي عنه بلا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فتوى صاحبه موافقاً للمشهور ، وليس رواية ، فراجع</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الأخبار ، هو ما عليه العرف والعقلاء ، إلاّ أنّ قيام الشهرة المحقّقة من زمن الصدوق والمفيد</w:t>
      </w:r>
      <w:r>
        <w:rPr>
          <w:rStyle w:val="FootnoteAnchor"/>
          <w:rtl w:val="true"/>
        </w:rPr>
        <w:footnoteReference w:id="38"/>
      </w:r>
      <w:r>
        <w:rPr>
          <w:rFonts w:ascii="Amiri" w:hAnsi="Amiri" w:eastAsia="Amiri" w:cs="Amiri"/>
          <w:color w:val="111111"/>
          <w:sz w:val="28"/>
          <w:sz w:val="28"/>
          <w:szCs w:val="28"/>
          <w:rtl w:val="true"/>
          <w:lang w:bidi="ar-SA"/>
        </w:rPr>
        <w:t xml:space="preserve"> إلى الأعصار المتأخّرة ، وكون المتون الفقهية مشحونة بالفتوى بالتخيير</w:t>
      </w:r>
      <w:r>
        <w:rPr>
          <w:rStyle w:val="FootnoteAnchor"/>
          <w:rtl w:val="true"/>
        </w:rPr>
        <w:footnoteReference w:id="39"/>
      </w:r>
      <w:r>
        <w:rPr>
          <w:rFonts w:ascii="Amiri" w:hAnsi="Amiri" w:eastAsia="Amiri" w:cs="Amiri"/>
          <w:color w:val="111111"/>
          <w:sz w:val="28"/>
          <w:sz w:val="28"/>
          <w:szCs w:val="28"/>
          <w:rtl w:val="true"/>
          <w:lang w:bidi="ar-SA"/>
        </w:rPr>
        <w:t>، مع كون الحكم مخالفاً للقواعد والأخبار المتظافرة ، يوجب رفض القاعدة ، وترك الأخذ بظاهر الأخبار ؛ فإنّ الشهرة في مثل ذلك معتبرة ، والأخذ بها بيّن رشده ، وليس على حجّية خبر الواحد دليل إلاّ بناء العقلاء</w:t>
      </w:r>
      <w:r>
        <w:rPr>
          <w:rStyle w:val="FootnoteAnchor"/>
          <w:rtl w:val="true"/>
        </w:rPr>
        <w:footnoteReference w:id="40"/>
      </w:r>
      <w:r>
        <w:rPr>
          <w:rFonts w:ascii="Amiri" w:hAnsi="Amiri" w:eastAsia="Amiri" w:cs="Amiri"/>
          <w:color w:val="111111"/>
          <w:sz w:val="28"/>
          <w:sz w:val="28"/>
          <w:szCs w:val="28"/>
          <w:rtl w:val="true"/>
          <w:lang w:bidi="ar-SA"/>
        </w:rPr>
        <w:t>، كما يظهر بالرجوع إلى الباب الذي ذكرت فيه الأخبار الموهمة لذلك</w:t>
      </w:r>
      <w:r>
        <w:rPr>
          <w:rStyle w:val="FootnoteAnchor"/>
          <w:rtl w:val="true"/>
        </w:rPr>
        <w:footnoteReference w:id="41"/>
      </w:r>
      <w:r>
        <w:rPr>
          <w:rFonts w:ascii="Amiri" w:hAnsi="Amiri" w:eastAsia="Amiri" w:cs="Amiri"/>
          <w:color w:val="111111"/>
          <w:sz w:val="28"/>
          <w:sz w:val="28"/>
          <w:szCs w:val="28"/>
          <w:rtl w:val="true"/>
          <w:lang w:bidi="ar-SA"/>
        </w:rPr>
        <w:t xml:space="preserve">، ولا بناء لهم على العمل بأخبار نقلها الناقلون ، وخالفوها عملاً ، وهذا ممّا لا ينبغي الإشكال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هنا إشكال آخر ؛ وهو أ نّه بناءً على ما يستفاد من بناء العقلاء الموافق لمضمون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الخيار تعييناً ، وسقوطه بالتصرّف ، والرجوع إلى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خيار العيب إلاّ مثل سائر الخيارات ؛ في أ نّه حقّ متعلّق بالعقد</w:t>
      </w:r>
      <w:r>
        <w:rPr>
          <w:rStyle w:val="FootnoteAnchor"/>
          <w:rtl w:val="true"/>
        </w:rPr>
        <w:footnoteReference w:id="42"/>
      </w:r>
      <w:r>
        <w:rPr>
          <w:rFonts w:ascii="Amiri" w:hAnsi="Amiri" w:eastAsia="Amiri" w:cs="Amiri"/>
          <w:color w:val="111111"/>
          <w:sz w:val="28"/>
          <w:sz w:val="28"/>
          <w:szCs w:val="28"/>
          <w:rtl w:val="true"/>
          <w:lang w:bidi="ar-SA"/>
        </w:rPr>
        <w:t xml:space="preserve"> أو العين</w:t>
      </w:r>
      <w:r>
        <w:rPr>
          <w:rStyle w:val="FootnoteAnchor"/>
          <w:rtl w:val="true"/>
        </w:rPr>
        <w:footnoteReference w:id="43"/>
      </w:r>
      <w:r>
        <w:rPr>
          <w:rFonts w:ascii="Amiri" w:hAnsi="Amiri" w:eastAsia="Amiri" w:cs="Amiri"/>
          <w:color w:val="111111"/>
          <w:sz w:val="28"/>
          <w:sz w:val="28"/>
          <w:szCs w:val="28"/>
          <w:rtl w:val="true"/>
          <w:lang w:bidi="ar-SA"/>
        </w:rPr>
        <w:t xml:space="preserve">، كما هو المتسالم بينهم في الخيار ، وهذا الحقّ ثابت لدى العقلاء ، كثبوته في خيار الغبن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ثبوته بالأخبار ، وإن كان الوارد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يمكن أن يكون ذلك كناية عن حقّ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ما هو المشهور ؛ من التخيير بين الردّ والأرش ، فإن كان المراد أنّ المشتري مخيّر عملاً بينهما ، من غير ثبوت حقّ متعلّق بالعقد أو العين ، فهو وإن لم يكن يرد عليه إشكال عقلي ، لكن لا بدّ من الالتزام بالفرق بين خيار العيب وغيره ، وأ نّه لا يورث ، ولا يسقط بالإسقاط ، وهو واضح الخلاف ، وواضح المخالفة لكلماتهم وفتاواهم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حقّ الردّ ، أو حقّ الأرش متعلّقاً بالعقد ، أو الأرش ، ففيه إشكال عقلي ؛ وهو أنّ الحقّ أمر وضعي اعتباري ثبوتي ، ولا يعقل الثبوت الترديدي ترديداً واقعياً ؛ أي ثبوت الفرد المردّد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وأولى بالامتناع أو نحوه ما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الحقّ مردّداً بين الثبوت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الثبوت المتعلّق بالأرش على عهدة البائع ، فلا بدّ على مبنى المشهور ، من التوجيه بوجه لا ينافي ثبوت حقّ الخيار بقاء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الجامع بينهما ، وهو نفس الحقّ المنتزع منهما ، والتقييد بنحو ينحصر بهما </w:t>
      </w:r>
      <w:r>
        <w:rPr>
          <w:rStyle w:val="FootnoteAnchor"/>
          <w:rtl w:val="true"/>
        </w:rPr>
        <w:footnoteReference w:id="45"/>
      </w:r>
      <w:r>
        <w:rPr>
          <w:rFonts w:ascii="Amiri" w:hAnsi="Amiri" w:eastAsia="Amiri" w:cs="Amiri"/>
          <w:color w:val="111111"/>
          <w:sz w:val="28"/>
          <w:sz w:val="28"/>
          <w:szCs w:val="28"/>
          <w:rtl w:val="true"/>
          <w:lang w:bidi="ar-SA"/>
        </w:rPr>
        <w:t>، نظير ما قال بعضهم في الواجب التخييري من أنّ المتعلّق هو الجامع بين الأطراف ، والأمر به تعييني ، وإنّما التخيير عقلي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فاسد في المقام ، وإن أغمضنا عن بطلانه هناك ؛ وذلك لأنّ المفروض أنّ الخيار حقّ متعلّق بالعقد ، ولا يعقل تعلّق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بالموجود الخارجي ، وإن كان العارض والمعروض من الاعتباريات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فالعقد الخارجي بما أنّه جزئي حقيقي ، فيما يعرضه لا يعقل أن يكون كلّياً قابلاً للصدق على كثيرين ، وفرض التعلّق بعنوان كلّي يكون العقد والأرش مصداقاً له ، خروج عمّا هو المتسالم بينهم ؛ من كون حقّ الفسخ قائماً بالعقد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عروض الكلّي على الكلّي أيضاً باطل ، فلا مجال لفرض كون المعروض كلّياً آخر جامعاً بين الموضوعين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وأوضح فساداً من ذلك ، هو الالتزام بأنّ التخيير هاهنا ، يرجع إلى الحقّ المشروط بعدم الأخذ بالطرف الآخر ، نظير ما قيل في الواجب التخييري</w:t>
      </w:r>
      <w:r>
        <w:rPr>
          <w:rStyle w:val="FootnoteAnchor"/>
          <w:rtl w:val="true"/>
        </w:rPr>
        <w:footnoteReference w:id="48"/>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الإشكال في المقيس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فاسد في المقام ؛ فإنّ الشرط إن كان عدم الأخذ في الجملة ، وبنحو صرف الوجود ، يكون في الآن الثاني مع عدم الأخذ بواحد منهما ، صاحب الحقّين في عرض واحد ؛ لتحقّق شرطهما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هو عدم الأخذ إلى قبيل موته ، فلازمه انتقال الحقّين إلى الورثة في عرض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الشرط عدم الأخذ مطلقاً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فساده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التوريث ، وعدم سقوطه بالإسقاط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المفاسد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هو مضمون الروايات هو ردّ العين ، أو أخذ التفاوت ، وكذا الفتاوى يكون الظاهر منها ، التعرّض للتخيير بين الردّ والأرش ، أو الفسخ والأرش ، والأحكام المتعلّقة بالحقّ ، حيث يظهر منهم عدم الفارق في الأحكام بين الخيارات ، من غير تعرّض للحقّ وكيفية تعلّقه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 الفسخ متعلّق بالعقد في العيب كسائر الخيارات ، وحقّ آخر له متعلّق بالأرش في خيار العيب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حقّان فعليان بلا تقييد ، لكن لا يعقل الجمع بينهما في مقام الاستيفاء ؛ فإنّ الفسخ إذا تحقّق رجعت العين الناقصة إلى البائع ، فارتفع الأرش موضوعاً ؛ </w:t>
      </w:r>
      <w:bookmarkStart w:id="42" w:name="pg15222_162164"/>
    </w:p>
    <w:p>
      <w:pPr>
        <w:pStyle w:val="BookText"/>
        <w:rPr/>
      </w:pPr>
      <w:bookmarkEnd w:id="42"/>
      <w:r>
        <w:rPr>
          <w:rFonts w:ascii="Amiri" w:hAnsi="Amiri" w:eastAsia="Amiri" w:cs="Amiri"/>
          <w:color w:val="111111"/>
          <w:sz w:val="28"/>
          <w:sz w:val="28"/>
          <w:szCs w:val="28"/>
          <w:rtl w:val="true"/>
          <w:lang w:bidi="ar-SA"/>
        </w:rPr>
        <w:t xml:space="preserve">ضرورة أنّ الأرش إنّما يأخذه المشتري ، للنقص الموجود فيما انتقل إليه بالعقد ، كما أنّ أخذ الأرش لا يجتمع مع الفسخ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إمكان الجمع بين الحقّين في مقام الاستيفاء ، تصير النتيجة هي التخيير بينهما ، والحقّان إذا انتقلا إلى الوارث ، يكون الحكم فيهما كذلك ، وبهذا يجمع بين الفتاوى ، ولا تنافيه الأخبار أيضاً ، وتندفع بذلك المحاذير المتقدّمة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 w:name="__RefHeading___Toc3331532_2142443653"/>
      <w:bookmarkStart w:id="44" w:name="_Toc15"/>
      <w:bookmarkEnd w:id="43"/>
      <w:r>
        <w:rPr>
          <w:rtl w:val="true"/>
        </w:rPr>
        <w:t>في ثبوت التخيير بين الردّ والأرش لخصوص المشتري</w:t>
      </w:r>
      <w:bookmarkEnd w:id="44"/>
    </w:p>
    <w:p>
      <w:pPr>
        <w:pStyle w:val="BookText"/>
        <w:rPr/>
      </w:pPr>
      <w:r>
        <w:rPr>
          <w:rFonts w:ascii="Amiri" w:hAnsi="Amiri" w:eastAsia="Amiri" w:cs="Amiri"/>
          <w:color w:val="111111"/>
          <w:sz w:val="28"/>
          <w:sz w:val="28"/>
          <w:szCs w:val="28"/>
          <w:rtl w:val="true"/>
          <w:lang w:bidi="ar-SA"/>
        </w:rPr>
        <w:t xml:space="preserve">ثمّ إنّ مقتضى الجمود على ظاهر الأخبار بل الفتاوى ، هو ثبوت التخيير لخصوص المشتري ، في خصوص المبيع ، فيما إذا بيعت السلعة بالثمن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الثمن المنتقل إلى البائع إذا ظهر معيباً ، فهو خارج عن مصبّهما ، وكذا المبادلة بين السلعتين إذا ظهر العيب في إحداهما ، ولازمه عدم التخيير بينهما في المبادلة بين السلعتين ، بل عدم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مستفاد من الأخبار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أصل الخيار للمتبايعين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البيع بالمبادلة بين السلعتين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فيه ؛ ضرورة عدم الفرق في نظر العرف بين السلعتين في ذلك ، إذا اُنشئ البيع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التبادل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بل يمكن دعوى ثبوته بالأخبار أيضاً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صادقان على الطرفين في مثل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المبادلة غير البيع</w:t>
      </w:r>
      <w:r>
        <w:rPr>
          <w:rStyle w:val="FootnoteAnchor"/>
          <w:rtl w:val="true"/>
        </w:rPr>
        <w:footnoteReference w:id="51"/>
      </w:r>
      <w:r>
        <w:rPr>
          <w:rFonts w:ascii="Amiri" w:hAnsi="Amiri" w:eastAsia="Amiri" w:cs="Amiri"/>
          <w:color w:val="111111"/>
          <w:sz w:val="28"/>
          <w:sz w:val="28"/>
          <w:szCs w:val="28"/>
          <w:rtl w:val="true"/>
          <w:lang w:bidi="ar-SA"/>
        </w:rPr>
        <w:t xml:space="preserve">فاسد جدّاً ؛ فإنّ البيع هو مبادلة مال بمال ، أو تمليك عين بعوض ، وهما صادقان على المبادلة بين السلعتين ، ومع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هنا بائع ومشترٍ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ودعوى الانصراف</w:t>
      </w:r>
      <w:r>
        <w:rPr>
          <w:rStyle w:val="FootnoteAnchor"/>
          <w:rtl w:val="true"/>
        </w:rPr>
        <w:footnoteReference w:id="52"/>
      </w:r>
      <w:r>
        <w:rPr>
          <w:rFonts w:ascii="Amiri" w:hAnsi="Amiri" w:eastAsia="Amiri" w:cs="Amiri"/>
          <w:color w:val="111111"/>
          <w:sz w:val="28"/>
          <w:sz w:val="28"/>
          <w:szCs w:val="28"/>
          <w:rtl w:val="true"/>
          <w:lang w:bidi="ar-SA"/>
        </w:rPr>
        <w:t>في غير محلّها ؛ فإنّه بدوي ، بل دعوى إلغاء الخصوصية أولى ، ومن ذلك يمكن دعوى عدم الفرق في معاقد الإجماع</w:t>
      </w:r>
      <w:r>
        <w:rPr>
          <w:rStyle w:val="FootnoteAnchor"/>
          <w:rtl w:val="true"/>
        </w:rPr>
        <w:footnoteReference w:id="53"/>
      </w:r>
      <w:r>
        <w:rPr>
          <w:rFonts w:ascii="Amiri" w:hAnsi="Amiri" w:eastAsia="Amiri" w:cs="Amiri"/>
          <w:color w:val="111111"/>
          <w:sz w:val="28"/>
          <w:sz w:val="28"/>
          <w:szCs w:val="28"/>
          <w:rtl w:val="true"/>
          <w:lang w:bidi="ar-SA"/>
        </w:rPr>
        <w:t>، وكذا في متون الفقه</w:t>
      </w:r>
      <w:r>
        <w:rPr>
          <w:rStyle w:val="FootnoteAnchor"/>
          <w:rtl w:val="true"/>
        </w:rPr>
        <w:footnoteReference w:id="54"/>
      </w:r>
      <w:r>
        <w:rPr>
          <w:rFonts w:ascii="Amiri" w:hAnsi="Amiri" w:eastAsia="Amiri" w:cs="Amiri"/>
          <w:color w:val="111111"/>
          <w:sz w:val="28"/>
          <w:sz w:val="28"/>
          <w:szCs w:val="28"/>
          <w:rtl w:val="true"/>
          <w:lang w:bidi="ar-SA"/>
        </w:rPr>
        <w:t xml:space="preserve">، فيثبت التخيير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فيما إذا باع بثمن فظهر فيه عيب ، فاستفادة التخيير الذي هو تعبّدي محض مشكلة ، لكن أصل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التصرّف أو التعذّر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عقلائي ، من غير فرق بين الثمن والمثمن ، وهذا الحكم العقلائي غير المردوع عنه 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إثبات التخيير بينهما في الثمن ؛ بدعوى الإجماع أو الشهرة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يثبت الإجماع ولا الشهرة في المقام ، بل لا تعرّض في الفتاوى </w:t>
      </w:r>
      <w:bookmarkStart w:id="45" w:name="pg15222_162166"/>
    </w:p>
    <w:p>
      <w:pPr>
        <w:pStyle w:val="BookText"/>
        <w:rPr/>
      </w:pPr>
      <w:bookmarkEnd w:id="45"/>
      <w:r>
        <w:rPr>
          <w:rFonts w:ascii="Amiri" w:hAnsi="Amiri" w:eastAsia="Amiri" w:cs="Amiri"/>
          <w:color w:val="111111"/>
          <w:sz w:val="28"/>
          <w:sz w:val="28"/>
          <w:szCs w:val="28"/>
          <w:rtl w:val="true"/>
          <w:lang w:bidi="ar-SA"/>
        </w:rPr>
        <w:t xml:space="preserve">غالباً للعيب في الثمن ، ومقتضى القواعد التفصيل بين الثمن والمثمن بما عرفت ، وعدم معلومية القائل بالفصل ، 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ثبوت الإجماع أو الشهرة المعتمدة في المثمن ، يلغي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المناسبات والارتكازات المغروسة في ذهنهم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الخصوصية ، ويرون أنّ ثبوت الحكم إنّما هو لأجل العيب ، وملاحظة حال من انتقل إليه المعيب ؛ لئلاّ يقع في الضرر ، ولا فرق بينهما </w:t>
      </w:r>
      <w:r>
        <w:rPr>
          <w:rStyle w:val="FootnoteAnchor"/>
          <w:rtl w:val="true"/>
        </w:rPr>
        <w:footnoteReference w:id="56"/>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حال الثمن والمثمن إذا كانا من الأعيان الخارجية </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331534_2142443653"/>
      <w:bookmarkStart w:id="47" w:name="_Toc16"/>
      <w:bookmarkEnd w:id="46"/>
      <w:r>
        <w:rPr>
          <w:rtl w:val="true"/>
        </w:rPr>
        <w:t>حكم ما لو كان العوضان أو أحدهما كلّياً</w:t>
      </w:r>
      <w:bookmarkEnd w:id="47"/>
    </w:p>
    <w:p>
      <w:pPr>
        <w:pStyle w:val="BookText"/>
        <w:rPr/>
      </w:pPr>
      <w:r>
        <w:rPr>
          <w:rFonts w:ascii="Amiri" w:hAnsi="Amiri" w:eastAsia="Amiri" w:cs="Amiri"/>
          <w:color w:val="111111"/>
          <w:sz w:val="28"/>
          <w:sz w:val="28"/>
          <w:szCs w:val="28"/>
          <w:rtl w:val="true"/>
          <w:lang w:bidi="ar-SA"/>
        </w:rPr>
        <w:t>حكم خيار العيب فيما لو كان العوضان أو أحدهما كلّياً</w:t>
      </w:r>
    </w:p>
    <w:p>
      <w:pPr>
        <w:pStyle w:val="BookText"/>
        <w:rPr/>
      </w:pPr>
      <w:r>
        <w:rPr>
          <w:rFonts w:ascii="Amiri" w:hAnsi="Amiri" w:eastAsia="Amiri" w:cs="Amiri"/>
          <w:color w:val="111111"/>
          <w:sz w:val="28"/>
          <w:sz w:val="28"/>
          <w:szCs w:val="28"/>
          <w:rtl w:val="true"/>
          <w:lang w:bidi="ar-SA"/>
        </w:rPr>
        <w:t xml:space="preserve">وأمّا إذا كان أحدهما أو كلاهما كلّياً ، كما هو كذلك غالباً في طرف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يثبت فيه خيار العيب أم لا ؟</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يثبت الأرش أم لا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بحسب التصوّر ، يمكن أن يكون الكلّي المتعلّق للعقد ، موصوفاً لفظاً بوصف الصحّة أو منصرفاً إلى ذلك ؛ بحيث يكون المتعلّق هو الموصوف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وصف الصحّة شرطاً لفظاً، أو شرطاً ضمنياً يعدّ كشرط لفظي</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المتعلّق نفس الكلّي ، بلا وصف ، ولا شرط ، ويكون رفع </w:t>
      </w:r>
    </w:p>
    <w:p>
      <w:pPr>
        <w:pStyle w:val="BookText"/>
        <w:rPr/>
      </w:pPr>
      <w:r>
        <w:rPr>
          <w:rFonts w:ascii="Amiri" w:hAnsi="Amiri" w:eastAsia="Amiri" w:cs="Amiri"/>
          <w:color w:val="111111"/>
          <w:sz w:val="28"/>
          <w:sz w:val="28"/>
          <w:szCs w:val="28"/>
          <w:rtl w:val="true"/>
          <w:lang w:bidi="ar-SA"/>
        </w:rPr>
        <w:t xml:space="preserve">غرر المشتري باعتقاد الصحّة في جميع أفراد الكلّي ، أو بالاتّكال على أصالة الصحّة ، بناءً على جريانها في الكلّيات باعتبار أفرادها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فرض التوصيف انصرافاً أو لفظاً ، لا ينبغي الإشكال في أنّ تسليم الفرد المعيب ، لا يكون وفاء بالعقد ؛ ضرورة أنّ المتعلّق هو الكلّي الموصوف ، وهو لا ينطبق على المجرّد عن الصفة ، فضلاً عن المتّصف بضدّها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الموصوف يكون من قبيل تعدّد المطلوب ، فلو رضي المشتري بالمعيب ، لم يكن خارجاً عن المبيع</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يعقل تعلّق الإنشاء الواحد بالصحيح الذي هو المطلوب الأعلى ، وعلى فرض فقدان الوصف بالمعيب ، أو نفس الطبيعة ؛ ضرورة أنّ الإنشاء الوحداني ، لا يعقل أن يكون معلّقاً وغير معلّق ، كما هو الشأن في باب تعدّد المطلوب ، فإنّ المطلوب الداني لا يكون في عرض العالي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الانحلال في المقام محال لذلك ، وغير صحيح على فرض العرضية ؛ لعدم صحّة الانحلال إلى بيع الطبيعة ووصفها ، فلا بدّ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بالانحلال إلى الموصوف بالصفة ، ونفس الطبيعة ، فيكون البيع متعلّقاً بالطبيعة مرّتين ، مرّة استقلالاً ، ومرّة ضمناً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الانحلال لا يصحّ إلاّ في بعض الموارد ، التي ليس المورد منها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لازم تعدّد البيع بهذا المعنى ، حصول الوفاء بالنسبة إلى أحدهما ، وعدم صحّة الردّ ، ونقض الوفاء بالنسبة إليه ، ولزوم الوفاء بالعقد الثاني ، وهو واضح الفساد في المقام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الإنشاء واحداً غير منحلّ عرضاً ، كما هو مراد القائل من تعدّد المطلوب ، فلا بدّ أن يكون التعلّق طولياً حتّى لا يلزم تعدّد البيع ، والمبيع ، ولوازمهما ، ولا يعقل ذلك لما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تعدّد المطلوب بهذا المعنى ، غير معقول في الأوامر أيضاً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 الرقبة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وجوب العتق متعلّقاً بالمؤمنة ، وعلى فرض التعذّر أو العصيان بغيرها ، بل لا يعقل الانحلال الطولي لا في المقام ، ولا في الأوامر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إذا علم من حال الآمر أنّ نفس الطبيعة مطلوبة ، والموصوفة مطلوبة اُخرى أعلى ، وإنّما أمر بالأعلى لذلك ، يجب عليه الإتيان بالأعلى ، وعلى فرض التعذّر فبالأدنى ، لا لتعلّق الأمر بهما مترتّباً ؛ فإنّه غير معقول ، بل لأنّ العلم</w:t>
      </w:r>
    </w:p>
    <w:p>
      <w:pPr>
        <w:pStyle w:val="BookText"/>
        <w:rPr/>
      </w:pPr>
      <w:r>
        <w:rPr>
          <w:rFonts w:ascii="Amiri" w:hAnsi="Amiri" w:eastAsia="Amiri" w:cs="Amiri"/>
          <w:color w:val="111111"/>
          <w:sz w:val="28"/>
          <w:sz w:val="28"/>
          <w:szCs w:val="28"/>
          <w:rtl w:val="true"/>
          <w:lang w:bidi="ar-SA"/>
        </w:rPr>
        <w:t xml:space="preserve">بمطلوب المولى ، موجب لوجوب تحصيله عقلاً ولو لم يأمر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الصحّة غير مقوّم لذات المبيع ، فينطبق كلّي المبيع بذاته عليه ، فالوصف وإن كان مضيّقاً لدائرة الكلّي ، وموجباً لصيرورة المبيع حصّة خاصّة ، إلاّ أنّ ذات المبيع حيث كانت محفوظة ، فالانطباق من حيث الذات محقّق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من المغالطة ؛ ضرورة أنّ ما ينطبق على الواجد والفاقد ، إنّما هو نفس الطبيعة لا بشرط ، دون الطبيعة الموصوفة أو الملحوظة موصوفة ؛ فإنّها غير قابلة للانطباق على المجرّد ، وعقد البيع تعلّق بالطبيعة الموصوفة أو </w:t>
      </w:r>
    </w:p>
    <w:p>
      <w:pPr>
        <w:pStyle w:val="BookText"/>
        <w:rPr/>
      </w:pPr>
      <w:r>
        <w:rPr>
          <w:rFonts w:ascii="Amiri" w:hAnsi="Amiri" w:eastAsia="Amiri" w:cs="Amiri"/>
          <w:color w:val="111111"/>
          <w:sz w:val="28"/>
          <w:sz w:val="28"/>
          <w:szCs w:val="28"/>
          <w:rtl w:val="true"/>
          <w:lang w:bidi="ar-SA"/>
        </w:rPr>
        <w:t xml:space="preserve">بتعبيره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بالطبيعة بلا قيد وشرط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متعلّق العقد ، غير ممكن الانطباق على المجرّد ، وما هو ممكن الانطباق غير متعلّق له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المقبوض ليس مصداقاً للمبيع ، فتوهّم إجراء خيار العيب فيه</w:t>
      </w:r>
      <w:r>
        <w:rPr>
          <w:rStyle w:val="FootnoteAnchor"/>
          <w:rtl w:val="true"/>
        </w:rPr>
        <w:footnoteReference w:id="59"/>
      </w:r>
      <w:r>
        <w:rPr>
          <w:rFonts w:ascii="IRNazanin" w:hAnsi="IRNazanin" w:eastAsia="IRNazanin"/>
          <w:color w:val="111111"/>
          <w:sz w:val="28"/>
          <w:sz w:val="28"/>
          <w:szCs w:val="28"/>
          <w:rtl w:val="true"/>
          <w:lang w:bidi="fa-IR"/>
        </w:rPr>
        <w:t xml:space="preserve">فاسد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حال المبيع الموصوف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الوصف شرطاً ضمنياً أو صريحاً ، فلا محالة يكون المبيع نفس الطبيعة ، لا الموصوفة ، وإنّما يكون الوصف شرطاً في ضمن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الطبيعة الكلّية ، لا تتّصف بالصحّة والعيب قبل وجودها ؛ فإنّهما من عوارض وجودها ، أو من عوارضها في ظرف الوجود ، فلا يكون المبيع معيوباً ، وما هو المعيوب هو مصداق الطبيعة الذي لم يتعلّق به العقد ، ومعه لا مجال لخيار العيب ؛ لأ نّه إنّما يثبت في العقد الذي يكون متعلّقه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المصداق إذا وجد في الخارج ،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مبيع</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واضح الضعف ؛ ضرورة أنّ المصداق لم يتعلّق به العقد ، وإنّما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باعتبار كون الطبيعة موجودة به ، وهي متعلّقة للعقد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فالمبيع في الفرض مقبوض ، وللمشتري خيار تخلّف الشرط لو تعذّر العمل به ، وإلاّ فيجب عليه العمل به ، فللمشتري ردّ الفاقد للشرط ، ومطالبة واجده ، بل له إلزامه بذلك ؛ لوجوب وفائه بالشرط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هذا الفرض أيضاً ، لا معنى لخيار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فرض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لم يكن توصيف ولا اشتراط ، بل أقدم المشتري على شراء نفس الطبيعة ؛ لاعتقاد صحّة مصاديقها ، أو للاتّكال على أصالة الصحّة في مصاديقها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لا معنى لخيار العيب فيه ؛ لأنّ الصحّة والعيب ، من صفات الموجود الخارجي وهو المصداق ، والطبيعة الكلّية لا تتّصف بشيء من الصفات مطلقاً ، والتوصيفات كلّها ترجع إلى التقييدات في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متعلّق العقد ، لم يكن معيباً جهل به المشتري ، ولم يكن مصبّ أصالة الصحّة ، ولا متعلّق اعتقاد المشتري بالصحّة ، وما هو معيب لم يتعلّق به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معنى لخيار العيب في الكلّيات ، ولا لخيار تخلّف الوصف أو القيد ؛ لما تقدّم ، فالأوفق بالقواعد عدم ثبوت خيار له ، ولزوم قبول الفرد المعيب ؛ لأنّ مجرّد تخيّله الصحّة في المصاديق ، 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كون بناء العرف على ردّ المعيب ، وعدم قبوله ، فلا بدّ من الالتزام بتعارف التقييد الضمني ، حتّى لا يصدق المتقيّد على المصداق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كون بنائهم على الخيار ، فلا بدّ من الالتزام بالاشتراط الضمني ومعهودية ذلك ، وثبوته محلّ إشكال وترديد ، والكلام هاهنا في خيار العيب ، وهو منفيّ بلا ريب </w:t>
      </w:r>
      <w:r>
        <w:rPr>
          <w:rFonts w:eastAsia="Amiri" w:cs="Amiri" w:ascii="Amiri" w:hAnsi="Amiri"/>
          <w:color w:val="111111"/>
          <w:sz w:val="28"/>
          <w:szCs w:val="28"/>
          <w:rtl w:val="true"/>
          <w:lang w:bidi="ar-SA"/>
        </w:rPr>
        <w:t xml:space="preserve">. </w:t>
      </w:r>
      <w:bookmarkStart w:id="48" w:name="pg15222_162171"/>
    </w:p>
    <w:p>
      <w:pPr>
        <w:pStyle w:val="Heading4"/>
        <w:numPr>
          <w:ilvl w:val="3"/>
          <w:numId w:val="1"/>
        </w:numPr>
        <w:rPr/>
      </w:pPr>
      <w:bookmarkStart w:id="49" w:name="__RefHeading___Toc3331536_2142443653"/>
      <w:bookmarkStart w:id="50" w:name="_Toc17"/>
      <w:bookmarkEnd w:id="48"/>
      <w:bookmarkEnd w:id="49"/>
      <w:r>
        <w:rPr>
          <w:rtl w:val="true"/>
        </w:rPr>
        <w:t>ظهور العيب كاشف عن تحقّق الخيار لا مثبت</w:t>
      </w:r>
      <w:bookmarkEnd w:id="50"/>
    </w:p>
    <w:p>
      <w:pPr>
        <w:pStyle w:val="BookText"/>
        <w:rPr/>
      </w:pPr>
      <w:r>
        <w:rPr>
          <w:rFonts w:ascii="Amiri" w:hAnsi="Amiri" w:eastAsia="Amiri" w:cs="Amiri"/>
          <w:color w:val="111111"/>
          <w:sz w:val="28"/>
          <w:sz w:val="28"/>
          <w:szCs w:val="28"/>
          <w:rtl w:val="true"/>
          <w:lang w:bidi="ar-SA"/>
        </w:rPr>
        <w:t xml:space="preserve">ثمّ إنّه لا ينبغي الإشكال في أنّ ظهور العيب كاشف ، لا مثبت ، وأنّ العناوين المأخوذة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العناوين الطريقية ، وليست قيوداً في الموضوع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في نفسه مع قطع النظر عن خصوصية المورد واضح ، فضلاً عن أنّ الخيار بل والأرش في المقام عقلائيان ، ولا ينقدح في ذهن العرف إلاّ ما هو المعهود بينهم ، ومضافاً إلى مناسبة الحكم والموضوع ، من غير فرق </w:t>
      </w:r>
    </w:p>
    <w:p>
      <w:pPr>
        <w:pStyle w:val="BookText"/>
        <w:rPr/>
      </w:pPr>
      <w:r>
        <w:rPr>
          <w:rFonts w:ascii="Amiri" w:hAnsi="Amiri" w:eastAsia="Amiri" w:cs="Amiri"/>
          <w:color w:val="111111"/>
          <w:sz w:val="28"/>
          <w:sz w:val="28"/>
          <w:szCs w:val="28"/>
          <w:rtl w:val="true"/>
          <w:lang w:bidi="ar-SA"/>
        </w:rPr>
        <w:t xml:space="preserve">بين حقّ الفسخ وحقّ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 الشيخ الأعظم قدّس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ثبوت الخيار هنا بنفس العيب ، أنّ استحقاق المطالبة بالأرش ، الذي هو أحد طرفي الخيار ، لا معنى لثبوته بظهور العيب ، بل هو ثابت بنفس انتفاء وصفه</w:t>
      </w:r>
      <w:r>
        <w:rPr>
          <w:rStyle w:val="FootnoteAnchor"/>
          <w:rtl w:val="true"/>
        </w:rPr>
        <w:footnoteReference w:id="6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فغير ظاهر ؛ لأنّ تلك العناوين المأخوذة في الروايات لو احتمل كونها جزء موضوع ، لكان الأرش أولى في ذلك من الخيار ؛ لأنّ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شذّ منها </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متعرّضة للأرش ، لا لخيار الفسخ ، 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الأرش عند ظهور العيب ، مؤيّد لكون خيار الفسخ أيضاً عند ظهوره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الروايات ، دالّ على ثبوت خيار الفسخ بنفس العيب ، كرواية داود بن فرقد</w:t>
      </w:r>
      <w:r>
        <w:rPr>
          <w:rStyle w:val="FootnoteAnchor"/>
          <w:rtl w:val="true"/>
        </w:rPr>
        <w:footnoteReference w:id="66"/>
      </w:r>
      <w:r>
        <w:rPr>
          <w:rFonts w:ascii="Amiri" w:hAnsi="Amiri" w:eastAsia="Amiri" w:cs="Amiri"/>
          <w:color w:val="111111"/>
          <w:sz w:val="28"/>
          <w:sz w:val="28"/>
          <w:szCs w:val="28"/>
          <w:rtl w:val="true"/>
          <w:lang w:bidi="ar-SA"/>
        </w:rPr>
        <w:t xml:space="preserve">وهو مؤيّد لكون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فيه الوجدان ، أو الظهور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العيب ، والأمر سهل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فرض ثبوت خيار العيب للكلّي ، لا بدّ من البحث في أ نّه ثابت عند ظهور العيب في المصداق، أو عند تسليمه، وأمّا الثبوت من حال العقد فلا معنى له</w:t>
      </w:r>
      <w:r>
        <w:rPr>
          <w:rFonts w:eastAsia="Amiri" w:cs="Amiri" w:ascii="Amiri" w:hAnsi="Amiri"/>
          <w:color w:val="111111"/>
          <w:sz w:val="28"/>
          <w:szCs w:val="28"/>
          <w:rtl w:val="true"/>
          <w:lang w:bidi="ar-SA"/>
        </w:rPr>
        <w:t xml:space="preserve">. </w:t>
      </w:r>
      <w:bookmarkStart w:id="51" w:name="pg15222_162173"/>
    </w:p>
    <w:p>
      <w:pPr>
        <w:pStyle w:val="Heading2"/>
        <w:numPr>
          <w:ilvl w:val="1"/>
          <w:numId w:val="1"/>
        </w:numPr>
        <w:rPr/>
      </w:pPr>
      <w:bookmarkStart w:id="52" w:name="__RefHeading___Toc3331538_2142443653"/>
      <w:bookmarkStart w:id="53" w:name="_Toc18"/>
      <w:bookmarkEnd w:id="51"/>
      <w:bookmarkEnd w:id="52"/>
      <w:r>
        <w:rPr>
          <w:rtl w:val="true"/>
        </w:rPr>
        <w:t>القول في المسقطات</w:t>
      </w:r>
      <w:bookmarkEnd w:id="5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3331540_2142443653"/>
      <w:bookmarkStart w:id="55" w:name="_Toc19"/>
      <w:bookmarkEnd w:id="54"/>
      <w:r>
        <w:rPr>
          <w:rtl w:val="true"/>
        </w:rPr>
        <w:t>اشارة</w:t>
      </w:r>
      <w:bookmarkEnd w:id="5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5222_162175"/>
      <w:bookmarkStart w:id="57" w:name="pg15222_162175"/>
      <w:bookmarkEnd w:id="57"/>
    </w:p>
    <w:p>
      <w:pPr>
        <w:pStyle w:val="Heading3"/>
        <w:numPr>
          <w:ilvl w:val="2"/>
          <w:numId w:val="1"/>
        </w:numPr>
        <w:rPr/>
      </w:pPr>
      <w:bookmarkStart w:id="58" w:name="pg15222_162175"/>
      <w:bookmarkStart w:id="59" w:name="__RefHeading___Toc3331542_2142443653"/>
      <w:bookmarkStart w:id="60" w:name="_Toc20"/>
      <w:bookmarkEnd w:id="58"/>
      <w:bookmarkEnd w:id="59"/>
      <w:r>
        <w:rPr>
          <w:rtl w:val="true"/>
        </w:rPr>
        <w:t xml:space="preserve">مسألة </w:t>
      </w:r>
      <w:r>
        <w:rPr>
          <w:rtl w:val="true"/>
        </w:rPr>
        <w:t xml:space="preserve">: </w:t>
      </w:r>
      <w:r>
        <w:rPr>
          <w:rtl w:val="true"/>
        </w:rPr>
        <w:t>فيما يسقط به خيار الفسخ خاصّة</w:t>
      </w:r>
      <w:bookmarkEnd w:id="60"/>
    </w:p>
    <w:p>
      <w:pPr>
        <w:pStyle w:val="Heading4"/>
        <w:numPr>
          <w:ilvl w:val="3"/>
          <w:numId w:val="1"/>
        </w:numPr>
        <w:rPr/>
      </w:pPr>
      <w:bookmarkStart w:id="61" w:name="__RefHeading___Toc3331544_2142443653"/>
      <w:bookmarkStart w:id="62" w:name="_Toc21"/>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خيار العيب حقّين معيّنين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بالعقد ، وهو حقّ الفسخ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الأرش ، أو 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التخيير في الأخذ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الفسخ أو الأرش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اجتماعهما في الخارج</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ثبوت الحقّ الواحد المتعلّق بواحد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السيّد الطباطبائي قدّس سرّه في تعليقته</w:t>
      </w:r>
      <w:r>
        <w:rPr>
          <w:rStyle w:val="FootnoteAnchor"/>
          <w:rtl w:val="true"/>
        </w:rPr>
        <w:footnoteReference w:id="68"/>
      </w:r>
      <w:r>
        <w:rPr>
          <w:rFonts w:ascii="IRNazanin" w:hAnsi="IRNazanin" w:eastAsia="IRNazanin"/>
          <w:color w:val="111111"/>
          <w:sz w:val="28"/>
          <w:sz w:val="28"/>
          <w:szCs w:val="28"/>
          <w:rtl w:val="true"/>
          <w:lang w:bidi="fa-IR"/>
        </w:rPr>
        <w:t>، وصرّح بعض آخر به</w:t>
      </w:r>
      <w:r>
        <w:rPr>
          <w:rStyle w:val="FootnoteAnchor"/>
          <w:rtl w:val="true"/>
        </w:rPr>
        <w:footnoteReference w:id="69"/>
      </w:r>
      <w:r>
        <w:rPr>
          <w:rFonts w:ascii="Amiri" w:hAnsi="Amiri" w:eastAsia="Amiri" w:cs="Amiri"/>
          <w:color w:val="111111"/>
          <w:sz w:val="28"/>
          <w:sz w:val="28"/>
          <w:szCs w:val="28"/>
          <w:rtl w:val="true"/>
          <w:lang w:bidi="ar-SA"/>
        </w:rPr>
        <w:t>، وهو محتمل كلام الشيخ قدّس سرّه هاهنا أو ظاهره</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محال </w:t>
      </w:r>
      <w:r>
        <w:rPr>
          <w:rFonts w:eastAsia="IRNazanin" w:cs="IRNazanin"/>
          <w:color w:val="111111"/>
          <w:sz w:val="28"/>
          <w:szCs w:val="28"/>
          <w:rtl w:val="true"/>
          <w:lang w:bidi="fa-IR"/>
        </w:rPr>
        <w:t xml:space="preserve">. </w:t>
      </w:r>
      <w:bookmarkStart w:id="63" w:name="pg15222_162176"/>
    </w:p>
    <w:p>
      <w:pPr>
        <w:pStyle w:val="BookText"/>
        <w:rPr/>
      </w:pPr>
      <w:bookmarkEnd w:id="63"/>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كلمات الأصحاب لا تنافي ما ذكرناه ؛ فإنّها متعرّضة للتخيير بين الردّ والأرش ، أو الفسخ والأرش ، من غير تعرّض للحقّ وموضوعه</w:t>
      </w:r>
      <w:r>
        <w:rPr>
          <w:rStyle w:val="FootnoteAnchor"/>
          <w:rtl w:val="true"/>
        </w:rPr>
        <w:footnoteReference w:id="71"/>
      </w:r>
      <w:r>
        <w:rPr>
          <w:rFonts w:ascii="Amiri" w:hAnsi="Amiri" w:eastAsia="Amiri" w:cs="Amiri"/>
          <w:color w:val="111111"/>
          <w:sz w:val="28"/>
          <w:sz w:val="28"/>
          <w:szCs w:val="28"/>
          <w:rtl w:val="true"/>
          <w:lang w:bidi="ar-SA"/>
        </w:rPr>
        <w:t xml:space="preserve">، فعليه لكلّ منهما مسقطات ، ولهما أيضاً كذلك </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331546_2142443653"/>
      <w:bookmarkStart w:id="65" w:name="_Toc22"/>
      <w:bookmarkEnd w:id="64"/>
      <w:r>
        <w:rPr>
          <w:rtl w:val="true"/>
        </w:rPr>
        <w:t xml:space="preserve">وهو يسقط باُمور </w:t>
      </w:r>
      <w:r>
        <w:rPr>
          <w:rtl w:val="true"/>
        </w:rPr>
        <w:t>:</w:t>
      </w:r>
      <w:bookmarkEnd w:id="65"/>
    </w:p>
    <w:p>
      <w:pPr>
        <w:pStyle w:val="Heading5"/>
        <w:numPr>
          <w:ilvl w:val="4"/>
          <w:numId w:val="1"/>
        </w:numPr>
        <w:rPr/>
      </w:pPr>
      <w:bookmarkStart w:id="66" w:name="__RefHeading___Toc3331548_2142443653"/>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خيار الفسخ خاصّة باُمور </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3331550_2142443653"/>
      <w:bookmarkStart w:id="69" w:name="_Toc24"/>
      <w:bookmarkEnd w:id="68"/>
      <w:r>
        <w:rPr>
          <w:rtl w:val="true"/>
        </w:rPr>
        <w:t xml:space="preserve">الأوّل </w:t>
      </w:r>
      <w:r>
        <w:rPr>
          <w:rtl w:val="true"/>
        </w:rPr>
        <w:t xml:space="preserve">: </w:t>
      </w:r>
      <w:r>
        <w:rPr>
          <w:rtl w:val="true"/>
        </w:rPr>
        <w:t>إسقاط الخيار صريحاً</w:t>
      </w:r>
      <w:bookmarkEnd w:id="69"/>
    </w:p>
    <w:p>
      <w:pPr>
        <w:pStyle w:val="Heading6"/>
        <w:numPr>
          <w:ilvl w:val="5"/>
          <w:numId w:val="1"/>
        </w:numPr>
        <w:rPr/>
      </w:pPr>
      <w:bookmarkStart w:id="70" w:name="__RefHeading___Toc3331552_2142443653"/>
      <w:bookmarkStart w:id="71" w:name="_Toc25"/>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وذلك بمثل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خيار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يحتاج إلى ضمّ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واخترت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يعقل إسقاط حقّ الأرش بإسقاط خيار الفسخ ؛ فإنّه حقّ مستقلّ متعلّق بموضوع آخر ، ولا يكون خياراً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التزمت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كناية عن إسقاط خيار الفسخ ، ولا يتناسب مع إسقاط حقّ الأرش ؛ لأ نّه غير متعلّق بالعقد كما هو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إسقاط الخيار أيضاً ، إسقاط حقّ الفسخ ، لا الأرش ؛ لأ نّه ليس بخيار ، ولا طرفاً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تعبير الشيخ الأعظم قدّس سرّه في المقام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مسقطات هذا الخيار بطرفيه ، أو أحدهما</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مسامحة ، أو مستلزم للالتزام بأمر محال ؛ وهو ثبوت حقّ واحد ، متعلّق بشيئين على سبيل التخيير والتردّد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إسقاط الردّ</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مسامحة ، أو إشكالاً واضحاً ؛ فإنّ الردّ الذي </w:t>
      </w:r>
    </w:p>
    <w:p>
      <w:pPr>
        <w:pStyle w:val="BookText"/>
        <w:rPr/>
      </w:pPr>
      <w:r>
        <w:rPr>
          <w:rFonts w:ascii="Amiri" w:hAnsi="Amiri" w:eastAsia="Amiri" w:cs="Amiri"/>
          <w:color w:val="111111"/>
          <w:sz w:val="28"/>
          <w:sz w:val="28"/>
          <w:szCs w:val="28"/>
          <w:rtl w:val="true"/>
          <w:lang w:bidi="ar-SA"/>
        </w:rPr>
        <w:t xml:space="preserve">هو فعل المشتري ، غير قابل للإسقاط ، والتزام حقّ زائد على حقّ الخيار متعلّق بالردّ ، 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منه إسقاط حقّ الفسخ ؛ أي الخيار بأحد طرفيه ، بناءً على ظاهره من كون الخيار ذا طرفين ، وبناءً على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أسقط الخيار لا يبعد سقوط الأرش</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 xml:space="preserve">باعتبار كون الأرش أحد طرفي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محال في محال ؛ فإنّ أصل ثبوت مثل هذا الحقّ ، محال كما عرفت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الغضّ عنه لا يعقل إسقاط أحد طرفي التخيير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إثبات الحقّ التخييري ؛ فإنّ ما يمكن إسقاطه على ذلك ، هو إسقاط هذا الواحد المبهم ؛ بمعنى تعلّق الإسقاط بعنوان الحقّ المردّد بالحمل الأوّلي عنواناً للواقع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فالمردّد والمخيّر بالحمل الشائع ، لا يعقل تصوّره ، ولا تعلّق العلم به ، ولا الإرادة ، ولا الإنشاء ، والإسقاط المتعلّق بالواحد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تعلّق بهذا ،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لسقوط الحقّ في البين ، فلا يبقى حقّ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الإسقاط بأحد طرفي الترديد والتخيير ، لا يعقل ، وليس لصاحب الخيار إلاّ إسقاط حقّه ، وأمّا إخراج أحد الطرفين عن الطرفية ، بلا تحقّق الإسقاط منه فليس 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المقام مثل الواجب التخييري ، حيث إنّ للآمر رفع اليد عن أحد الطرفين ؛ بترخيص تركه ، أو نهيه عنه ، ولازمه اختصاص الأمر بطرف </w:t>
      </w:r>
    </w:p>
    <w:p>
      <w:pPr>
        <w:pStyle w:val="BookText"/>
        <w:rPr/>
      </w:pPr>
      <w:r>
        <w:rPr>
          <w:rFonts w:ascii="Amiri" w:hAnsi="Amiri" w:eastAsia="Amiri" w:cs="Amiri"/>
          <w:color w:val="111111"/>
          <w:sz w:val="28"/>
          <w:sz w:val="28"/>
          <w:szCs w:val="28"/>
          <w:rtl w:val="true"/>
          <w:lang w:bidi="ar-SA"/>
        </w:rPr>
        <w:t xml:space="preserve">آخر ، وصيرورته تعيينياً بالنتيجة غير صحيح لو سلّم في المقيس عليه ؛ للفرق الواضح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باب المناقشة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ما ذهبنا إليه في الواجب التخييري ؛ من كونه وجوبين وإنشاءين على موضوعين</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 الغضّ عن أنّ الحقّ الواحد البسيط ، غير ممكن الإسقاط بأحد طرفيه ، وصحّة إسقاط الطرف عن الطرفية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محتمل كلام الشيخ قدّس سرّه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مرضيّة ، وبلا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فالتحقيق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حقّ الفسخ متعلّقاً بالعقد ، كسائر الخيارات ، وثبوت حقّ آخر متعلّق بالأرش ، وهو غير الخيار</w:t>
      </w:r>
      <w:r>
        <w:rPr>
          <w:rStyle w:val="FootnoteAnchor"/>
          <w:rtl w:val="true"/>
        </w:rPr>
        <w:footnoteReference w:id="78"/>
      </w:r>
      <w:r>
        <w:rPr>
          <w:rFonts w:ascii="Amiri" w:hAnsi="Amiri" w:eastAsia="Amiri" w:cs="Amiri"/>
          <w:color w:val="111111"/>
          <w:sz w:val="28"/>
          <w:sz w:val="28"/>
          <w:szCs w:val="28"/>
          <w:rtl w:val="true"/>
          <w:lang w:bidi="ar-SA"/>
        </w:rPr>
        <w:t xml:space="preserve">، وللمشتري إسقاط خياره ، وإسقاط حقّ الأرش ، وإسقاط كليهما ، فالبحث عن المسقطات إنّما يصحّ على هذا المبنى السديد ، لا على ما أفادوا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يسقط إلاّ خيار فسخ العقد ؛ إذ هو الخيار ، وأمّا حقّ الأرش فليس خياراً ، وكون المشتري مخيّراً بين أخذه وتركه ، لا يجعله الخيار الذي يمكن إسقاطه ؛ ضرورة أنّ اختيار المشتري ، ليس أمراً اعتبارياً قائماً بشيء ، بخلاف الخيار في باب الخيارات ، وبخلاف حقّ الأرش في المقام </w:t>
      </w:r>
      <w:r>
        <w:rPr>
          <w:rFonts w:eastAsia="Amiri" w:cs="Amiri" w:ascii="Amiri" w:hAnsi="Amiri"/>
          <w:color w:val="111111"/>
          <w:sz w:val="28"/>
          <w:szCs w:val="28"/>
          <w:rtl w:val="true"/>
          <w:lang w:bidi="ar-SA"/>
        </w:rPr>
        <w:t xml:space="preserve">. </w:t>
      </w:r>
      <w:bookmarkStart w:id="72" w:name="pg15222_162179"/>
    </w:p>
    <w:p>
      <w:pPr>
        <w:pStyle w:val="Heading6"/>
        <w:numPr>
          <w:ilvl w:val="5"/>
          <w:numId w:val="1"/>
        </w:numPr>
        <w:rPr/>
      </w:pPr>
      <w:bookmarkStart w:id="73" w:name="__RefHeading___Toc3331554_2142443653"/>
      <w:bookmarkStart w:id="74" w:name="_Toc26"/>
      <w:bookmarkEnd w:id="72"/>
      <w:bookmarkEnd w:id="73"/>
      <w:r>
        <w:rPr>
          <w:rtl w:val="true"/>
        </w:rPr>
        <w:t xml:space="preserve">دلالة الروايات على ثبوت حقّين </w:t>
      </w:r>
      <w:r>
        <w:rPr>
          <w:rtl w:val="true"/>
        </w:rPr>
        <w:t xml:space="preserve">: </w:t>
      </w:r>
      <w:r>
        <w:rPr>
          <w:rtl w:val="true"/>
        </w:rPr>
        <w:t>حقّ الفسخ وحقّ الأرش</w:t>
      </w:r>
      <w:bookmarkEnd w:id="74"/>
    </w:p>
    <w:p>
      <w:pPr>
        <w:pStyle w:val="BookText"/>
        <w:rPr/>
      </w:pPr>
      <w:r>
        <w:rPr>
          <w:rFonts w:ascii="Amiri" w:hAnsi="Amiri" w:eastAsia="Amiri" w:cs="Amiri"/>
          <w:color w:val="111111"/>
          <w:sz w:val="28"/>
          <w:sz w:val="28"/>
          <w:szCs w:val="28"/>
          <w:rtl w:val="true"/>
          <w:lang w:bidi="ar-SA"/>
        </w:rPr>
        <w:t xml:space="preserve">ثمّ إنّ المستفاد من الروايات بعد التأمّل والتدبّر فيها ، هو ما ذكرناه من ثبوت الحقّين ، وإن كان لا يستفاد منها ما عليه المشهور من العرضية ؛ فإنّ سقوط حقّ الردّ ، وبقاء حقّ الأرش ، من أقوى الشواهد على ثبوت الحقّين ، بعد امتناع الحقّ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المستفاد منها ثبوت حقّ الفسخ ؛ لأنّ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الفسخ كناية ، أو الفسخ بالردّ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ردّ المبيع مع بقاء العقد وبقاء العين على ملك المشتري ، ممّا لا معنى له ، واحتمال كون الجواز حكمياً </w:t>
      </w:r>
      <w:r>
        <w:rPr>
          <w:rStyle w:val="FootnoteAnchor"/>
          <w:rtl w:val="true"/>
        </w:rPr>
        <w:footnoteReference w:id="80"/>
      </w:r>
      <w:r>
        <w:rPr>
          <w:rFonts w:ascii="IRNazanin" w:hAnsi="IRNazanin" w:eastAsia="IRNazanin"/>
          <w:color w:val="111111"/>
          <w:sz w:val="28"/>
          <w:sz w:val="28"/>
          <w:szCs w:val="28"/>
          <w:rtl w:val="true"/>
          <w:lang w:bidi="fa-IR"/>
        </w:rPr>
        <w:t xml:space="preserve">، تردّه معهودية حقّ الفسخ عند العقلاء في المقام ، وفي سائر الخيارات ، فلا ينقدح في الأذهان غير الحقّ في باب الخيار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الظاهر من صحيحة رفاعة النخّاس ، عن أبي عبداللّه علیه السلام ، وفيها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وجدت بها عيباً بعد ما مسستها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تردّها ، ولك أن تأخذ قيمة ما بين الصحّة والعيب</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له حقّ الردّ ؛ لمكان المسّ ، ولولا ذلك كان له حقّه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الأرش ليس ملكاً على الذمّة ، كما قد يتوهّم</w:t>
      </w:r>
      <w:r>
        <w:rPr>
          <w:rStyle w:val="FootnoteAnchor"/>
          <w:rtl w:val="true"/>
        </w:rPr>
        <w:footnoteReference w:id="82"/>
      </w:r>
      <w:r>
        <w:rPr>
          <w:rFonts w:ascii="IRNazanin" w:hAnsi="IRNazanin" w:eastAsia="IRNazanin"/>
          <w:color w:val="111111"/>
          <w:sz w:val="28"/>
          <w:sz w:val="28"/>
          <w:szCs w:val="28"/>
          <w:rtl w:val="true"/>
          <w:lang w:bidi="fa-IR"/>
        </w:rPr>
        <w:t xml:space="preserve">، بل له </w:t>
      </w:r>
    </w:p>
    <w:p>
      <w:pPr>
        <w:pStyle w:val="BookText"/>
        <w:rPr/>
      </w:pPr>
      <w:r>
        <w:rPr>
          <w:rFonts w:ascii="IRNazanin" w:hAnsi="IRNazanin" w:eastAsia="IRNazanin"/>
          <w:color w:val="111111"/>
          <w:sz w:val="28"/>
          <w:sz w:val="28"/>
          <w:szCs w:val="28"/>
          <w:rtl w:val="true"/>
          <w:lang w:bidi="fa-IR"/>
        </w:rPr>
        <w:t xml:space="preserve">حقّ الأرش ؛ لوضوح 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 أن تأخذ قيمة ما بين الصحّة والعيب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له حقّ 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الملكية من صحيحة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القضاء الأوّل في الرجل إذا اشترى الأمة فوطأها ، ثمّ ظهر على عيب ، أنّ البيع لازم ، وله أرش العيب</w:t>
      </w:r>
      <w:r>
        <w:rPr>
          <w:rFonts w:eastAsia="IRNazanin" w:cs="IRNazanin"/>
          <w:color w:val="111111"/>
          <w:sz w:val="28"/>
          <w:szCs w:val="28"/>
          <w:rtl w:val="true"/>
          <w:lang w:bidi="fa-IR"/>
        </w:rPr>
        <w:t>»</w:t>
      </w:r>
      <w:r>
        <w:rPr>
          <w:rStyle w:val="FootnoteAnchor"/>
          <w:rtl w:val="true"/>
        </w:rPr>
        <w:footnoteReference w:id="83"/>
      </w:r>
      <w:r>
        <w:rPr>
          <w:rFonts w:ascii="Amiri" w:hAnsi="Amiri" w:eastAsia="Amiri" w:cs="Amiri"/>
          <w:color w:val="111111"/>
          <w:sz w:val="28"/>
          <w:sz w:val="28"/>
          <w:szCs w:val="28"/>
          <w:rtl w:val="true"/>
          <w:lang w:bidi="ar-SA"/>
        </w:rPr>
        <w:t xml:space="preserve">بتخيّل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غير محلّه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ذلك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يستفاد منها إلاّ نحو اختصاص ، وأكثر استعمالها في الكتاب في غير الملك</w:t>
      </w:r>
      <w:r>
        <w:rPr>
          <w:rStyle w:val="FootnoteAnchor"/>
          <w:rtl w:val="true"/>
        </w:rPr>
        <w:footnoteReference w:id="84"/>
      </w:r>
      <w:r>
        <w:rPr>
          <w:rFonts w:ascii="Amiri" w:hAnsi="Amiri" w:eastAsia="Amiri" w:cs="Amiri"/>
          <w:color w:val="111111"/>
          <w:sz w:val="28"/>
          <w:sz w:val="28"/>
          <w:szCs w:val="28"/>
          <w:rtl w:val="true"/>
          <w:lang w:bidi="ar-SA"/>
        </w:rPr>
        <w:t>، بل استعمالها في الملك لم يثبت ، بعد كونها بمعنى الاختصاص ، كما هو مقتضى استعمالها فيه بلا تأوّل ، وللملك أيضاً نحو اختصاص ، ولعلّها لذلك استعملت فيه</w:t>
      </w:r>
      <w:r>
        <w:rPr>
          <w:rStyle w:val="FootnoteAnchor"/>
          <w:rtl w:val="true"/>
        </w:rPr>
        <w:footnoteReference w:id="85"/>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الاستعمال في غير الملك ، لا يبقى لها ظهور فيه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أرش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يظهر منه كون الأرش على الذمّة ، فالأمر دائر بين كون المراد منه ثبوت حقّ الأرش ، كما هو ظاهر الصحيحة المتقدّمة ، أو كون مقدار من مال البائع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الكلّي في المعيّن ، أو الإشاعة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ملكاً للمشتري ، وهذا ممّا يأبى عنه الذهن السليم </w:t>
      </w:r>
      <w:r>
        <w:rPr>
          <w:rFonts w:eastAsia="IRNazanin" w:cs="IRNazanin"/>
          <w:color w:val="111111"/>
          <w:sz w:val="28"/>
          <w:szCs w:val="28"/>
          <w:rtl w:val="true"/>
          <w:lang w:bidi="fa-IR"/>
        </w:rPr>
        <w:t xml:space="preserve">. </w:t>
      </w:r>
      <w:bookmarkStart w:id="75" w:name="pg15222_162181"/>
    </w:p>
    <w:p>
      <w:pPr>
        <w:pStyle w:val="BookText"/>
        <w:rPr/>
      </w:pPr>
      <w:bookmarkEnd w:id="75"/>
      <w:r>
        <w:rPr>
          <w:rFonts w:ascii="IRNazanin" w:hAnsi="IRNazanin" w:eastAsia="IRNazanin"/>
          <w:color w:val="111111"/>
          <w:sz w:val="28"/>
          <w:sz w:val="28"/>
          <w:szCs w:val="28"/>
          <w:rtl w:val="true"/>
          <w:lang w:bidi="fa-IR"/>
        </w:rPr>
        <w:t xml:space="preserve">والإنصاف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الأخذ بظاهر الصحيحة المتقدّمة في ثبوت الحقّ متعيّن ، مع أ نّه يتناسب مع بعض تعبيرات اُخر في الروايات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يوضع عنه من ثمنها بقدر العيب</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تقوّم ما بين العيب والصحّة ، فيردّ على المبتاع </w:t>
      </w:r>
      <w:r>
        <w:rPr>
          <w:rFonts w:eastAsia="IRNazanin" w:cs="IRNazanin"/>
          <w:color w:val="111111"/>
          <w:sz w:val="28"/>
          <w:szCs w:val="28"/>
          <w:rtl w:val="true"/>
          <w:lang w:bidi="fa-IR"/>
        </w:rPr>
        <w:t>. . .»</w:t>
      </w:r>
      <w:r>
        <w:rPr>
          <w:rStyle w:val="FootnoteAnchor"/>
          <w:rtl w:val="true"/>
        </w:rPr>
        <w:footnoteReference w:id="87"/>
      </w:r>
      <w:r>
        <w:rPr>
          <w:rFonts w:ascii="Amiri" w:hAnsi="Amiri" w:eastAsia="Amiri" w:cs="Amiri"/>
          <w:color w:val="111111"/>
          <w:sz w:val="28"/>
          <w:sz w:val="28"/>
          <w:szCs w:val="28"/>
          <w:rtl w:val="true"/>
          <w:lang w:bidi="ar-SA"/>
        </w:rPr>
        <w:t>، إلى غير ذلك</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6" w:name="__RefHeading___Toc3331556_2142443653"/>
      <w:bookmarkStart w:id="77" w:name="_Toc27"/>
      <w:bookmarkEnd w:id="76"/>
      <w:r>
        <w:rPr>
          <w:rtl w:val="true"/>
        </w:rPr>
        <w:t>صحّة إسقاط الخيار بالمجاز والكناية والفعل</w:t>
      </w:r>
      <w:bookmarkEnd w:id="77"/>
    </w:p>
    <w:p>
      <w:pPr>
        <w:pStyle w:val="BookText"/>
        <w:rPr/>
      </w:pPr>
      <w:r>
        <w:rPr>
          <w:rFonts w:ascii="Amiri" w:hAnsi="Amiri" w:eastAsia="Amiri" w:cs="Amiri"/>
          <w:color w:val="111111"/>
          <w:sz w:val="28"/>
          <w:sz w:val="28"/>
          <w:szCs w:val="28"/>
          <w:rtl w:val="true"/>
          <w:lang w:bidi="ar-SA"/>
        </w:rPr>
        <w:t xml:space="preserve">ثمّ إنّه كما يصحّ الإسقاط بلفظ صريح ، يصحّ بالمجاز المقبول عرفاً ، أو الكناية كذلك ، كما هو الحال في مطلق العقود والإيقاعات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بالفعل أيضاً ، بشرط كونه آلة عقلائية للإنشاء ، كالإعطاء أو الأخذ في المعاطاة ، قاصداً بهما إيقاع المعاملة ، ومثل ما ورد في النصّ في طلاق الأخرس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مقنعتها ، ووضعها على رأسها ، واعتزالها</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فإنّ ذلك فعل مناسب لإيقاع الطلاق </w:t>
      </w:r>
      <w:r>
        <w:rPr>
          <w:rFonts w:eastAsia="Amiri" w:cs="Amiri" w:ascii="Amiri" w:hAnsi="Amiri"/>
          <w:color w:val="111111"/>
          <w:sz w:val="28"/>
          <w:szCs w:val="28"/>
          <w:rtl w:val="true"/>
          <w:lang w:bidi="ar-SA"/>
        </w:rPr>
        <w:t xml:space="preserve">. </w:t>
      </w:r>
      <w:bookmarkStart w:id="78" w:name="pg15222_162182"/>
    </w:p>
    <w:p>
      <w:pPr>
        <w:pStyle w:val="BookText"/>
        <w:rPr/>
      </w:pPr>
      <w:bookmarkEnd w:id="78"/>
      <w:r>
        <w:rPr>
          <w:rFonts w:ascii="Amiri" w:hAnsi="Amiri" w:eastAsia="Amiri" w:cs="Amiri"/>
          <w:color w:val="111111"/>
          <w:sz w:val="28"/>
          <w:sz w:val="28"/>
          <w:szCs w:val="28"/>
          <w:rtl w:val="true"/>
          <w:lang w:bidi="ar-SA"/>
        </w:rPr>
        <w:t xml:space="preserve">بل لولا الدليل على اشتراط الطلاق بلفظ خاصّ ، لصحّ إيقاعه بمثل هذا الفعل من غير الأخرس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الإنشاء بالألفاظ غير الدالّة ، وبالمجازات والكنايات غير المقبولة ، كإيقاع البيع بلفظ النكاح أو الإجارة ، فلا يصحّ وإن أقام القرينة على إرادته ، كما لا يقع البيع بفعل غير دالّ ، كإيقاعه بالعطسة والضحك </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331558_2142443653"/>
      <w:bookmarkStart w:id="80" w:name="_Toc28"/>
      <w:bookmarkEnd w:id="79"/>
      <w:r>
        <w:rPr>
          <w:rtl w:val="true"/>
        </w:rPr>
        <w:t xml:space="preserve">الثاني </w:t>
      </w:r>
      <w:r>
        <w:rPr>
          <w:rtl w:val="true"/>
        </w:rPr>
        <w:t xml:space="preserve">: </w:t>
      </w:r>
      <w:r>
        <w:rPr>
          <w:rtl w:val="true"/>
        </w:rPr>
        <w:t>التصرّف</w:t>
      </w:r>
      <w:bookmarkEnd w:id="80"/>
    </w:p>
    <w:p>
      <w:pPr>
        <w:pStyle w:val="Heading6"/>
        <w:numPr>
          <w:ilvl w:val="5"/>
          <w:numId w:val="1"/>
        </w:numPr>
        <w:rPr/>
      </w:pPr>
      <w:bookmarkStart w:id="81" w:name="__RefHeading___Toc3331560_2142443653"/>
      <w:bookmarkStart w:id="82" w:name="_Toc29"/>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وهل يسقط به مطلقاً ، سواء كان قبل العلم بالعيب والخيار ، أو بعده ، دالاًّ على الرضا أم لا ، مغيّراً للمبيع أم لا ، أو أ نّه غير مسقط مطلقاً ، أو مسقط مع دلالته على الرضا ، أو مسقط مع كونه مغيّراً ، أو مسقط في حالتين ؛ أي عند كونه مغيّراً للعين ، أو دالاًّ على الرضا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بما هو ليس مسقطاً في المقام ، وإن قلنا به في خيار الحيوان، بل المسقط تغيّر العين من غير دخالة للتصرّف فيه، كما لو وقع بغير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عدم التغيّر ، فإن قصد به إنشاء الإسقاط ، فهو مسقط فعلي ، ولا دخل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بل هو مندرج في الأمر الأوّل ؛ لأنّ الإسقاط أعمّ من القولي ، وأمّا التصرّف بما هو تصرّف ، فلا دليل على كونه مسقطاً على حدة ، بل الدليل على خلافه ، وهو إطلاقات الردّ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لا دليل على أنّ التصرّف الدالّ على الرضا ، مسقط لولا إنشاء الإسقاط به ؛ إذ لا يمكن التعدّي من روايات خيار الحيوان</w:t>
      </w:r>
      <w:r>
        <w:rPr>
          <w:rStyle w:val="FootnoteAnchor"/>
          <w:rtl w:val="true"/>
        </w:rPr>
        <w:footnoteReference w:id="90"/>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العناوين مصداقاً حقيقياً ، ومصداقاً اعتبارياً ، قابلاً للإيجاد بالإنشاء والجعل ، كالقبول ، والرضا ، فإنّ قبول قول المخبر ، الراجع إلى تصديقه والرضا بقضاء اللّه ، هما من الصفات النفسانية ، والموجودات الحقيقية ، في مقابل قبول الإيجاب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ايجادي اعتباري كالإيجاب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الالتزام ، فإنّ له مصداقا موجوداً في النفس ، وليس من الاعتباريات ، كالتزامه بقراءة القرآن في كلّ صباح ، فإنّه من التعهّدات النفسانية ، الحاصلة بالإرادة الموجودة خارج الاعتبار، وبإزائه الالتزام في باب 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التزمت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إسقاط الخيار ، أو لزوم العقد ، إنشاء لأمر تترتّب عليه الآثار العقلائية ، لا إخبار عن صفة نفسانية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الإشكال ، في أنّ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التزمت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لفظاً صريحاً لإسقاط حقّ الخيار ، بل اللفظ الصريح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أسقطت خيار العيب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فحينئذٍ كما قد 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إسقاط الخيار إذا اُريد به ذلك ؛ بملاحظة أنّ سقوط الخيار ، لازم عرفي للالتزام بالبيع بلا قيد ، فيناسب المعنى الكنائي ، وقد يراد به معناه من غير جعله كناية ، فيترتّب عليه السقوط قهراً بنظر العرف ، فترتّب سقوط الخيار عليه ؛ قد يكون بإنشاء الإسقاط ، وقد يكون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الالتزام العملي ، فإنّ بعض التصرّفات الدالّة على التزامه بالعقد ، يمكن أن يقصد به الإسقاط ، نظير الكنايات في باب الألفاظ</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قد يكون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كما لو اشترى للدابّة السرج أو بنى لها الإصطبل قاصداً بذلك إسقاط خياره ، وقد لا يقصد ذلك ، لكن </w:t>
      </w:r>
      <w:bookmarkStart w:id="83" w:name="pg15222_162184"/>
    </w:p>
    <w:p>
      <w:pPr>
        <w:pStyle w:val="BookText"/>
        <w:rPr/>
      </w:pPr>
      <w:bookmarkEnd w:id="83"/>
      <w:r>
        <w:rPr>
          <w:rFonts w:ascii="Amiri" w:hAnsi="Amiri" w:eastAsia="Amiri" w:cs="Amiri"/>
          <w:color w:val="111111"/>
          <w:sz w:val="28"/>
          <w:sz w:val="28"/>
          <w:szCs w:val="28"/>
          <w:rtl w:val="true"/>
          <w:lang w:bidi="ar-SA"/>
        </w:rPr>
        <w:t xml:space="preserve">هذا الالتزام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السقوط عرفاً ؛ للتلازم بينهما ، أو للتنافي بينه وبين بقاء الخيار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لا يكون مسقطاً في المقام بوجه ؛ فإنّه مع إرادة الإسقاط يكون مسقطاً فعلياً ، ومع عدمها ليس بمسقط غير مرضيّ ، فيصحّ جعل التصرّف من المسقطات ، كما هو المشهور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ليس كلّ تصرّف ، قابلاً لأن يراد به الإسقاط ، ولا ملازماً للسقوط ، بل التصرّفات الملازمة له اُمور خاصّة ممتازة عند العرف ، فمثل سقي الدابّة ، وتعليفها ، وأمر الجارية ببعض الاُمور الطفيفة ، ليس منها ، كما هو واضح ، هذا حال المقام بحسب نظر العقلاء </w:t>
      </w:r>
      <w:r>
        <w:rPr>
          <w:rFonts w:eastAsia="Amiri" w:cs="Amiri" w:ascii="Amiri" w:hAnsi="Amiri"/>
          <w:color w:val="111111"/>
          <w:sz w:val="28"/>
          <w:szCs w:val="28"/>
          <w:rtl w:val="true"/>
          <w:lang w:bidi="ar-SA"/>
        </w:rPr>
        <w:t>.</w:t>
      </w:r>
    </w:p>
    <w:p>
      <w:pPr>
        <w:pStyle w:val="Heading6"/>
        <w:numPr>
          <w:ilvl w:val="5"/>
          <w:numId w:val="1"/>
        </w:numPr>
        <w:rPr/>
      </w:pPr>
      <w:bookmarkStart w:id="84" w:name="__RefHeading___Toc3331562_2142443653"/>
      <w:bookmarkStart w:id="85" w:name="_Toc30"/>
      <w:bookmarkEnd w:id="84"/>
      <w:r>
        <w:rPr>
          <w:rtl w:val="true"/>
        </w:rPr>
        <w:t>الروايات الدالّة على سقوط الخيار بالتصرّف</w:t>
      </w:r>
      <w:bookmarkEnd w:id="85"/>
    </w:p>
    <w:p>
      <w:pPr>
        <w:pStyle w:val="BookText"/>
        <w:rPr/>
      </w:pPr>
      <w:r>
        <w:rPr>
          <w:rFonts w:ascii="Amiri" w:hAnsi="Amiri" w:eastAsia="Amiri" w:cs="Amiri"/>
          <w:color w:val="111111"/>
          <w:sz w:val="28"/>
          <w:sz w:val="28"/>
          <w:szCs w:val="28"/>
          <w:rtl w:val="true"/>
          <w:lang w:bidi="ar-SA"/>
        </w:rPr>
        <w:t xml:space="preserve">وأمّا الروايات المناسبة للمقام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جميل ، عن أحدهما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يشتري الثوب أو المتاع ، فيجد فيه عيباً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الشيء قائماً بعينه ردّه عليه ، وأخذ الثمن ، وإن كان الثوب قد قطع ، أو خيط ، أو صبغ ، يرجع بنقصان العيب</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التي لم تثبت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كتاب الشيخ </w:t>
      </w:r>
    </w:p>
    <w:p>
      <w:pPr>
        <w:pStyle w:val="BookText"/>
        <w:rPr/>
      </w:pPr>
      <w:r>
        <w:rPr>
          <w:rFonts w:ascii="Amiri" w:hAnsi="Amiri" w:eastAsia="Amiri" w:cs="Amiri"/>
          <w:color w:val="111111"/>
          <w:sz w:val="28"/>
          <w:sz w:val="28"/>
          <w:szCs w:val="28"/>
          <w:rtl w:val="true"/>
          <w:lang w:bidi="ar-SA"/>
        </w:rPr>
        <w:t xml:space="preserve">الأعظم قدّس سرّه </w:t>
      </w:r>
      <w:r>
        <w:rPr>
          <w:rStyle w:val="FootnoteAnchor"/>
          <w:rtl w:val="true"/>
        </w:rPr>
        <w:footnoteReference w:id="93"/>
      </w:r>
      <w:r>
        <w:rPr>
          <w:rFonts w:ascii="IRNazanin" w:hAnsi="IRNazanin" w:eastAsia="IRNazanin"/>
          <w:color w:val="111111"/>
          <w:sz w:val="28"/>
          <w:sz w:val="28"/>
          <w:szCs w:val="28"/>
          <w:rtl w:val="true"/>
          <w:lang w:bidi="fa-IR"/>
        </w:rPr>
        <w:t>، وتبعه المحشّون</w:t>
      </w:r>
      <w:r>
        <w:rPr>
          <w:rStyle w:val="FootnoteAnchor"/>
          <w:rtl w:val="true"/>
        </w:rPr>
        <w:footnoteReference w:id="94"/>
      </w:r>
      <w:r>
        <w:rPr>
          <w:rFonts w:ascii="IRNazanin" w:hAnsi="IRNazanin" w:eastAsia="IRNazanin"/>
          <w:color w:val="111111"/>
          <w:sz w:val="28"/>
          <w:sz w:val="28"/>
          <w:szCs w:val="28"/>
          <w:rtl w:val="true"/>
          <w:lang w:bidi="fa-IR"/>
        </w:rPr>
        <w:t xml:space="preserve">؛ من التعبير عنها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غير محلّه إلاّ على بعض المباني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شيئاً وبه عيب أو عوار ، ولم يتبرّأ إليه ، ولم يبيّن له ، فأحدث فيه بعد ما قبضه شيئاً ، ثمّ علم بذلك العوار ، أو بذلك الداء ، أ نّه يمضى عليه البيع ، ويردّ عليه بقدر ما نقص من ذلك الداء والعيب ، من ثمن ذلك لو لم يكن به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رواية زرارة ، أنّ التصرّف مطلقاً موجب لسقوط الخيار ، إمّا لأجل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تصرّف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وإمّا لأجل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إحداث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روايات خيار الحيوان ، فسّر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اللمس ، والتقبيل ، والنظر إلى ما لا يحلّ النظر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فيسري الحكم إلى كلّ تصرّف في المقام ، فيقع التعارض بينها وبين المرسلة ؛ لأنّ النسبة بين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التصرّف غير المغيّر ، ومنع صحّة التعدّي من خيار الحيوان إلى المقام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بالتعدّي إلى سائر الخيارات ؛ </w:t>
      </w:r>
    </w:p>
    <w:p>
      <w:pPr>
        <w:pStyle w:val="BookText"/>
        <w:rPr/>
      </w:pPr>
      <w:r>
        <w:rPr>
          <w:rFonts w:ascii="Amiri" w:hAnsi="Amiri" w:eastAsia="Amiri" w:cs="Amiri"/>
          <w:color w:val="111111"/>
          <w:sz w:val="28"/>
          <w:sz w:val="28"/>
          <w:szCs w:val="28"/>
          <w:rtl w:val="true"/>
          <w:lang w:bidi="ar-SA"/>
        </w:rPr>
        <w:t>وذلك لأنّ وجه التعدّي هو ما ورد في صحيحة علي بن رئاب</w:t>
      </w:r>
      <w:r>
        <w:rPr>
          <w:rStyle w:val="FootnoteAnchor"/>
          <w:rtl w:val="true"/>
        </w:rPr>
        <w:footnoteReference w:id="97"/>
      </w:r>
      <w:r>
        <w:rPr>
          <w:rFonts w:ascii="Amiri" w:hAnsi="Amiri" w:eastAsia="Amiri" w:cs="Amiri"/>
          <w:color w:val="111111"/>
          <w:sz w:val="28"/>
          <w:sz w:val="28"/>
          <w:szCs w:val="28"/>
          <w:rtl w:val="true"/>
          <w:lang w:bidi="ar-SA"/>
        </w:rPr>
        <w:t>من التمثيل المذكور ، مع أنّ مقتضى روايات كثيرة في المقام ، عدم الردّ بوط‌ء الجارية</w:t>
      </w:r>
      <w:r>
        <w:rPr>
          <w:rStyle w:val="FootnoteAnchor"/>
          <w:rtl w:val="true"/>
        </w:rPr>
        <w:footnoteReference w:id="98"/>
      </w:r>
      <w:r>
        <w:rPr>
          <w:rFonts w:ascii="Amiri" w:hAnsi="Amiri" w:eastAsia="Amiri" w:cs="Amiri"/>
          <w:color w:val="111111"/>
          <w:sz w:val="28"/>
          <w:sz w:val="28"/>
          <w:szCs w:val="28"/>
          <w:rtl w:val="true"/>
          <w:lang w:bidi="ar-SA"/>
        </w:rPr>
        <w:t xml:space="preserve">، ويظهر منها 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اللمس والتقبيل والنظر ، ليست موجبة للسقوط ، وإلاّ فلا ريب في أنّ الوط‌ء مسبوق باللمس ونحوه ، فلو كان السبب مطلق التصرّف ، كان الاستناد إلى السبب السابق متعيّناً ، فالإسناد إلى الوط‌ء ، دليل على عدم السقوط في المقام بمثل ما ذكر في الصحيحة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رواية داود بن فرقد ، التي لا يبعد أن تكون صحيحة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اشترى جارية مدركة ، فلم تحض عنده حتّى مضى لها ستّة أشهر ، وليس بها حمل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مثلها تحيض ولم يكن ذلك من كبر ، فهذا عيب تردّ منه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عدم التصرّفات الطفيفة في تلك المدّة مقطوع الخلاف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الرواية ، مسوق لبيان أنّ عدم الحيض عيب تردّ به ، لا لبيان الردّ به ، كي تدلّ بإطلاقها على الردّ به ولو أحدث بها في هذه المدّة ما أحدث</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86" w:name="pg15222_162187"/>
    </w:p>
    <w:p>
      <w:pPr>
        <w:pStyle w:val="BookText"/>
        <w:rPr/>
      </w:pPr>
      <w:bookmarkEnd w:id="86"/>
      <w:r>
        <w:rPr>
          <w:rFonts w:ascii="Amiri" w:hAnsi="Amiri" w:eastAsia="Amiri" w:cs="Amiri"/>
          <w:color w:val="111111"/>
          <w:sz w:val="28"/>
          <w:sz w:val="28"/>
          <w:szCs w:val="28"/>
          <w:rtl w:val="true"/>
          <w:lang w:bidi="ar-SA"/>
        </w:rPr>
        <w:t xml:space="preserve">وفيه ما لا يخفى ؛ فإنّ لازم ما ذكر ، أنّ الرواية ساكتة عن مورد السؤال ، مع أنّ القدر المتيقّن جواز الردّ في مورد السؤال ، فالعدول عن مورده إلى أمر خارج عن سؤاله ، في غاية البعد ، بل لا ينبغي احتماله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لولا الروايات الدالّة على أنّ الوط‌ء موجب لسقوط الخيار</w:t>
      </w:r>
      <w:r>
        <w:rPr>
          <w:rStyle w:val="FootnoteAnchor"/>
          <w:rtl w:val="true"/>
        </w:rPr>
        <w:footnoteReference w:id="101"/>
      </w:r>
      <w:r>
        <w:rPr>
          <w:rFonts w:ascii="Amiri" w:hAnsi="Amiri" w:eastAsia="Amiri" w:cs="Amiri"/>
          <w:color w:val="111111"/>
          <w:sz w:val="28"/>
          <w:sz w:val="28"/>
          <w:szCs w:val="28"/>
          <w:rtl w:val="true"/>
          <w:lang w:bidi="ar-SA"/>
        </w:rPr>
        <w:t xml:space="preserve">، 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بعد عدم تحقّقه في تلك المدّة ، وترك التنبيه عليه في الرواية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أيضاً لا يوجب 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التصرّف بنحو الإطلاق ، موجبا للسقوط ، بل الموجب هو التصرّف المغيّر </w:t>
      </w:r>
      <w:r>
        <w:rPr>
          <w:rFonts w:eastAsia="Amiri" w:cs="Amiri" w:ascii="Amiri" w:hAnsi="Amiri"/>
          <w:color w:val="111111"/>
          <w:sz w:val="28"/>
          <w:szCs w:val="28"/>
          <w:rtl w:val="true"/>
          <w:lang w:bidi="ar-SA"/>
        </w:rPr>
        <w:t>.</w:t>
      </w:r>
    </w:p>
    <w:p>
      <w:pPr>
        <w:pStyle w:val="Heading6"/>
        <w:numPr>
          <w:ilvl w:val="5"/>
          <w:numId w:val="1"/>
        </w:numPr>
        <w:rPr/>
      </w:pPr>
      <w:bookmarkStart w:id="87" w:name="__RefHeading___Toc3331564_2142443653"/>
      <w:bookmarkStart w:id="88" w:name="_Toc31"/>
      <w:bookmarkEnd w:id="87"/>
      <w:r>
        <w:rPr>
          <w:rtl w:val="true"/>
        </w:rPr>
        <w:t>هل المسقط للخيار هو التغيّر أو التصرّف المغيّر ؟</w:t>
      </w:r>
      <w:bookmarkEnd w:id="88"/>
    </w:p>
    <w:p>
      <w:pPr>
        <w:pStyle w:val="BookText"/>
        <w:rPr/>
      </w:pPr>
      <w:r>
        <w:rPr>
          <w:rFonts w:ascii="Amiri" w:hAnsi="Amiri" w:eastAsia="Amiri" w:cs="Amiri"/>
          <w:color w:val="111111"/>
          <w:sz w:val="28"/>
          <w:sz w:val="28"/>
          <w:szCs w:val="28"/>
          <w:rtl w:val="true"/>
          <w:lang w:bidi="ar-SA"/>
        </w:rPr>
        <w:t>ثمّ إنّ التغيّر ، هل هو مستقلّ بعنوانه في إيجاب السقوط ، أو أنّ التصرّف جزء الموضوع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الأدلّة هو الثاني ؛ فإنّ قوله علیه السلام في رواية زرارة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فأحدث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دخالة الصدور ، بل المفهوم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لو لم يحدث بفعله فيه شيئاً ، كان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إطلاقه أنّ له الردّ ولو أحدث غيره ، أو حدث التغيّر بالعوامل الطبيعية ، وبه يقيّد إطلاق مفهوم المرسلة الدالّ على سقوطه مع عدم قيامه بعينه ، الشامل لما إذا كان عدم القيام بفعل الغير ، أو بالعوامل الاُخر ، فتكون النتيجة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الموجب هو التصرّف المغيّر</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مع إمكان إنكار إطلاق المفهوم في المرسلة ؛ فإنّ المفاهيم مداليل تبعية ، فإذا كان للمنطوق مدلول بنحو الإطلاق ، كان المفهوم سلب الإطلاق ، لا إطلاق السلب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احتمال أن 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خيط ، أو قطع ، أو 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منصرفاً إلى فعل المشتري ولو بالتسبيب ؛ لندرة وقوعها من غير المالك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وجوه من الخلط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 فيه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يفهم منه دخالة الإيجاد ، ولا سيّما في المورد الذي يكون التغيّر فيه بنفسه موجباً لسقوط الخيار عند العقلاء ، فيكون الارتكاز العقلائي ، مانعاً عن فهم الدخالة ، ولا سيّما في مثل تلك العناوين الآلية ، المحتاجة إلى قيام القرينة على دخالتها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دعوى المفهوم لهذا الكلام غريبة ؛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كونه في معنى الشرطية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إشكال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المفهوم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لو لم 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ليس مفهوماً اصطلاحياً ؛ لكون الشرط محقّقاً للموضوع ، فعليه لا يصلح هذا الكلام لتقييد إطلاق المرسلة ، واحتمال المفهوم للقيد فاسد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وإنكار إطلاق مفهوم الشرط في المرسلة غير وجيه ؛ فإنّ 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إطلاق فيه فيما إذا كان بصدد بيان المنطوق ، لا مطلقاً ، ولا سيّما فيما إذا تعرّض لمفهومه بوجه كما في المرسلة فإنّ من الواضح أ نّه بصدد بيان مقابل القيام بعينه، وأنّ ما لا يكون كذلك لا يرد، وإنّما ذكر بعض المصاديق بنحو المثال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نوقش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الشرطية الثانية بصدد بيان حكم غير المفهوم ، فلا ينبغي الشكّ في أنّ المرسلة ، بصدد بيان طرفي القضيّة ، ويفهم منها أنّ </w:t>
      </w:r>
      <w:bookmarkStart w:id="89" w:name="pg15222_162189"/>
    </w:p>
    <w:p>
      <w:pPr>
        <w:pStyle w:val="BookText"/>
        <w:rPr/>
      </w:pPr>
      <w:bookmarkEnd w:id="89"/>
      <w:r>
        <w:rPr>
          <w:rFonts w:ascii="Amiri" w:hAnsi="Amiri" w:eastAsia="Amiri" w:cs="Amiri"/>
          <w:color w:val="111111"/>
          <w:sz w:val="28"/>
          <w:sz w:val="28"/>
          <w:szCs w:val="28"/>
          <w:rtl w:val="true"/>
          <w:lang w:bidi="ar-SA"/>
        </w:rPr>
        <w:t xml:space="preserve">عدم القيام بعينه سبب لسقوط حقّ الخيار ، ولا دافع لإطلاقه ؛ ضرورة عدم المفهوم لرواية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سلّمت دلالتها على الدخالة ، لكن لا وجه لفهم الانحصار ، حتّى يقيّد به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المتأمّل في الروايتين ، لا يفهم منها إلاّ أنّ التغيّر موجب للسقوط ، ولا سيّما مع مناسبات الحكم والموضوع وارتكاز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التصرّف الموجب للتغيّر ، بين كونه قبل العلم بالعيب ، أو بعده ، أو قبل العلم بالخيار ، أو بعده ، وكذا التصرّف غير المغيّر ، إذا فرض كونه كاشفاً عن التزامه بالبيع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المناقشة في كشفه عن ذلك إذا كان قبل العلم ، لكن لا بنحو الإطلاق ؛ فإنّ بعض التصرّفات ظاهر في ذلك ولو قبل العلم ، ولا سيّما مع احتماله للعيب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إتلاف المشتري عن عمد ، من التصرّفات الكاشفة عن التزامه ، ويسقط به خياره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يسقط به الأرش أيضاً على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التصرّفات المغيّرة للعين </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3331566_2142443653"/>
      <w:bookmarkStart w:id="91" w:name="_Toc32"/>
      <w:bookmarkEnd w:id="90"/>
      <w:r>
        <w:rPr>
          <w:rtl w:val="true"/>
        </w:rPr>
        <w:t>حول مسقطية التصرّفات الاعتبارية</w:t>
      </w:r>
      <w:bookmarkEnd w:id="91"/>
    </w:p>
    <w:p>
      <w:pPr>
        <w:pStyle w:val="BookText"/>
        <w:rPr/>
      </w:pPr>
      <w:r>
        <w:rPr>
          <w:rFonts w:ascii="Amiri" w:hAnsi="Amiri" w:eastAsia="Amiri" w:cs="Amiri"/>
          <w:color w:val="111111"/>
          <w:sz w:val="28"/>
          <w:sz w:val="28"/>
          <w:szCs w:val="28"/>
          <w:rtl w:val="true"/>
          <w:lang w:bidi="ar-SA"/>
        </w:rPr>
        <w:t>وهل تلحق بها التصرّفات الاعتبارية ، كالبيع ، والوقف ، وغيرهما من النواقل اللازمة أو الجائزة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ذلك ؛ إمّا للدلالة على التزامه به ، ولا سيّما مع كونها بعد العلم ، وإمّا </w:t>
      </w:r>
    </w:p>
    <w:p>
      <w:pPr>
        <w:pStyle w:val="BookText"/>
        <w:rPr/>
      </w:pPr>
      <w:r>
        <w:rPr>
          <w:rFonts w:ascii="Amiri" w:hAnsi="Amiri" w:eastAsia="Amiri" w:cs="Amiri"/>
          <w:color w:val="111111"/>
          <w:sz w:val="28"/>
          <w:sz w:val="28"/>
          <w:szCs w:val="28"/>
          <w:rtl w:val="true"/>
          <w:lang w:bidi="ar-SA"/>
        </w:rPr>
        <w:t xml:space="preserve">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بل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كونه قائماً بعينه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إلى التغيّرات التكوينية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العناوين صادقة على تلك التصرّفات ، فيسقط الخيار بعروضها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نقل بعقد خياري بل بعقد لازم ، وفسخ بالخيار أو الإقالة ، أو اشترى ثانياً ، أو انتقل إليه بإرث ونحوه ، يعود خياره ؛ لأنّ الظاهر أنّ وجه سقوط الخيار ، لزوم الضرر على البائع في الانتقال إلى البدل ، والمفروض عدمه ،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العين قائمة بعينها</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تسليم صدق العناوين ، وتسليم سقوط الخيار ، لا وجه لما اُفيد ؛ فإنّ الدليل على ثبوت خيار العيب وسقوطه ، هو الأدلّة الخاصّة ، وكون الحكم لنكتة تضرّر البائع بالانتقال إلى البدل ، لا يوجب العود بعد السقوط ؛ لعدم الدليل على كونه علّة ، ليدور وجود الخيار مداره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ضرر </w:t>
      </w:r>
      <w:r>
        <w:rPr>
          <w:rFonts w:eastAsia="Amiri" w:cs="Amiri" w:ascii="Amiri" w:hAnsi="Amiri"/>
          <w:color w:val="111111"/>
          <w:sz w:val="28"/>
          <w:szCs w:val="28"/>
          <w:rtl w:val="true"/>
          <w:lang w:bidi="ar-SA"/>
        </w:rPr>
        <w:t>. . .»</w:t>
      </w:r>
      <w:r>
        <w:rPr>
          <w:rStyle w:val="FootnoteAnchor"/>
          <w:rtl w:val="true"/>
        </w:rPr>
        <w:footnoteReference w:id="103"/>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منّا في بعض المباحث السابقة ؛ من عدم كونه صالحاً لإثبات الخيار ، بل ولا لإثبات حكم أو نفيه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به إلاّ الأرش ؛ فإنّ الضرر يرتفع به </w:t>
      </w:r>
      <w:r>
        <w:rPr>
          <w:rFonts w:eastAsia="Amiri" w:cs="Amiri" w:ascii="Amiri" w:hAnsi="Amiri"/>
          <w:color w:val="111111"/>
          <w:sz w:val="28"/>
          <w:szCs w:val="28"/>
          <w:rtl w:val="true"/>
          <w:lang w:bidi="ar-SA"/>
        </w:rPr>
        <w:t xml:space="preserve">. </w:t>
      </w:r>
      <w:bookmarkStart w:id="92" w:name="pg15222_162191"/>
    </w:p>
    <w:p>
      <w:pPr>
        <w:pStyle w:val="BookText"/>
        <w:rPr/>
      </w:pPr>
      <w:bookmarkEnd w:id="92"/>
      <w:r>
        <w:rPr>
          <w:rFonts w:ascii="Amiri" w:hAnsi="Amiri" w:eastAsia="Amiri" w:cs="Amiri"/>
          <w:color w:val="111111"/>
          <w:sz w:val="28"/>
          <w:sz w:val="28"/>
          <w:szCs w:val="28"/>
          <w:rtl w:val="true"/>
          <w:lang w:bidi="ar-SA"/>
        </w:rPr>
        <w:t>بل لولا تسالمهم في خيار الغبن على ثبوت الخيار</w:t>
      </w:r>
      <w:r>
        <w:rPr>
          <w:rStyle w:val="FootnoteAnchor"/>
          <w:rtl w:val="true"/>
        </w:rPr>
        <w:footnoteReference w:id="105"/>
      </w:r>
      <w:r>
        <w:rPr>
          <w:rFonts w:ascii="Amiri" w:hAnsi="Amiri" w:eastAsia="Amiri" w:cs="Amiri"/>
          <w:color w:val="111111"/>
          <w:sz w:val="28"/>
          <w:sz w:val="28"/>
          <w:szCs w:val="28"/>
          <w:rtl w:val="true"/>
          <w:lang w:bidi="ar-SA"/>
        </w:rPr>
        <w:t xml:space="preserve">، كان مقتضى التمسّك بقاعدة نفي الضرر ، أو التمسّك بذيل بناء العقلاء ، هو جبران الغبن ، لا الخيار ، فإطلاق الأدلّة في المقام ، كافٍ لعدم ثبوته بعد سقوطه مع أ نّه مقتضى الأصل أيضاً ، لو فرض الشكّ فيه </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331568_2142443653"/>
      <w:bookmarkStart w:id="94" w:name="_Toc33"/>
      <w:bookmarkEnd w:id="93"/>
      <w:r>
        <w:rPr>
          <w:rtl w:val="true"/>
        </w:rPr>
        <w:t>عدم إمكان مسقطية التصرّف أو التغيّر على رأي المشهور</w:t>
      </w:r>
      <w:bookmarkEnd w:id="94"/>
    </w:p>
    <w:p>
      <w:pPr>
        <w:pStyle w:val="BookText"/>
        <w:rPr/>
      </w:pPr>
      <w:r>
        <w:rPr>
          <w:rFonts w:ascii="Amiri" w:hAnsi="Amiri" w:eastAsia="Amiri" w:cs="Amiri"/>
          <w:color w:val="111111"/>
          <w:sz w:val="28"/>
          <w:sz w:val="28"/>
          <w:szCs w:val="28"/>
          <w:rtl w:val="true"/>
          <w:lang w:bidi="ar-SA"/>
        </w:rPr>
        <w:t>ثمّ إنّ عدّ التصرّف أو التغيّر أو غيرهما من المسقطات ، إنّما يصحّ على ما تقدّم منّا ؛ من ثبوت حقّ متعلّق بالعقد ، وحقّ آخر هو حقّ المطالبة بالأرش</w:t>
      </w:r>
      <w:r>
        <w:rPr>
          <w:rStyle w:val="FootnoteAnchor"/>
          <w:rtl w:val="true"/>
        </w:rPr>
        <w:footnoteReference w:id="106"/>
      </w:r>
      <w:r>
        <w:rPr>
          <w:rFonts w:ascii="IRNazanin" w:hAnsi="IRNazanin" w:eastAsia="IRNazanin"/>
          <w:color w:val="111111"/>
          <w:sz w:val="28"/>
          <w:sz w:val="28"/>
          <w:szCs w:val="28"/>
          <w:rtl w:val="true"/>
          <w:lang w:bidi="fa-IR"/>
        </w:rPr>
        <w:t>، وأمّا على المشهور</w:t>
      </w:r>
      <w:r>
        <w:rPr>
          <w:rStyle w:val="FootnoteAnchor"/>
          <w:rtl w:val="true"/>
        </w:rPr>
        <w:footnoteReference w:id="107"/>
      </w:r>
      <w:r>
        <w:rPr>
          <w:rFonts w:ascii="Amiri" w:hAnsi="Amiri" w:eastAsia="Amiri" w:cs="Amiri"/>
          <w:color w:val="111111"/>
          <w:sz w:val="28"/>
          <w:sz w:val="28"/>
          <w:szCs w:val="28"/>
          <w:rtl w:val="true"/>
          <w:lang w:bidi="ar-SA"/>
        </w:rPr>
        <w:t>فغير صحيح ، بل غير معقول كما أشرنا إليه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سلمت صحّة جعل تخييري</w:t>
      </w:r>
      <w:r>
        <w:rPr>
          <w:rStyle w:val="FootnoteAnchor"/>
          <w:rtl w:val="true"/>
        </w:rPr>
        <w:footnoteReference w:id="109"/>
      </w:r>
      <w:r>
        <w:rPr>
          <w:rFonts w:ascii="Amiri" w:hAnsi="Amiri" w:eastAsia="Amiri" w:cs="Amiri"/>
          <w:color w:val="111111"/>
          <w:sz w:val="28"/>
          <w:sz w:val="28"/>
          <w:szCs w:val="28"/>
          <w:rtl w:val="true"/>
          <w:lang w:bidi="ar-SA"/>
        </w:rPr>
        <w:t xml:space="preserve">، فلا بدّ من عدّ التغيّر ونحوه ، موجباً لتعيّن الطرف الآخر عقلاً ، نظير التعيّن العقلي في الواجبات التخييرية مع تعذّر بعض الأفراد ، وتعيّن آخر الوقت عقدا في الواجب الموسّع ، واحتمال انقلاب المخيّر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كان أو تكليفاً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بالمعيّن فاسد جدّاً ؛ لاستحالته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احتمال سقوط الواجب التخييري أو الحقّ كذلك ، وحدوث حكم </w:t>
      </w:r>
      <w:bookmarkStart w:id="95" w:name="pg15222_162192"/>
    </w:p>
    <w:p>
      <w:pPr>
        <w:pStyle w:val="BookText"/>
        <w:rPr/>
      </w:pPr>
      <w:bookmarkEnd w:id="95"/>
      <w:r>
        <w:rPr>
          <w:rFonts w:ascii="Amiri" w:hAnsi="Amiri" w:eastAsia="Amiri" w:cs="Amiri"/>
          <w:color w:val="111111"/>
          <w:sz w:val="28"/>
          <w:sz w:val="28"/>
          <w:szCs w:val="28"/>
          <w:rtl w:val="true"/>
          <w:lang w:bidi="ar-SA"/>
        </w:rPr>
        <w:t>تعييني للطرف المقدور ، مقطوع الخلاف ، وهذا وأشباهه شاهد على صحّة ما ذهبنا إليه في المقام وغيره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3331570_2142443653"/>
      <w:bookmarkStart w:id="97" w:name="_Toc34"/>
      <w:bookmarkEnd w:id="96"/>
      <w:r>
        <w:rPr>
          <w:rtl w:val="true"/>
        </w:rPr>
        <w:t xml:space="preserve">الثالث </w:t>
      </w:r>
      <w:r>
        <w:rPr>
          <w:rtl w:val="true"/>
        </w:rPr>
        <w:t xml:space="preserve">: </w:t>
      </w:r>
      <w:r>
        <w:rPr>
          <w:rtl w:val="true"/>
        </w:rPr>
        <w:t>التلف</w:t>
      </w:r>
      <w:bookmarkEnd w:id="97"/>
    </w:p>
    <w:p>
      <w:pPr>
        <w:pStyle w:val="Heading6"/>
        <w:numPr>
          <w:ilvl w:val="5"/>
          <w:numId w:val="1"/>
        </w:numPr>
        <w:rPr/>
      </w:pPr>
      <w:bookmarkStart w:id="98" w:name="__RefHeading___Toc3331572_2142443653"/>
      <w:bookmarkStart w:id="99" w:name="_Toc35"/>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واستند</w:t>
      </w:r>
      <w:r>
        <w:rPr>
          <w:rStyle w:val="FootnoteAnchor"/>
          <w:rtl w:val="true"/>
        </w:rPr>
        <w:footnoteReference w:id="111"/>
      </w:r>
      <w:r>
        <w:rPr>
          <w:rFonts w:ascii="Amiri" w:hAnsi="Amiri" w:eastAsia="Amiri" w:cs="Amiri"/>
          <w:color w:val="111111"/>
          <w:sz w:val="28"/>
          <w:sz w:val="28"/>
          <w:szCs w:val="28"/>
          <w:rtl w:val="true"/>
          <w:lang w:bidi="ar-SA"/>
        </w:rPr>
        <w:t>فيه إلى المرسلة</w:t>
      </w:r>
      <w:r>
        <w:rPr>
          <w:rStyle w:val="FootnoteAnchor"/>
          <w:rtl w:val="true"/>
        </w:rPr>
        <w:footnoteReference w:id="112"/>
      </w:r>
      <w:r>
        <w:rPr>
          <w:rFonts w:ascii="Amiri" w:hAnsi="Amiri" w:eastAsia="Amiri" w:cs="Amiri"/>
          <w:color w:val="111111"/>
          <w:sz w:val="28"/>
          <w:sz w:val="28"/>
          <w:szCs w:val="28"/>
          <w:rtl w:val="true"/>
          <w:lang w:bidi="ar-SA"/>
        </w:rPr>
        <w:t xml:space="preserve">والاستدلال بها مبنيّ على دلالة مفهومها على ذلك ، وإلاّ فالمنطوق أجنبيّ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ودلالة المفهوم مبنيّة على أ نّه قضيّة سالبة بسيطة محصّلة ؛ بتقديم السلب على الموضوع ، حتّى يستفاد منه التعميم بالنسبة إلى السلب بسلب الموضوع ، فيكون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الشيء قائماً بعينه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إذا كان المفهوم قضيّة معدولة ، أو سالبة مع حفظ الموضوع ، فلا يدلّ على المقصود ، واحتمال كونه سالبة محصّلة ، عقلي مخالف لفهم العرف في الأشباه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والموافق للعرف في الشرطيات ونحوها ، وقوع الشرط في عقد الإثبات والنفي على موضوع ملحوظ مفروض التحقّق ، فيخرج مثل التلف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بقاء معه للمبيع ولو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مفاد الدليل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إلحاق التلف بالتغيّر بالأولوية</w:t>
      </w:r>
      <w:r>
        <w:rPr>
          <w:rStyle w:val="FootnoteAnchor"/>
          <w:rtl w:val="true"/>
        </w:rPr>
        <w:footnoteReference w:id="113"/>
      </w:r>
      <w:r>
        <w:rPr>
          <w:rFonts w:ascii="Amiri" w:hAnsi="Amiri" w:eastAsia="Amiri" w:cs="Amiri"/>
          <w:color w:val="111111"/>
          <w:sz w:val="28"/>
          <w:sz w:val="28"/>
          <w:szCs w:val="28"/>
          <w:rtl w:val="true"/>
          <w:lang w:bidi="ar-SA"/>
        </w:rPr>
        <w:t xml:space="preserve">نظر ؛ لأنّ سقوط الردّ مع العيب </w:t>
      </w:r>
      <w:bookmarkStart w:id="100" w:name="pg15222_162193"/>
    </w:p>
    <w:p>
      <w:pPr>
        <w:pStyle w:val="BookText"/>
        <w:rPr/>
      </w:pPr>
      <w:bookmarkEnd w:id="100"/>
      <w:r>
        <w:rPr>
          <w:rFonts w:ascii="Amiri" w:hAnsi="Amiri" w:eastAsia="Amiri" w:cs="Amiri"/>
          <w:color w:val="111111"/>
          <w:sz w:val="28"/>
          <w:sz w:val="28"/>
          <w:szCs w:val="28"/>
          <w:rtl w:val="true"/>
          <w:lang w:bidi="ar-SA"/>
        </w:rPr>
        <w:t xml:space="preserve">الحادث ، إنّما هو لمراعاة حال البائع ؛ لئلاّ يرد إليه المعيب ، وهنا يكون ردّ القيمة إليه عند الفسخ ، أهون من ردّ المعيب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لو صحّ ، فإنّما هو في التغيير بالنقيصة ، وأمّا مع سقوط الخيار حتّى في التغيير بالزيادة كما قيل</w:t>
      </w:r>
      <w:r>
        <w:rPr>
          <w:rStyle w:val="FootnoteAnchor"/>
          <w:rtl w:val="true"/>
        </w:rPr>
        <w:footnoteReference w:id="114"/>
      </w:r>
      <w:r>
        <w:rPr>
          <w:rFonts w:ascii="Amiri" w:hAnsi="Amiri" w:eastAsia="Amiri" w:cs="Amiri"/>
          <w:color w:val="111111"/>
          <w:sz w:val="28"/>
          <w:sz w:val="28"/>
          <w:szCs w:val="28"/>
          <w:rtl w:val="true"/>
          <w:lang w:bidi="ar-SA"/>
        </w:rPr>
        <w:t xml:space="preserve">، فيمكن دعوى الأولوية ، لكنّ المبنى محلّ إشكال ، بل منع </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3331574_2142443653"/>
      <w:bookmarkStart w:id="102" w:name="_Toc36"/>
      <w:bookmarkEnd w:id="101"/>
      <w:r>
        <w:rPr>
          <w:rtl w:val="true"/>
        </w:rPr>
        <w:t>بيان المحقّق الأصفهاني في وجه سقوط الخيار بالتلف</w:t>
      </w:r>
      <w:bookmarkEnd w:id="102"/>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 هذا الخيار بحسب مفاد الأدلّة ، تعلّق بالردّ ، لا بالعقد ، وعلى فرض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بتعلّقه بالعقد ، فهو 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أخبار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بفسخ العقد بردّ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فسقوط الحقّ بالتلف ونحوه ، ليس لكونه مسقطاً شرعياً ، بل هو لأجل أ نّه لا يمكن الردّ معه ؛ فإنّ وجود العين موضوع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عطف على التلف الحقيقي التلف الشرعي ، والانتقال بعقد لازم ، أو جائز ، والخروج عن السلطان ، كالرهن ، والإجارة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أجاد العلاّمة</w:t>
      </w:r>
      <w:r>
        <w:rPr>
          <w:rStyle w:val="FootnoteAnchor"/>
          <w:rtl w:val="true"/>
        </w:rPr>
        <w:footnoteReference w:id="11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المشتري على عيب في العبد بعد موته ، فلا ردّ ؛ إذ لا مردود ، وكذا لو قتل ، أو تلف الثوب</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اختاره أوّلاً ؛ فلأنّ تعلّق الحقّ بالردّ الخارجي قبل تحقّقه ، لا يعقل ؛ لكونه معدوماً ، وبعد تحقّقه كذلك ؛ لأ نّه حاصل ، لا يعقل تعلّق حقّ الردّ به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وتعلّقه بالردّ العنواني كتعلّق الحلّ بالبيع والتكليف بالمتعلّق ، لا يصحّ في المقام ؛ لأنّ ذلك الحقّ المتعلّق بالعنوان فرضاً ، لا يعقل وجوده في الخارج ؛ فإنّ الردّ إذا وجد خارجاً وإن انطبق عليه العنوان ، لكن لا يعقل انطباقه عليه بما له من الحكم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تعلّق به لا يكون منشأً للأثر ، وما هو منشأ الأثر لا يعقل تعلّقه به ، ولا ينبغي الخلط بينه وبين التكاليف المتعلّقة بالطبائع ، الباعثة لإخراجها إلى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احتمله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الحقّ متعلّق بالعقد ، لكنّه مقيّد بتلك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بين المعنى الكنائي والمعنى الحقيقي ، غير ممكن ، ولا سيّما مع بنائهم على عدم جواز استعمال اللفظ في أكثر من معنىً</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مع تسليم الجواز كما هو المختار</w:t>
      </w:r>
      <w:r>
        <w:rPr>
          <w:rStyle w:val="FootnoteAnchor"/>
          <w:rtl w:val="true"/>
        </w:rPr>
        <w:footnoteReference w:id="118"/>
      </w:r>
      <w:r>
        <w:rPr>
          <w:rFonts w:ascii="Amiri" w:hAnsi="Amiri" w:eastAsia="Amiri" w:cs="Amiri"/>
          <w:color w:val="111111"/>
          <w:sz w:val="28"/>
          <w:sz w:val="28"/>
          <w:szCs w:val="28"/>
          <w:rtl w:val="true"/>
          <w:lang w:bidi="ar-SA"/>
        </w:rPr>
        <w:t xml:space="preserve">، يشكل فيما إذا كان بين المعنيين ، ترتّب واختلاف في الرتبة كالمقام ؛ فإنّ أسباب الفسخ مقدّمة رتبة عليه ، ومع الغضّ عنه لا وجه للتقييد المدّعى ؛ فإنّه موقوف على استفادة حصر الفسخ بالردّ من الأدلّة ، وإلاّ فمجرّد الدلالة على ثبوت الفسخ بالردّ ، لا يوجب التقييد ، </w:t>
      </w:r>
    </w:p>
    <w:p>
      <w:pPr>
        <w:pStyle w:val="BookText"/>
        <w:rPr/>
      </w:pPr>
      <w:r>
        <w:rPr>
          <w:rFonts w:ascii="Amiri" w:hAnsi="Amiri" w:eastAsia="Amiri" w:cs="Amiri"/>
          <w:color w:val="111111"/>
          <w:sz w:val="28"/>
          <w:sz w:val="28"/>
          <w:szCs w:val="28"/>
          <w:rtl w:val="true"/>
          <w:lang w:bidi="ar-SA"/>
        </w:rPr>
        <w:t xml:space="preserve">ولا ينافي وجود سبب آخر ، هذا كلّه بحسب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الناظر في الأدلّة ، فلا ينبغي له الريب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فيها ومقابله ، كناية عن أنّ له الفسخ ، أو ليس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له وإن كان لا يحتاج إلى الاستشهاد ، صحيحة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بن الحسين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القضاء الأوّل في الرجل إذا اشترى الأمة فوطأها ، ثمّ ظهر على عيب ، أنّ البيع لازم ، وله أرش العيب</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الحميري بسنده الصحيح ، عن حمّاد كذلك ، إلاّ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لازم لا يردّها ، ويأخذ أرش العيب</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كالصريح منهما ، أنّ الحقّ متعلّق بالبيع ، لا بالردّ ، وأنّ البيع مع عدم التصرّف ليس بلازم ، ويرد ، وهذا شاهد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سائر الروايات كناية عن الفسخ</w:t>
      </w:r>
      <w:r>
        <w:rPr>
          <w:rStyle w:val="FootnoteAnchor"/>
          <w:rtl w:val="true"/>
        </w:rPr>
        <w:footnoteReference w:id="121"/>
      </w:r>
      <w:r>
        <w:rPr>
          <w:rFonts w:ascii="Amiri" w:hAnsi="Amiri" w:eastAsia="Amiri" w:cs="Amiri"/>
          <w:color w:val="111111"/>
          <w:sz w:val="28"/>
          <w:sz w:val="28"/>
          <w:szCs w:val="28"/>
          <w:rtl w:val="true"/>
          <w:lang w:bidi="ar-SA"/>
        </w:rPr>
        <w:t>، ويظهر ذلك أيضاً من رواية زرارة المتقدّمة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تشهد بوضوح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كناية معروفة عن الفسخ ، من دون أن يكون هو المتعلّق للحقّ مستقلاًّ ، أو دخيلاً في حصول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p>
    <w:p>
      <w:pPr>
        <w:pStyle w:val="BookText"/>
        <w:rPr/>
      </w:pPr>
      <w:r>
        <w:rPr>
          <w:rFonts w:ascii="Amiri" w:hAnsi="Amiri" w:eastAsia="Amiri" w:cs="Amiri"/>
          <w:color w:val="111111"/>
          <w:sz w:val="28"/>
          <w:sz w:val="28"/>
          <w:szCs w:val="28"/>
          <w:rtl w:val="true"/>
          <w:lang w:bidi="ar-SA"/>
        </w:rPr>
        <w:t xml:space="preserve">الكثيرة الواردة في أبواب العيوب والتدليس من كتاب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تردّ من أربعة أشياء</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 على أهلها</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النكاح من كذا وكذا</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بعدُ أمسكها ، وإن شاء سرّحها إلى أهلها </w:t>
      </w:r>
      <w:r>
        <w:rPr>
          <w:rFonts w:eastAsia="Amiri" w:cs="Amiri" w:ascii="Amiri" w:hAnsi="Amiri"/>
          <w:color w:val="111111"/>
          <w:sz w:val="28"/>
          <w:szCs w:val="28"/>
          <w:rtl w:val="true"/>
          <w:lang w:bidi="ar-SA"/>
        </w:rPr>
        <w:t>. . .»</w:t>
      </w:r>
      <w:r>
        <w:rPr>
          <w:rStyle w:val="FootnoteAnchor"/>
          <w:rtl w:val="true"/>
        </w:rPr>
        <w:footnoteReference w:id="126"/>
      </w:r>
      <w:r>
        <w:rPr>
          <w:rFonts w:ascii="Amiri" w:hAnsi="Amiri" w:eastAsia="Amiri" w:cs="Amiri"/>
          <w:color w:val="111111"/>
          <w:sz w:val="28"/>
          <w:sz w:val="28"/>
          <w:szCs w:val="28"/>
          <w:rtl w:val="true"/>
          <w:lang w:bidi="ar-SA"/>
        </w:rPr>
        <w:t>إلى غير ذلك</w:t>
      </w:r>
      <w:r>
        <w:rPr>
          <w:rStyle w:val="FootnoteAnchor"/>
          <w:rtl w:val="true"/>
        </w:rPr>
        <w:footnoteReference w:id="127"/>
      </w:r>
      <w:r>
        <w:rPr>
          <w:rFonts w:ascii="Amiri" w:hAnsi="Amiri" w:eastAsia="Amiri" w:cs="Amiri"/>
          <w:color w:val="111111"/>
          <w:sz w:val="28"/>
          <w:sz w:val="28"/>
          <w:szCs w:val="28"/>
          <w:rtl w:val="true"/>
          <w:lang w:bidi="ar-SA"/>
        </w:rPr>
        <w:t xml:space="preserve">ممّا لا يشكّ أحد ؛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كناية عن الفسخ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استشهاده بقول العلاّمة</w:t>
      </w:r>
      <w:r>
        <w:rPr>
          <w:rStyle w:val="FootnoteAnchor"/>
          <w:rtl w:val="true"/>
        </w:rPr>
        <w:footnoteReference w:id="128"/>
      </w:r>
      <w:r>
        <w:rPr>
          <w:rFonts w:ascii="Amiri" w:hAnsi="Amiri" w:eastAsia="Amiri" w:cs="Amiri"/>
          <w:color w:val="111111"/>
          <w:sz w:val="28"/>
          <w:sz w:val="28"/>
          <w:szCs w:val="28"/>
          <w:rtl w:val="true"/>
          <w:lang w:bidi="ar-SA"/>
        </w:rPr>
        <w:t xml:space="preserve">فغير وجيه ؛ لأنّ الظاهر منه أنّ الحقّ تعلّق بالعين ، لا بالردّ ، وهو أمر معقول ، وإن كان خلاف ظواهر الأدلّة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يسهّل الخطب في باب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كالموت ، والقتل ، والحرق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ليس في الخارج تلف إلاّ وهو مسبوق بتغيّر العين ، وحدوث حدث وشيء فيها ، وليس في الطبيعة سبب يوجب التلف بلا حدوث شيء في التالف ، حتّى في مثل استهلاك شيء في شيء ، وفي مثل إراقة اللبن ونحوه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كثير من المتلفات العرفية ، تخرج العين عن كونها قائمة بعينها ، قبل عروض التلف بزمان غير يسير ، فسبب السقوط في التلف مطلقاً ، متقدّم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لو فرض أنّ سبباً يعدم الشيء دفعة ، 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شيء فيه يوجب عدمه ، وليس الإيجاد والإعدام في الطبيعة ، نحوهما فيما وراءها الذي هو خارج عن الحوادث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التلف العرفي كثيراً ما يكون المبيع موجوداً ، وإن عدّ تالفاً ، حتّى في مثل انكسار الظروف ، وليس التلف كذلك موجباً لانعدام المبيع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 التلف من أسباب سقوط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كون الشيء غير قائم بعينه ، أو حدوث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ورد في الروايات</w:t>
      </w:r>
      <w:r>
        <w:rPr>
          <w:rStyle w:val="FootnoteAnchor"/>
          <w:rtl w:val="true"/>
        </w:rPr>
        <w:footnoteReference w:id="129"/>
      </w:r>
      <w:r>
        <w:rPr>
          <w:rFonts w:ascii="IRNazanin" w:hAnsi="IRNazanin" w:eastAsia="IRNazanin"/>
          <w:color w:val="111111"/>
          <w:sz w:val="28"/>
          <w:sz w:val="28"/>
          <w:szCs w:val="28"/>
          <w:rtl w:val="true"/>
          <w:lang w:bidi="fa-IR"/>
        </w:rPr>
        <w:t xml:space="preserve">سلب عن موضوع قابل للردّ خارجاً ، والمتلف ونحوه خارج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ليس في روايتي جميل وزرارة اللتين هما الأصل في الباب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القول المذكور ، كناية عن ثبوت الخيار ، ولا يلحظ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سائر الكنايات </w:t>
      </w:r>
      <w:r>
        <w:rPr>
          <w:rFonts w:eastAsia="Amiri" w:cs="Amiri" w:ascii="Amiri" w:hAnsi="Amiri"/>
          <w:color w:val="111111"/>
          <w:sz w:val="28"/>
          <w:szCs w:val="28"/>
          <w:rtl w:val="true"/>
          <w:lang w:bidi="ar-SA"/>
        </w:rPr>
        <w:t xml:space="preserve">. </w:t>
      </w:r>
      <w:bookmarkStart w:id="103" w:name="pg15222_162198"/>
    </w:p>
    <w:p>
      <w:pPr>
        <w:pStyle w:val="Heading6"/>
        <w:numPr>
          <w:ilvl w:val="5"/>
          <w:numId w:val="1"/>
        </w:numPr>
        <w:rPr/>
      </w:pPr>
      <w:bookmarkStart w:id="104" w:name="__RefHeading___Toc3331576_2142443653"/>
      <w:bookmarkStart w:id="105" w:name="_Toc37"/>
      <w:bookmarkEnd w:id="103"/>
      <w:bookmarkEnd w:id="104"/>
      <w:r>
        <w:rPr>
          <w:rtl w:val="true"/>
        </w:rPr>
        <w:t>وجه آخر لسقوط الردّ بالتلف ونحوه</w:t>
      </w:r>
      <w:bookmarkEnd w:id="105"/>
    </w:p>
    <w:p>
      <w:pPr>
        <w:pStyle w:val="BookText"/>
        <w:rPr/>
      </w:pPr>
      <w:r>
        <w:rPr>
          <w:rFonts w:ascii="Amiri" w:hAnsi="Amiri" w:eastAsia="Amiri" w:cs="Amiri"/>
          <w:color w:val="111111"/>
          <w:sz w:val="28"/>
          <w:sz w:val="28"/>
          <w:szCs w:val="28"/>
          <w:rtl w:val="true"/>
          <w:lang w:bidi="ar-SA"/>
        </w:rPr>
        <w:t xml:space="preserve">ثمّ إنّ هاهنا وجهاً آخر لسقوط الردّ بالتلف ونحوه ، وثبوت الأرش ، وهو الفارق بين هذا الخيار وسائر الخيارات ، حيث لم يثبت فيه الفسخ بعد التلف ونحوه ؛ وهو أ نّه قد تقدّم أنّ الشهرة المعتبرة ، قائمة على التخيير بين الفسخ والأرش ، ومقتضى ذلك أن يكونا في عرض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أو حقّ الفسخ ، ليس شيء منهما ملحوظاً ومطلوباً بنفسه ، بل المنظور منهما هو رجوع كلّ عوض إلى صاحبه الأوّل ، كما أنّ من المعلوم أنّ الرجوع إلى بدل التالف ، ليس في عرض المبدل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مع عروض التلف ونحوه ممّا يوجب تعذّر ردّ العين ، يتعيّن عديل حقّ الخيار ، وهو حقّ الأرش الذي في عرضه ، ولا تصل النوبة إلى البدل الذي هو بعض مراتب أداء العين عند عدم إمكان ردّها </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331578_2142443653"/>
      <w:bookmarkStart w:id="107" w:name="_Toc38"/>
      <w:bookmarkEnd w:id="106"/>
      <w:r>
        <w:rPr>
          <w:rtl w:val="true"/>
        </w:rPr>
        <w:t>في وجه مانعية وط‌ء الجارية عن الردّ بالعيب</w:t>
      </w:r>
      <w:bookmarkEnd w:id="10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إشكال نصّاً </w:t>
      </w:r>
      <w:r>
        <w:rPr>
          <w:rStyle w:val="FootnoteAnchor"/>
          <w:rtl w:val="true"/>
        </w:rPr>
        <w:footnoteReference w:id="130"/>
      </w:r>
      <w:r>
        <w:rPr>
          <w:rFonts w:ascii="IRNazanin" w:hAnsi="IRNazanin" w:eastAsia="IRNazanin"/>
          <w:color w:val="111111"/>
          <w:sz w:val="28"/>
          <w:sz w:val="28"/>
          <w:szCs w:val="28"/>
          <w:rtl w:val="true"/>
          <w:lang w:bidi="fa-IR"/>
        </w:rPr>
        <w:t>وفتوى</w:t>
      </w:r>
      <w:r>
        <w:rPr>
          <w:rStyle w:val="FootnoteAnchor"/>
          <w:rtl w:val="true"/>
        </w:rPr>
        <w:footnoteReference w:id="131"/>
      </w:r>
      <w:r>
        <w:rPr>
          <w:rFonts w:ascii="Amiri" w:hAnsi="Amiri" w:eastAsia="Amiri" w:cs="Amiri"/>
          <w:color w:val="111111"/>
          <w:sz w:val="28"/>
          <w:sz w:val="28"/>
          <w:szCs w:val="28"/>
          <w:rtl w:val="true"/>
          <w:lang w:bidi="ar-SA"/>
        </w:rPr>
        <w:t xml:space="preserve">في أنّ وط‌ء الجارية ، يمنع عن ردّها بالعيب ، ويصير البيع به لازماً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 نّه تخصيص في مثل مرسلة جميل وأ نّه 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العين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 تردّ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بتخصيص ، بل كاشف عن أنّ التصرّف مطلقاً موجب لسقوطه ، كما قالوا به في خيار الحيوان ؛ استناداً إلى عدّ مثل التقبيل واللمس ، من الأحداث الموجبة لسقوط الخيار</w:t>
      </w:r>
      <w:r>
        <w:rPr>
          <w:rStyle w:val="FootnoteAnchor"/>
          <w:rtl w:val="true"/>
        </w:rPr>
        <w:footnoteReference w:id="132"/>
      </w:r>
      <w:r>
        <w:rPr>
          <w:rFonts w:ascii="Amiri" w:hAnsi="Amiri" w:eastAsia="Amiri" w:cs="Amiri"/>
          <w:color w:val="111111"/>
          <w:sz w:val="28"/>
          <w:sz w:val="28"/>
          <w:szCs w:val="28"/>
          <w:rtl w:val="true"/>
          <w:lang w:bidi="ar-SA"/>
        </w:rPr>
        <w:t xml:space="preserve">؛ إذ أ نّه موجب لخروج العين عن كونها قائمة بعينها ، ويصدق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إحداث شيء 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تقدّم منّا ما يرجّح الأخير</w:t>
      </w:r>
      <w:r>
        <w:rPr>
          <w:rStyle w:val="FootnoteAnchor"/>
          <w:rtl w:val="true"/>
        </w:rPr>
        <w:footnoteReference w:id="133"/>
      </w:r>
      <w:r>
        <w:rPr>
          <w:rFonts w:ascii="Amiri" w:hAnsi="Amiri" w:eastAsia="Amiri" w:cs="Amiri"/>
          <w:color w:val="111111"/>
          <w:sz w:val="28"/>
          <w:sz w:val="28"/>
          <w:szCs w:val="28"/>
          <w:rtl w:val="true"/>
          <w:lang w:bidi="ar-SA"/>
        </w:rPr>
        <w:t xml:space="preserve">؛ ضرورة أنّ الوط‌ء ليس مثل ركوب الدابّة وعلفها وسقيها وسائر التصرّفات التي لا توجب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أوضح ما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أحدث فيها شيئاً وما بقيت قائمة بعينها ، وبلا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فالروايات متوافقة غير متخالفة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مراد الإسكافي حيث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الوط‌ء ممّا لا يمكن معه ردّ المبيع إلى ما كان عليه قبله</w:t>
      </w:r>
      <w:r>
        <w:rPr>
          <w:rStyle w:val="FootnoteAnchor"/>
          <w:rtl w:val="true"/>
        </w:rPr>
        <w:footnoteReference w:id="134"/>
      </w:r>
      <w:r>
        <w:rPr>
          <w:rFonts w:ascii="Amiri" w:hAnsi="Amiri" w:eastAsia="Amiri" w:cs="Amiri"/>
          <w:color w:val="111111"/>
          <w:sz w:val="28"/>
          <w:sz w:val="28"/>
          <w:szCs w:val="28"/>
          <w:rtl w:val="true"/>
          <w:lang w:bidi="ar-SA"/>
        </w:rPr>
        <w:t>، ولا يردّ عليه النقض بسائر التصرّفات كما توهّم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عدّه جناية فغير مرضيّ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وما ورد في بعض </w:t>
      </w:r>
    </w:p>
    <w:p>
      <w:pPr>
        <w:pStyle w:val="BookText"/>
        <w:rPr/>
      </w:pPr>
      <w:r>
        <w:rPr>
          <w:rFonts w:ascii="IRNazanin" w:hAnsi="IRNazanin" w:eastAsia="IRNazanin"/>
          <w:color w:val="111111"/>
          <w:sz w:val="28"/>
          <w:sz w:val="28"/>
          <w:szCs w:val="28"/>
          <w:rtl w:val="true"/>
          <w:lang w:bidi="fa-IR"/>
        </w:rPr>
        <w:t xml:space="preserve">الروايات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يجعل لها أجراً</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xml:space="preserve">لا يكون المراد منه أنّ هذا جناية ، لو ردّت لزم أن يردّ معها شيء تداركاً لها ، فتكون كاُجرة للفروج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الوط‌ء يوجب نقيصة عقلائية في الجارية ، فمع ردّها لا بدّ من أن تجبر تلك النقيصة ، ولو حكم بالجبران ، فلا بدّ من عرض الجارية على السوق ؛ ليحكم أهل الخبرة بأنّ مثلها إذا وطئت ، فبأيّ مقدار تكون قيمة وطئها ، حتّى ينقص من القيمة ، وهذا عين اُجرة المثل أو نظيرها ، وأبى اللّه تعالى أن يجعل لها أجراً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ينقضي تعجّبي من الشيخ الأعظم قدّس سرّه </w:t>
      </w:r>
      <w:r>
        <w:rPr>
          <w:rStyle w:val="FootnoteAnchor"/>
          <w:rtl w:val="true"/>
        </w:rPr>
        <w:footnoteReference w:id="138"/>
      </w:r>
      <w:r>
        <w:rPr>
          <w:rFonts w:ascii="Amiri" w:hAnsi="Amiri" w:eastAsia="Amiri" w:cs="Amiri"/>
          <w:color w:val="111111"/>
          <w:sz w:val="28"/>
          <w:sz w:val="28"/>
          <w:szCs w:val="28"/>
          <w:rtl w:val="true"/>
          <w:lang w:bidi="ar-SA"/>
        </w:rPr>
        <w:t>وغيره</w:t>
      </w:r>
      <w:r>
        <w:rPr>
          <w:rStyle w:val="FootnoteAnchor"/>
          <w:rtl w:val="true"/>
        </w:rPr>
        <w:footnoteReference w:id="139"/>
      </w:r>
      <w:r>
        <w:rPr>
          <w:rFonts w:ascii="Amiri" w:hAnsi="Amiri" w:eastAsia="Amiri" w:cs="Amiri"/>
          <w:color w:val="111111"/>
          <w:sz w:val="28"/>
          <w:sz w:val="28"/>
          <w:szCs w:val="28"/>
          <w:rtl w:val="true"/>
          <w:lang w:bidi="ar-SA"/>
        </w:rPr>
        <w:t xml:space="preserve">، حيث اغترّوا بظاهر بعض الروايات التي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إنّهنّ مستأجرات</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 xml:space="preserve">فحملوها على الحقيقة ، فأتعبوا نفوسهم الكريمة في توجيه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يجعل لها أجراً</w:t>
      </w:r>
      <w:r>
        <w:rPr>
          <w:rFonts w:eastAsia="IRNazanin" w:cs="IRNazanin"/>
          <w:color w:val="111111"/>
          <w:sz w:val="28"/>
          <w:szCs w:val="28"/>
          <w:rtl w:val="true"/>
          <w:lang w:bidi="fa-IR"/>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الذي لا ينبغي الريب فيه ، هو أنّ المتعة نكاح وزواج حقيقي ، لا فرق بينها وبين النكاح الدائم إلاّ في بعض الخصوصيات والأحكام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النكاح ، تباين ماهية الإجارة عقلاً وعرفاً ، والمهر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كالمهر في الدائم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الاُجرة عرفا وعقلاً ، ولهذا لا يقع النكاح مطلقاً بلفظ الإجارة ولا الإجارة بلفظ النكاح ، فالجمع بين كونها زواجاً ونكاحاً تترتّب عليها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عدم جواز متعة اُختها ، أو اُمّها ، أو 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وكونها إجارة كإجارة بيت وطاحونة ، ممّا لا يعقل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إمّا من حمل ما دلّت على أ نّها زواج ونكاح وزوجة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النصوص</w:t>
      </w:r>
      <w:r>
        <w:rPr>
          <w:rStyle w:val="FootnoteAnchor"/>
          <w:rtl w:val="true"/>
        </w:rPr>
        <w:footnoteReference w:id="141"/>
      </w:r>
      <w:r>
        <w:rPr>
          <w:rFonts w:ascii="IRNazanin" w:hAnsi="IRNazanin" w:eastAsia="IRNazanin"/>
          <w:color w:val="111111"/>
          <w:sz w:val="28"/>
          <w:sz w:val="28"/>
          <w:szCs w:val="28"/>
          <w:rtl w:val="true"/>
          <w:lang w:bidi="fa-IR"/>
        </w:rPr>
        <w:t xml:space="preserve">الكثيرة الموافقة للعرف ، وارتكاز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معانيها أو حمل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إنّهنّ مستأجرات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التشبيه والمجاز ، والمتعيّن هو الثاني ، بل عليه شواهد كثيرة ، نذكر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بعض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عبيد بن زرارة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له المتعة ، أهي من الأربع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منهنّ ألفاً ، فإنّهنّ مستأجرات</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يخطر ببال أحد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نّها ليست زواجاً ، بل استئجار ؟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 بأعلى ظهور ، أ نّها تزويج بمنزلة الاستئجار في بعض الخصوصيات ؛ لكونها ذات أمد ، وانقطاعها بمضيّة ، وعدم كونها محدودة بالكثرة والقلّة ، فيصحّ تزويج ألف منهنّ ، كما تصحّ إجارة ألف بيت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كما يعلم منه بوضوح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كون المتعة تزويجاً لا إجارة ، مفروض ومسلّم بين السائل والمجيب وإنّما السؤال عن كونها من الأربع ،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إنّهنّ مستأجرات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بلا ريب وشبهة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تشهد به رواية اُخرى قال علیه السلام فيها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بمنزلة الإماء</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والتنزيل إنّما هو من جهة جواز التزويج بأكثر من أربع ، كما كان هو المقصود من مثل الرواية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وتشهد بذلك واضحاً ، صيرورة المتعة دائمة مع عدم ذكر المدّة ، كما في النصّ</w:t>
      </w:r>
      <w:r>
        <w:rPr>
          <w:rStyle w:val="FootnoteAnchor"/>
          <w:rtl w:val="true"/>
        </w:rPr>
        <w:footnoteReference w:id="144"/>
      </w:r>
      <w:r>
        <w:rPr>
          <w:rFonts w:ascii="IRNazanin" w:hAnsi="IRNazanin" w:eastAsia="IRNazanin"/>
          <w:color w:val="111111"/>
          <w:sz w:val="28"/>
          <w:sz w:val="28"/>
          <w:szCs w:val="28"/>
          <w:rtl w:val="true"/>
          <w:lang w:bidi="fa-IR"/>
        </w:rPr>
        <w:t>والفتوى</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روايات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نصف العشر مع كونها حبلى</w:t>
      </w:r>
      <w:r>
        <w:rPr>
          <w:rStyle w:val="FootnoteAnchor"/>
          <w:rtl w:val="true"/>
        </w:rPr>
        <w:footnoteReference w:id="146"/>
      </w:r>
      <w:r>
        <w:rPr>
          <w:rFonts w:ascii="Amiri" w:hAnsi="Amiri" w:eastAsia="Amiri" w:cs="Amiri"/>
          <w:color w:val="111111"/>
          <w:sz w:val="28"/>
          <w:sz w:val="28"/>
          <w:szCs w:val="28"/>
          <w:rtl w:val="true"/>
          <w:lang w:bidi="ar-SA"/>
        </w:rPr>
        <w:t xml:space="preserve">، فليس ذلك شاهداً على كونها مستأجرة ، بل شاهد على خلافه ؛ فإنّها لو كانت كذلك ، لا بدّ من تقويم اكتراء بضعها ، لا تعيين مقدار معيّن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ثبوت مهر المثل ، بالدخول بالحرّة في بعض الموارد ، بل ثبوت مهر المثل ، أقرب بالإجارة من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الآية الكريمة على ذلك ، وهي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 xml:space="preserve">حيث استدلّ الأئمّة علیهم السلام بها على تشريع المتعة ، فتدلّ على أ نّه استمتاع بالأجر ، وهو عين الإجارة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غاية السقوط ؛ لأنّ استدلالهم علیهم السلام إنّما هو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نكحتم متعة ، كما في غير واحد من الروايات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استمتعتم إلى أجل مسمّى</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 xml:space="preserve">فالاستدلال بهذه الكلمة ، لا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اُجُورَهُنَّ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المهر توسّع بالضرورة ؛ لمشابهته له في بعض الاُمور ، وقد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نساء النبي صلی الله علیه و آله وسلم ،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إِنَّا أَحْلَلْنَا لَكَ أَزْوَاجَكَ ا للاّتِى آ تَيْتَ أُجُورَهُنَّ</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والمراد بها مهورهنّ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المهر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الآيات الاُخر</w:t>
      </w:r>
      <w:r>
        <w:rPr>
          <w:rStyle w:val="FootnoteAnchor"/>
          <w:rtl w:val="true"/>
        </w:rPr>
        <w:footnoteReference w:id="150"/>
      </w:r>
      <w:r>
        <w:rPr>
          <w:rFonts w:ascii="IRNazanin" w:hAnsi="IRNazanin" w:eastAsia="IRNazanin"/>
          <w:color w:val="111111"/>
          <w:sz w:val="28"/>
          <w:sz w:val="28"/>
          <w:szCs w:val="28"/>
          <w:rtl w:val="true"/>
          <w:lang w:bidi="fa-IR"/>
        </w:rPr>
        <w:t xml:space="preserve">، ولم يستدلّ الأئمّة علیهم السلام بها ، فراجعها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في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 أن يجعل لها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الأجر بمعناه المعهود في إجارة البيت والطاحونة ، وإلاّ فالأجر بمعناه المجازي لا إشكال فيه </w:t>
      </w:r>
      <w:r>
        <w:rPr>
          <w:rFonts w:eastAsia="IRNazanin" w:cs="IRNazanin"/>
          <w:color w:val="111111"/>
          <w:sz w:val="28"/>
          <w:szCs w:val="28"/>
          <w:rtl w:val="true"/>
          <w:lang w:bidi="fa-IR"/>
        </w:rPr>
        <w:t xml:space="preserve">. </w:t>
      </w:r>
      <w:bookmarkStart w:id="108" w:name="pg15222_162204"/>
    </w:p>
    <w:p>
      <w:pPr>
        <w:pStyle w:val="Heading6"/>
        <w:numPr>
          <w:ilvl w:val="5"/>
          <w:numId w:val="1"/>
        </w:numPr>
        <w:rPr/>
      </w:pPr>
      <w:bookmarkStart w:id="109" w:name="__RefHeading___Toc3331580_2142443653"/>
      <w:bookmarkStart w:id="110" w:name="_Toc39"/>
      <w:bookmarkEnd w:id="108"/>
      <w:bookmarkEnd w:id="109"/>
      <w:r>
        <w:rPr>
          <w:rtl w:val="true"/>
        </w:rPr>
        <w:t>في ردّ الجارية بالحبل ولو مع الوط‌ء</w:t>
      </w:r>
      <w:bookmarkEnd w:id="110"/>
    </w:p>
    <w:p>
      <w:pPr>
        <w:pStyle w:val="BookText"/>
        <w:rPr/>
      </w:pPr>
      <w:r>
        <w:rPr>
          <w:rFonts w:ascii="Amiri" w:hAnsi="Amiri" w:eastAsia="Amiri" w:cs="Amiri"/>
          <w:color w:val="111111"/>
          <w:sz w:val="28"/>
          <w:sz w:val="28"/>
          <w:szCs w:val="28"/>
          <w:rtl w:val="true"/>
          <w:lang w:bidi="ar-SA"/>
        </w:rPr>
        <w:t xml:space="preserve">ثمّ إنّه لا إشكال ، في أنّ وط‌ء الجارية ، لا يمنع عن ردّها بعيب الحمل ، ويمنع عن ردّها بسائر العيوب ، ولا 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والإشكال في الأخبار</w:t>
      </w:r>
      <w:r>
        <w:rPr>
          <w:rStyle w:val="FootnoteAnchor"/>
          <w:rtl w:val="true"/>
        </w:rPr>
        <w:footnoteReference w:id="151"/>
      </w:r>
      <w:r>
        <w:rPr>
          <w:rFonts w:ascii="Amiri" w:hAnsi="Amiri" w:eastAsia="Amiri" w:cs="Amiri"/>
          <w:color w:val="111111"/>
          <w:sz w:val="28"/>
          <w:sz w:val="28"/>
          <w:szCs w:val="28"/>
          <w:rtl w:val="true"/>
          <w:lang w:bidi="ar-SA"/>
        </w:rPr>
        <w:t xml:space="preserve">الواردة فيها من جهتين ، نتعرّض لهما بوجه إجمالي ، وإن كان الصفح عن مثل هذه المسألة غير المبتلى بها أولى </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331582_2142443653"/>
      <w:bookmarkStart w:id="112" w:name="_Toc40"/>
      <w:bookmarkEnd w:id="111"/>
      <w:r>
        <w:rPr>
          <w:rtl w:val="true"/>
        </w:rPr>
        <w:t xml:space="preserve">وهنا جهتان </w:t>
      </w:r>
      <w:r>
        <w:rPr>
          <w:rtl w:val="true"/>
        </w:rPr>
        <w:t>:</w:t>
      </w:r>
      <w:bookmarkEnd w:id="112"/>
    </w:p>
    <w:p>
      <w:pPr>
        <w:pStyle w:val="Heading6"/>
        <w:numPr>
          <w:ilvl w:val="5"/>
          <w:numId w:val="1"/>
        </w:numPr>
        <w:rPr/>
      </w:pPr>
      <w:bookmarkStart w:id="113" w:name="__RefHeading___Toc3331584_2142443653"/>
      <w:bookmarkStart w:id="114" w:name="_Toc41"/>
      <w:bookmarkEnd w:id="113"/>
      <w:r>
        <w:rPr>
          <w:rtl w:val="true"/>
        </w:rPr>
        <w:t xml:space="preserve">الجهة الاُولى </w:t>
      </w:r>
      <w:r>
        <w:rPr>
          <w:rtl w:val="true"/>
        </w:rPr>
        <w:t xml:space="preserve">: </w:t>
      </w:r>
      <w:r>
        <w:rPr>
          <w:rtl w:val="true"/>
        </w:rPr>
        <w:t>اختصاص الحبل بالحبل من غير مولى</w:t>
      </w:r>
      <w:bookmarkEnd w:id="114"/>
    </w:p>
    <w:p>
      <w:pPr>
        <w:pStyle w:val="BookText"/>
        <w:rPr/>
      </w:pPr>
      <w:r>
        <w:rPr>
          <w:rFonts w:ascii="Amiri" w:hAnsi="Amiri" w:eastAsia="Amiri" w:cs="Amiri"/>
          <w:color w:val="111111"/>
          <w:sz w:val="28"/>
          <w:sz w:val="28"/>
          <w:szCs w:val="28"/>
          <w:rtl w:val="true"/>
          <w:lang w:bidi="ar-SA"/>
        </w:rPr>
        <w:t>إنّ المنقول عن المشهور ، استثناء هذا العيب</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سائر العيوب ؛ وأ نّه تردّ الجارية به مع الوط‌ء ، وهو الظاهر من الروايات</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الحبل في الإماء عيب ، وإن لم يكن في الحيوان كذلك ، وقد ادّعي الإجماع عليه</w:t>
      </w:r>
      <w:r>
        <w:rPr>
          <w:rStyle w:val="FootnoteAnchor"/>
          <w:rtl w:val="true"/>
        </w:rPr>
        <w:footnoteReference w:id="154"/>
      </w:r>
      <w:r>
        <w:rPr>
          <w:rFonts w:ascii="Amiri" w:hAnsi="Amiri" w:eastAsia="Amiri" w:cs="Amiri"/>
          <w:color w:val="111111"/>
          <w:sz w:val="28"/>
          <w:sz w:val="28"/>
          <w:szCs w:val="28"/>
          <w:rtl w:val="true"/>
          <w:lang w:bidi="ar-SA"/>
        </w:rPr>
        <w:t xml:space="preserve">، وهو وإن لم يفد أمراً شرعياً ، لكن يظهر منه أنّ المرتكز في أذهان أهل العلم واللسان ، أنّه عيب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 كلام الفقهاء ، وما فهموا من الأخبار ، هو الحبل من غير المولى ، وخالف في ذلك بعض ، منهم الشيخ الأعظم قدّس سرّه ،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ظاهر الأخبار في بادئ النظر ، وإن كان ما ذكره المشهور ، إلاّ أنّ العمل على هذا الظهور ، يستلزم مخالفة الظاهر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وجوهاً ، عمدتها الوجه الأوّل في كلامه ؛ وهو لزوم مخالفة ظهورها في وجوب ردّ الجارية ، أو تقييد الحمل بكونه من غير المولى ، حتّى تكون الجملة الخبرية واردة في مقام دفع توهّم الحظر الناشئ من الأخبار المتقدّمة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 لما أشرنا إليه فيما سبق</w:t>
      </w:r>
      <w:r>
        <w:rPr>
          <w:rStyle w:val="FootnoteAnchor"/>
          <w:rtl w:val="true"/>
        </w:rPr>
        <w:footnoteReference w:id="156"/>
      </w:r>
      <w:r>
        <w:rPr>
          <w:rFonts w:ascii="Amiri" w:hAnsi="Amiri" w:eastAsia="Amiri" w:cs="Amiri"/>
          <w:color w:val="111111"/>
          <w:sz w:val="28"/>
          <w:sz w:val="28"/>
          <w:szCs w:val="28"/>
          <w:rtl w:val="true"/>
          <w:lang w:bidi="ar-SA"/>
        </w:rPr>
        <w:t xml:space="preserve">، من أنّ تلك الجملة الواردة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المقام ، ومنها المسألة السابقة</w:t>
      </w:r>
      <w:r>
        <w:rPr>
          <w:rStyle w:val="FootnoteAnchor"/>
          <w:rtl w:val="true"/>
        </w:rPr>
        <w:footnoteReference w:id="157"/>
      </w:r>
      <w:r>
        <w:rPr>
          <w:rFonts w:ascii="Amiri" w:hAnsi="Amiri" w:eastAsia="Amiri" w:cs="Amiri"/>
          <w:color w:val="111111"/>
          <w:sz w:val="28"/>
          <w:sz w:val="28"/>
          <w:szCs w:val="28"/>
          <w:rtl w:val="true"/>
          <w:lang w:bidi="ar-SA"/>
        </w:rPr>
        <w:t>، ومنها الردّ بأحداث السنة</w:t>
      </w:r>
      <w:r>
        <w:rPr>
          <w:rStyle w:val="FootnoteAnchor"/>
          <w:rtl w:val="true"/>
        </w:rPr>
        <w:footnoteReference w:id="158"/>
      </w:r>
      <w:r>
        <w:rPr>
          <w:rFonts w:ascii="Amiri" w:hAnsi="Amiri" w:eastAsia="Amiri" w:cs="Amiri"/>
          <w:color w:val="111111"/>
          <w:sz w:val="28"/>
          <w:sz w:val="28"/>
          <w:szCs w:val="28"/>
          <w:rtl w:val="true"/>
          <w:lang w:bidi="ar-SA"/>
        </w:rPr>
        <w:t>، ومنها ردّ المرأة المزوّجة بالعيوب المنصوصة</w:t>
      </w:r>
      <w:r>
        <w:rPr>
          <w:rStyle w:val="FootnoteAnchor"/>
          <w:rtl w:val="true"/>
        </w:rPr>
        <w:footnoteReference w:id="15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الخيار وعدمه ، وحقّ الفسخ وعدمه ، ولم تستعمل في شيء من الموارد في معناها الحقيقي ، ولا في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الجارية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w:t>
      </w:r>
      <w:r>
        <w:rPr>
          <w:rFonts w:eastAsia="Amiri" w:cs="Amiri" w:ascii="Amiri" w:hAnsi="Amiri"/>
          <w:color w:val="111111"/>
          <w:sz w:val="28"/>
          <w:szCs w:val="28"/>
          <w:rtl w:val="true"/>
          <w:lang w:bidi="ar-SA"/>
        </w:rPr>
        <w:t>. . .»</w:t>
      </w:r>
      <w:r>
        <w:rPr>
          <w:rStyle w:val="FootnoteAnchor"/>
          <w:rtl w:val="true"/>
        </w:rPr>
        <w:footnoteReference w:id="1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آخره ، ليس وجوب ردّها بالضرورة ، والجملة المذكورة في جميع الروايات في الأبواب المتفرّقة ، على نهج واحد بلا ريب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فالحكم التكليفي وجوباً وحرمة ، أجنبيّ عن مفاد تلك الروايات ، كما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بوقوعها في مقام دفع توهّم الحظر ، أيضاً 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الروايات سؤالاً وجواباً ، ناظرة إلى ثبوت الخيار وعدمه ، بعد الفراغ عن صحّة المعاملة ، فالصحّة مفروضة فيها ، وتظهر بوضوح من الأجوبة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جمع في بعض الروايات بين عدم ردّ التي ليست بحبلى وردّ الحبلى ، ممّا يظهر منه بوضوح أنّ الموضوع واحد ، وهو البيع الصحيح ، كرواية عبدالملك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 التي ليست بحبلى إذا وطأها صاحبها ، وله أرش العيب ، وتردّ الحبلى ، ويردّ معها نصف عشر قيمتها</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فهل ينقدح في ذهن أحد ،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في البيع الصحيح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البيع الفاسد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المتفاهم هو بيان ثبوت الخيار وعدم ثبوته ، بعد الفراغ عن الصحّة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من قوله علیه السلام في ذيلها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ويردّ معها نصف عشر 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ثبوت نصف العشر ، لا وجوب الأداء ، كما هو واضح للمتأمّل ، وأمّا سائر إشكالاته</w:t>
      </w:r>
      <w:r>
        <w:rPr>
          <w:rStyle w:val="FootnoteAnchor"/>
          <w:rtl w:val="true"/>
        </w:rPr>
        <w:footnoteReference w:id="162"/>
      </w:r>
      <w:r>
        <w:rPr>
          <w:rFonts w:ascii="Amiri" w:hAnsi="Amiri" w:eastAsia="Amiri" w:cs="Amiri"/>
          <w:color w:val="111111"/>
          <w:sz w:val="28"/>
          <w:sz w:val="28"/>
          <w:szCs w:val="28"/>
          <w:rtl w:val="true"/>
          <w:lang w:bidi="ar-SA"/>
        </w:rPr>
        <w:t xml:space="preserve">، فمدفوعة بأدنى تأمّل ، بل لعلّها غير مسلّمة عنده أيضاً </w:t>
      </w:r>
      <w:r>
        <w:rPr>
          <w:rFonts w:eastAsia="Amiri" w:cs="Amiri" w:ascii="Amiri" w:hAnsi="Amiri"/>
          <w:color w:val="111111"/>
          <w:sz w:val="28"/>
          <w:szCs w:val="28"/>
          <w:rtl w:val="true"/>
          <w:lang w:bidi="ar-SA"/>
        </w:rPr>
        <w:t xml:space="preserve">. </w:t>
      </w:r>
      <w:bookmarkStart w:id="115" w:name="pg15222_162207"/>
    </w:p>
    <w:p>
      <w:pPr>
        <w:pStyle w:val="Heading6"/>
        <w:numPr>
          <w:ilvl w:val="5"/>
          <w:numId w:val="1"/>
        </w:numPr>
        <w:rPr/>
      </w:pPr>
      <w:bookmarkStart w:id="116" w:name="__RefHeading___Toc3331586_2142443653"/>
      <w:bookmarkStart w:id="117" w:name="_Toc42"/>
      <w:bookmarkEnd w:id="115"/>
      <w:bookmarkEnd w:id="116"/>
      <w:r>
        <w:rPr>
          <w:rtl w:val="true"/>
        </w:rPr>
        <w:t xml:space="preserve">الجهة الثانية </w:t>
      </w:r>
      <w:r>
        <w:rPr>
          <w:rtl w:val="true"/>
        </w:rPr>
        <w:t xml:space="preserve">: </w:t>
      </w:r>
      <w:r>
        <w:rPr>
          <w:rtl w:val="true"/>
        </w:rPr>
        <w:t>ردّ نصف العشر عند ردّ الحبلى</w:t>
      </w:r>
      <w:bookmarkEnd w:id="117"/>
    </w:p>
    <w:p>
      <w:pPr>
        <w:pStyle w:val="BookText"/>
        <w:rPr/>
      </w:pPr>
      <w:r>
        <w:rPr>
          <w:rFonts w:ascii="Amiri" w:hAnsi="Amiri" w:eastAsia="Amiri" w:cs="Amiri"/>
          <w:color w:val="111111"/>
          <w:sz w:val="28"/>
          <w:sz w:val="28"/>
          <w:szCs w:val="28"/>
          <w:rtl w:val="true"/>
          <w:lang w:bidi="ar-SA"/>
        </w:rPr>
        <w:t xml:space="preserve">إنّ الوارد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16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w:t>
      </w:r>
      <w:r>
        <w:rPr>
          <w:rStyle w:val="FootnoteAnchor"/>
          <w:rtl w:val="true"/>
        </w:rPr>
        <w:footnoteReference w:id="16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w:t>
      </w:r>
      <w:r>
        <w:rPr>
          <w:rStyle w:val="FootnoteAnchor"/>
          <w:rtl w:val="true"/>
        </w:rPr>
        <w:footnoteReference w:id="16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رابع</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يوهم الاختلاف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المستفاد منها هو نصف العشر، ولم يرد العشر إلاّ في رواية واحدة ، هي رواية عبدالملك مع أ نّها منقولة بلفظ آخر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منها ، كما احتمله الشيخ قدّس سرّه </w:t>
      </w:r>
      <w:r>
        <w:rPr>
          <w:rStyle w:val="FootnoteAnchor"/>
          <w:rtl w:val="true"/>
        </w:rPr>
        <w:footnoteReference w:id="168"/>
      </w:r>
      <w:r>
        <w:rPr>
          <w:rFonts w:ascii="Amiri" w:hAnsi="Amiri" w:eastAsia="Amiri" w:cs="Amiri"/>
          <w:color w:val="111111"/>
          <w:sz w:val="28"/>
          <w:sz w:val="28"/>
          <w:szCs w:val="28"/>
          <w:rtl w:val="true"/>
          <w:lang w:bidi="ar-SA"/>
        </w:rPr>
        <w:t xml:space="preserve">، ولا أقلّ من وقوع الإجمال فيها بعد نقلها مختلفة ، مع وحدة الراوي والمرويّ عنه ، فتكون سائر الروايات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حجّة بلا معارض </w:t>
      </w:r>
      <w:r>
        <w:rPr>
          <w:rFonts w:eastAsia="Amiri" w:cs="Amiri" w:ascii="Amiri" w:hAnsi="Amiri"/>
          <w:color w:val="111111"/>
          <w:sz w:val="28"/>
          <w:szCs w:val="28"/>
          <w:rtl w:val="true"/>
          <w:lang w:bidi="ar-SA"/>
        </w:rPr>
        <w:t xml:space="preserve">. </w:t>
      </w:r>
      <w:bookmarkStart w:id="118" w:name="pg15222_162208"/>
    </w:p>
    <w:p>
      <w:pPr>
        <w:pStyle w:val="BookText"/>
        <w:rPr/>
      </w:pPr>
      <w:bookmarkEnd w:id="118"/>
      <w:r>
        <w:rPr>
          <w:rFonts w:ascii="IRNazanin" w:hAnsi="IRNazanin" w:eastAsia="IRNazanin"/>
          <w:color w:val="111111"/>
          <w:sz w:val="28"/>
          <w:sz w:val="28"/>
          <w:szCs w:val="28"/>
          <w:rtl w:val="true"/>
          <w:lang w:bidi="fa-IR"/>
        </w:rPr>
        <w:t xml:space="preserve">وأمّا ما في رواية عبدالرحمان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معها شيء</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فهو في مقام الإهمال ، وإلاّ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حبّة خردل ، فلا يعوّل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رواية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الحبلى ، فينكحها وهو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ويكسوها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 أن يكون إكساؤها ، محمولاً على الاستحباب ، زائداً على نصف العشر الذي يردّ إلى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السكوت عن نصف العشر ، دليل على كفاية إكسائها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السكوت لا يقاوم التصريح في غيرها ، وليس فيها أ نّه يردّ معها الكسوة ، حتّى يخالف سائر الروايات فتدبّر ، والأمر سهل بعد عدم العامل بها ظاهراً </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331588_2142443653"/>
      <w:bookmarkStart w:id="120" w:name="_Toc43"/>
      <w:bookmarkEnd w:id="119"/>
      <w:r>
        <w:rPr>
          <w:rtl w:val="true"/>
        </w:rPr>
        <w:t xml:space="preserve">الرابع </w:t>
      </w:r>
      <w:r>
        <w:rPr>
          <w:rtl w:val="true"/>
        </w:rPr>
        <w:t xml:space="preserve">: </w:t>
      </w:r>
      <w:r>
        <w:rPr>
          <w:rtl w:val="true"/>
        </w:rPr>
        <w:t>حدوث عيب عند المشتري</w:t>
      </w:r>
      <w:bookmarkEnd w:id="120"/>
    </w:p>
    <w:p>
      <w:pPr>
        <w:pStyle w:val="Heading6"/>
        <w:numPr>
          <w:ilvl w:val="5"/>
          <w:numId w:val="1"/>
        </w:numPr>
        <w:rPr/>
      </w:pPr>
      <w:bookmarkStart w:id="121" w:name="__RefHeading___Toc3331590_2142443653"/>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وهو أيضاً داخل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تغيّر العين ، وعدم كونها قائمة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يصدق على أكثر العناوين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فالعيب الحادث بعد العقد ، إمّا حادث قبل القبض ، أو في زمان خيار يكون المبيع فيه مضموناً على البائع ، كخيار الشرط ، والحيوان ، </w:t>
      </w:r>
      <w:bookmarkStart w:id="123" w:name="pg15222_162209"/>
    </w:p>
    <w:p>
      <w:pPr>
        <w:pStyle w:val="BookText"/>
        <w:rPr/>
      </w:pPr>
      <w:bookmarkEnd w:id="123"/>
      <w:r>
        <w:rPr>
          <w:rFonts w:ascii="Amiri" w:hAnsi="Amiri" w:eastAsia="Amiri" w:cs="Amiri"/>
          <w:color w:val="111111"/>
          <w:sz w:val="28"/>
          <w:sz w:val="28"/>
          <w:szCs w:val="28"/>
          <w:rtl w:val="true"/>
          <w:lang w:bidi="ar-SA"/>
        </w:rPr>
        <w:t xml:space="preserve">وخيار المجلس ، على احتمال ، دون سائر الخيارات ، على ما يأتي الكلام فيها في محلّها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بعد مضيّ زمان الخيار ، فلا بدّ من التعرّض لتلك الموارد ، على ما يناسب المقام </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3331592_2142443653"/>
      <w:bookmarkStart w:id="125" w:name="_Toc45"/>
      <w:bookmarkEnd w:id="124"/>
      <w:r>
        <w:rPr>
          <w:rtl w:val="true"/>
        </w:rPr>
        <w:t>حكم العيب الحادث بعد العقد وقبل القبض</w:t>
      </w:r>
      <w:bookmarkEnd w:id="125"/>
    </w:p>
    <w:p>
      <w:pPr>
        <w:pStyle w:val="BookText"/>
        <w:rPr/>
      </w:pPr>
      <w:r>
        <w:rPr>
          <w:rFonts w:ascii="Amiri" w:hAnsi="Amiri" w:eastAsia="Amiri" w:cs="Amiri"/>
          <w:color w:val="111111"/>
          <w:sz w:val="28"/>
          <w:sz w:val="28"/>
          <w:szCs w:val="28"/>
          <w:rtl w:val="true"/>
          <w:lang w:bidi="ar-SA"/>
        </w:rPr>
        <w:t xml:space="preserve">أمّا الحادث قبل القبض ، فهل هو كالحادث قبل العقد ، تترتّب عليه أحكامه ؛ من ثبوت الخيار به ، والأرش ، وعدم كونه مانعاً عن الردّ بالعيب السابق ، أم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فيه تفصيل ؟</w:t>
      </w:r>
    </w:p>
    <w:p>
      <w:pPr>
        <w:pStyle w:val="BookText"/>
        <w:rPr/>
      </w:pPr>
      <w:r>
        <w:rPr>
          <w:rFonts w:ascii="Amiri" w:hAnsi="Amiri" w:eastAsia="Amiri" w:cs="Amiri"/>
          <w:color w:val="111111"/>
          <w:sz w:val="28"/>
          <w:sz w:val="28"/>
          <w:szCs w:val="28"/>
          <w:rtl w:val="true"/>
          <w:lang w:bidi="ar-SA"/>
        </w:rPr>
        <w:t xml:space="preserve">يمكن الاستدلال للأوّل بمرسلة جميل المتقدّمة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الثوب أو المتاع ، فيجد فيه عيباً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لا يختصّ باشترائهما ، بل هما مذكوران من باب المثال ، فيكون السؤال عن مطلق ما يشترى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المبيع في كثير من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يحتاج في تسليمه إلى مضيّ زمان غير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تعرض عليه في تلك المدّة تغييرات أو تلف ، فبعد التسليم إذا وجد فيه عيباً ، يحتمل أن يكون العيب ممّا حدث قبل العقد ، أو بعده قبل القبض ، نعم يخرج منه بعد القبض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الاحتمال ، وترك التفصيل في الرواية ، وصدق العنوان على الموردين ، يستكشف الإطلاق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قبضت السلعة ووجدتها معيبة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كان العيب قبل العقد ، أو بعده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الخيار ، مع بقائها بعينها ، ولك الأرش مع تغيّرها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فالعيب الحادث قبل القبض ، كالعيب قبل العقد في جميع الآثار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فيما ذكر ، بين الدلالة على أنّ وجدانه معيباً كان بعد القبض ، كما هو المنسبق منه إلى الذهن ، أو لا ، ولا بين كون الوجدان مأخوذاً بنحو الطريقية كما هو كذلك ، أو لا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فوجد أو علم أنّ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وفيه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فالإطلاق محكّم ، وترك الاستفصال دليل على ثبوته في الحالين ، وحيث لا يبعد أن يكون ما ذكر موافقاً لارتكاز العقلاء ، أو غير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ضمان التلف قبل القبض ، لا يبعد أن يكون عقلائياً ، ولا أقلّ من عدم مخالفته لارتكازهم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دعوى الانصراف إلى العيب الحادث قبل العقد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إطلاق المرسلة كان دليلاً عند أصحابنا ، أو عند كثير ممّن قال بثبوت الخيار والأرش</w:t>
      </w:r>
      <w:r>
        <w:rPr>
          <w:rStyle w:val="FootnoteAnchor"/>
          <w:rtl w:val="true"/>
        </w:rPr>
        <w:footnoteReference w:id="174"/>
      </w:r>
      <w:r>
        <w:rPr>
          <w:rFonts w:ascii="Amiri" w:hAnsi="Amiri" w:eastAsia="Amiri" w:cs="Amiri"/>
          <w:color w:val="111111"/>
          <w:sz w:val="28"/>
          <w:sz w:val="28"/>
          <w:szCs w:val="28"/>
          <w:rtl w:val="true"/>
          <w:lang w:bidi="ar-SA"/>
        </w:rPr>
        <w:t xml:space="preserve">، وإلاّ فلا دليل عليهما بوجه ؛ فإنّ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 ، فهو من مال بائعه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 نّها لا تشمل رفع وصف الصحّة وعروض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شمولها لتلف المبيع ، أو جزء منه ، أو وصف الصحّة ، فيها إشكال ثبوتي على بعض الاحتمالات ، وإشكال من جهة عدم صلاحيتها لإثبات المقصود مطلقاً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فإنّه يحتمل أن يراد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الحقيقة ، فمع تلف الكلّ ، لا بدّ وأن يلتزم بفسخ العقد آناً ما قبل التلف ، حتّى يصحّ الكلام ، وفي تلف الجزء أيضاً يمكن التكلّف ؛ بأنّ العقد ينفسخ قبله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وصف الصحّة ، فلا يعقل إلاّ بالالتزام بفسخ العقد ؛ ليترتّب عليه ردّ الوصف تبعاً ، وتلفه من مال البائع ، ولم يلتزم أحد بذلك ، مع أ نّه منافٍ لما أراد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الوصف منزّل منزلة ماله ، فتكون القاعدة بالنسبة إلى الكلّ والجزء استعملت على نحو الحقيقة ، وبالنسبة إلى الوصف على نحو التنزيل ، وهو غير ممكن في استعمال واحد ، حتّى على القول بجواز استعمال اللفظ في أكثر من معنىً ؛ فإنّ التنزيل اعتبار مترتّب على الواقع ، فيكون المعنيان طوليين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العقد لا يتمّ إلاّ بالقبض</w:t>
      </w:r>
      <w:r>
        <w:rPr>
          <w:rStyle w:val="FootnoteAnchor"/>
          <w:rtl w:val="true"/>
        </w:rPr>
        <w:footnoteReference w:id="175"/>
      </w:r>
      <w:r>
        <w:rPr>
          <w:rFonts w:ascii="Amiri" w:hAnsi="Amiri" w:eastAsia="Amiri" w:cs="Amiri"/>
          <w:color w:val="111111"/>
          <w:sz w:val="28"/>
          <w:sz w:val="28"/>
          <w:szCs w:val="28"/>
          <w:rtl w:val="true"/>
          <w:lang w:bidi="ar-SA"/>
        </w:rPr>
        <w:t xml:space="preserve">، فيصير ضمان التالف ، وثبوت الخيار بالعيب قبل القبض ، على القاعدة فهو مزيّف مخالف للنصّ والفتوى ، والقول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نادر مردود على صاحبه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من القاعدة ، تنزيل التالف منزلة ملك البائع ، فالنقص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بالتلف ، أو بتلف الجزء ، 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وقع في ملكه ، فيستفاد من تلف الكلّ أو الجزء الضمان ، ومن تلف الوصف الخيار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ما لا يخفى ؛ فإنّ تنزيل المبيع منزلة ملكه في حال تلفه ، لا يفيد شيئاً ، فلا بدّ من التنزيل حال وجوده ، فحينئذٍ إن كان التنزيل مطلقاً وفي جميع الآثار ، يلزم ما لا يلتزمه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بنحو التقييد وفي بعض الآثار ؛ بأن يكون في التلف في خصوص الضمان ، وفي العيب في ثبوت الخيار ، فيلزم منه إرادة شيئين مختلفين متباينين من لفظ واحد بلا قرينة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التنزيل منزلة ملكه لا يفيد إلاّ الضمان ، والتنزيل منزلة كون التلف قبل العقد ، لا يثبت وقوعه على المعيب أو التالف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من دعاوى كلّها باطلة ؛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منه ، ومن بعضه ، ومن وصفه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لا يفيد ذلك إلاّ الضمان ، تضمّ إليها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بمنزلة التلف والعيب قبل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لا يفيد ذلك في المقصود ، تضمّ إليها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العقد بمنزلة الواقع على التالف والمعيب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كانت هذه الدعوى مستلزمة لما لا يقولون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على بطلان العقد من رأس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 إليها دعوى التنزيل في بعض الآثار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التكلّفات بعيدة عن مثل القائل ، وغير موافقة للواقع ، فلا داعي إلى التزامها </w:t>
      </w:r>
      <w:r>
        <w:rPr>
          <w:rFonts w:eastAsia="Amiri" w:cs="Amiri" w:ascii="Amiri" w:hAnsi="Amiri"/>
          <w:color w:val="111111"/>
          <w:sz w:val="28"/>
          <w:szCs w:val="28"/>
          <w:rtl w:val="true"/>
          <w:lang w:bidi="ar-SA"/>
        </w:rPr>
        <w:t xml:space="preserve">. </w:t>
      </w:r>
      <w:bookmarkStart w:id="126" w:name="pg15222_162213"/>
    </w:p>
    <w:p>
      <w:pPr>
        <w:pStyle w:val="Heading6"/>
        <w:numPr>
          <w:ilvl w:val="5"/>
          <w:numId w:val="1"/>
        </w:numPr>
        <w:rPr/>
      </w:pPr>
      <w:bookmarkStart w:id="127" w:name="__RefHeading___Toc3331594_2142443653"/>
      <w:bookmarkStart w:id="128" w:name="_Toc46"/>
      <w:bookmarkEnd w:id="126"/>
      <w:bookmarkEnd w:id="127"/>
      <w:r>
        <w:rPr>
          <w:rtl w:val="true"/>
        </w:rPr>
        <w:t>وحدة الخيار عند تعدّد العيوب</w:t>
      </w:r>
      <w:bookmarkEnd w:id="128"/>
    </w:p>
    <w:p>
      <w:pPr>
        <w:pStyle w:val="BookText"/>
        <w:rPr/>
      </w:pPr>
      <w:r>
        <w:rPr>
          <w:rFonts w:ascii="Amiri" w:hAnsi="Amiri" w:eastAsia="Amiri" w:cs="Amiri"/>
          <w:color w:val="111111"/>
          <w:sz w:val="28"/>
          <w:sz w:val="28"/>
          <w:szCs w:val="28"/>
          <w:rtl w:val="true"/>
          <w:lang w:bidi="ar-SA"/>
        </w:rPr>
        <w:t>ثمّ إنّه بعد ما عرفت من أنّ رواية جميل دالّة بإطلاقها على ثبوت الخيار والأرش</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الكلام في أنّ العيب الموجب للخيار ، هل يوجب سلب الخيار الثابت بالعيب السابق ، فيكون الخيار ثابتاً باللاحق ، لا بالسابق ، بدعوى أنّ العين خرجت عن القيام بعينها </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يستفاد من المرسلة في خصوص العيب الحادث قبل القبض ؛ لأنّ مقتضى إطلاق السؤال ، وجدان العيب الذي كان قبل العقد أو القبض ، ومقتضى الجواب أنّ ذلك العيب مفروض في الموضوع ، وحكمه أنّ 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بعيب حادث قبل العقد ،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قائماً بعينه حكمه كذا ، وإلاّ فحكمه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المأخوذ في الموضوع ، لا يعقل أن يدخل في الشرطية ، وهذا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سقوط الخيار السابق ، وثبوت الخيار الجديد ، كاللغو ، وهو المنشأ لعدم فهمه من الرواية ، وانصرافها عنه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يثبت هنا خياران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بالعيب السابق على العقد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بالحادث قبل القبض؟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العيوب المتعدّدة وإن لم توجب إلاّ خياراً واحداً ، وليس في كلّ عيب خيار ، إلاّ أنّ العيب السابق أو العيوب السابقة ، إذا </w:t>
      </w:r>
    </w:p>
    <w:p>
      <w:pPr>
        <w:pStyle w:val="BookText"/>
        <w:rPr/>
      </w:pPr>
      <w:r>
        <w:rPr>
          <w:rFonts w:ascii="Amiri" w:hAnsi="Amiri" w:eastAsia="Amiri" w:cs="Amiri"/>
          <w:color w:val="111111"/>
          <w:sz w:val="28"/>
          <w:sz w:val="28"/>
          <w:szCs w:val="28"/>
          <w:rtl w:val="true"/>
          <w:lang w:bidi="ar-SA"/>
        </w:rPr>
        <w:t xml:space="preserve">صارت موجبة للخيار بمجرّد تحقّق العقد ، كانت العيوب اللاحقة المتجدّدة ، موجبة لخيار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العيوب إذا كانت في عرض واحد ، ورتبة واحدة ولو في التأثير ، لا تؤثّر إلاّ خياراً واحداً ، وأمّا إذا أثّر ما كان قبل العقد ، فوجد الخيار به ، ثمّ وجد السبب الآخر المتأخّر عنه رتبة ، فلا محالة يؤثّر أثراً جديداً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غاية ما يمكن أن يقال في تقريب تعدّد الخيار ، ولو مع فرض كون السبب صرف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لا يفيد إلاّ تقريب التعدّد تصوّراً ، لا إثباته تصديقاً ودلالة ، ولا إشكال في أنّ الميزان في الدلالات فهم العرف والعقلاء ، ومن راجع مرسلة جميل سؤالاً وجواباً ، لا يشكّ في أ نّه لا يستفاد منها إلاّ الخيار الواحد في صورتي وحدة العيب وتعدّده مطلقاً ، سواء كان ثابتاً قبل العقد ، أم حادثاً بعده قبل القبض ، أم كان بعضها قبل العقد ، وبعضها حادثاً بعده قبل القبض ، كما سنشير إليه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إثبات الخيارين بالمرسلة ، فهل يوجب العيب الحادث بعد العقد سقوط الخيار بالعيب السابق؟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إطلاقها ، أنّ التغيّر بعد العقد قبل القبض مسقط ، ولا يعقل أن يكون مسقطاً للخيار الآتي من قبله ؛ لأنّ العيب سبب لثبوته ، لا لسقوطه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سقوط الخيار الناشئ من السبب السابق ، فلا مانع منه ، بل هو مقتضى دلالتها إطلاقاً ، 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 الدليل عن العيب الموجب للخيار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هذا مراد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مضمون على البائع ، فلا يوجب الإسقاط</w:t>
      </w:r>
      <w:r>
        <w:rPr>
          <w:rStyle w:val="FootnoteAnchor"/>
          <w:rtl w:val="true"/>
        </w:rPr>
        <w:footnoteReference w:id="180"/>
      </w:r>
      <w:r>
        <w:rPr>
          <w:rFonts w:ascii="IRNazanin" w:hAnsi="IRNazanin" w:eastAsia="IRNazanin"/>
          <w:color w:val="111111"/>
          <w:sz w:val="28"/>
          <w:sz w:val="28"/>
          <w:szCs w:val="28"/>
          <w:rtl w:val="true"/>
          <w:lang w:bidi="fa-IR"/>
        </w:rPr>
        <w:t xml:space="preserve">، وله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ما أفاده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إمكان اقتضاء ما يقتضي الخيار لعدمه ، فلا بدّ من تقييد الإطلاق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الممتنع اقتضاء عدم ما يقتضي وجوده ، والمقام ليس من هذا القبيل ؛ فإنّه يقتضي عدم ما لا يقتضي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طبيعة واحدة ، فلا بدّ وأن يكون مقتضاه واحداً ؛ بدليل عدم تأثير الكثير في الواحد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من خلط التكوين بالاعتبار ، أو خلط موضوعية شيء للحكم بالتأثير العلّي ، فأيّ جامع بين سبب خيار الحيوان والعيب ، وسائر الخيارات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ما ذكره ، فلا بدّ من امتناع سقوط خيار العيب ، بالعيب الحاصل بعد القبض ؛ ضرورة وحدة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في التأثير بواسطة اختلاف الإضافة ، يأتي ذلك بعينه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كان العيب مقتضياً للخيار واقعاً ، كان اللازم ثبوته بلا جعل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الجعل كاشف عن ثبوته ، وهو كما ترى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مقتضياً للجعل ، فمع لزوم كونه مؤثّراً في نفس الجاعل إن كان علّة تامّة ، لازمه جعله فيما إذا حصل العيب بيد المشتري وفي يده </w:t>
      </w:r>
      <w:r>
        <w:rPr>
          <w:rFonts w:eastAsia="Amiri" w:cs="Amiri" w:ascii="Amiri" w:hAnsi="Amiri"/>
          <w:color w:val="111111"/>
          <w:sz w:val="28"/>
          <w:szCs w:val="28"/>
          <w:rtl w:val="true"/>
          <w:lang w:bidi="ar-SA"/>
        </w:rPr>
        <w:t xml:space="preserve">. </w:t>
      </w:r>
      <w:bookmarkStart w:id="129" w:name="pg15222_162216"/>
    </w:p>
    <w:p>
      <w:pPr>
        <w:pStyle w:val="BookText"/>
        <w:rPr/>
      </w:pPr>
      <w:bookmarkEnd w:id="129"/>
      <w:r>
        <w:rPr>
          <w:rFonts w:ascii="Amiri" w:hAnsi="Amiri" w:eastAsia="Amiri" w:cs="Amiri"/>
          <w:color w:val="111111"/>
          <w:sz w:val="28"/>
          <w:sz w:val="28"/>
          <w:szCs w:val="28"/>
          <w:rtl w:val="true"/>
          <w:lang w:bidi="ar-SA"/>
        </w:rPr>
        <w:t xml:space="preserve">والأولى تنزيه الفقه من الدقائق الفلسفية ، بل ومن الدقائق الاُصولية أيضاً ؛ فإنّهما يضرّان بفهم الأخبار واعتبارات العقلاء ، وهما ملاك الفقه والفقاهة </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3331596_2142443653"/>
      <w:bookmarkStart w:id="131" w:name="_Toc47"/>
      <w:bookmarkEnd w:id="130"/>
      <w:r>
        <w:rPr>
          <w:rtl w:val="true"/>
        </w:rPr>
        <w:t>الإشكال على ثبوت خيار الفسخ والأرش بالعيوب المتعدّدة</w:t>
      </w:r>
      <w:bookmarkEnd w:id="131"/>
    </w:p>
    <w:p>
      <w:pPr>
        <w:pStyle w:val="BookText"/>
        <w:rPr/>
      </w:pPr>
      <w:r>
        <w:rPr>
          <w:rFonts w:ascii="Amiri" w:hAnsi="Amiri" w:eastAsia="Amiri" w:cs="Amiri"/>
          <w:color w:val="111111"/>
          <w:sz w:val="28"/>
          <w:sz w:val="28"/>
          <w:szCs w:val="28"/>
          <w:rtl w:val="true"/>
          <w:lang w:bidi="ar-SA"/>
        </w:rPr>
        <w:t xml:space="preserve">ثمّ إنّه قد يختلج بالبال ، الإشكال على ثبوت خيار الفسخ والأرش ، على مبنى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العيب سبب لحقّ واحد قائم بالعقد أو الأرش</w:t>
      </w:r>
      <w:r>
        <w:rPr>
          <w:rStyle w:val="FootnoteAnchor"/>
          <w:rtl w:val="true"/>
        </w:rPr>
        <w:footnoteReference w:id="182"/>
      </w:r>
      <w:r>
        <w:rPr>
          <w:rFonts w:ascii="Amiri" w:hAnsi="Amiri" w:eastAsia="Amiri" w:cs="Amiri"/>
          <w:color w:val="111111"/>
          <w:sz w:val="28"/>
          <w:sz w:val="28"/>
          <w:szCs w:val="28"/>
          <w:rtl w:val="true"/>
          <w:lang w:bidi="ar-SA"/>
        </w:rPr>
        <w:t>، بل على ما ذهبنا إليه ؛ من ثبوت حقّين متعلّقين ، أحدهما بالعقد ، والآخر بالأرش ، وأنّ التخيير إنّما هو في مقام الاستيفاء</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 نّه يحتمل بحسب الثبوت ، أن يكون السبب صرف وجود العيب ، أو وجوده الساري ، أو طبيعيه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ثبوت خيار واحد وأرش واحد بصرف وجود العيب ، وإن كان متكثّراً مترتّباً ، 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تلزم كثرة الخيار والأرش بكثرة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فيشكل الأمر على القائل بكون الحقّ واحداً ؛ بأنّ سببه لا يعقل أن يكون متكثّراً ، فإن كان صرف الوجود ، يشكل إثبات الأرش بالعيوب المتعدّدة ، إذا حصل بعضها حال العقد ، وبعضها بعده قبل القبض مترتّباً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صرفين بالنسبة إلى الحالين ، يشكل الأمر في العيوب </w:t>
      </w:r>
    </w:p>
    <w:p>
      <w:pPr>
        <w:pStyle w:val="BookText"/>
        <w:rPr/>
      </w:pPr>
      <w:r>
        <w:rPr>
          <w:rFonts w:ascii="Amiri" w:hAnsi="Amiri" w:eastAsia="Amiri" w:cs="Amiri"/>
          <w:color w:val="111111"/>
          <w:sz w:val="28"/>
          <w:sz w:val="28"/>
          <w:szCs w:val="28"/>
          <w:rtl w:val="true"/>
          <w:lang w:bidi="ar-SA"/>
        </w:rPr>
        <w:t>المترتّبة بعد العقد؛ لأنّ الصرف لا يتكرّر، والسبب الواحد موجب لمسبّب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الأرش بالعيوب ، ويشكل من جهة ثبوت الخيار بكلّ عيب ، ولم يلتزم أحد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على ما ذهبنا إليه لا إشكال ثبوتاً في وحدة الخيار ، وتكثّر الأرش عند كثرة العيوب ؛ لأنّ الحقّ المتعدّد له سبب كذلك ، فيمكن أن يكون في جانب الخيار صرف الوجود ، وفي الأرش الوجود الساري ، أو نفس الطبيعة المتكثرة بتكثّر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يشكل في مقام الإثبات ؛ من أجل لزوم التفكيك في مثل مرسلة جميل الدالّة على المقصود على ما مرّ</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اُخذ في موضوع الخيار ، هو المأخوذ في الأرش ، والظاهر منها أنّ المأخوذ هو الطبيعة القابلة للتكثّر ؛ فإنّ التنوين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فيجد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للتمكّن ، لا للتنكير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 فيه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 على أنّ</w:t>
      </w:r>
    </w:p>
    <w:p>
      <w:pPr>
        <w:pStyle w:val="BookText"/>
        <w:rPr/>
      </w:pPr>
      <w:r>
        <w:rPr>
          <w:rFonts w:ascii="Amiri" w:hAnsi="Amiri" w:eastAsia="Amiri" w:cs="Amiri"/>
          <w:color w:val="111111"/>
          <w:sz w:val="28"/>
          <w:sz w:val="28"/>
          <w:szCs w:val="28"/>
          <w:rtl w:val="true"/>
          <w:lang w:bidi="ar-SA"/>
        </w:rPr>
        <w:t xml:space="preserve">السبب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الإشكال على مذهبنا ؛ بأنّ خيار العيب وكذا ثبوت الأرش عقلائي ، وإن كان بعض أحكامهما تعبّدياً ، وما ورد من الأخبار ليس لإثبات أصل الخيار ، بل لبيان جهات اُخر ، ككون العين قائمة بعينها وعدمه ، وكإحداث الحدث وعدمه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الخيار موكول إلى العرف والعقلاء ، ولا إشكال في أنّ حكمهم في حقّ </w:t>
      </w:r>
      <w:bookmarkStart w:id="132" w:name="pg15222_162218"/>
    </w:p>
    <w:p>
      <w:pPr>
        <w:pStyle w:val="BookText"/>
        <w:rPr/>
      </w:pPr>
      <w:bookmarkEnd w:id="132"/>
      <w:r>
        <w:rPr>
          <w:rFonts w:ascii="Amiri" w:hAnsi="Amiri" w:eastAsia="Amiri" w:cs="Amiri"/>
          <w:color w:val="111111"/>
          <w:sz w:val="28"/>
          <w:sz w:val="28"/>
          <w:szCs w:val="28"/>
          <w:rtl w:val="true"/>
          <w:lang w:bidi="ar-SA"/>
        </w:rPr>
        <w:t xml:space="preserve">خيار الفسخ ، هو أ نّه واحد ولو مع كثرة العيب ، وفي الأرش جميع مراتبه ، وفي كلّ 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المرسلة بالنسبة إلى العيب الحادث بعد العقد</w:t>
      </w:r>
      <w:r>
        <w:rPr>
          <w:rStyle w:val="FootnoteAnchor"/>
          <w:rtl w:val="true"/>
        </w:rPr>
        <w:footnoteReference w:id="185"/>
      </w:r>
      <w:r>
        <w:rPr>
          <w:rFonts w:ascii="Amiri" w:hAnsi="Amiri" w:eastAsia="Amiri" w:cs="Amiri"/>
          <w:color w:val="111111"/>
          <w:sz w:val="28"/>
          <w:sz w:val="28"/>
          <w:szCs w:val="28"/>
          <w:rtl w:val="true"/>
          <w:lang w:bidi="ar-SA"/>
        </w:rPr>
        <w:t xml:space="preserve">؛ لأنّ الإطلاق من الجهة التي تعرّضت لها ، كافٍ لإثبات المدّعى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أصل الخيار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ارتكاز العرف على أنّ الخيارات المتعدّدة للعيوب كذلك يعدّ لغوا ، وإسقاط أحدها وبقاء غيره ، لا يعدّ الأثر العقلائي قرينة على التفكيك من غير ورود إشكال ؛ لأنّ منشأه عدم قابلية الخيار للتعدّد ، فلا توجب الأسباب المتعدّدة تعدّده ، بخلاف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الأرش معنىً واحد ؛ فإنّ الوحدة عنوانية ، وهي لا تنافي التعدّد خارجا ، مع أنّ ما ذكر مؤيّد بفتوى الأصحاب قديماً وحديثاً ، هذا كلّه في العيب الحادث قبل القبض </w:t>
      </w:r>
      <w:r>
        <w:rPr>
          <w:rFonts w:eastAsia="Amiri" w:cs="Amiri" w:ascii="Amiri" w:hAnsi="Amiri"/>
          <w:color w:val="111111"/>
          <w:sz w:val="28"/>
          <w:szCs w:val="28"/>
          <w:rtl w:val="true"/>
          <w:lang w:bidi="ar-SA"/>
        </w:rPr>
        <w:t>.</w:t>
      </w:r>
    </w:p>
    <w:p>
      <w:pPr>
        <w:pStyle w:val="Heading6"/>
        <w:numPr>
          <w:ilvl w:val="5"/>
          <w:numId w:val="1"/>
        </w:numPr>
        <w:rPr/>
      </w:pPr>
      <w:bookmarkStart w:id="133" w:name="__RefHeading___Toc3331598_2142443653"/>
      <w:bookmarkStart w:id="134" w:name="_Toc48"/>
      <w:bookmarkEnd w:id="133"/>
      <w:r>
        <w:rPr>
          <w:rtl w:val="true"/>
        </w:rPr>
        <w:t>حكم العيب الحادث في زمان الخيار</w:t>
      </w:r>
      <w:bookmarkEnd w:id="134"/>
    </w:p>
    <w:p>
      <w:pPr>
        <w:pStyle w:val="BookText"/>
        <w:rPr/>
      </w:pPr>
      <w:r>
        <w:rPr>
          <w:rFonts w:ascii="Amiri" w:hAnsi="Amiri" w:eastAsia="Amiri" w:cs="Amiri"/>
          <w:color w:val="111111"/>
          <w:sz w:val="28"/>
          <w:sz w:val="28"/>
          <w:szCs w:val="28"/>
          <w:rtl w:val="true"/>
          <w:lang w:bidi="ar-SA"/>
        </w:rPr>
        <w:t xml:space="preserve">وأمّا الحادث في زمان الخيار المضمون على البائع ، فيقع الكلام أيضاً في ثبوت الخيار به ، وفي كونه مستقلاًّ ، فيتعدّد الخيار فيما إذا كان عيب قبل العقد ، وحدث عيب بعد القبض في زمان الخيار ، وفي أنّ العيب في زمان الخيار ، مسقط للخيار بالعيب السابق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هذا الفرع مختلف مع الفرع المتقدّم ، وإن كانا مشتركين </w:t>
      </w:r>
    </w:p>
    <w:p>
      <w:pPr>
        <w:pStyle w:val="BookText"/>
        <w:rPr/>
      </w:pPr>
      <w:r>
        <w:rPr>
          <w:rFonts w:ascii="Amiri" w:hAnsi="Amiri" w:eastAsia="Amiri" w:cs="Amiri"/>
          <w:color w:val="111111"/>
          <w:sz w:val="28"/>
          <w:sz w:val="28"/>
          <w:szCs w:val="28"/>
          <w:rtl w:val="true"/>
          <w:lang w:bidi="ar-SA"/>
        </w:rPr>
        <w:t xml:space="preserve">في كثير من المطالب المتقدّمة إيراداً ودفعاً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المبنى فيه ، فهو الروايات الخاصّة ، التي عمدتها 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 يشتري الدابّة أو العبد ، ويشترط إلى يوم أو يومين ، فيموت العبد أو الدابّة ، أو يحدث فيه حدث ، على من ضمان ذلك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حتّى ينقضي الشرط ثلاثة أيّام ، ويصير المبيع للمشتري</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مرسلة الصدوق قريب منها ، إلاّ 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ضمان على المبتاع حتّى ينقضي الشرط ، ويصير المبيع 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سائر الروايات</w:t>
      </w:r>
      <w:r>
        <w:rPr>
          <w:rStyle w:val="FootnoteAnchor"/>
          <w:rtl w:val="true"/>
        </w:rPr>
        <w:footnoteReference w:id="188"/>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سنداً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متعرّضة للتلف ، حتّى مرسلة ابن رباط</w:t>
      </w:r>
      <w:r>
        <w:rPr>
          <w:rStyle w:val="FootnoteAnchor"/>
          <w:rtl w:val="true"/>
        </w:rPr>
        <w:footnoteReference w:id="189"/>
      </w:r>
      <w:r>
        <w:rPr>
          <w:rFonts w:ascii="Amiri" w:hAnsi="Amiri" w:eastAsia="Amiri" w:cs="Amiri"/>
          <w:color w:val="111111"/>
          <w:sz w:val="28"/>
          <w:sz w:val="28"/>
          <w:szCs w:val="28"/>
          <w:rtl w:val="true"/>
          <w:lang w:bidi="ar-SA"/>
        </w:rPr>
        <w:t xml:space="preserve">على أظهر الاحتمالين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والمحتمل في الصحيحة اُمور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المعاوضي ، والمراد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المعاملة إلاّ بعد مضيّ الخيار ؛ أخذاً بظاهر اللفظ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مرسلة الصدوق النافية للضمان عن المبتاع ، وكذا سائر الروايات المشتملة عليه ؛ لقرب احتمال كون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المعاملي ؛ أي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التأييد رواية عقبة بن خالد ، عن أبي عبداللّه علیه السلام في التلف قبل القبض ،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سرقة المتاع من مال صاحبه حتّى يقبضه ، ويخرجه من بيته ، فإذا أخرجه من بيته فالمبتاع ضامن لحقّه حتّى يردّ ماله إليه</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الاحتمال ، يثبت الضمان والخيار ؛ لأنّ العيب في زمن الخيار حادث قبل تمام البيع ، كما لو حدث بين الإيجاب والقبول ، أو في الفضولي قبل الإجازة ، ولا شبهة في ثبوت الخيار بهذا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الأخذ بهذا الظهور ، مخالف لما عليه الأصحاب</w:t>
      </w:r>
      <w:r>
        <w:rPr>
          <w:rStyle w:val="FootnoteAnchor"/>
          <w:rtl w:val="true"/>
        </w:rPr>
        <w:footnoteReference w:id="19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نادراً </w:t>
      </w:r>
      <w:r>
        <w:rPr>
          <w:rStyle w:val="FootnoteAnchor"/>
          <w:rtl w:val="true"/>
        </w:rPr>
        <w:footnoteReference w:id="192"/>
      </w:r>
      <w:r>
        <w:rPr>
          <w:rFonts w:ascii="Amiri" w:hAnsi="Amiri" w:eastAsia="Amiri" w:cs="Amiri"/>
          <w:color w:val="111111"/>
          <w:sz w:val="28"/>
          <w:sz w:val="28"/>
          <w:szCs w:val="28"/>
          <w:rtl w:val="true"/>
          <w:lang w:bidi="ar-SA"/>
        </w:rPr>
        <w:t>، وللسيرة العقلائية ، بل للنصوص</w:t>
      </w:r>
      <w:r>
        <w:rPr>
          <w:rStyle w:val="FootnoteAnchor"/>
          <w:rtl w:val="true"/>
        </w:rPr>
        <w:footnoteReference w:id="193"/>
      </w:r>
      <w:r>
        <w:rPr>
          <w:rFonts w:ascii="Amiri" w:hAnsi="Amiri" w:eastAsia="Amiri" w:cs="Amiri"/>
          <w:color w:val="111111"/>
          <w:sz w:val="28"/>
          <w:sz w:val="28"/>
          <w:szCs w:val="28"/>
          <w:rtl w:val="true"/>
          <w:lang w:bidi="ar-SA"/>
        </w:rPr>
        <w:t xml:space="preserve">، فلا بدّ من رفع اليد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ضمان اليد تعبّداً ؛ بأن يكون المبيع في ضمان البائع في زمان الخيار ، ويكون تلفه من كيسه ، لا من كيس المشتري صاحب السلعة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فرق بينه وبين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يصير المبيع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استقراره في ملكه بانقضاء زمن الخيار ، وعليه فلا يثبت بها الخيار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انحلال العقد بحدوث التلف والعيب ، والضمان ضمان المعاوضة ، فلا يثبت به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صيرورة المبيع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الكنائي ، وهو التنزيل منزلة وقوع التلف أو العيب قبل العقد ، وهذه الاحتمالات بعيدة ، أو غير مثبتة لما يراد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احتمال آخر ، أقرب بظاهر اللفظ والمعنى الحقيقي بعد تعذّره ؛ وهو أنّ المستفاد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يصير المبيع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قبل المضيّ لم يصر له ، فمع تعذّر الحقيقة ، يحمل على التنزيل منزلة عدم كونه ملكاً ، مع فرض وقوع العقد عليه وتحقّق البيع ، فنزّل النقص منزلة الحاصل قبل تمام البيع ، كالحاصل بين العقد والإجازة في الفضولي ، فيثبت به الضمان لو تلف ، والخيار لو عيب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الاحتمال كان مبنى القول بثبوت الخيار نحو ثبوته للعيب قبل العقد ، فيكون مخيّراً بين الردّ والأرش</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احتمال آخر لعلّه أقرب إلى ظاهر الصحيحة ؛ وهو التنزيل منزلة عدم ملكه في الضمان ، لا في غيره ؛ فإنّه موافق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وللتنزيل المذكور على فرض كونه أقرب إلى الحقيقة ، فتكون النتيجة ثبوت الضمان في العيب ، نظير ضمان اليد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الاحتمال أيضاً بعيد ؛ لأنّ التنزيل بلحاظ خصوص الضمان ، يرجع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البائع عليه الضمان ؛ لأنّ المبيع منزّل منزلة عدم ملكه في الضمان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مزيّف 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بمنزلة عدم ملكه ، خرجت منه سائر الآثار ، وبقي الضمان المعاوضي والخيار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أشرنا إليه آنفاً </w:t>
      </w:r>
      <w:r>
        <w:rPr>
          <w:rStyle w:val="FootnoteAnchor"/>
          <w:rtl w:val="true"/>
        </w:rPr>
        <w:footnoteReference w:id="195"/>
      </w:r>
      <w:r>
        <w:rPr>
          <w:rFonts w:ascii="Amiri" w:hAnsi="Amiri" w:eastAsia="Amiri" w:cs="Amiri"/>
          <w:color w:val="111111"/>
          <w:sz w:val="28"/>
          <w:sz w:val="28"/>
          <w:szCs w:val="28"/>
          <w:rtl w:val="true"/>
          <w:lang w:bidi="ar-SA"/>
        </w:rPr>
        <w:t xml:space="preserve">؛ من ظهور ما ورد فيها ضمان المشتري في أ نّه ضمان معاوضي ، ومرسلة ابن رباط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حدث بالحيوان حدث فهو من مال البائع</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بعد الجزم بأنّ الحكم فيها موافق للصحيحة ، وعدم إمكان الالتزام بانحلال العقد بالعيب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الحكم مناسب للسؤال والجواب ، ولعلّ نظر السائلين إلى احتمال عدم تمامية الملك أو العقد ، والمسألة بعدُ لا تخلو من إشكال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ثبوت الخيار به ، فالظاهر على الاحتمال المذكور ، ثبوت خيار واحد بالعيوب الموجودة حال العقد ، والحادثة قبل مضيّ الخيار ؛ لأ نّه مقتضى التنزيل المذكور </w:t>
      </w:r>
      <w:r>
        <w:rPr>
          <w:rFonts w:eastAsia="Amiri" w:cs="Amiri" w:ascii="Amiri" w:hAnsi="Amiri"/>
          <w:color w:val="111111"/>
          <w:sz w:val="28"/>
          <w:szCs w:val="28"/>
          <w:rtl w:val="true"/>
          <w:lang w:bidi="ar-SA"/>
        </w:rPr>
        <w:t xml:space="preserve">. </w:t>
      </w:r>
      <w:bookmarkStart w:id="135" w:name="pg15222_162223"/>
    </w:p>
    <w:p>
      <w:pPr>
        <w:pStyle w:val="BookText"/>
        <w:rPr/>
      </w:pPr>
      <w:bookmarkEnd w:id="135"/>
      <w:r>
        <w:rPr>
          <w:rFonts w:ascii="Amiri" w:hAnsi="Amiri" w:eastAsia="Amiri" w:cs="Amiri"/>
          <w:color w:val="111111"/>
          <w:sz w:val="28"/>
          <w:sz w:val="28"/>
          <w:szCs w:val="28"/>
          <w:rtl w:val="true"/>
          <w:lang w:bidi="ar-SA"/>
        </w:rPr>
        <w:t>وأمّا عدم سقوط الخيار بالعيب السابق بهذا العيب ، فلا ينبغي الإشكال فيه على فرض ثبوت الخيار به ، ووحدته ؛ لما أشرنا إليه في الفرع السابق</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الظاهر كذلك على جميع المباني ؛ لانصراف مرسلة جميل عن ذلك ، كما يظهر بالتأمّل </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331600_2142443653"/>
      <w:bookmarkStart w:id="137" w:name="_Toc49"/>
      <w:bookmarkEnd w:id="136"/>
      <w:r>
        <w:rPr>
          <w:rtl w:val="true"/>
        </w:rPr>
        <w:t>حكم العيب الحادث بعد القبض ومضيّ الخيار</w:t>
      </w:r>
      <w:bookmarkEnd w:id="137"/>
    </w:p>
    <w:p>
      <w:pPr>
        <w:pStyle w:val="BookText"/>
        <w:rPr/>
      </w:pPr>
      <w:r>
        <w:rPr>
          <w:rFonts w:ascii="Amiri" w:hAnsi="Amiri" w:eastAsia="Amiri" w:cs="Amiri"/>
          <w:color w:val="111111"/>
          <w:sz w:val="28"/>
          <w:sz w:val="28"/>
          <w:szCs w:val="28"/>
          <w:rtl w:val="true"/>
          <w:lang w:bidi="ar-SA"/>
        </w:rPr>
        <w:t xml:space="preserve">وأمّا العيب الحادث بعد القبض ومضيّ الخيار ، فلا ينبغي الإشكال في أ نّه مانع عن الردّ بالعيب السابق ، لا لكون العيب بما هو مانعاً وموضوعاً للحكم ؛ ضرورة أ نّه بعنوانه لم يرد في رواية حتّى يبحث عن حدوده وعنوانه ، بل لأ نّه موجب لخروج المبيع عن كونه قائماً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ينبغي أن يكون مورد البحث ، هو مقدار دلالة رواية زرارة ومرسلة جميل</w:t>
      </w:r>
      <w:r>
        <w:rPr>
          <w:rStyle w:val="FootnoteAnchor"/>
          <w:rtl w:val="true"/>
        </w:rPr>
        <w:footnoteReference w:id="198"/>
      </w:r>
      <w:r>
        <w:rPr>
          <w:rFonts w:ascii="Amiri" w:hAnsi="Amiri" w:eastAsia="Amiri" w:cs="Amiri"/>
          <w:color w:val="111111"/>
          <w:sz w:val="28"/>
          <w:sz w:val="28"/>
          <w:szCs w:val="28"/>
          <w:rtl w:val="true"/>
          <w:lang w:bidi="ar-SA"/>
        </w:rPr>
        <w:t>، وأمّا سائر الوجوه المحكيّة</w:t>
      </w:r>
      <w:r>
        <w:rPr>
          <w:rStyle w:val="FootnoteAnchor"/>
          <w:rtl w:val="true"/>
        </w:rPr>
        <w:footnoteReference w:id="199"/>
      </w:r>
      <w:r>
        <w:rPr>
          <w:rFonts w:ascii="Amiri" w:hAnsi="Amiri" w:eastAsia="Amiri" w:cs="Amiri"/>
          <w:color w:val="111111"/>
          <w:sz w:val="28"/>
          <w:sz w:val="28"/>
          <w:szCs w:val="28"/>
          <w:rtl w:val="true"/>
          <w:lang w:bidi="ar-SA"/>
        </w:rPr>
        <w:t xml:space="preserve">، فلا صحّة لها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مفاد الروايتين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إحداث شيء في المبيع يشمل التغييرات مطلقاً ، من غير فرق بين الحسّية وغيرها </w:t>
      </w:r>
      <w:r>
        <w:rPr>
          <w:rStyle w:val="FootnoteAnchor"/>
          <w:rtl w:val="true"/>
        </w:rPr>
        <w:footnoteReference w:id="200"/>
      </w:r>
      <w:r>
        <w:rPr>
          <w:rFonts w:ascii="Amiri" w:hAnsi="Amiri" w:eastAsia="Amiri" w:cs="Amiri"/>
          <w:color w:val="111111"/>
          <w:sz w:val="28"/>
          <w:sz w:val="28"/>
          <w:szCs w:val="28"/>
          <w:rtl w:val="true"/>
          <w:lang w:bidi="ar-SA"/>
        </w:rPr>
        <w:t xml:space="preserve">، فلو صاح به فذهب حفظه ، أو نسي الصنعة ، فقد أحدث فيه شيئاً </w:t>
      </w:r>
      <w:r>
        <w:rPr>
          <w:rFonts w:eastAsia="Amiri" w:cs="Amiri" w:ascii="Amiri" w:hAnsi="Amiri"/>
          <w:color w:val="111111"/>
          <w:sz w:val="28"/>
          <w:szCs w:val="28"/>
          <w:rtl w:val="true"/>
          <w:lang w:bidi="ar-SA"/>
        </w:rPr>
        <w:t xml:space="preserve">. </w:t>
      </w:r>
      <w:bookmarkStart w:id="138" w:name="pg15222_162224"/>
    </w:p>
    <w:p>
      <w:pPr>
        <w:pStyle w:val="BookText"/>
        <w:rPr/>
      </w:pPr>
      <w:bookmarkEnd w:id="138"/>
      <w:r>
        <w:rPr>
          <w:rFonts w:ascii="Amiri" w:hAnsi="Amiri" w:eastAsia="Amiri" w:cs="Amiri"/>
          <w:color w:val="111111"/>
          <w:sz w:val="28"/>
          <w:sz w:val="28"/>
          <w:szCs w:val="28"/>
          <w:rtl w:val="true"/>
          <w:lang w:bidi="ar-SA"/>
        </w:rPr>
        <w:t xml:space="preserve">وكذا الحال في التصرّفات الناقلة ، كالبيع ، والوقف ، ونحوهما ، ومن غير فرق بين ما يوجب الأرش وغيره ، ومن غير فرق بين أن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حدوث شيء منها ،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المبيع ليس قائماً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معناه العرفي أ نّه ليس على الحال التي كان عليها وقت العقد ، فخرجت منه التصرّفات التي لا توجب تغييراً حسّياً أو غير حسّي ، ولا اعتبارياً كالركوب ، والتعليف ، والسقي ، ونحوها ، ولا إشكال في خروج التغيير بالصفات الكمالية كتعلّم الصنعة والسمن ؛ فيما يراد منه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خروج تنزّل القيمة السوقية منه ؛ لأ نّها اعتبار خارج عن الشيء ، وليست مثل النقل الذي هو صفة اعتبارية ، فإذا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الدابّة قيمتها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مقوّمة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منه أنّ القيمة صفتها ، بل يراد منه أ نّها مع تلك الصفات مثلاً</w:t>
      </w:r>
    </w:p>
    <w:p>
      <w:pPr>
        <w:pStyle w:val="BookText"/>
        <w:rPr/>
      </w:pPr>
      <w:r>
        <w:rPr>
          <w:rFonts w:ascii="Amiri" w:hAnsi="Amiri" w:eastAsia="Amiri" w:cs="Amiri"/>
          <w:color w:val="111111"/>
          <w:sz w:val="28"/>
          <w:sz w:val="28"/>
          <w:szCs w:val="28"/>
          <w:rtl w:val="true"/>
          <w:lang w:bidi="ar-SA"/>
        </w:rPr>
        <w:t xml:space="preserve">تشترى بكذا ، وتجعل تلك القيمة لها ، فالقيمة اعتبار خارج عن الشيء ، بخلاف النقل ومثله </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331602_2142443653"/>
      <w:bookmarkStart w:id="140" w:name="_Toc50"/>
      <w:bookmarkEnd w:id="139"/>
      <w:r>
        <w:rPr>
          <w:rtl w:val="true"/>
        </w:rPr>
        <w:t>حكم زوال العيب الحادث</w:t>
      </w:r>
      <w:bookmarkEnd w:id="140"/>
    </w:p>
    <w:p>
      <w:pPr>
        <w:pStyle w:val="BookText"/>
        <w:rPr/>
      </w:pPr>
      <w:r>
        <w:rPr>
          <w:rFonts w:ascii="Amiri" w:hAnsi="Amiri" w:eastAsia="Amiri" w:cs="Amiri"/>
          <w:color w:val="111111"/>
          <w:sz w:val="28"/>
          <w:sz w:val="28"/>
          <w:szCs w:val="28"/>
          <w:rtl w:val="true"/>
          <w:lang w:bidi="ar-SA"/>
        </w:rPr>
        <w:t>ثمّ إنّه قد وقع الكلام بين الأعلام في سقوط الخيار</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وعدمه</w:t>
      </w:r>
      <w:r>
        <w:rPr>
          <w:rStyle w:val="FootnoteAnchor"/>
          <w:rtl w:val="true"/>
        </w:rPr>
        <w:footnoteReference w:id="20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زوال العيب والتغيّر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روايتي زرارة وجميل هو سقوطه بمجرّد التغيّر وحدوث العيب ، وعدم رجوعه بزواله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زرارة ؛ فلأنّ ظاهرها الذي لا ينبغي الريب فيه ، أنّ إحداث شيء في المبيع ، يوجب مضيّ البيع عليه ونفوذه ، وليس ذلك إلاّ سقوط خياره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اُخرى عن لزومه ، كما عبّر به في بعض الروايات المتقدّمة الواردة في وط‌ء الجارية</w:t>
      </w:r>
      <w:r>
        <w:rPr>
          <w:rStyle w:val="FootnoteAnchor"/>
          <w:rtl w:val="true"/>
        </w:rPr>
        <w:footnoteReference w:id="203"/>
      </w:r>
      <w:r>
        <w:rPr>
          <w:rFonts w:ascii="IRNazanin" w:hAnsi="IRNazanin" w:eastAsia="IRNazanin"/>
          <w:color w:val="111111"/>
          <w:sz w:val="28"/>
          <w:sz w:val="28"/>
          <w:szCs w:val="28"/>
          <w:rtl w:val="true"/>
          <w:lang w:bidi="fa-IR"/>
        </w:rPr>
        <w:t xml:space="preserve">، وأنّ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يردّ عليه بقدر ما نقص </w:t>
      </w:r>
      <w:r>
        <w:rPr>
          <w:rFonts w:eastAsia="IRNazanin" w:cs="IRNazanin"/>
          <w:color w:val="111111"/>
          <w:sz w:val="28"/>
          <w:szCs w:val="28"/>
          <w:rtl w:val="true"/>
          <w:lang w:bidi="fa-IR"/>
        </w:rPr>
        <w:t>. . .»</w:t>
      </w:r>
      <w:r>
        <w:rPr>
          <w:rStyle w:val="FootnoteAnchor"/>
          <w:rtl w:val="true"/>
        </w:rPr>
        <w:footnoteReference w:id="204"/>
      </w:r>
      <w:r>
        <w:rPr>
          <w:rFonts w:ascii="Amiri" w:hAnsi="Amiri" w:eastAsia="Amiri" w:cs="Amiri"/>
          <w:color w:val="111111"/>
          <w:sz w:val="28"/>
          <w:sz w:val="28"/>
          <w:szCs w:val="28"/>
          <w:rtl w:val="true"/>
          <w:lang w:bidi="ar-SA"/>
        </w:rPr>
        <w:t xml:space="preserve">إلى آخره ، كناية عن تعيّن الأرش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سقوط الخيار ساقط ، كما أنّ الظاهر ترتّب اللزوم على إحداث الشيء ، فبمجرّده يمضي عليه البيع ، ويتعيّن الأرش ، ومقتضى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الفرق بين زواله وبقائه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المرسلة ، فلا شبهة في أنّ مفادها ، لا يخالف مفاد الرواية ، بل هي أيضاً ظاهرة فيما هو ظاهرها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قائماً بعينه ردّه على صاحبه ، وأخذ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حقّ الفسخ وبقاء الخيار ، كما مرّ مراراً </w:t>
      </w:r>
      <w:r>
        <w:rPr>
          <w:rStyle w:val="FootnoteAnchor"/>
          <w:rtl w:val="true"/>
        </w:rPr>
        <w:footnoteReference w:id="205"/>
      </w:r>
      <w:r>
        <w:rPr>
          <w:rFonts w:ascii="Amiri" w:hAnsi="Amiri" w:eastAsia="Amiri" w:cs="Amiri"/>
          <w:color w:val="111111"/>
          <w:sz w:val="28"/>
          <w:sz w:val="28"/>
          <w:szCs w:val="28"/>
          <w:rtl w:val="true"/>
          <w:lang w:bidi="ar-SA"/>
        </w:rPr>
        <w:t xml:space="preserve">، وليس للردّ موضوعية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مقابله ما لا يكون قائماً بعينه، فإنّه يوجب سقوط الخيار، والرجوع بنقصان العيب ؛ أي تعيّن حقّ الأرش ، ففيها تعرّض للثبوت والسقوط ، والبقاء وعدمه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التغيّر بمجرّده سبب له ، ومقتضى الإطلاق عدم الفرق بين </w:t>
      </w:r>
    </w:p>
    <w:p>
      <w:pPr>
        <w:pStyle w:val="BookText"/>
        <w:rPr/>
      </w:pPr>
      <w:r>
        <w:rPr>
          <w:rFonts w:ascii="Amiri" w:hAnsi="Amiri" w:eastAsia="Amiri" w:cs="Amiri"/>
          <w:color w:val="111111"/>
          <w:sz w:val="28"/>
          <w:sz w:val="28"/>
          <w:szCs w:val="28"/>
          <w:rtl w:val="true"/>
          <w:lang w:bidi="ar-SA"/>
        </w:rPr>
        <w:t xml:space="preserve">زوال التغيّر وعدمه ، بل الظاهر منها أنّ عدم القيام بعينه ، غاية للخيار الشخصي الثابت للمشتري ، وهي متعرّضة لبقاء الخيار الشخصي ببقاء القيام بعينه ، ولغايته وهو التغيّر ، نظير عدم التفرّق ومقابله في خيار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حقّ قائم بالعقد ، وسببه هو العيب ، وغايته التغيّر ، والخيار الشخصي ساقط به ، ومقتضى الإطلاق المشار إليه ، عدم رجوعه ، وعدم ثبوت شخص آخر بزوال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النظر فيما في كلمات المحقّقين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دعوى عدم سقوطه بالطارئ ، بل غاية الأمر عدم إمكان الردّ في تلك العين</w:t>
      </w:r>
      <w:r>
        <w:rPr>
          <w:rStyle w:val="FootnoteAnchor"/>
          <w:rtl w:val="true"/>
        </w:rPr>
        <w:footnoteReference w:id="206"/>
      </w:r>
      <w:r>
        <w:rPr>
          <w:rFonts w:ascii="Amiri" w:hAnsi="Amiri" w:eastAsia="Amiri" w:cs="Amiri"/>
          <w:color w:val="111111"/>
          <w:sz w:val="28"/>
          <w:sz w:val="28"/>
          <w:szCs w:val="28"/>
          <w:rtl w:val="true"/>
          <w:lang w:bidi="ar-SA"/>
        </w:rPr>
        <w:t xml:space="preserve">، وذلك لأنّ مثلها ناشئة عن توهّم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مراداً في الرواية ، وهو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الردّ</w:t>
      </w:r>
      <w:r>
        <w:rPr>
          <w:rStyle w:val="FootnoteAnchor"/>
          <w:rtl w:val="true"/>
        </w:rPr>
        <w:footnoteReference w:id="207"/>
      </w:r>
      <w:r>
        <w:rPr>
          <w:rFonts w:ascii="IRNazanin" w:hAnsi="IRNazanin" w:eastAsia="IRNazanin"/>
          <w:color w:val="111111"/>
          <w:sz w:val="28"/>
          <w:sz w:val="28"/>
          <w:szCs w:val="28"/>
          <w:rtl w:val="true"/>
          <w:lang w:bidi="fa-IR"/>
        </w:rPr>
        <w:t xml:space="preserve">مقتضٍ ، والطارئ مانع ما دام موجوداً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صدق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 بعينه</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أنّ الخيار لمراعاة البائع ، ولا فرق بين عدم العيب رأساً وزواله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أنّ الظاهر من الخبر ، اعتبار القيام وعدمه حين إرادة الردّ</w:t>
      </w:r>
      <w:r>
        <w:rPr>
          <w:rStyle w:val="FootnoteAnchor"/>
          <w:rtl w:val="true"/>
        </w:rPr>
        <w:footnoteReference w:id="211"/>
      </w:r>
      <w:r>
        <w:rPr>
          <w:rFonts w:ascii="Amiri" w:hAnsi="Amiri" w:eastAsia="Amiri" w:cs="Amiri"/>
          <w:color w:val="111111"/>
          <w:sz w:val="28"/>
          <w:sz w:val="28"/>
          <w:szCs w:val="28"/>
          <w:rtl w:val="true"/>
          <w:lang w:bidi="ar-SA"/>
        </w:rPr>
        <w:t xml:space="preserve">، فإنّ وهن تلك الدعاوى يظهر من التأمّل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فرض الشكّ ؛ لأجل الشكّ في مفاد الروايتين ، فالمرجع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12"/>
      </w:r>
      <w:r>
        <w:rPr>
          <w:rFonts w:ascii="Amiri" w:hAnsi="Amiri" w:eastAsia="Amiri" w:cs="Amiri"/>
          <w:color w:val="111111"/>
          <w:sz w:val="28"/>
          <w:sz w:val="28"/>
          <w:szCs w:val="28"/>
          <w:rtl w:val="true"/>
          <w:lang w:bidi="ar-SA"/>
        </w:rPr>
        <w:t xml:space="preserve">أو استصحاب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مع الشكّ ، فالمتيقّن من تقييد إطلاقات أدلّة الخيار ، هو العيب الباقي إلى حال الردّ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فإنّه إن كان المراد من الروايات ، روايتي جميل وزرارة ، فلا يمكن التمسّك بإطلاقهما مع إجمال القيد المتّصل ، مع أنّ في كونهما بصدد جعل أصل الخيار كلاماً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غيرهما فلا أصل له ؛ لأ نّه لا يوجد دليل له إطلاق في خيار العيب ؛ فإنّ ما وردت فيه إنّما وردت في موارد جزئية ، وبصدد بيان حكم آخر ؛ ككون عدم الحيض ستّة أشهر عيباً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نظره إلى الروايات الواردة في أحداث السنة</w:t>
      </w:r>
      <w:r>
        <w:rPr>
          <w:rStyle w:val="FootnoteAnchor"/>
          <w:rtl w:val="true"/>
        </w:rPr>
        <w:footnoteReference w:id="215"/>
      </w:r>
      <w:r>
        <w:rPr>
          <w:rFonts w:ascii="Amiri" w:hAnsi="Amiri" w:eastAsia="Amiri" w:cs="Amiri"/>
          <w:color w:val="111111"/>
          <w:sz w:val="28"/>
          <w:sz w:val="28"/>
          <w:szCs w:val="28"/>
          <w:rtl w:val="true"/>
          <w:lang w:bidi="ar-SA"/>
        </w:rPr>
        <w:t xml:space="preserve">، فهي دليل </w:t>
      </w:r>
      <w:bookmarkStart w:id="141" w:name="pg15222_162228"/>
    </w:p>
    <w:p>
      <w:pPr>
        <w:pStyle w:val="BookText"/>
        <w:rPr/>
      </w:pPr>
      <w:bookmarkEnd w:id="141"/>
      <w:r>
        <w:rPr>
          <w:rFonts w:ascii="Amiri" w:hAnsi="Amiri" w:eastAsia="Amiri" w:cs="Amiri"/>
          <w:color w:val="111111"/>
          <w:sz w:val="28"/>
          <w:sz w:val="28"/>
          <w:szCs w:val="28"/>
          <w:rtl w:val="true"/>
          <w:lang w:bidi="ar-SA"/>
        </w:rPr>
        <w:t xml:space="preserve">على مسألة اُخرى غير ما نحن بصدده ، وإن كان المنظور دليل نفي الضرر ، فهو أفحش </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3331604_2142443653"/>
      <w:bookmarkStart w:id="143" w:name="_Toc51"/>
      <w:bookmarkEnd w:id="142"/>
      <w:r>
        <w:rPr>
          <w:rtl w:val="true"/>
        </w:rPr>
        <w:t>سقوط الخيار ولو مع رضا البائع بردّ المعيب</w:t>
      </w:r>
      <w:bookmarkEnd w:id="143"/>
    </w:p>
    <w:p>
      <w:pPr>
        <w:pStyle w:val="BookText"/>
        <w:rPr/>
      </w:pPr>
      <w:r>
        <w:rPr>
          <w:rFonts w:ascii="Amiri" w:hAnsi="Amiri" w:eastAsia="Amiri" w:cs="Amiri"/>
          <w:color w:val="111111"/>
          <w:sz w:val="28"/>
          <w:sz w:val="28"/>
          <w:szCs w:val="28"/>
          <w:rtl w:val="true"/>
          <w:lang w:bidi="ar-SA"/>
        </w:rPr>
        <w:t xml:space="preserve">وممّا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رضي البائع بردّ المعيوب بالعيب الحادث عند المشتري ، مع الجبر بالأرش ، أو بدونه ، ليس له الردّ بالخيار ؛ لأ نّه سقط بمجرّد حدوث العيب وتحقّق التغيّر ، ولا مانع منه إقالة أو صلحاً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الخيار مراعى بعدم تعقّب العيب بالرضا ، أو أنّ رضاه سبب لحدوث الخيار</w:t>
      </w:r>
      <w:r>
        <w:rPr>
          <w:rStyle w:val="FootnoteAnchor"/>
          <w:rtl w:val="true"/>
        </w:rPr>
        <w:footnoteReference w:id="216"/>
      </w:r>
      <w:r>
        <w:rPr>
          <w:rFonts w:ascii="Amiri" w:hAnsi="Amiri" w:eastAsia="Amiri" w:cs="Amiri"/>
          <w:color w:val="111111"/>
          <w:sz w:val="28"/>
          <w:sz w:val="28"/>
          <w:szCs w:val="28"/>
          <w:rtl w:val="true"/>
          <w:lang w:bidi="ar-SA"/>
        </w:rPr>
        <w:t xml:space="preserve">ساقط مقطوع الخلاف ، ومخالف لظهور الروايتين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بنينا على بقاء الخيار ، وأنّ حدوث العيب مانع عن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لمّا كان لرعاية البائع ، فمع رضاه يرتفع المانع ، ويؤثّر المقتضي</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إنّ عدم الجواز لحقّ البائع ، وإلاّ فمقتضى قاعدة خيار الفسخ عدم سقوطه بحدوث العيب ، فإذا رضي سقط حقّه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ويدفع الأوّل إطلاق الروايتين مع الغضّ عمّا سبق والبناء على أخذ عنوان الردّ ؛ فإنّ 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فيه شيئاً يمضي عليه البيع ، ويردّ عليه بقدر 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العيب مانع مطلقاً ، وخرج الاختيار عن يد المشتري لذلك </w:t>
      </w:r>
    </w:p>
    <w:p>
      <w:pPr>
        <w:pStyle w:val="BookText"/>
        <w:rPr/>
      </w:pPr>
      <w:r>
        <w:rPr>
          <w:rFonts w:ascii="Amiri" w:hAnsi="Amiri" w:eastAsia="Amiri" w:cs="Amiri"/>
          <w:color w:val="111111"/>
          <w:sz w:val="28"/>
          <w:sz w:val="28"/>
          <w:szCs w:val="28"/>
          <w:rtl w:val="true"/>
          <w:lang w:bidi="ar-SA"/>
        </w:rPr>
        <w:t xml:space="preserve">مطلقاً ، وتعيّن الأرش ، وكذا الحال في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عمّا إذا رضي البائع</w:t>
      </w:r>
      <w:r>
        <w:rPr>
          <w:rStyle w:val="FootnoteAnchor"/>
          <w:rtl w:val="true"/>
        </w:rPr>
        <w:footnoteReference w:id="219"/>
      </w:r>
      <w:r>
        <w:rPr>
          <w:rFonts w:ascii="Amiri" w:hAnsi="Amiri" w:eastAsia="Amiri" w:cs="Amiri"/>
          <w:color w:val="111111"/>
          <w:sz w:val="28"/>
          <w:sz w:val="28"/>
          <w:szCs w:val="28"/>
          <w:rtl w:val="true"/>
          <w:lang w:bidi="ar-SA"/>
        </w:rPr>
        <w:t xml:space="preserve">عهدتها على المدّعي ؛ إذ كون الحكم لمراعاة حال البائع ، لا يوجب الانصراف لدى العرف بعرض الرواية عليهم ، ولا تقييد الدليل ؛ لأ نّه نكتة التشريع ، لا علّة الحكم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قيل في بيان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منطوق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الشيء قائماً بعينه ردّه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معنى لتقييده برضا البائع ، بل هو مطلق ومفهومه تابع له ، كما في كلّ مفهوم ومنطوق ؛ فإنّهما متوافقان في العموم والخصوص</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فغير وجيه ؛ لمنع لزوم موافقتهما إطلاقاً وتقييداً ، وعموماً وخصوصاً ، كما أنّ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قدر كرّ لم ينجّسه شيء</w:t>
      </w:r>
      <w:r>
        <w:rPr>
          <w:rFonts w:eastAsia="IRNazanin" w:cs="IRNazanin"/>
          <w:color w:val="111111"/>
          <w:sz w:val="28"/>
          <w:szCs w:val="28"/>
          <w:rtl w:val="true"/>
          <w:lang w:bidi="fa-IR"/>
        </w:rPr>
        <w:t>»</w:t>
      </w:r>
      <w:r>
        <w:rPr>
          <w:rStyle w:val="FootnoteAnchor"/>
          <w:rtl w:val="true"/>
        </w:rPr>
        <w:footnoteReference w:id="221"/>
      </w:r>
      <w:r>
        <w:rPr>
          <w:rFonts w:ascii="Amiri" w:hAnsi="Amiri" w:eastAsia="Amiri" w:cs="Amiri"/>
          <w:color w:val="111111"/>
          <w:sz w:val="28"/>
          <w:sz w:val="28"/>
          <w:szCs w:val="28"/>
          <w:rtl w:val="true"/>
          <w:lang w:bidi="ar-SA"/>
        </w:rPr>
        <w:t>عموماً أو إطلاقاً ، بخلاف مفهومه ؛ فإنّه لنفي العموم على ما حقّق في محلّه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المنطوق لرعاية حال المشتري ، والمفهوم لمراعاة حال البائع ، يمكن التفرقة بينهما بالإطلاق في الأوّل ، والانصراف أو التقييد في الثاني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الآخر للمدّعى ؛ وهو ثبوت حقّ للبائع ، كما هو ظاهر الشيخ الأعظم قدّس سرّه </w:t>
      </w:r>
      <w:r>
        <w:rPr>
          <w:rStyle w:val="FootnoteAnchor"/>
          <w:rtl w:val="true"/>
        </w:rPr>
        <w:footnoteReference w:id="223"/>
      </w:r>
      <w:r>
        <w:rPr>
          <w:rFonts w:ascii="Amiri" w:hAnsi="Amiri" w:eastAsia="Amiri" w:cs="Amiri"/>
          <w:color w:val="111111"/>
          <w:sz w:val="28"/>
          <w:sz w:val="28"/>
          <w:szCs w:val="28"/>
          <w:rtl w:val="true"/>
          <w:lang w:bidi="ar-SA"/>
        </w:rPr>
        <w:t xml:space="preserve">فلا دليل عليه ؛ فإنّ الظاهر من الروايتين ، ليس إلاّ ممنوعيته عن </w:t>
      </w:r>
      <w:bookmarkStart w:id="144" w:name="pg15222_162230"/>
    </w:p>
    <w:p>
      <w:pPr>
        <w:pStyle w:val="BookText"/>
        <w:rPr/>
      </w:pPr>
      <w:bookmarkEnd w:id="144"/>
      <w:r>
        <w:rPr>
          <w:rFonts w:ascii="Amiri" w:hAnsi="Amiri" w:eastAsia="Amiri" w:cs="Amiri"/>
          <w:color w:val="111111"/>
          <w:sz w:val="28"/>
          <w:sz w:val="28"/>
          <w:szCs w:val="28"/>
          <w:rtl w:val="true"/>
          <w:lang w:bidi="ar-SA"/>
        </w:rPr>
        <w:t xml:space="preserve">الردّ ، وتعيّن الأرش ، دون ثبوت حقّ للطرف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المطلقات دلّت على حقّ الردّ ، سواء تغيّر المردود أم لا ، والمرسلة ضيّقت دائرة الحقّ ، لا أ نّها متكفّلة لإثبات الحقّ</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نّا قد أشرنا إلى أ نّه ليس في الباب مطلقات</w:t>
      </w:r>
      <w:r>
        <w:rPr>
          <w:rStyle w:val="FootnoteAnchor"/>
          <w:rtl w:val="true"/>
        </w:rPr>
        <w:footnoteReference w:id="225"/>
      </w:r>
      <w:r>
        <w:rPr>
          <w:rFonts w:ascii="Amiri" w:hAnsi="Amiri" w:eastAsia="Amiri" w:cs="Amiri"/>
          <w:color w:val="111111"/>
          <w:sz w:val="28"/>
          <w:sz w:val="28"/>
          <w:szCs w:val="28"/>
          <w:rtl w:val="true"/>
          <w:lang w:bidi="ar-SA"/>
        </w:rPr>
        <w:t xml:space="preserve">، حتّى تكون المرسلة مقيّدة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عدم تكفّل المرسلة لإثبات الحقّ ، وجيه لا ريب فيه </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3331606_2142443653"/>
      <w:bookmarkStart w:id="146" w:name="_Toc52"/>
      <w:bookmarkEnd w:id="145"/>
      <w:r>
        <w:rPr>
          <w:rtl w:val="true"/>
        </w:rPr>
        <w:t>تبعّض الصفقة على البائع مانع عن ردّ المعيب</w:t>
      </w:r>
      <w:bookmarkEnd w:id="146"/>
    </w:p>
    <w:p>
      <w:pPr>
        <w:pStyle w:val="Heading6"/>
        <w:numPr>
          <w:ilvl w:val="5"/>
          <w:numId w:val="1"/>
        </w:numPr>
        <w:rPr/>
      </w:pPr>
      <w:bookmarkStart w:id="147" w:name="__RefHeading___Toc3331608_2142443653"/>
      <w:bookmarkStart w:id="148" w:name="_Toc53"/>
      <w:bookmarkEnd w:id="147"/>
      <w:r>
        <w:rPr>
          <w:rtl w:val="true"/>
        </w:rPr>
        <w:t>خيار تبعّض الصفقة</w:t>
      </w:r>
      <w:bookmarkEnd w:id="148"/>
    </w:p>
    <w:p>
      <w:pPr>
        <w:pStyle w:val="BookText"/>
        <w:rPr/>
      </w:pPr>
      <w:r>
        <w:rPr>
          <w:rFonts w:ascii="Amiri" w:hAnsi="Amiri" w:eastAsia="Amiri" w:cs="Amiri"/>
          <w:color w:val="111111"/>
          <w:sz w:val="28"/>
          <w:sz w:val="28"/>
          <w:szCs w:val="28"/>
          <w:rtl w:val="true"/>
          <w:lang w:bidi="ar-SA"/>
        </w:rPr>
        <w:t xml:space="preserve">ثمّ إنّه قد عدّ من العيب المانع عن الردّ بالعيب القديم ، تبعّض الصفقة على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ابتاع شيئين صفقة واحدة ، ووجد بأحدهما عيباً سابقاً ، تخيّر في ردّ الجميع ، أو أخذ الأرش ، وليس له تخصيص الردّ بالمعيب ؛ لإجماع الفرقة وأخبارهم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الطائفة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وسّع الشيخ الأعظم قدّس سرّه نطاق البحث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اشترى شيئاً واحداً ، </w:t>
      </w:r>
    </w:p>
    <w:p>
      <w:pPr>
        <w:pStyle w:val="BookText"/>
        <w:rPr/>
      </w:pPr>
      <w:r>
        <w:rPr>
          <w:rFonts w:ascii="Amiri" w:hAnsi="Amiri" w:eastAsia="Amiri" w:cs="Amiri"/>
          <w:color w:val="111111"/>
          <w:sz w:val="28"/>
          <w:sz w:val="28"/>
          <w:szCs w:val="28"/>
          <w:rtl w:val="true"/>
          <w:lang w:bidi="ar-SA"/>
        </w:rPr>
        <w:t xml:space="preserve">أو شيئين بثمن واحد ، من بائع واحد ، فظهر بعضه معيباً ، أو ظهر بعض الثمن معيباً </w:t>
      </w:r>
      <w:r>
        <w:rPr>
          <w:rStyle w:val="FootnoteAnchor"/>
          <w:rtl w:val="true"/>
        </w:rPr>
        <w:footnoteReference w:id="227"/>
      </w:r>
      <w:r>
        <w:rPr>
          <w:rFonts w:ascii="Amiri" w:hAnsi="Amiri" w:eastAsia="Amiri" w:cs="Amiri"/>
          <w:color w:val="111111"/>
          <w:sz w:val="28"/>
          <w:sz w:val="28"/>
          <w:szCs w:val="28"/>
          <w:rtl w:val="true"/>
          <w:lang w:bidi="ar-SA"/>
        </w:rPr>
        <w:t xml:space="preserve">، ثمّ تصدّى للاستدلال عليه بما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ينبغي أن يقال بعد خروج صورتين من البحث ، 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باع المشتري نصفه ، وأراد دفع نصفه الآخر ؛ فإنّ خياره 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إحداث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انحلّ البيع عرفاً إلى بيعين أو بيوع كثيرة ، كما لو باع كلّ نصف بثمن خاصّ ، أو كلّ ثوب كذلك ، فإنّ لكلّ بيع 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مبنى المسألة ، هو أنّ العقد الواقع على شيء واحد حقيقي كالعبد والحيوان ، أو اعتباري كباب ذي مصراعين ، وكالخفّين ، وكالثوبين المجتمعين في البيع ، مع وحدة الثمن والبائع والمشتري ، هل ينحلّ إلى عقود كثيرة حسب الكسر المشاع ، كالنصف والثلث ، وحسب الأبعاض الفرضية ، كهذا الجزء وذاك ، وفي الواحد الاعتباري ينحلّ إلى عقد بالنسبة إلى مصراع ، وآخر بالنسبة إلى آخر ؟</w:t>
      </w:r>
    </w:p>
    <w:p>
      <w:pPr>
        <w:pStyle w:val="BookText"/>
        <w:rPr/>
      </w:pPr>
      <w:r>
        <w:rPr>
          <w:rFonts w:ascii="Amiri" w:hAnsi="Amiri" w:eastAsia="Amiri" w:cs="Amiri"/>
          <w:color w:val="111111"/>
          <w:sz w:val="28"/>
          <w:sz w:val="28"/>
          <w:szCs w:val="28"/>
          <w:rtl w:val="true"/>
          <w:lang w:bidi="ar-SA"/>
        </w:rPr>
        <w:t xml:space="preserve">أو يكون العقد والمعقود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ثمناً ومثمناً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غير منحلّ ، والأجزاء الخارجية للواحد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كالأجزاء المفروضة في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عليها عقد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الردّ ، وفسخ العقد المتعلّق به ، وليس للبائع خيار التبعّض ، كما لا يكون في بيوع كثيرة ، من غير فرق بين خيار العيب وغيره ، فلو كان له </w:t>
      </w:r>
    </w:p>
    <w:p>
      <w:pPr>
        <w:pStyle w:val="BookText"/>
        <w:rPr/>
      </w:pPr>
      <w:r>
        <w:rPr>
          <w:rFonts w:ascii="Amiri" w:hAnsi="Amiri" w:eastAsia="Amiri" w:cs="Amiri"/>
          <w:color w:val="111111"/>
          <w:sz w:val="28"/>
          <w:sz w:val="28"/>
          <w:szCs w:val="28"/>
          <w:rtl w:val="true"/>
          <w:lang w:bidi="ar-SA"/>
        </w:rPr>
        <w:t xml:space="preserve">خيار الغبن ، يجوز له الفسخ في النصف مشاعاً ومفروزاً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الصحيح ، وهو الموافق للعرف والعقل والشرع ، ولا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ردّ البعض ، من غير فرق 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حقّ قائم بالعقد</w:t>
      </w:r>
      <w:r>
        <w:rPr>
          <w:rStyle w:val="FootnoteAnchor"/>
          <w:rtl w:val="true"/>
        </w:rPr>
        <w:footnoteReference w:id="228"/>
      </w:r>
      <w:r>
        <w:rPr>
          <w:rFonts w:ascii="Amiri" w:hAnsi="Amiri" w:eastAsia="Amiri" w:cs="Amiri"/>
          <w:color w:val="111111"/>
          <w:sz w:val="28"/>
          <w:sz w:val="28"/>
          <w:szCs w:val="28"/>
          <w:rtl w:val="true"/>
          <w:lang w:bidi="ar-SA"/>
        </w:rPr>
        <w:t>، كما هو التحقيق حتّى في خيار العيب ، أو بالعين</w:t>
      </w:r>
      <w:r>
        <w:rPr>
          <w:rStyle w:val="FootnoteAnchor"/>
          <w:rtl w:val="true"/>
        </w:rPr>
        <w:footnoteReference w:id="229"/>
      </w:r>
      <w:r>
        <w:rPr>
          <w:rFonts w:ascii="Amiri" w:hAnsi="Amiri" w:eastAsia="Amiri" w:cs="Amiri"/>
          <w:color w:val="111111"/>
          <w:sz w:val="28"/>
          <w:sz w:val="28"/>
          <w:szCs w:val="28"/>
          <w:rtl w:val="true"/>
          <w:lang w:bidi="ar-SA"/>
        </w:rPr>
        <w:t xml:space="preserve">؛ فإنّ معنى تعلّقه بها ليس جواز ردّها مع حفظ العقد ، فإنّه غير معقول ، إلاّ أن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الخارجي ، وهو كما ترى ، أو الردّ بمعاملة مستقلّة ، وهو خارج عن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فالردّ الاعتباري بحيث يرجع العوضان إلى محلّهما ، لا يعقل إلاّ بفسخ العقد ، والمفروض أنّ العقد واحد ، وكذا الثمن والمثمن ، وليس في اعتبار الوحدة والواحد الاعتباري ، كثرة في ذلك الاعتبار جزماً ، فبعض الثمن ليس ثمناً ، وبعض المبيع ليس بمبيع ، ولا خيار إلاّ خيار واحد ، له فسخ واحد ، فعدم جواز الردّ لفقد المقتضي ، لا للمانع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واحد ، ولأجله يكون تبعّض الصفقة ، ولانحلاله لبّاً يصحّ الفسخ في الأبعاض</w:t>
      </w:r>
      <w:r>
        <w:rPr>
          <w:rStyle w:val="FootnoteAnchor"/>
          <w:rtl w:val="true"/>
        </w:rPr>
        <w:footnoteReference w:id="230"/>
      </w:r>
      <w:r>
        <w:rPr>
          <w:rFonts w:ascii="Amiri" w:hAnsi="Amiri" w:eastAsia="Amiri" w:cs="Amiri"/>
          <w:color w:val="111111"/>
          <w:sz w:val="28"/>
          <w:sz w:val="28"/>
          <w:szCs w:val="28"/>
          <w:rtl w:val="true"/>
          <w:lang w:bidi="ar-SA"/>
        </w:rPr>
        <w:t xml:space="preserve">فاسد ؛ فإنّ الميزان هو وحدة البيع حقيقة ثمناً ومثمناً ، لا وحدة اللفظ والإنشاء ، وإلاّ لزم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بخيار التبعّض ، إذا باع أشياء بأثمان مختلفة ، بإنشاء واحد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 في الضعف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خيار التبعّض ثابت حتّى مع تعدّد الثمن </w:t>
      </w:r>
      <w:bookmarkStart w:id="149" w:name="pg15222_162233"/>
    </w:p>
    <w:p>
      <w:pPr>
        <w:pStyle w:val="BookText"/>
        <w:rPr/>
      </w:pPr>
      <w:bookmarkEnd w:id="149"/>
      <w:r>
        <w:rPr>
          <w:rFonts w:ascii="Amiri" w:hAnsi="Amiri" w:eastAsia="Amiri" w:cs="Amiri"/>
          <w:color w:val="111111"/>
          <w:sz w:val="28"/>
          <w:sz w:val="28"/>
          <w:szCs w:val="28"/>
          <w:rtl w:val="true"/>
          <w:lang w:bidi="ar-SA"/>
        </w:rPr>
        <w:t xml:space="preserve">والمثمن ، فلو باع الكتاب نصفه بخمسة دراهم ، ونصفه الآخر بعشرة ، كان البيع متعدّداً لتعدّد العوضين فيه ، فيتعدّد فيه الخيار ، لكن بالنسبة إلى تبعّض الصفقة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حكم الواحد ؛ فإنّ غرض البائع تعلّق ببيع المجموع ، فيمكن دعوى كون الغرض شرطاً ضمنياً ، 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التبعّض إنّما يجيء من قبل الشرط الضمني ، أو قاعدة الضرر ، فيمكن دعواهما في مثل المقام</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مع تعدّد البيع والثمن والمثمن ، كيف تصحّ دعوى تبعّض الصفقة ، وأين هنا صفقة واحدة حتّى يقال إنّها تبعّضت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الضمني وقاعدة الضرر ، ممّا لا يصغى إليهما ؛ إذ لا دليل على الشرط ، وعلى فرضه يرجع إلى خيار تخلّفه ، لا التبعيض ، وقاعدة الضرر لا تثبت الخيار ، كما مرّ مراراً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3331610_2142443653"/>
      <w:bookmarkStart w:id="151" w:name="_Toc54"/>
      <w:bookmarkEnd w:id="150"/>
      <w:r>
        <w:rPr>
          <w:rtl w:val="true"/>
        </w:rPr>
        <w:t>كيفية انحلال العقد بالنسبة إلى بعض المبيع خاصّة</w:t>
      </w:r>
      <w:bookmarkEnd w:id="151"/>
    </w:p>
    <w:p>
      <w:pPr>
        <w:pStyle w:val="BookText"/>
        <w:rPr/>
      </w:pPr>
      <w:r>
        <w:rPr>
          <w:rFonts w:ascii="Amiri" w:hAnsi="Amiri" w:eastAsia="Amiri" w:cs="Amiri"/>
          <w:color w:val="111111"/>
          <w:sz w:val="28"/>
          <w:sz w:val="28"/>
          <w:szCs w:val="28"/>
          <w:rtl w:val="true"/>
          <w:lang w:bidi="ar-SA"/>
        </w:rPr>
        <w:t xml:space="preserve">والذي يمكن أن يقال في دفع الإشكال الثبوتي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الشيء الواحد في التكوين والتشريع ، يمكن أن يختلف حكمه باختلاف الإضافات ، فالفوقية وعدمها متناقضتان ، وهي والتحتية متضادّتان ، ومع الإضافة يرتفع التضادّ والتناقض ، وكذا السرعة والبط‌ء ، وغيرهما من العناوين المختلفة الإضافات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الاعتباريات أيضاً كذلك ؛ فإنّ اللزوم والجواز متنافيان ، ويرتفع التنافي باختلاف الإضافة ، فالعقد الواحد جائز بالنسبة إلى المشتري ، ولازم بالنسبة </w:t>
      </w:r>
    </w:p>
    <w:p>
      <w:pPr>
        <w:pStyle w:val="BookText"/>
        <w:rPr/>
      </w:pPr>
      <w:r>
        <w:rPr>
          <w:rFonts w:ascii="Amiri" w:hAnsi="Amiri" w:eastAsia="Amiri" w:cs="Amiri"/>
          <w:color w:val="111111"/>
          <w:sz w:val="28"/>
          <w:sz w:val="28"/>
          <w:szCs w:val="28"/>
          <w:rtl w:val="true"/>
          <w:lang w:bidi="ar-SA"/>
        </w:rPr>
        <w:t xml:space="preserve">إلى البائع ، ولازم بالنسبة إلى الأصيل ، وجائز بالنسبة إلى الفضولي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انحلال العقد أيضاً يجري ذلك ، فيمكن أن ينحلّ العقد الواحد بالنسبة إلى بعض أجزاء المبيع الواحد ، ولا ينحلّ بالنسبة إلى بعض ؛ فإنّ الانحلال أمر اعتباري عقلائي ، لا انعدام تكويني ، ومعه لا مانع ممّا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في محيط العقلاء ، صحّة شرط الخيار في بعض المبيع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الفرس ، وشرطت عليك الخيار في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عند العقلاء ، ونفذ عند الشارع بدليل الشرط ، فيصحّ الفسخ بالنسبة إلى ما شرطاه ، وكذا صحّة الإقالة بالنسبة إلى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العقد الذي هو من الاُمور الاعتبارية العقلائية ، إمكان الانحلال بالنسبة إلى الكلّ ، وكذا بالنسبة إلى البعض ، فلو دلّ دليل على الخيار في بعض المبيع ، لا يصحّ ردّه بتوهّم مخالفته للعقل ، فالانحلال النسبي لا يكون مخالفاً للعقل ، ولا لحكم العقلاء ، فيثبت الخيار مع ثبوت خيار التبعّض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الانحلال النسبي ، يدلّ كثير من الموارد التي وردت بها الأخبار ، وفتوى الأخيار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ثبوت الحكم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بيع شيئين صفقة واحدة ، مع ظهور العيب في أحدهما ، مع الغضّ عن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إطلاق دليل الخيار بالنسبة إلى حالتي الانفراد والانضمام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في المرسلة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يشتري الثوب أو </w:t>
      </w:r>
    </w:p>
    <w:p>
      <w:pPr>
        <w:pStyle w:val="BookText"/>
        <w:rPr/>
      </w:pPr>
      <w:r>
        <w:rPr>
          <w:rFonts w:ascii="Amiri" w:hAnsi="Amiri" w:eastAsia="Amiri" w:cs="Amiri"/>
          <w:color w:val="111111"/>
          <w:sz w:val="28"/>
          <w:sz w:val="28"/>
          <w:szCs w:val="28"/>
          <w:rtl w:val="true"/>
          <w:lang w:bidi="ar-SA"/>
        </w:rPr>
        <w:t>المتاع ، فيجد فيه عيباً</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يشمل بإطلاقه الثوب الذي بيع مع غيره صفقة واحدة ، ويصحّ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اشترى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الاشتراء في ضمن المجموع ، فينطبق عليه حكمه ؛ من جواز ردّه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الردّ إلى صاحبه كناية عن ثبوت الخيار ، يستفاد منه أنّ الخيار بالنسبة إلى الثوب المعيب ، فيثبت به الخيار النسبي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أنّ الخيار ، هل هو ثابت في مجموع الثمن</w:t>
      </w:r>
      <w:r>
        <w:rPr>
          <w:rStyle w:val="FootnoteAnchor"/>
          <w:rtl w:val="true"/>
        </w:rPr>
        <w:footnoteReference w:id="235"/>
      </w:r>
      <w:r>
        <w:rPr>
          <w:rFonts w:ascii="Amiri" w:hAnsi="Amiri" w:eastAsia="Amiri" w:cs="Amiri"/>
          <w:color w:val="111111"/>
          <w:sz w:val="28"/>
          <w:sz w:val="28"/>
          <w:szCs w:val="28"/>
          <w:rtl w:val="true"/>
          <w:lang w:bidi="ar-SA"/>
        </w:rPr>
        <w:t>، أو في أبعاضه</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 غير محلّه ؛ لما تقدّم من أنّ ما يشتمل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 كناية عن حقّ الفسخ أو الخيار</w:t>
      </w:r>
      <w:r>
        <w:rPr>
          <w:rStyle w:val="FootnoteAnchor"/>
          <w:rtl w:val="true"/>
        </w:rPr>
        <w:footnoteReference w:id="237"/>
      </w:r>
      <w:r>
        <w:rPr>
          <w:rFonts w:ascii="Amiri" w:hAnsi="Amiri" w:eastAsia="Amiri" w:cs="Amiri"/>
          <w:color w:val="111111"/>
          <w:sz w:val="28"/>
          <w:sz w:val="28"/>
          <w:szCs w:val="28"/>
          <w:rtl w:val="true"/>
          <w:lang w:bidi="ar-SA"/>
        </w:rPr>
        <w:t xml:space="preserve">، فالحكم بردّ بعض ما تعلّق به العقد المستفاد من الإطلاق ، دليل على ثبوت الخيار النسبي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الخدشة فيما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إمكان إنكار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أبعاض الصفقة الواحدة إلاّ بالتسامح والتأوّل ، ولا يصار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حكم العقلاء في الصفقة الواحدة ، عدم الخيار بالنسبة إلى المعيب فقط ، بل الحكم إمّا ردّ الجميع أو قبوله ، فلا ينقدح في الأذهان من الرواية إلاّ فسخ </w:t>
      </w:r>
    </w:p>
    <w:p>
      <w:pPr>
        <w:pStyle w:val="BookText"/>
        <w:rPr/>
      </w:pPr>
      <w:r>
        <w:rPr>
          <w:rFonts w:ascii="Amiri" w:hAnsi="Amiri" w:eastAsia="Amiri" w:cs="Amiri"/>
          <w:color w:val="111111"/>
          <w:sz w:val="28"/>
          <w:sz w:val="28"/>
          <w:szCs w:val="28"/>
          <w:rtl w:val="true"/>
          <w:lang w:bidi="ar-SA"/>
        </w:rPr>
        <w:t xml:space="preserve">المعاملة ، لا الفسخ النسبي ؛ فإنّه بعيد عن الأذهان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الأظهر من بين الاحتمالات في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التأمّل ، وملاحظة الارتكاز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 فإنّ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الثوب أو المتاع ، فيجد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الصدق على الأثواب المشتراة مجتمعة ، إذا كانت الصفقة واحدة ؛ بحيث لم يكن نظره في مقام الاشتراء إلى هذا وذاك ، كالخفّ والجورب ونحوهما ؛ ممّا لا يكون النظر فيها إلى أحد الزوجين منفرداً ؛ إذ مع التكثّر في مقام الاشتراء ، يخرج عن وحدة الصفقة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أن يقال فيما إذا اشترى الثوبين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اشترى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اشترى الخفّ والجورب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الصدق فيهما ليس إلاّ لكون الزوجين صفقة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وبين الثوبين بعدم تعارف التفريق فيهما ، وتعارفه في الثوبين ، وهو ليس بفارق مع فرض وحدة الصفقة ؛ إذ مع وحدة المشترى الذي في بعضه عيب ،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 بعضه ، كما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الخفّ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العيب في أحد الزوجين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الشيء قائماً بعينه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كان المشترى كذلك ، كان له ردّه ، فالأبعاض خارجة عن السؤال والجواب ، وهذا واضح في مثل الخفّ والجورب ؛ لأجل التعارف ، وظاهر بعد التأمّل فيما لا يتعارف مع وحدة الصفقة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والمذكور في السؤال وجوابه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المعلوم أ نّه ليس لاختصاص الحكم بهما ، كما لا يختصّ الحكم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يشتري الشيء ، فيجد فيه عيباً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وأمّا احتمال أن يكون المراد الثوب الواحد ، حتّى يخرج المتعدّد عن مفاد الرواية ، ويكون التعرّض لخصوص الشيء المنفرد عن غيره ، ويلحق به مثل الخفّ والجورب للتعارف ، دون غيره وإن كانت الصفقة واحدة ، ولازمه عدم الدليل اللفظي على خيار العيب في المتعدّد وإن كان جميع أجزائه معيوباً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احتمال شموله للمتعدّد ، ولكنّ الحكم مختصّ بمورد العيب ، فلا يكون خيار في الصحيح ، ولا يسقط الخيار مع التصرّف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فبعيدان عن الذهن العرفي ، ولا سيّما مع الارتكاز المشار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مع الشكّ في مفاد الروايات ، أو الجزم بعدم شمولها للواحد الاعتباري ، يرجع إلى بناء العقلاء في مثل تلك المسألة العقلائية ، ولا ينبغي الريب في أنّ الحكم العقلائي ، هو ثبوت خيار العيب للمجموع المشترى صفقة واحدة ، إذا كان بعض أجزائها معيباً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العقلائي هو إمّا ردّ الجميع ، أو قبوله ، وهذا البناء العقلائي معتمد ما لم يردع عنه رادع ، ومعه لا يحتاج إلى الأصل ، كما أنّ المسألة لا تحتاج إلى التكلّفات التي ارتكبها الشيخ الأعظم قدّس سرّه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ما ذكرناه ، هو مع عدم رضا البائع بردّ البعض ، وإلاّ فيصحّ ويكون إقالة نسبية ، وهي عقلائية مع وحدة العقد والمعقود عليه </w:t>
      </w:r>
      <w:r>
        <w:rPr>
          <w:rFonts w:eastAsia="Amiri" w:cs="Amiri" w:ascii="Amiri" w:hAnsi="Amiri"/>
          <w:color w:val="111111"/>
          <w:sz w:val="28"/>
          <w:szCs w:val="28"/>
          <w:rtl w:val="true"/>
          <w:lang w:bidi="ar-SA"/>
        </w:rPr>
        <w:t xml:space="preserve">. </w:t>
      </w:r>
      <w:bookmarkStart w:id="152" w:name="pg15222_162238"/>
    </w:p>
    <w:p>
      <w:pPr>
        <w:pStyle w:val="Heading6"/>
        <w:numPr>
          <w:ilvl w:val="5"/>
          <w:numId w:val="1"/>
        </w:numPr>
        <w:rPr/>
      </w:pPr>
      <w:bookmarkStart w:id="153" w:name="__RefHeading___Toc3331612_2142443653"/>
      <w:bookmarkStart w:id="154" w:name="_Toc55"/>
      <w:bookmarkEnd w:id="152"/>
      <w:bookmarkEnd w:id="153"/>
      <w:r>
        <w:rPr>
          <w:rtl w:val="true"/>
        </w:rPr>
        <w:t>حكم خيار تبعّض الصفقة عند تعدّد المشتري</w:t>
      </w:r>
      <w:bookmarkEnd w:id="154"/>
    </w:p>
    <w:p>
      <w:pPr>
        <w:pStyle w:val="BookText"/>
        <w:rPr/>
      </w:pPr>
      <w:r>
        <w:rPr>
          <w:rFonts w:ascii="Amiri" w:hAnsi="Amiri" w:eastAsia="Amiri" w:cs="Amiri"/>
          <w:color w:val="111111"/>
          <w:sz w:val="28"/>
          <w:sz w:val="28"/>
          <w:szCs w:val="28"/>
          <w:rtl w:val="true"/>
          <w:lang w:bidi="ar-SA"/>
        </w:rPr>
        <w:t xml:space="preserve">ولو تعدّد المشتري فقط ، فالمنسوب إلى المشهور عدم جواز انفراد أحدهما </w:t>
      </w:r>
      <w:r>
        <w:rPr>
          <w:rStyle w:val="FootnoteAnchor"/>
          <w:rtl w:val="true"/>
        </w:rPr>
        <w:footnoteReference w:id="240"/>
      </w:r>
      <w:r>
        <w:rPr>
          <w:rFonts w:ascii="Amiri" w:hAnsi="Amiri" w:eastAsia="Amiri" w:cs="Amiri"/>
          <w:color w:val="111111"/>
          <w:sz w:val="28"/>
          <w:sz w:val="28"/>
          <w:szCs w:val="28"/>
          <w:rtl w:val="true"/>
          <w:lang w:bidi="ar-SA"/>
        </w:rPr>
        <w:t xml:space="preserve">، والمحكيّ عن جمع جوازه مطلقاً </w:t>
      </w:r>
      <w:r>
        <w:rPr>
          <w:rStyle w:val="FootnoteAnchor"/>
          <w:rtl w:val="true"/>
        </w:rPr>
        <w:footnoteReference w:id="241"/>
      </w:r>
      <w:r>
        <w:rPr>
          <w:rFonts w:ascii="IRNazanin" w:hAnsi="IRNazanin" w:eastAsia="IRNazanin"/>
          <w:color w:val="111111"/>
          <w:sz w:val="28"/>
          <w:sz w:val="28"/>
          <w:szCs w:val="28"/>
          <w:rtl w:val="true"/>
          <w:lang w:bidi="fa-IR"/>
        </w:rPr>
        <w:t>، أو مع تعدّد القبول</w:t>
      </w:r>
      <w:r>
        <w:rPr>
          <w:rStyle w:val="FootnoteAnchor"/>
          <w:rtl w:val="true"/>
        </w:rPr>
        <w:footnoteReference w:id="242"/>
      </w:r>
      <w:r>
        <w:rPr>
          <w:rFonts w:ascii="IRNazanin" w:hAnsi="IRNazanin" w:eastAsia="IRNazanin"/>
          <w:color w:val="111111"/>
          <w:sz w:val="28"/>
          <w:sz w:val="28"/>
          <w:szCs w:val="28"/>
          <w:rtl w:val="true"/>
          <w:lang w:bidi="fa-IR"/>
        </w:rPr>
        <w:t>، أو مع علم البائع بالتعدّد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إن كان المتعدّد اعتبر واحداً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اعتبار المتعدّد واحداً في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الصفقة واحدة كما تقدّم</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اعتبار المشتريين واحداً ، ويكون البيع منهما ملحوظاً بنحو الاجتماع والوحدة ، فينقل المبيع إلى الواحد الاعتباري ، ولا يكون واحد منهما مالكاً ؛ لا تماماً ، ولا جزءاً معيّناً ، أو مشاعاً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احتيج إلى قبولهما ؛ لأ نّهما محقّقان للواحد ، ففي هذه الصورة يكون البيع واحداً بوحدة الأطراف ، والخيار واحداً غير متعدّد ، وهذا نظير مالكية الجهة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الصورة وإن لم تكن مشمولة لظاهر أدلّة الخيار ، لكنّها بنظر العرف ، وبمناسبة الحكم والموضوع ، تلغى عنها الخصوصية ، كما تلغى عن الرجل ، والمتاع ، والثوب ، ووحدة المشتري والبائع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العرف أنّ الحكم ثابت للبيع الواقع على المعيب ، ثمناً كان أو مثمناً ، من غير دخالة لخصوصية الأطراف في ثبوت الحكم ، فهذه الصورة لا إشكال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جوازه ، إذا باع من كلّ منهما النصف المشاع مثلاً بعقد واحد ؛ لصدق العنوان المأخوذ في الروايتين على كلّ منهما بلا ريب ، وعدم مانعية شيء إلاّ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انصراف الدليل ، وأنّ ردّ الجزء منفرداً نقص حدث فيه ، وأ نّه ليس قائماً بعينه ولو بفعل الممسك لحصّته ، وأنّ المقصود حصوله بيد البائع ، كما كان قبل الخروج ، وأنّ التشقيص ضرر عليه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شيء منها صالحاً للمنع كما تقدّم منّا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وتصدّى لدفعها الأعاظم قدّس سرّه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لو باع كلّ منهما بلا ذكر النصف ؛ ضرورة أنّ البيع كذلك ، عين بيع كلّ نصف بنحو الإشاعة ؛ إذ البيع منهما بنحو الصورة الاُولى غير مقصود ، وبيع </w:t>
      </w:r>
      <w:bookmarkStart w:id="155" w:name="pg15222_162240"/>
    </w:p>
    <w:p>
      <w:pPr>
        <w:pStyle w:val="BookText"/>
        <w:rPr/>
      </w:pPr>
      <w:bookmarkEnd w:id="155"/>
      <w:r>
        <w:rPr>
          <w:rFonts w:ascii="Amiri" w:hAnsi="Amiri" w:eastAsia="Amiri" w:cs="Amiri"/>
          <w:color w:val="111111"/>
          <w:sz w:val="28"/>
          <w:sz w:val="28"/>
          <w:szCs w:val="28"/>
          <w:rtl w:val="true"/>
          <w:lang w:bidi="ar-SA"/>
        </w:rPr>
        <w:t xml:space="preserve">الكلّ من كلّ غير مقصود أيضاً ، مع أ نّه باطل في نفسه ؛ لاستحالة تحقّق مضمونه ، وبنحو الجزء المعيّن مفروض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يبقى إلاّ بيع كلّ نصف بنحو الإشاعة ، ومعه يكون البيع متكثّراً ، وكذا المبيع والثمن والخيار ؛ لصدق العنوان ، وعدم المانع </w:t>
      </w:r>
      <w:r>
        <w:rPr>
          <w:rFonts w:eastAsia="Amiri" w:cs="Amiri" w:ascii="Amiri" w:hAnsi="Amiri"/>
          <w:color w:val="111111"/>
          <w:sz w:val="28"/>
          <w:szCs w:val="28"/>
          <w:rtl w:val="true"/>
          <w:lang w:bidi="ar-SA"/>
        </w:rPr>
        <w:t>.</w:t>
      </w:r>
    </w:p>
    <w:p>
      <w:pPr>
        <w:pStyle w:val="Heading6"/>
        <w:numPr>
          <w:ilvl w:val="5"/>
          <w:numId w:val="1"/>
        </w:numPr>
        <w:rPr/>
      </w:pPr>
      <w:bookmarkStart w:id="156" w:name="__RefHeading___Toc3331614_2142443653"/>
      <w:bookmarkStart w:id="157" w:name="_Toc56"/>
      <w:bookmarkEnd w:id="156"/>
      <w:r>
        <w:rPr>
          <w:rtl w:val="true"/>
        </w:rPr>
        <w:t>حول ثبوت خيار تبعّض الصفقة للوكيل والموكّل</w:t>
      </w:r>
      <w:bookmarkEnd w:id="157"/>
    </w:p>
    <w:p>
      <w:pPr>
        <w:pStyle w:val="BookText"/>
        <w:rPr/>
      </w:pPr>
      <w:r>
        <w:rPr>
          <w:rFonts w:ascii="Amiri" w:hAnsi="Amiri" w:eastAsia="Amiri" w:cs="Amiri"/>
          <w:color w:val="111111"/>
          <w:sz w:val="28"/>
          <w:sz w:val="28"/>
          <w:szCs w:val="28"/>
          <w:rtl w:val="true"/>
          <w:lang w:bidi="ar-SA"/>
        </w:rPr>
        <w:t>ولو اشترى الوكيل المطلق عنهما ، من غير ذكر الموكّلين ، مع جهل البائع ، فهل يثبت الخيار للوكيل ، أو للموكّلين ، أو للجميع ؟</w:t>
      </w:r>
    </w:p>
    <w:p>
      <w:pPr>
        <w:pStyle w:val="BookText"/>
        <w:rPr/>
      </w:pPr>
      <w:r>
        <w:rPr>
          <w:rFonts w:ascii="Amiri" w:hAnsi="Amiri" w:eastAsia="Amiri" w:cs="Amiri"/>
          <w:color w:val="111111"/>
          <w:sz w:val="28"/>
          <w:sz w:val="28"/>
          <w:szCs w:val="28"/>
          <w:rtl w:val="true"/>
          <w:lang w:bidi="ar-SA"/>
        </w:rPr>
        <w:t>وجوه ، مرّ نظيرها في خيار المجلس</w:t>
      </w:r>
      <w:r>
        <w:rPr>
          <w:rStyle w:val="FootnoteAnchor"/>
          <w:rtl w:val="true"/>
        </w:rPr>
        <w:footnoteReference w:id="248"/>
      </w:r>
      <w:r>
        <w:rPr>
          <w:rFonts w:ascii="Amiri" w:hAnsi="Amiri" w:eastAsia="Amiri" w:cs="Amiri"/>
          <w:color w:val="111111"/>
          <w:sz w:val="28"/>
          <w:sz w:val="28"/>
          <w:szCs w:val="28"/>
          <w:rtl w:val="true"/>
          <w:lang w:bidi="ar-SA"/>
        </w:rPr>
        <w:t xml:space="preserve">؛ إذ لا يفرّق بين المقام وهناك ، إلاّ من جهة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 وخصوص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 وذكر غاية الخيار هناك ، ولا غاية له هاهنا ، وهما ليسا بفارقين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ومن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إلاّ على الوكيل ؛ فإنّه أوجد الشراء بقبوله ، فلا خيار إلاّ له ، ولا يتعدّد الخيار ولا البيع ، ولا دليل على جواز الفسخ النسبي ، فله الفسخ في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وكون النقل بحسب الواقع متعدّداً ، لا يوجب كثرة البيع والشراء الواقعين على الواحد مع وحدة الطرفين ، وكذا الحال في وليّ القاصرين والوصيّ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الاشتراء للشخصين ، يوجب صدق العنوان عليه بجهتين ؛ فإنّه اشترى لهذا ، فيكون له خيار ، واشترى لذاك فكذلك ، فيكون للوكيل خياران مستقلاّن وله الأخذ بأيّ منهما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غير بعيد إذا نوى الاشتراء لهما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نظر البائعين ليس البيع من خصوص المخاطب ، بل يبيعان سلعتيهما بثمنها ، ولهذا لا يكون البائعان ركناً في البيع ، وأمّا مع عدم النيّة كما هو دأب الدلاّلين ، فلا وجه لما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ثابت لمن انتقل إليه المال ، وإن لم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بالتأوّل ؛ فإنّ المنصرف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المناسبات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المالك ، فهنا انتقالان مستقلاّن ، ومشتريان مستقلاّن ولو بالتأوّل ، فيثبت لكلّ منهما الخيار في حصّته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ظهر الحال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الوكيل والموكّل ، كما قيل في خيار المجلس</w:t>
      </w:r>
      <w:r>
        <w:rPr>
          <w:rStyle w:val="FootnoteAnchor"/>
          <w:rtl w:val="true"/>
        </w:rPr>
        <w:footnoteReference w:id="249"/>
      </w:r>
      <w:r>
        <w:rPr>
          <w:rFonts w:ascii="Amiri" w:hAnsi="Amiri" w:eastAsia="Amiri" w:cs="Amiri"/>
          <w:color w:val="111111"/>
          <w:sz w:val="28"/>
          <w:sz w:val="28"/>
          <w:szCs w:val="28"/>
          <w:rtl w:val="true"/>
          <w:lang w:bidi="ar-SA"/>
        </w:rPr>
        <w:t xml:space="preserve">، وأغمضنا عن الإشكال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الحال في تعدّد البائع مع وحدة المشتري ؛ فإنّ الكلام فيه هو الكلام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المشتري إذا كان واحداً ، يكون له خيار واحد وإن تعدّد البائع ، فلا يجوز له التفرّد ، وقضيّة عدم تضرّر البائع ليست بشيء ؛ لأنّ دليل الضرر أجنبيّ عن إثبات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الاشتراء من هذا ، غير الاشتراء من ذاك ،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عليه بجهتين ، فله في كلّ شراء خيار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مرّ يظهر الحال في تعدّد البائع والمشتري ، بل التفرّد هاهنا أوضح </w:t>
      </w:r>
      <w:r>
        <w:rPr>
          <w:rFonts w:eastAsia="Amiri" w:cs="Amiri" w:ascii="Amiri" w:hAnsi="Amiri"/>
          <w:color w:val="111111"/>
          <w:sz w:val="28"/>
          <w:szCs w:val="28"/>
          <w:rtl w:val="true"/>
          <w:lang w:bidi="ar-SA"/>
        </w:rPr>
        <w:t xml:space="preserve">. </w:t>
      </w:r>
      <w:bookmarkStart w:id="158" w:name="pg15222_162242"/>
    </w:p>
    <w:p>
      <w:pPr>
        <w:pStyle w:val="Heading3"/>
        <w:numPr>
          <w:ilvl w:val="2"/>
          <w:numId w:val="1"/>
        </w:numPr>
        <w:rPr/>
      </w:pPr>
      <w:bookmarkStart w:id="159" w:name="__RefHeading___Toc3331616_2142443653"/>
      <w:bookmarkStart w:id="160" w:name="_Toc57"/>
      <w:bookmarkEnd w:id="158"/>
      <w:bookmarkEnd w:id="159"/>
      <w:r>
        <w:rPr>
          <w:rtl w:val="true"/>
        </w:rPr>
        <w:t>مسألة فيما يسقط به الأرش خاصّة</w:t>
      </w:r>
      <w:bookmarkEnd w:id="160"/>
    </w:p>
    <w:p>
      <w:pPr>
        <w:pStyle w:val="Heading4"/>
        <w:numPr>
          <w:ilvl w:val="3"/>
          <w:numId w:val="1"/>
        </w:numPr>
        <w:rPr/>
      </w:pPr>
      <w:bookmarkStart w:id="161" w:name="__RefHeading___Toc3331618_2142443653"/>
      <w:bookmarkStart w:id="162" w:name="_Toc58"/>
      <w:bookmarkEnd w:id="161"/>
      <w:r>
        <w:rPr>
          <w:rtl w:val="true"/>
        </w:rPr>
        <w:t xml:space="preserve">يسقط الأرش فقط بأمران </w:t>
      </w:r>
      <w:r>
        <w:rPr>
          <w:rtl w:val="true"/>
        </w:rPr>
        <w:t>:</w:t>
      </w:r>
      <w:bookmarkEnd w:id="162"/>
    </w:p>
    <w:p>
      <w:pPr>
        <w:pStyle w:val="Heading5"/>
        <w:numPr>
          <w:ilvl w:val="4"/>
          <w:numId w:val="1"/>
        </w:numPr>
        <w:rPr/>
      </w:pPr>
      <w:bookmarkStart w:id="163" w:name="__RefHeading___Toc3331620_2142443653"/>
      <w:bookmarkStart w:id="164" w:name="_Toc59"/>
      <w:bookmarkEnd w:id="163"/>
      <w:r>
        <w:rPr>
          <w:rtl w:val="true"/>
        </w:rPr>
        <w:t xml:space="preserve">الأوّل </w:t>
      </w:r>
      <w:r>
        <w:rPr>
          <w:rtl w:val="true"/>
        </w:rPr>
        <w:t xml:space="preserve">: </w:t>
      </w:r>
      <w:r>
        <w:rPr>
          <w:rtl w:val="true"/>
        </w:rPr>
        <w:t>بإسقاطه حال العقد وبعده</w:t>
      </w:r>
      <w:bookmarkEnd w:id="164"/>
    </w:p>
    <w:p>
      <w:pPr>
        <w:pStyle w:val="BookText"/>
        <w:rPr/>
      </w:pPr>
      <w:r>
        <w:rPr>
          <w:rFonts w:ascii="Amiri" w:hAnsi="Amiri" w:eastAsia="Amiri" w:cs="Amiri"/>
          <w:color w:val="111111"/>
          <w:sz w:val="28"/>
          <w:sz w:val="28"/>
          <w:szCs w:val="28"/>
          <w:rtl w:val="true"/>
          <w:lang w:bidi="ar-SA"/>
        </w:rPr>
        <w:t>يسقط الأرش فقط بإسقاطه حال العقد وبعده ، على ما مرّ في مسقطات سائر الخيارات</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3331622_2142443653"/>
      <w:bookmarkStart w:id="166" w:name="_Toc60"/>
      <w:bookmarkEnd w:id="165"/>
      <w:r>
        <w:rPr>
          <w:rtl w:val="true"/>
        </w:rPr>
        <w:t xml:space="preserve">الثاني </w:t>
      </w:r>
      <w:r>
        <w:rPr>
          <w:rtl w:val="true"/>
        </w:rPr>
        <w:t xml:space="preserve">: </w:t>
      </w:r>
      <w:r>
        <w:rPr>
          <w:rtl w:val="true"/>
        </w:rPr>
        <w:t>فيما إذا اشتري ربوياً بجنسه</w:t>
      </w:r>
      <w:bookmarkEnd w:id="166"/>
    </w:p>
    <w:p>
      <w:pPr>
        <w:pStyle w:val="BookText"/>
        <w:rPr/>
      </w:pPr>
      <w:r>
        <w:rPr>
          <w:rFonts w:ascii="Amiri" w:hAnsi="Amiri" w:eastAsia="Amiri" w:cs="Amiri"/>
          <w:color w:val="111111"/>
          <w:sz w:val="28"/>
          <w:sz w:val="28"/>
          <w:szCs w:val="28"/>
          <w:rtl w:val="true"/>
          <w:lang w:bidi="ar-SA"/>
        </w:rPr>
        <w:t xml:space="preserve">وفيما إذا اشترى ربوياً بجنسه ، فظهر عيب في أحدهما ، فإنّه لا أرش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للزوم الربا </w:t>
      </w:r>
      <w:r>
        <w:rPr>
          <w:rStyle w:val="FootnoteAnchor"/>
          <w:rtl w:val="true"/>
        </w:rPr>
        <w:footnoteReference w:id="251"/>
      </w:r>
      <w:r>
        <w:rPr>
          <w:rFonts w:ascii="Amiri" w:hAnsi="Amiri" w:eastAsia="Amiri" w:cs="Amiri"/>
          <w:color w:val="111111"/>
          <w:sz w:val="28"/>
          <w:sz w:val="28"/>
          <w:szCs w:val="28"/>
          <w:rtl w:val="true"/>
          <w:lang w:bidi="ar-SA"/>
        </w:rPr>
        <w:t>؛ فإنّ ظاهر أدلّة حرمته</w:t>
      </w:r>
      <w:r>
        <w:rPr>
          <w:rStyle w:val="FootnoteAnchor"/>
          <w:rtl w:val="true"/>
        </w:rPr>
        <w:footnoteReference w:id="252"/>
      </w:r>
      <w:r>
        <w:rPr>
          <w:rFonts w:ascii="Amiri" w:hAnsi="Amiri" w:eastAsia="Amiri" w:cs="Amiri"/>
          <w:color w:val="111111"/>
          <w:sz w:val="28"/>
          <w:sz w:val="28"/>
          <w:szCs w:val="28"/>
          <w:rtl w:val="true"/>
          <w:lang w:bidi="ar-SA"/>
        </w:rPr>
        <w:t xml:space="preserve">هو أن تكون الزيادة بجعل المتعاملين ، ولا دليل على جريان حكمه فيما إذا ترتّبت الزيادة بعد المعاملة على نحو الغرامة للعيب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أدلّة تحريم الربا، أنّ وصف الصحّة في أحد الجنسين كالمعدوم ، لا يترتّب على فقده استحقاق العوض</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فإنّه مضافا إلى عدم دلالتها على ذلك التنزيل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كان التنزيل في جميع الآثار ، فيلزم عدم خيار الفسخ أيضاً بفقده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حيث استحقاق الغرامة مطلقاً ، فيلزم عدم الضمان بالإتلاف أو بالاستيلاء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خصوص استحقاق الأرش ، لزم التنزيل المستهجن ، إلاّ أن يرجع كلامه إلى ما نذكره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المستفاد من أدلّته عدم استحقاق الأرش والغرامة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ذلك بمقدّمة ؛ وهي أ نّه لا إشكال في أنّ شرط الغرامة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يشترط عليه تأدية التفاوت بين الصحيح والمعيب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فإنّه شرط الزيادة العينية الذي لا إشكال في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حرمته ، بل بطلان البيع به على قول</w:t>
      </w:r>
      <w:r>
        <w:rPr>
          <w:rStyle w:val="FootnoteAnchor"/>
          <w:rtl w:val="true"/>
        </w:rPr>
        <w:footnoteReference w:id="254"/>
      </w:r>
      <w:r>
        <w:rPr>
          <w:rFonts w:ascii="Amiri" w:hAnsi="Amiri" w:eastAsia="Amiri" w:cs="Amiri"/>
          <w:color w:val="111111"/>
          <w:sz w:val="28"/>
          <w:sz w:val="28"/>
          <w:szCs w:val="28"/>
          <w:rtl w:val="true"/>
          <w:lang w:bidi="ar-SA"/>
        </w:rPr>
        <w:t xml:space="preserve">، وإن شرطها عند تعذّر الردّ ، أو عند ظهور العيب ، فإنّ كلّ ذلك باطل ، ويظهر من ذلك أنّ الإلزام بالزيادة مرغوب عنه ، ولهذا بطل شرطها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المنافاة بين هذا الحكم ، وإلزام الشارع بتأدية الغرامة والزيادة ، فلو كان الحكم الشرعي إلزام البائع بتأدية الغرامة ، وكان</w:t>
      </w:r>
    </w:p>
    <w:p>
      <w:pPr>
        <w:pStyle w:val="BookText"/>
        <w:rPr/>
      </w:pPr>
      <w:r>
        <w:rPr>
          <w:rFonts w:ascii="Amiri" w:hAnsi="Amiri" w:eastAsia="Amiri" w:cs="Amiri"/>
          <w:color w:val="111111"/>
          <w:sz w:val="28"/>
          <w:sz w:val="28"/>
          <w:szCs w:val="28"/>
          <w:rtl w:val="true"/>
          <w:lang w:bidi="ar-SA"/>
        </w:rPr>
        <w:t xml:space="preserve">مرغوباً فيه ، فكيف يصحّ الحكم ببطلان شرطها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كون المفسدة لنفس إيقاع الشرط لفظاً </w:t>
      </w:r>
      <w:r>
        <w:rPr>
          <w:rStyle w:val="FootnoteAnchor"/>
          <w:rtl w:val="true"/>
        </w:rPr>
        <w:footnoteReference w:id="255"/>
      </w:r>
      <w:r>
        <w:rPr>
          <w:rFonts w:ascii="Amiri" w:hAnsi="Amiri" w:eastAsia="Amiri" w:cs="Amiri"/>
          <w:color w:val="111111"/>
          <w:sz w:val="28"/>
          <w:sz w:val="28"/>
          <w:szCs w:val="28"/>
          <w:rtl w:val="true"/>
          <w:lang w:bidi="ar-SA"/>
        </w:rPr>
        <w:t xml:space="preserve">، كما ترى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مفاد الشرط عين ما ألزمه الشارع من أداء الغرامة ، يكون </w:t>
      </w:r>
    </w:p>
    <w:p>
      <w:pPr>
        <w:pStyle w:val="BookText"/>
        <w:rPr/>
      </w:pPr>
      <w:r>
        <w:rPr>
          <w:rFonts w:ascii="Amiri" w:hAnsi="Amiri" w:eastAsia="Amiri" w:cs="Amiri"/>
          <w:color w:val="111111"/>
          <w:sz w:val="28"/>
          <w:sz w:val="28"/>
          <w:szCs w:val="28"/>
          <w:rtl w:val="true"/>
          <w:lang w:bidi="ar-SA"/>
        </w:rPr>
        <w:t xml:space="preserve">البطلان مناقضاً لهذا الحكم عرفاً ، فلا بدّ من رفع اليد إمّا عن إطلاق أدلّة الربا ، والحكم بصحّة شرط الزيادة ، وإمّا عن إطلاق دليل الأرش ، ولعلّ الثاني أهون ؛ لشدّة الاهتمام بالربا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تعارض الدليلان بالعموم من وجه ، فالترجيح لدليل الربا سنداً ، ولأجل الموافقة للكتاب والسنّة ، ولو تساقطا فالأصل موافق لعدم ثبوت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التساقط يرجع إلى حكم العقلاء بثبوت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دعوى قصور الدليل عن إثبات الأرش في المورد ، فلا يرجع الأمر إلى تعارض الدليلين ؛ وذلك لعدم إطلاق معتمد عليه في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زرارة</w:t>
      </w:r>
      <w:r>
        <w:rPr>
          <w:rStyle w:val="FootnoteAnchor"/>
          <w:rtl w:val="true"/>
        </w:rPr>
        <w:footnoteReference w:id="256"/>
      </w:r>
      <w:r>
        <w:rPr>
          <w:rFonts w:ascii="Amiri" w:hAnsi="Amiri" w:eastAsia="Amiri" w:cs="Amiri"/>
          <w:color w:val="111111"/>
          <w:sz w:val="28"/>
          <w:sz w:val="28"/>
          <w:szCs w:val="28"/>
          <w:rtl w:val="true"/>
          <w:lang w:bidi="ar-SA"/>
        </w:rPr>
        <w:t>فإنّها في مقام بيان مضيّ البيع عند إحداث شيء في</w:t>
      </w:r>
    </w:p>
    <w:p>
      <w:pPr>
        <w:pStyle w:val="BookText"/>
        <w:rPr/>
      </w:pPr>
      <w:r>
        <w:rPr>
          <w:rFonts w:ascii="Amiri" w:hAnsi="Amiri" w:eastAsia="Amiri" w:cs="Amiri"/>
          <w:color w:val="111111"/>
          <w:sz w:val="28"/>
          <w:sz w:val="28"/>
          <w:szCs w:val="28"/>
          <w:rtl w:val="true"/>
          <w:lang w:bidi="ar-SA"/>
        </w:rPr>
        <w:t xml:space="preserve">المقبوض ، فلا إطلاق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المرسلة</w:t>
      </w:r>
      <w:r>
        <w:rPr>
          <w:rStyle w:val="FootnoteAnchor"/>
          <w:rtl w:val="true"/>
        </w:rPr>
        <w:footnoteReference w:id="257"/>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الثوب قد قطع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يثبت الحكم للثوب ، وبإلغاء الخصوصية يثبت الحكم لسائر الموارد ، ومع احتمال خصوصية في مورد لا يصحّ إلغاؤها ، فضلاً عن معلومية الخصوصية ، كما في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مفهوم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الشيء قائماً بعينه ردّه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نّه إن لم يكن كذلك فلا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دلالة له على ثبوت الأرش بوجه ، وإنّما يكون ثبوته بالمنطوق في الشرطية الثانية التي قد عرفت حالها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فيها الذي هو شامل للأجناس الربوية ، فهو في </w:t>
      </w:r>
      <w:bookmarkStart w:id="167" w:name="pg15222_162245"/>
    </w:p>
    <w:p>
      <w:pPr>
        <w:pStyle w:val="BookText"/>
        <w:rPr/>
      </w:pPr>
      <w:bookmarkEnd w:id="167"/>
      <w:r>
        <w:rPr>
          <w:rFonts w:ascii="Amiri" w:hAnsi="Amiri" w:eastAsia="Amiri" w:cs="Amiri"/>
          <w:color w:val="111111"/>
          <w:sz w:val="28"/>
          <w:sz w:val="28"/>
          <w:szCs w:val="28"/>
          <w:rtl w:val="true"/>
          <w:lang w:bidi="ar-SA"/>
        </w:rPr>
        <w:t xml:space="preserve">السؤال ، فلا يفهم حكمها من الجواب إلاّ بإلغاء الخصوصية التي قد ظهر حالها ، فلم تبق غير أدلّة تحريم الربا ، المستفاد منها عدم الغرامة بلا معارض ، ومعها لا يصحّ الرجوع إلى حكم العقلاء في ثبوت الأرش </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3331624_2142443653"/>
      <w:bookmarkStart w:id="169" w:name="_Toc61"/>
      <w:bookmarkEnd w:id="168"/>
      <w:r>
        <w:rPr>
          <w:rtl w:val="true"/>
        </w:rPr>
        <w:t xml:space="preserve">الثالث </w:t>
      </w:r>
      <w:r>
        <w:rPr>
          <w:rtl w:val="true"/>
        </w:rPr>
        <w:t xml:space="preserve">: </w:t>
      </w:r>
      <w:r>
        <w:rPr>
          <w:rtl w:val="true"/>
        </w:rPr>
        <w:t>فيما لا يوجب العيب نقصاًفي القيمة</w:t>
      </w:r>
      <w:bookmarkEnd w:id="16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يثبت الأرش أيضاً فيما لا يوجب العيب نقصاً في القيمة ، وكذا فيما إذا لم يكن خروج المبيع عن خلقته الأصلية ، موجباً لنقصه ، وهو واضح </w:t>
      </w:r>
      <w:r>
        <w:rPr>
          <w:rFonts w:eastAsia="Amiri" w:cs="Amiri" w:ascii="Amiri" w:hAnsi="Amiri"/>
          <w:color w:val="111111"/>
          <w:sz w:val="28"/>
          <w:szCs w:val="28"/>
          <w:rtl w:val="true"/>
          <w:lang w:bidi="ar-SA"/>
        </w:rPr>
        <w:t xml:space="preserve">. </w:t>
      </w:r>
      <w:bookmarkStart w:id="170" w:name="pg15222_162246"/>
    </w:p>
    <w:p>
      <w:pPr>
        <w:pStyle w:val="Heading3"/>
        <w:numPr>
          <w:ilvl w:val="2"/>
          <w:numId w:val="1"/>
        </w:numPr>
        <w:rPr/>
      </w:pPr>
      <w:bookmarkStart w:id="171" w:name="__RefHeading___Toc3331626_2142443653"/>
      <w:bookmarkStart w:id="172" w:name="_Toc62"/>
      <w:bookmarkEnd w:id="170"/>
      <w:bookmarkEnd w:id="171"/>
      <w:r>
        <w:rPr>
          <w:rtl w:val="true"/>
        </w:rPr>
        <w:t>مسألة في مسقطات الأرش والردّ</w:t>
      </w:r>
      <w:bookmarkEnd w:id="172"/>
    </w:p>
    <w:p>
      <w:pPr>
        <w:pStyle w:val="Heading4"/>
        <w:numPr>
          <w:ilvl w:val="3"/>
          <w:numId w:val="1"/>
        </w:numPr>
        <w:rPr/>
      </w:pPr>
      <w:bookmarkStart w:id="173" w:name="__RefHeading___Toc3331628_2142443653"/>
      <w:bookmarkStart w:id="174" w:name="_Toc63"/>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يسقط الأرش والردّ باُمور ، وإن كان في إطلاق السقوط في بعضها توسّع </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3331630_2142443653"/>
      <w:bookmarkStart w:id="176" w:name="_Toc64"/>
      <w:bookmarkEnd w:id="175"/>
      <w:r>
        <w:rPr>
          <w:rtl w:val="true"/>
        </w:rPr>
        <w:t xml:space="preserve">الأوّل </w:t>
      </w:r>
      <w:r>
        <w:rPr>
          <w:rtl w:val="true"/>
        </w:rPr>
        <w:t xml:space="preserve">: </w:t>
      </w:r>
      <w:r>
        <w:rPr>
          <w:rtl w:val="true"/>
        </w:rPr>
        <w:t>العلم بالعيب قبل العقد</w:t>
      </w:r>
      <w:bookmarkEnd w:id="176"/>
    </w:p>
    <w:p>
      <w:pPr>
        <w:pStyle w:val="Heading5"/>
        <w:numPr>
          <w:ilvl w:val="4"/>
          <w:numId w:val="1"/>
        </w:numPr>
        <w:rPr/>
      </w:pPr>
      <w:bookmarkStart w:id="177" w:name="__RefHeading___Toc3331632_2142443653"/>
      <w:bookmarkStart w:id="178" w:name="_Toc65"/>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 xml:space="preserve">بلا إشكال فيه ؛ لقصور الأدلّة عن إثباتهما للعالم به ، كما يظهر بالمراجعة إلى الأدلّة ، ولكون الخيار والأرش من الأحكام العقلائية ، ولا ريب في عدمهما عند العرف والعقلاء مع العلم به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التمسّك بمفهوم رواية زرارة المتقدّمة</w:t>
      </w:r>
      <w:r>
        <w:rPr>
          <w:rStyle w:val="FootnoteAnchor"/>
          <w:rtl w:val="true"/>
        </w:rPr>
        <w:footnoteReference w:id="258"/>
      </w:r>
      <w:r>
        <w:rPr>
          <w:rFonts w:ascii="Amiri" w:hAnsi="Amiri" w:eastAsia="Amiri" w:cs="Amiri"/>
          <w:color w:val="111111"/>
          <w:sz w:val="28"/>
          <w:sz w:val="28"/>
          <w:szCs w:val="28"/>
          <w:rtl w:val="true"/>
          <w:lang w:bidi="ar-SA"/>
        </w:rPr>
        <w:t xml:space="preserve">، ففي غير محلّه ؛ لعدم المفهوم للقيد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قال بعض الأكابر رحمهما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النكتة الوحيدة في جميع القضايا التي ادّعي فيها المفهوم ، أنّ إتيان القيد دليل على دخالته في الحكم ، وينتفي ذلك عند انتفائه ؛ فإنّ المتكلّم إذا كان في مقام بيان موضوع حكمه ، فلا بدّ وأن يأتي بكلّ </w:t>
      </w:r>
    </w:p>
    <w:p>
      <w:pPr>
        <w:pStyle w:val="BookText"/>
        <w:rPr/>
      </w:pPr>
      <w:r>
        <w:rPr>
          <w:rFonts w:ascii="Amiri" w:hAnsi="Amiri" w:eastAsia="Amiri" w:cs="Amiri"/>
          <w:color w:val="111111"/>
          <w:sz w:val="28"/>
          <w:sz w:val="28"/>
          <w:szCs w:val="28"/>
          <w:rtl w:val="true"/>
          <w:lang w:bidi="ar-SA"/>
        </w:rPr>
        <w:t xml:space="preserve">ما هو دخيل فيه ، ويحترز عمّا لا دخالة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الحكم المترتّب على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وضعياً كان أم تكليفياً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طبيعة</w:t>
      </w:r>
    </w:p>
    <w:p>
      <w:pPr>
        <w:pStyle w:val="BookText"/>
        <w:rPr/>
      </w:pPr>
      <w:r>
        <w:rPr>
          <w:rFonts w:ascii="Amiri" w:hAnsi="Amiri" w:eastAsia="Amiri" w:cs="Amiri"/>
          <w:color w:val="111111"/>
          <w:sz w:val="28"/>
          <w:sz w:val="28"/>
          <w:szCs w:val="28"/>
          <w:rtl w:val="true"/>
          <w:lang w:bidi="ar-SA"/>
        </w:rPr>
        <w:t>الحكم وماهيته ، فلازمه رفع الطبيعة برفع القيد ، من غير فرق بين الشرط ، واللقب ، وغيرهما ، ولو كان الموضوع للحكم أو المقوّم له أحد الأمرين ، لما كان له ذكر أحدهما دون الآخر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هو أنّ تعلّق الحكم بالموضوع مع القيد ، دليل على دخالته ، وعدم شريك له في الدخالة ، وإلاّ لزمت اللغوية ، أو نقض الغرض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الدلالة على عدم العديل ؛ وأنّ قيداً آخر لا ينوب عن القيد المأخوذ ، فلا دليل عليه ، ولا على لزوم ذكره ؛ إذ لا يلزم من عدم ذكره نقض للغرض ، ولا محذور 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الماء قدر كرّ لم ينجّسه شيء</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دليل على أنّ الكرّية دخيلة ، والماء الكرّ تمام الموضوع للاعتصام ، ولا شريك له ، وأمّا الدلالة على عدم 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الأساس في إثبات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بالموضوع المقيّد ، دليل على أ نّه تمام الموضوع ، لا على حصره ، والمفهوم تابع للدلالة على الحصر ، لا على كون الشيء تمام الموضوع ، ولا ينافي ذلك إثبات طبيعي الحكم أو ماهيته للموضوع ؛ </w:t>
      </w:r>
    </w:p>
    <w:p>
      <w:pPr>
        <w:pStyle w:val="BookText"/>
        <w:rPr/>
      </w:pPr>
      <w:r>
        <w:rPr>
          <w:rFonts w:ascii="Amiri" w:hAnsi="Amiri" w:eastAsia="Amiri" w:cs="Amiri"/>
          <w:color w:val="111111"/>
          <w:sz w:val="28"/>
          <w:sz w:val="28"/>
          <w:szCs w:val="28"/>
          <w:rtl w:val="true"/>
          <w:lang w:bidi="ar-SA"/>
        </w:rPr>
        <w:t xml:space="preserve">لأنّ الطبيعي قابل للتكثّر ، ويتكثّر بتكثّر العلّة والجعل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 ما لم يفترقا</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الحيوان بالخيار</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وكسائر مثبتات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طبيعي الخيار للموضوعات</w:t>
      </w:r>
    </w:p>
    <w:p>
      <w:pPr>
        <w:pStyle w:val="BookText"/>
        <w:rPr/>
      </w:pPr>
      <w:r>
        <w:rPr>
          <w:rFonts w:ascii="Amiri" w:hAnsi="Amiri" w:eastAsia="Amiri" w:cs="Amiri"/>
          <w:color w:val="111111"/>
          <w:sz w:val="28"/>
          <w:sz w:val="28"/>
          <w:szCs w:val="28"/>
          <w:rtl w:val="true"/>
          <w:lang w:bidi="ar-SA"/>
        </w:rPr>
        <w:t xml:space="preserve">من غير تنافٍ ، والكرّ سبب لطبيعي الاعتصام كالجاري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من مظانّه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للمقام خصوصية ، بها يدلّ القيد على المفهوم ؛ وهي أنّ الرواية في مقام ضبط مورد الخيار ، مقدّمة لبيان سقوطه بإحداث الحدث</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دلّت عليه هو أنّ الخيار الثابت بهذه القيود ، ساقط بإحداث الشيء ، وهو لا يفيد ؛ لعدم الدلالة على الحصر ، وهذا نظير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الماء قدر كرّ يتنجّس بالتغيّر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دلالة فيه على الحصر والمفهوم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الغضّ عن اختلاف النقل في الرواية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له</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يبرأ به</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xml:space="preserve">وفي </w:t>
      </w:r>
      <w:bookmarkStart w:id="179" w:name="pg15222_162249"/>
    </w:p>
    <w:p>
      <w:pPr>
        <w:pStyle w:val="BookText"/>
        <w:rPr/>
      </w:pPr>
      <w:bookmarkEnd w:id="1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يبيّن له</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xml:space="preserve">وإن لم يبعد وقوع الخطأ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p>
    <w:p>
      <w:pPr>
        <w:pStyle w:val="Heading5"/>
        <w:numPr>
          <w:ilvl w:val="4"/>
          <w:numId w:val="1"/>
        </w:numPr>
        <w:rPr/>
      </w:pPr>
      <w:bookmarkStart w:id="180" w:name="__RefHeading___Toc3331634_2142443653"/>
      <w:bookmarkStart w:id="181" w:name="_Toc66"/>
      <w:bookmarkEnd w:id="180"/>
      <w:r>
        <w:rPr>
          <w:rtl w:val="true"/>
        </w:rPr>
        <w:t>حكم ما لو اشترط العالم بالعيب خيار العيب</w:t>
      </w:r>
      <w:bookmarkEnd w:id="181"/>
    </w:p>
    <w:p>
      <w:pPr>
        <w:pStyle w:val="BookText"/>
        <w:rPr/>
      </w:pPr>
      <w:r>
        <w:rPr>
          <w:rFonts w:ascii="Amiri" w:hAnsi="Amiri" w:eastAsia="Amiri" w:cs="Amiri"/>
          <w:color w:val="111111"/>
          <w:sz w:val="28"/>
          <w:sz w:val="28"/>
          <w:szCs w:val="28"/>
          <w:rtl w:val="true"/>
          <w:lang w:bidi="ar-SA"/>
        </w:rPr>
        <w:t>ولو شرط العالم بالعيب في ضمن العقد ، خيار العيب ، مريداً به الخيار الخاصّ الذي له أحكام خاصّة ، ففي صحّته</w:t>
      </w:r>
      <w:r>
        <w:rPr>
          <w:rStyle w:val="FootnoteAnchor"/>
          <w:rtl w:val="true"/>
        </w:rPr>
        <w:footnoteReference w:id="268"/>
      </w:r>
      <w:r>
        <w:rPr>
          <w:rFonts w:ascii="IRNazanin" w:hAnsi="IRNazanin" w:eastAsia="IRNazanin"/>
          <w:color w:val="111111"/>
          <w:sz w:val="28"/>
          <w:sz w:val="28"/>
          <w:szCs w:val="28"/>
          <w:rtl w:val="true"/>
          <w:lang w:bidi="fa-IR"/>
        </w:rPr>
        <w:t>، أو فساده فقط</w:t>
      </w:r>
      <w:r>
        <w:rPr>
          <w:rStyle w:val="FootnoteAnchor"/>
          <w:rtl w:val="true"/>
        </w:rPr>
        <w:footnoteReference w:id="269"/>
      </w:r>
      <w:r>
        <w:rPr>
          <w:rFonts w:ascii="IRNazanin" w:hAnsi="IRNazanin" w:eastAsia="IRNazanin"/>
          <w:color w:val="111111"/>
          <w:sz w:val="28"/>
          <w:sz w:val="28"/>
          <w:szCs w:val="28"/>
          <w:rtl w:val="true"/>
          <w:lang w:bidi="fa-IR"/>
        </w:rPr>
        <w:t>، أو مع إفساده</w:t>
      </w:r>
      <w:r>
        <w:rPr>
          <w:rStyle w:val="FootnoteAnchor"/>
          <w:rtl w:val="true"/>
        </w:rPr>
        <w:footnoteReference w:id="270"/>
      </w:r>
      <w:r>
        <w:rPr>
          <w:rFonts w:ascii="IRNazanin" w:hAnsi="IRNazanin" w:eastAsia="IRNazanin"/>
          <w:color w:val="111111"/>
          <w:sz w:val="28"/>
          <w:sz w:val="28"/>
          <w:szCs w:val="28"/>
          <w:rtl w:val="true"/>
          <w:lang w:bidi="fa-IR"/>
        </w:rPr>
        <w:t xml:space="preserve">،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بحسب التصوّر ، يمكن أن يكون خيار العيب ثابتاً للعيب المجهول ؛ بحيث يكون عدم العلم به قيداً للموضوع ، أو قيداً لمقتضي الخيار ، أو يكون المقتضي له وموضوعه هو العيب لا غير ، لكنّ العلم به مانع عن فعليته ، أو سبب لسقوطه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مجال لإثباته لموضوع آخر بدليل الشرط ؛ لعدم كونه صالحاً لذلك ، بل الشرط لا يكون إلاّ محقّقاً لموضوع الوفاء به ، سواء تعلّق بفعل ، أو كان من قبيل شرط النتيجة ، ومعنى الوفاء به ، هو العمل على طبق ما شرط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صلاحيته لإثبات حكم شرعي 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كإثبات خيار العيب للعالم </w:t>
      </w:r>
    </w:p>
    <w:p>
      <w:pPr>
        <w:pStyle w:val="BookText"/>
        <w:rPr/>
      </w:pPr>
      <w:r>
        <w:rPr>
          <w:rFonts w:ascii="Amiri" w:hAnsi="Amiri" w:eastAsia="Amiri" w:cs="Amiri"/>
          <w:color w:val="111111"/>
          <w:sz w:val="28"/>
          <w:sz w:val="28"/>
          <w:szCs w:val="28"/>
          <w:rtl w:val="true"/>
          <w:lang w:bidi="ar-SA"/>
        </w:rPr>
        <w:t xml:space="preserve">بالعيب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 وهذا نظير الالتزام بإمكان شرط خيار الحيوان بعنوانه في غير الحيوان ، أو خيار العيب بعنوانه فيما لا عيب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الشرط بدليله أن يجعل غير المقتضي مقتضياً ، ولا غير السبب سبباً ، ولا غير الموضوع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مانع من شرط التخيير بين الردّ والأرش ، والخيار إذن يكون خيار الشرط ، لا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قلنا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الثانوية كالشرط والنذر والعهد ، إذا تعلّقت بشيء ، لا تغيّر حكمه</w:t>
      </w:r>
      <w:r>
        <w:rPr>
          <w:rStyle w:val="FootnoteAnchor"/>
          <w:rtl w:val="true"/>
        </w:rPr>
        <w:footnoteReference w:id="271"/>
      </w:r>
      <w:r>
        <w:rPr>
          <w:rFonts w:ascii="Amiri" w:hAnsi="Amiri" w:eastAsia="Amiri" w:cs="Amiri"/>
          <w:color w:val="111111"/>
          <w:sz w:val="28"/>
          <w:sz w:val="28"/>
          <w:szCs w:val="28"/>
          <w:rtl w:val="true"/>
          <w:lang w:bidi="ar-SA"/>
        </w:rPr>
        <w:t>، فإذا نذر صلاة الليل ، أو شرط فعلها على غيره ،</w:t>
      </w:r>
    </w:p>
    <w:p>
      <w:pPr>
        <w:pStyle w:val="BookText"/>
        <w:rPr/>
      </w:pPr>
      <w:r>
        <w:rPr>
          <w:rFonts w:ascii="Amiri" w:hAnsi="Amiri" w:eastAsia="Amiri" w:cs="Amiri"/>
          <w:color w:val="111111"/>
          <w:sz w:val="28"/>
          <w:sz w:val="28"/>
          <w:szCs w:val="28"/>
          <w:rtl w:val="true"/>
          <w:lang w:bidi="ar-SA"/>
        </w:rPr>
        <w:t xml:space="preserve">لا تصير الصلاة واجبة ، بل هي مستحبّة كما كانت قبل التعلّق ، وإنّما الواجب هو الوفاء بالشرط ، ومعنى وجوبه لزوم الإتيان بها بعنوان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فالوجوب متعلّق بعنوان ، والاستحباب بعنوان آخر ، ولا تعقل سراية الحكم من أحد العنوانين إلى الآخر ، والمصداق المتحقّق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مجمع العنوانين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مصداق ذاتي للصلاة ، وعرضي للنذر ، ولا يجعلها النذر متعلّقة لحكم آخر ، وكذا الحال 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لدليل مانعية العلم عن الخيار ، أو مسقطيته له إطلاق يشمل حال عروض الطوارئ ، فلا يصحّ شرط الخيار ؛ لكونه مخالفاً للشرع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إذا لم يكن كذلك ؛ إذ الشرط حينئذٍ يوجب انقلاب موضوع </w:t>
      </w:r>
    </w:p>
    <w:p>
      <w:pPr>
        <w:pStyle w:val="BookText"/>
        <w:rPr/>
      </w:pPr>
      <w:r>
        <w:rPr>
          <w:rFonts w:ascii="Amiri" w:hAnsi="Amiri" w:eastAsia="Amiri" w:cs="Amiri"/>
          <w:color w:val="111111"/>
          <w:sz w:val="28"/>
          <w:sz w:val="28"/>
          <w:szCs w:val="28"/>
          <w:rtl w:val="true"/>
          <w:lang w:bidi="ar-SA"/>
        </w:rPr>
        <w:t xml:space="preserve">المانعية والمسقطية ، فيرجع شرط الخيار إلى دفع المانعية ، لا رفعها ، نظير شرط سقوط الخيار في ضمن العقد ، حيث يرجع إلى الدفع ، لا الرفع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قاصر عن الشمول لحال الطارئ ، فيترتّب على الموضوع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 لتحقّقه ، أو تحقّق المقتضي ، وعدم المانع ، فيصير الخيار فعلياً ، هذا بحسب التصوّر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مقام الإثبات ، فلا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مانع أو مسقط كما عدّه الفقهاء من المسقطات</w:t>
      </w:r>
      <w:r>
        <w:rPr>
          <w:rStyle w:val="FootnoteAnchor"/>
          <w:rtl w:val="true"/>
        </w:rPr>
        <w:footnoteReference w:id="272"/>
      </w:r>
      <w:r>
        <w:rPr>
          <w:rFonts w:ascii="Amiri" w:hAnsi="Amiri" w:eastAsia="Amiri" w:cs="Amiri"/>
          <w:color w:val="111111"/>
          <w:sz w:val="28"/>
          <w:sz w:val="28"/>
          <w:szCs w:val="28"/>
          <w:rtl w:val="true"/>
          <w:lang w:bidi="ar-SA"/>
        </w:rPr>
        <w:t>، وإن كان بعض الكلمات يشعر بتعلّق الخيار بالعيب</w:t>
      </w:r>
    </w:p>
    <w:p>
      <w:pPr>
        <w:pStyle w:val="BookText"/>
        <w:rPr/>
      </w:pPr>
      <w:r>
        <w:rPr>
          <w:rFonts w:ascii="IRNazanin" w:hAnsi="IRNazanin" w:eastAsia="IRNazanin"/>
          <w:color w:val="111111"/>
          <w:sz w:val="28"/>
          <w:sz w:val="28"/>
          <w:szCs w:val="28"/>
          <w:rtl w:val="true"/>
          <w:lang w:bidi="fa-IR"/>
        </w:rPr>
        <w:t>المجهول</w:t>
      </w:r>
      <w:r>
        <w:rPr>
          <w:rStyle w:val="FootnoteAnchor"/>
          <w:rtl w:val="true"/>
        </w:rPr>
        <w:footnoteReference w:id="273"/>
      </w:r>
      <w:r>
        <w:rPr>
          <w:rFonts w:ascii="Amiri" w:hAnsi="Amiri" w:eastAsia="Amiri" w:cs="Amiri"/>
          <w:color w:val="111111"/>
          <w:sz w:val="28"/>
          <w:sz w:val="28"/>
          <w:szCs w:val="28"/>
          <w:rtl w:val="true"/>
          <w:lang w:bidi="ar-SA"/>
        </w:rPr>
        <w:t xml:space="preserve">؛ وذلك لإشكال ثبوتي في قيدية عدم العلم ، فإنّ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المضاف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يشار إليه ، أو يتعلّق به حكم ثبوتي ، ولا تعقل دخالته في شيء ، حكماً كان ، أو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اشتهر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للعدم المضاف حظّاً من الوجود</w:t>
      </w:r>
      <w:r>
        <w:rPr>
          <w:rStyle w:val="FootnoteAnchor"/>
          <w:rtl w:val="true"/>
        </w:rPr>
        <w:footnoteReference w:id="274"/>
      </w:r>
      <w:r>
        <w:rPr>
          <w:rFonts w:ascii="Amiri" w:hAnsi="Amiri" w:eastAsia="Amiri" w:cs="Amiri"/>
          <w:color w:val="111111"/>
          <w:sz w:val="28"/>
          <w:sz w:val="28"/>
          <w:szCs w:val="28"/>
          <w:rtl w:val="true"/>
          <w:lang w:bidi="ar-SA"/>
        </w:rPr>
        <w:t xml:space="preserve">لا يرجع إلى محصّل ، ولعلّ ذلك من باب اشتباه العدم بالعنوان الموجود في الذهن ؛ أي الحمل الشائع بالأوّلي على وجهٍ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يتراءى منه أنّ العدم فيه قيد للموضوع ، يرجع إلى أنّ الوجود مانع ، عكس ما هو المعروف ؛ من أنّ مانعية الوجود ترجع إلى </w:t>
      </w:r>
    </w:p>
    <w:p>
      <w:pPr>
        <w:pStyle w:val="BookText"/>
        <w:rPr/>
      </w:pPr>
      <w:r>
        <w:rPr>
          <w:rFonts w:ascii="Amiri" w:hAnsi="Amiri" w:eastAsia="Amiri" w:cs="Amiri"/>
          <w:color w:val="111111"/>
          <w:sz w:val="28"/>
          <w:sz w:val="28"/>
          <w:szCs w:val="28"/>
          <w:rtl w:val="true"/>
          <w:lang w:bidi="ar-SA"/>
        </w:rPr>
        <w:t>شرطية العدم</w:t>
      </w:r>
      <w:r>
        <w:rPr>
          <w:rStyle w:val="FootnoteAnchor"/>
          <w:rtl w:val="true"/>
        </w:rPr>
        <w:footnoteReference w:id="275"/>
      </w:r>
      <w:r>
        <w:rPr>
          <w:rFonts w:ascii="Amiri" w:hAnsi="Amiri" w:eastAsia="Amiri" w:cs="Amiri"/>
          <w:color w:val="111111"/>
          <w:sz w:val="28"/>
          <w:sz w:val="28"/>
          <w:szCs w:val="28"/>
          <w:rtl w:val="true"/>
          <w:lang w:bidi="ar-SA"/>
        </w:rPr>
        <w:t>، بتوهّم عدم إمكان المانعية ، وهو مزيّف على ما هو المحقّق في محلّه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العرف لمّا رأى للأعدام المضافة نحو تحقّق ، ولا يتحاشى عن صيرورته قيداً للموضوع ، فلا محالة يكون نظره متّبعاً ، كما هو كذلك في أمثال المقام فاسد ؛ لأنّ لازمه أن يكون القيد هو الوجود الذهني المحقّق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الأوّلي ، وهو مقطوع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إرجاع القوم مانعية الوجود إلى شرطية العدم ، أيضاً مخالف لنظر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الخيار ثابتاً للشخص الجاهل بالعيب ، أو في العقد الذي كان العوض المعيب فيه مجهولاً ؛ بحيث لا يرجع إلى قيدية العدم ، كان لإمكانه وجه ، وإن كان باب المناقشة فيه واسعاً ، لا مجال لفتحه ، لكنّ المفروض أنّ الخيار ثابت للعقد ؛ بقيد عدم العلم بالعيب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في المقام ، قاصرة عن إثبات شرطية الجهل ، مع أ نّها لو كانت دالّة عليها ، لأرجعناها إلى مانعية الوجود ، كما أشرنا إليه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قاصرة عن إثبات المانعية المطلقة ؛ لأنّ ما يتوهّم فيه الأمران هو رواية زرارة</w:t>
      </w:r>
      <w:r>
        <w:rPr>
          <w:rStyle w:val="FootnoteAnchor"/>
          <w:rtl w:val="true"/>
        </w:rPr>
        <w:footnoteReference w:id="277"/>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اختلاف النسخ فيها ،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بصدد بيان حكم إحداث الشيء وثبوت الأرش وسقوط الخيار ، لا ثبوته ، ومعه </w:t>
      </w:r>
    </w:p>
    <w:p>
      <w:pPr>
        <w:pStyle w:val="BookText"/>
        <w:rPr/>
      </w:pPr>
      <w:r>
        <w:rPr>
          <w:rFonts w:ascii="Amiri" w:hAnsi="Amiri" w:eastAsia="Amiri" w:cs="Amiri"/>
          <w:color w:val="111111"/>
          <w:sz w:val="28"/>
          <w:sz w:val="28"/>
          <w:szCs w:val="28"/>
          <w:rtl w:val="true"/>
          <w:lang w:bidi="ar-SA"/>
        </w:rPr>
        <w:t xml:space="preserve">لا يمكن استفادة الشرطية منها ، ولا المانعية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اللتيّا والتي ، يشكل الالتزام بصحّة الشرط المذكور ، بعد الإشكال في دلالة الأدلّة ، واحتمال المانعية أو المسقطية المطلقتين ، ومعه يحتمل مخالفة الشرط للشرع ، فلا يصحّ التمسّك بأدلّة الشرط المتقيّدة بعدم كونه مخالفاً للكتاب مع اتّصال القيد ، ولا أصل لإحراز عدم المخالفة ، على ما هو المحقّق في محلّه</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 xml:space="preserve">الاستصحاب ، الإمام الخميني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الشرط على فرض فساده ، لا يوجب فساد العقد ، وما أفاده الشيخ الأعظم قدّس سرّه من الإفساد</w:t>
      </w:r>
      <w:r>
        <w:rPr>
          <w:rStyle w:val="FootnoteAnchor"/>
          <w:rtl w:val="true"/>
        </w:rPr>
        <w:footnoteReference w:id="279"/>
      </w:r>
      <w:r>
        <w:rPr>
          <w:rFonts w:ascii="Amiri" w:hAnsi="Amiri" w:eastAsia="Amiri" w:cs="Amiri"/>
          <w:color w:val="111111"/>
          <w:sz w:val="28"/>
          <w:sz w:val="28"/>
          <w:szCs w:val="28"/>
          <w:rtl w:val="true"/>
          <w:lang w:bidi="ar-SA"/>
        </w:rPr>
        <w:t>، مخالف للتحقيق ، ولما اختاره من عدمه في باب الشروط</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توجيه كلامه بوجه بعيد ؛ وهو أن يكون لدفع توهّم أنّ شرط خيار العيب ، ينحلّ إلى شرطين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الخيار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خيار العيب ، أو أنّ الشرط يرجع إلى شرط الخيار ، وقيد هو كونه للعيب ، وأ نّه يمكن أن يصحّ أصل الشرط ؛ أي شرط الخيار ، ويكون خيار الشرط مع بطلان الشرط الثاني أو القيد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مثله يوجب إفساد أصل الشرط أيضا ؛ لأنّ المقيّد الخاصّ إذا بطل قيده بطل </w:t>
      </w:r>
      <w:r>
        <w:rPr>
          <w:rFonts w:eastAsia="Amiri" w:cs="Amiri" w:ascii="Amiri" w:hAnsi="Amiri"/>
          <w:color w:val="111111"/>
          <w:sz w:val="28"/>
          <w:szCs w:val="28"/>
          <w:rtl w:val="true"/>
          <w:lang w:bidi="ar-SA"/>
        </w:rPr>
        <w:t xml:space="preserve">. </w:t>
      </w:r>
      <w:bookmarkStart w:id="182" w:name="pg15222_162254"/>
    </w:p>
    <w:p>
      <w:pPr>
        <w:pStyle w:val="Heading4"/>
        <w:numPr>
          <w:ilvl w:val="3"/>
          <w:numId w:val="1"/>
        </w:numPr>
        <w:rPr/>
      </w:pPr>
      <w:bookmarkStart w:id="183" w:name="__RefHeading___Toc3331636_2142443653"/>
      <w:bookmarkStart w:id="184" w:name="_Toc67"/>
      <w:bookmarkEnd w:id="182"/>
      <w:bookmarkEnd w:id="183"/>
      <w:r>
        <w:rPr>
          <w:rtl w:val="true"/>
        </w:rPr>
        <w:t xml:space="preserve">الثاني </w:t>
      </w:r>
      <w:r>
        <w:rPr>
          <w:rtl w:val="true"/>
        </w:rPr>
        <w:t xml:space="preserve">: </w:t>
      </w:r>
      <w:r>
        <w:rPr>
          <w:rtl w:val="true"/>
        </w:rPr>
        <w:t>تبرّي البائع من العيوب</w:t>
      </w:r>
      <w:bookmarkEnd w:id="184"/>
    </w:p>
    <w:p>
      <w:pPr>
        <w:pStyle w:val="Heading5"/>
        <w:numPr>
          <w:ilvl w:val="4"/>
          <w:numId w:val="1"/>
        </w:numPr>
        <w:rPr/>
      </w:pPr>
      <w:bookmarkStart w:id="185" w:name="__RefHeading___Toc3331638_2142443653"/>
      <w:bookmarkStart w:id="186" w:name="_Toc68"/>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وهذا ممّا لا إشكال فيه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الخيار عقلائي</w:t>
      </w:r>
      <w:r>
        <w:rPr>
          <w:rStyle w:val="FootnoteAnchor"/>
          <w:rtl w:val="true"/>
        </w:rPr>
        <w:footnoteReference w:id="281"/>
      </w:r>
      <w:r>
        <w:rPr>
          <w:rFonts w:ascii="Amiri" w:hAnsi="Amiri" w:eastAsia="Amiri" w:cs="Amiri"/>
          <w:color w:val="111111"/>
          <w:sz w:val="28"/>
          <w:sz w:val="28"/>
          <w:szCs w:val="28"/>
          <w:rtl w:val="true"/>
          <w:lang w:bidi="ar-SA"/>
        </w:rPr>
        <w:t xml:space="preserve">؛ فإنّ السقوط أو عدم الثبوت مع التبرّي أيضاً ، عقلائي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تعارف التبرّي منها عند العرف ، حتّى في عصر صدور الروايات ، ومن المعلوم أنّ ذلك لأجل سقوط حقّ المشتري خياراً وأرشاً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لا إشكال فيه على مبنى كون الثبوت للالتزام الضمني</w:t>
      </w:r>
      <w:r>
        <w:rPr>
          <w:rStyle w:val="FootnoteAnchor"/>
          <w:rtl w:val="true"/>
        </w:rPr>
        <w:footnoteReference w:id="282"/>
      </w:r>
      <w:r>
        <w:rPr>
          <w:rFonts w:ascii="IRNazanin" w:hAnsi="IRNazanin" w:eastAsia="IRNazanin"/>
          <w:color w:val="111111"/>
          <w:sz w:val="28"/>
          <w:sz w:val="28"/>
          <w:szCs w:val="28"/>
          <w:rtl w:val="true"/>
          <w:lang w:bidi="fa-IR"/>
        </w:rPr>
        <w:t>، أو للإجماع</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الدليل عليه الأخبار فكذلك ؛ لأ نّه ليس فيها ما يوهم الإطلاق إلاّ</w:t>
      </w:r>
    </w:p>
    <w:p>
      <w:pPr>
        <w:pStyle w:val="BookText"/>
        <w:rPr/>
      </w:pPr>
      <w:r>
        <w:rPr>
          <w:rFonts w:ascii="Amiri" w:hAnsi="Amiri" w:eastAsia="Amiri" w:cs="Amiri"/>
          <w:color w:val="111111"/>
          <w:sz w:val="28"/>
          <w:sz w:val="28"/>
          <w:szCs w:val="28"/>
          <w:rtl w:val="true"/>
          <w:lang w:bidi="ar-SA"/>
        </w:rPr>
        <w:t>مرسلة جميل</w:t>
      </w:r>
      <w:r>
        <w:rPr>
          <w:rStyle w:val="FootnoteAnchor"/>
          <w:rtl w:val="true"/>
        </w:rPr>
        <w:footnoteReference w:id="284"/>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الإشكال في إطلاقها كما أشرنا إليه سالفاً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انصرافها عن مورد العلم بالعيب ، أو تبرّي البائع منه ، ولا سيّما مع كون السقوط به معهوداً معروفاً عند العرف ، ومعه لا ينقدح في الأذهان منها الثبوت معه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فالمرجع حينئذٍ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 xml:space="preserve">وسائر أدلّة اللزوم ، وأمّا </w:t>
      </w:r>
    </w:p>
    <w:p>
      <w:pPr>
        <w:pStyle w:val="BookText"/>
        <w:rPr/>
      </w:pPr>
      <w:r>
        <w:rPr>
          <w:rFonts w:ascii="Amiri" w:hAnsi="Amiri" w:eastAsia="Amiri" w:cs="Amiri"/>
          <w:color w:val="111111"/>
          <w:sz w:val="28"/>
          <w:sz w:val="28"/>
          <w:szCs w:val="28"/>
          <w:rtl w:val="true"/>
          <w:lang w:bidi="ar-SA"/>
        </w:rPr>
        <w:t>سائر الروايات</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أحكام العيوب ، 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إطلاق فيها ، كما يظهر بالمراجعة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سلّمنا الإطلاق في المرسلة ، وثبوت الخيار بإطلاقها في مورد التبرّي ، ففي الخروج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 رواية زرارة</w:t>
      </w:r>
      <w:r>
        <w:rPr>
          <w:rStyle w:val="FootnoteAnchor"/>
          <w:rtl w:val="true"/>
        </w:rPr>
        <w:footnoteReference w:id="288"/>
      </w:r>
      <w:r>
        <w:rPr>
          <w:rFonts w:ascii="Amiri" w:hAnsi="Amiri" w:eastAsia="Amiri" w:cs="Amiri"/>
          <w:color w:val="111111"/>
          <w:sz w:val="28"/>
          <w:sz w:val="28"/>
          <w:szCs w:val="28"/>
          <w:rtl w:val="true"/>
          <w:lang w:bidi="ar-SA"/>
        </w:rPr>
        <w:t>ومكاتبة جعفر بن عيسى</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فللإشكال في سندها ، مضافاً إلى أنّ متنها أيضاً لا يخلو من كلام ، كما سيأتي التعرّض 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فللإشكال في ثبوت المفهوم للقيد ، كما تقدّم نظيره في الأمر الأوّل</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الأعظم قدّس سرّه مع التنظّر في مفهوم الرواية في الأمر الأوّل</w:t>
      </w:r>
      <w:r>
        <w:rPr>
          <w:rStyle w:val="FootnoteAnchor"/>
          <w:rtl w:val="true"/>
        </w:rPr>
        <w:footnoteReference w:id="292"/>
      </w:r>
      <w:r>
        <w:rPr>
          <w:rFonts w:ascii="Amiri" w:hAnsi="Amiri" w:eastAsia="Amiri" w:cs="Amiri"/>
          <w:color w:val="111111"/>
          <w:sz w:val="28"/>
          <w:sz w:val="28"/>
          <w:szCs w:val="28"/>
          <w:rtl w:val="true"/>
          <w:lang w:bidi="ar-SA"/>
        </w:rPr>
        <w:t>، تمسّك به هاهنا ، بل جزم بإطلاقه لإثبات عدم الفرق بين التبرّي التفصيلي والإجمالي ، وبين العيوب الظاهرة والباطنة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وجه للمفهوم هاهنا ، كما في سائر القيود ، وعلى فرضه لا إشكال في عدم إطلاقه ، بعد ما كانت الرواية بصدد بيان حكم آخر ؛ </w:t>
      </w:r>
    </w:p>
    <w:p>
      <w:pPr>
        <w:pStyle w:val="BookText"/>
        <w:rPr/>
      </w:pPr>
      <w:r>
        <w:rPr>
          <w:rFonts w:ascii="Amiri" w:hAnsi="Amiri" w:eastAsia="Amiri" w:cs="Amiri"/>
          <w:color w:val="111111"/>
          <w:sz w:val="28"/>
          <w:sz w:val="28"/>
          <w:szCs w:val="28"/>
          <w:rtl w:val="true"/>
          <w:lang w:bidi="ar-SA"/>
        </w:rPr>
        <w:t xml:space="preserve">وهو ثبوت الأرش عند إحداث الشيء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إشكاله هناك لأجل اختلاف نسخ الرواية ، وأنّ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يبرأ به</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xml:space="preserve">ومعه لا حجّية لها ، أو أ نّه أخذ الرواية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يبيّن له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وقرأ بالبناء للفاعل ، حتّى يكون المفهوم بيان البائع لوجود العيب ، وهو غير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البيان طريق إلى المعرفة</w:t>
      </w:r>
      <w:r>
        <w:rPr>
          <w:rStyle w:val="FootnoteAnchor"/>
          <w:rtl w:val="true"/>
        </w:rPr>
        <w:footnoteReference w:id="297"/>
      </w:r>
      <w:r>
        <w:rPr>
          <w:rFonts w:ascii="Amiri" w:hAnsi="Amiri" w:eastAsia="Amiri" w:cs="Amiri"/>
          <w:color w:val="111111"/>
          <w:sz w:val="28"/>
          <w:sz w:val="28"/>
          <w:szCs w:val="28"/>
          <w:rtl w:val="true"/>
          <w:lang w:bidi="ar-SA"/>
        </w:rPr>
        <w:t xml:space="preserve">، غير مسموعة ؛ لخصوصية في بيان البائع ، وذكره في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مبنيّة للمفعول ؛ لعدم ذكر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لا يكون البناء للفاعل متعارفاً ، لو لم يكن غلطاً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اُغمض عن الإشكال في رواية جعفر ، فلا إشكال في دلالتها ، ومقتضى عمومها عدم الفرق بين التبرّي الإجمالي والتفصيلي ، وبين العيوب الظاهرة والباطنة ، كما أ نّه لا فرق بين المذكورات عند العقلاء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بكلّ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 يسقط الردّ والأرش عندهم مطلقاً </w:t>
      </w:r>
      <w:r>
        <w:rPr>
          <w:rFonts w:eastAsia="Amiri" w:cs="Amiri" w:ascii="Amiri" w:hAnsi="Amiri"/>
          <w:color w:val="111111"/>
          <w:sz w:val="28"/>
          <w:szCs w:val="28"/>
          <w:rtl w:val="true"/>
          <w:lang w:bidi="ar-SA"/>
        </w:rPr>
        <w:t xml:space="preserve">. </w:t>
      </w:r>
      <w:bookmarkStart w:id="187" w:name="pg15222_162257"/>
    </w:p>
    <w:p>
      <w:pPr>
        <w:pStyle w:val="Heading5"/>
        <w:numPr>
          <w:ilvl w:val="4"/>
          <w:numId w:val="1"/>
        </w:numPr>
        <w:rPr/>
      </w:pPr>
      <w:bookmarkStart w:id="188" w:name="__RefHeading___Toc3331640_2142443653"/>
      <w:bookmarkStart w:id="189" w:name="_Toc69"/>
      <w:bookmarkEnd w:id="187"/>
      <w:bookmarkEnd w:id="188"/>
      <w:r>
        <w:rPr>
          <w:rtl w:val="true"/>
        </w:rPr>
        <w:t>هل أنّ تبرّي البائع يوجب الغرر أم لا؟</w:t>
      </w:r>
      <w:bookmarkEnd w:id="189"/>
    </w:p>
    <w:p>
      <w:pPr>
        <w:pStyle w:val="BookText"/>
        <w:rPr/>
      </w:pPr>
      <w:r>
        <w:rPr>
          <w:rFonts w:ascii="Amiri" w:hAnsi="Amiri" w:eastAsia="Amiri" w:cs="Amiri"/>
          <w:color w:val="111111"/>
          <w:sz w:val="28"/>
          <w:sz w:val="28"/>
          <w:szCs w:val="28"/>
          <w:rtl w:val="true"/>
          <w:lang w:bidi="ar-SA"/>
        </w:rPr>
        <w:t xml:space="preserve">ثمّ إنّ التبرّي إنّما يوجب الغرر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الرافع له هو التزام البائع</w:t>
      </w:r>
    </w:p>
    <w:p>
      <w:pPr>
        <w:pStyle w:val="BookText"/>
        <w:rPr/>
      </w:pPr>
      <w:r>
        <w:rPr>
          <w:rFonts w:ascii="Amiri" w:hAnsi="Amiri" w:eastAsia="Amiri" w:cs="Amiri"/>
          <w:color w:val="111111"/>
          <w:sz w:val="28"/>
          <w:sz w:val="28"/>
          <w:szCs w:val="28"/>
          <w:rtl w:val="true"/>
          <w:lang w:bidi="ar-SA"/>
        </w:rPr>
        <w:t>بالصحّة</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قلنا بأنّ الرافع أصالة السلامة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وهي لا تجري مع 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انحصار سبب الرفع بأحدهما ، يقع التنافي بين النهي عن الغرر ، ورواية جعفر بن عيسى</w:t>
      </w:r>
      <w:r>
        <w:rPr>
          <w:rStyle w:val="FootnoteAnchor"/>
          <w:rtl w:val="true"/>
        </w:rPr>
        <w:footnoteReference w:id="299"/>
      </w:r>
      <w:r>
        <w:rPr>
          <w:rFonts w:ascii="Amiri" w:hAnsi="Amiri" w:eastAsia="Amiri" w:cs="Amiri"/>
          <w:color w:val="111111"/>
          <w:sz w:val="28"/>
          <w:sz w:val="28"/>
          <w:szCs w:val="28"/>
          <w:rtl w:val="true"/>
          <w:lang w:bidi="ar-SA"/>
        </w:rPr>
        <w:t>ورواية زرارة</w:t>
      </w:r>
      <w:r>
        <w:rPr>
          <w:rStyle w:val="FootnoteAnchor"/>
          <w:rtl w:val="true"/>
        </w:rPr>
        <w:footnoteReference w:id="300"/>
      </w:r>
      <w:r>
        <w:rPr>
          <w:rFonts w:ascii="Amiri" w:hAnsi="Amiri" w:eastAsia="Amiri" w:cs="Amiri"/>
          <w:color w:val="111111"/>
          <w:sz w:val="28"/>
          <w:sz w:val="28"/>
          <w:szCs w:val="28"/>
          <w:rtl w:val="true"/>
          <w:lang w:bidi="ar-SA"/>
        </w:rPr>
        <w:t>على احتمال ، وكذا بينه وبين الإجماعات والشهرة المحكيّة</w:t>
      </w:r>
      <w:r>
        <w:rPr>
          <w:rStyle w:val="FootnoteAnchor"/>
          <w:rtl w:val="true"/>
        </w:rPr>
        <w:footnoteReference w:id="301"/>
      </w:r>
      <w:r>
        <w:rPr>
          <w:rFonts w:ascii="Amiri" w:hAnsi="Amiri" w:eastAsia="Amiri" w:cs="Amiri"/>
          <w:color w:val="111111"/>
          <w:sz w:val="28"/>
          <w:sz w:val="28"/>
          <w:szCs w:val="28"/>
          <w:rtl w:val="true"/>
          <w:lang w:bidi="ar-SA"/>
        </w:rPr>
        <w:t xml:space="preserve">، فلا بدّ من رفع اليد عن إطلاق دليل النهي عن الغرر ، ولا بأس به ، 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إبائه عن التخصيص فاسد</w:t>
      </w:r>
      <w:r>
        <w:rPr>
          <w:rStyle w:val="FootnoteAnchor"/>
          <w:rtl w:val="true"/>
        </w:rPr>
        <w:footnoteReference w:id="302"/>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 رفع الغرر ليس منحصراً بما ذكر ، كما هو الواقع ، فإنّه يرفع باُمور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كالمشاهدة ، والعلم ، وإخبار غير البائع ، والقرائن والشواهد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للتنافي ، ولا لرفع اليد عن النهي عن الغرر ؛ لأنّ مجرّد الدليل على أنّ التبرّي عن العيوب ، يوجب سقوط الخيار والأرش ، لا يوجب رفع اليد عن شرط صحّة البيع </w:t>
      </w:r>
      <w:r>
        <w:rPr>
          <w:rFonts w:eastAsia="Amiri" w:cs="Amiri" w:ascii="Amiri" w:hAnsi="Amiri"/>
          <w:color w:val="111111"/>
          <w:sz w:val="28"/>
          <w:szCs w:val="28"/>
          <w:rtl w:val="true"/>
          <w:lang w:bidi="ar-SA"/>
        </w:rPr>
        <w:t xml:space="preserve">. </w:t>
      </w:r>
      <w:bookmarkStart w:id="190" w:name="pg15222_162258"/>
    </w:p>
    <w:p>
      <w:pPr>
        <w:pStyle w:val="BookText"/>
        <w:rPr/>
      </w:pPr>
      <w:bookmarkEnd w:id="190"/>
      <w:r>
        <w:rPr>
          <w:rFonts w:ascii="Amiri" w:hAnsi="Amiri" w:eastAsia="Amiri" w:cs="Amiri"/>
          <w:color w:val="111111"/>
          <w:sz w:val="28"/>
          <w:sz w:val="28"/>
          <w:szCs w:val="28"/>
          <w:rtl w:val="true"/>
          <w:lang w:bidi="ar-SA"/>
        </w:rPr>
        <w:t xml:space="preserve">بل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بأنّ التبرّي يسقط الخيار ، إنّما هو بعد الفراغ عن صحّة البيع بشرائطها المذكورة في محلّها ، وليس لسان الروايتين لسان التقييد أو التخصيص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محيص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عدم التنافي ، لا بدّ من الأخذ بمقتضى الدليلين ، وهو اعتبار رفع الغرر بسائر الروافع ، وسقوط الخيار والأرش بالتبرّي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يسهّل الخطب ، أنّ التبرّي المذكور لا ينافي أصالة السلامة التي قلنا</w:t>
      </w:r>
    </w:p>
    <w:p>
      <w:pPr>
        <w:pStyle w:val="BookText"/>
        <w:rPr/>
      </w:pPr>
      <w:r>
        <w:rPr>
          <w:rFonts w:ascii="Amiri" w:hAnsi="Amiri" w:eastAsia="Amiri" w:cs="Amiri"/>
          <w:color w:val="111111"/>
          <w:sz w:val="28"/>
          <w:sz w:val="28"/>
          <w:szCs w:val="28"/>
          <w:rtl w:val="true"/>
          <w:lang w:bidi="ar-SA"/>
        </w:rPr>
        <w:t xml:space="preserve">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أصل عقلائي معتمد عليه ، بل أمارة عقلائية موجبة لرفع الغرر</w:t>
      </w:r>
      <w:r>
        <w:rPr>
          <w:rStyle w:val="FootnoteAnchor"/>
          <w:rtl w:val="true"/>
        </w:rPr>
        <w:footnoteReference w:id="303"/>
      </w:r>
      <w:r>
        <w:rPr>
          <w:rFonts w:ascii="Amiri" w:hAnsi="Amiri" w:eastAsia="Amiri" w:cs="Amiri"/>
          <w:color w:val="111111"/>
          <w:sz w:val="28"/>
          <w:sz w:val="28"/>
          <w:szCs w:val="28"/>
          <w:rtl w:val="true"/>
          <w:lang w:bidi="ar-SA"/>
        </w:rPr>
        <w:t xml:space="preserve">؛ فإنّه يؤتى به كناية عن عدم ثبوت تبعات العيب ، فهو بمنزلة اشتراط سقوط الردّ والأرش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ينافي أصالة السلامة ، المجتمعة مع احتمال العيب احتمالاً مرجوحاً ، كما في سائر الأمارات المعتبرة ، فنداء المنادي بالتبرّي ، ليس إخباراً بوجود العيب ، ولا ملازماً لذلك ، بل إنّما ينادي للاحتياط ، ولرفع الغائلة الاحتمالية ، فجريان الأصل ورفع الغرر به ، ممّا لا إشكال فيهما </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3331642_2142443653"/>
      <w:bookmarkStart w:id="192" w:name="_Toc70"/>
      <w:bookmarkEnd w:id="191"/>
      <w:r>
        <w:rPr>
          <w:rtl w:val="true"/>
        </w:rPr>
        <w:t>إطلاق التبرّي يشمل العيوب الموجودة دون المتجدّدة</w:t>
      </w:r>
      <w:bookmarkEnd w:id="19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إطلاق التبرّي من العيوب أو عمومه ، إنّما يشمل خصوص العيوب الموجودة حال العقد ، دون المتجدّدة ، إلاّ مع قيام قرينة عليها ؛ فإنّ الأذهان العرفية ، غافلة عن العيوب الحادثة بعد العقد قبل القبض ، أو بعده في زمان </w:t>
      </w:r>
    </w:p>
    <w:p>
      <w:pPr>
        <w:pStyle w:val="BookText"/>
        <w:rPr/>
      </w:pPr>
      <w:r>
        <w:rPr>
          <w:rFonts w:ascii="Amiri" w:hAnsi="Amiri" w:eastAsia="Amiri" w:cs="Amiri"/>
          <w:color w:val="111111"/>
          <w:sz w:val="28"/>
          <w:sz w:val="28"/>
          <w:szCs w:val="28"/>
          <w:rtl w:val="true"/>
          <w:lang w:bidi="ar-SA"/>
        </w:rPr>
        <w:t xml:space="preserve">الخيار ، كما أ نّها غافلة عن حكمها الشرعي ، ومعها لا وجه للشمول ، بل المعهود من النداء هو خصوص العيوب الموجودة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مضايقة فيه مع قيام القرينة ، كما لا إشكال في صحّة التبرّي عن المتجدّدة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 إلى إسقاط ما لم يثبت ، وهو محال</w:t>
      </w:r>
      <w:r>
        <w:rPr>
          <w:rStyle w:val="FootnoteAnchor"/>
          <w:rtl w:val="true"/>
        </w:rPr>
        <w:footnoteReference w:id="304"/>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الإشكال يرد على التبرّي من العيوب الموجودة أيضاً ؛ فإنّ الخيار لا يكون متحقّقاً حال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محلّه من أنّ الاشتراط المذكور ، أو التبرّي في المقام ، دافع للخيار ، لا رافع له</w:t>
      </w:r>
      <w:r>
        <w:rPr>
          <w:rStyle w:val="FootnoteAnchor"/>
          <w:rtl w:val="true"/>
        </w:rPr>
        <w:footnoteReference w:id="305"/>
      </w:r>
      <w:r>
        <w:rPr>
          <w:rFonts w:ascii="Amiri" w:hAnsi="Amiri" w:eastAsia="Amiri" w:cs="Amiri"/>
          <w:color w:val="111111"/>
          <w:sz w:val="28"/>
          <w:sz w:val="28"/>
          <w:szCs w:val="28"/>
          <w:rtl w:val="true"/>
          <w:lang w:bidi="ar-SA"/>
        </w:rPr>
        <w:t xml:space="preserve">، كما هو كذلك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فرضنا رجوع ذلك إلى إسقاطه ، فلا مانع منه بإنشاء الإسقاط فعلاً على نحو التعليق ، وحصول السقوط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الإسقاط بنحو الإنشاء التعليقي لا يصحّ ؛ لأنّ دليل نفوذه 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ذي حقّ إسقاط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الاُمور كلّها ظاهرة في الفعلية ، وليس هو في المفروض ذا حقّ فعلي ، ولا الإنشاء المزبور إسقاطاً بالحمل الشائع ، ولا متعلّقاً بالحقّ بالحمل الشائع</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غير محلّه ؛ لأنّ الحكم المذكور عقلائي ، وليس في نظر العقلاء فرق بين </w:t>
      </w:r>
      <w:bookmarkStart w:id="193" w:name="pg15222_162260"/>
    </w:p>
    <w:p>
      <w:pPr>
        <w:pStyle w:val="BookText"/>
        <w:rPr/>
      </w:pPr>
      <w:bookmarkEnd w:id="193"/>
      <w:r>
        <w:rPr>
          <w:rFonts w:ascii="Amiri" w:hAnsi="Amiri" w:eastAsia="Amiri" w:cs="Amiri"/>
          <w:color w:val="111111"/>
          <w:sz w:val="28"/>
          <w:sz w:val="28"/>
          <w:szCs w:val="28"/>
          <w:rtl w:val="true"/>
          <w:lang w:bidi="ar-SA"/>
        </w:rPr>
        <w:t>إنشاء إسقاط الحقّ الفعلي فعلاً ، وبين إنشاء الإسقاط المتعلّق بالحقّ الفعلي</w:t>
      </w:r>
    </w:p>
    <w:p>
      <w:pPr>
        <w:pStyle w:val="BookText"/>
        <w:rPr/>
      </w:pP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الإنشاء المذكور ، عقلائي إذا وقع في ضمن العقد ،</w:t>
      </w:r>
    </w:p>
    <w:p>
      <w:pPr>
        <w:pStyle w:val="BookText"/>
        <w:rPr/>
      </w:pPr>
      <w:r>
        <w:rPr>
          <w:rFonts w:ascii="Amiri" w:hAnsi="Amiri" w:eastAsia="Amiri" w:cs="Amiri"/>
          <w:color w:val="111111"/>
          <w:sz w:val="28"/>
          <w:sz w:val="28"/>
          <w:szCs w:val="28"/>
          <w:rtl w:val="true"/>
          <w:lang w:bidi="ar-SA"/>
        </w:rPr>
        <w:t>دون ما إذا وقع قبل حصول الاقتضاء للخيار</w:t>
      </w:r>
      <w:r>
        <w:rPr>
          <w:rStyle w:val="FootnoteAnchor"/>
          <w:rtl w:val="true"/>
        </w:rPr>
        <w:footnoteReference w:id="307"/>
      </w:r>
      <w:r>
        <w:rPr>
          <w:rFonts w:ascii="Amiri" w:hAnsi="Amiri" w:eastAsia="Amiri" w:cs="Amiri"/>
          <w:color w:val="111111"/>
          <w:sz w:val="28"/>
          <w:sz w:val="28"/>
          <w:szCs w:val="28"/>
          <w:rtl w:val="true"/>
          <w:lang w:bidi="ar-SA"/>
        </w:rPr>
        <w:t xml:space="preserve">، كما لو اشترط التبرّي من العيوب في العقد الذي يتحقّق في الغد مثلاً ، فإنّه لا مانع منه عقلاً ، لكنّه غير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الإنشاء التعليقي ، متعلّق بالحقّ الذي هو فعلي في محلّه ، والمنشئ ذو حقّ فيه ، وإنّما الإشكال في التعليق ، وهو ليس بشيء إذا كان عقلائياً ، ولا دليل على بطلانه شرعاً ، ولولا ذلك لجرى الإشكال في التبرّي من العيوب الموجودة ؛ لعين ما ذكر ، ومجرّد حصول المقتضي لا يصحّح الإسقاط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فالتبرّي من العيوب المتجدّدة ، لا إشكال فيه ، سواء رجع الشرط إلى اشتراط الإسقاط في محلّه الذي أنشأه البائع وقبله المشتري ، أو إلى شرط السقوط كذلك ، أو شرط عدم الثبوت </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3331644_2142443653"/>
      <w:bookmarkStart w:id="195" w:name="_Toc71"/>
      <w:bookmarkEnd w:id="194"/>
      <w:r>
        <w:rPr>
          <w:rtl w:val="true"/>
        </w:rPr>
        <w:t>في كون التبرّي من قبيل الشرط في ضمن العقد</w:t>
      </w:r>
      <w:bookmarkEnd w:id="195"/>
    </w:p>
    <w:p>
      <w:pPr>
        <w:pStyle w:val="BookText"/>
        <w:rPr/>
      </w:pPr>
      <w:r>
        <w:rPr>
          <w:rFonts w:ascii="Amiri" w:hAnsi="Amiri" w:eastAsia="Amiri" w:cs="Amiri"/>
          <w:color w:val="111111"/>
          <w:sz w:val="28"/>
          <w:sz w:val="28"/>
          <w:szCs w:val="28"/>
          <w:rtl w:val="true"/>
          <w:lang w:bidi="ar-SA"/>
        </w:rPr>
        <w:t xml:space="preserve">نعم ، هنا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التبرّي من العيوب ، هل هو من قبيل الشرط في ضمن العقد ، وتعتبر فيه شروط الشرط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أمر مستقلّ عقلائي ، يترتّب عليه سقوط الخيار والأرش ، كالعلم بالعيب ، وأنّ مجرّد الإعلام بذلك قبل العقد ولو لم يكن شرطاً فيه ، موجب له ، فعليه </w:t>
      </w:r>
    </w:p>
    <w:p>
      <w:pPr>
        <w:pStyle w:val="BookText"/>
        <w:rPr/>
      </w:pPr>
      <w:r>
        <w:rPr>
          <w:rFonts w:ascii="Amiri" w:hAnsi="Amiri" w:eastAsia="Amiri" w:cs="Amiri"/>
          <w:color w:val="111111"/>
          <w:sz w:val="28"/>
          <w:sz w:val="28"/>
          <w:szCs w:val="28"/>
          <w:rtl w:val="true"/>
          <w:lang w:bidi="ar-SA"/>
        </w:rPr>
        <w:t>يكون التبرّي من العيوب الموجودة حال العقد ، متعارفاً لدى العقلاء من الأعصار القديمة ، ونافذاً لدى الشرع ؟</w:t>
      </w:r>
    </w:p>
    <w:p>
      <w:pPr>
        <w:pStyle w:val="BookText"/>
        <w:rPr/>
      </w:pPr>
      <w:r>
        <w:rPr>
          <w:rFonts w:ascii="Amiri" w:hAnsi="Amiri" w:eastAsia="Amiri" w:cs="Amiri"/>
          <w:color w:val="111111"/>
          <w:sz w:val="28"/>
          <w:sz w:val="28"/>
          <w:szCs w:val="28"/>
          <w:rtl w:val="true"/>
          <w:lang w:bidi="ar-SA"/>
        </w:rPr>
        <w:t xml:space="preserve">وأمّا العيوب المتجدّدة ، فحيث لم يعهد من العقلاء التبرّي منها ، ولم يكن متعارفاً لدى العرف ، يشكل ترتّب الأثر عليه ؛ لعدم الدليل عليه ، وعدم ثبوت تنفيذه ، فلا بدّ فيه من الاشتراط في العقد ، حتّى يترتّب عليه الأثر بدليل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أن يكون من قبيل الشرط ، ويكون النداء المذكور موجباً لوقوع العقد مبنيّاً عليه ؛ بحيث يعدّ من قيوده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الاحتمالات التي ذكرها الشيخ قدّس سرّه في التبرّي</w:t>
      </w:r>
      <w:r>
        <w:rPr>
          <w:rStyle w:val="FootnoteAnchor"/>
          <w:rtl w:val="true"/>
        </w:rPr>
        <w:footnoteReference w:id="308"/>
      </w:r>
      <w:r>
        <w:rPr>
          <w:rFonts w:ascii="Amiri" w:hAnsi="Amiri" w:eastAsia="Amiri" w:cs="Amiri"/>
          <w:color w:val="111111"/>
          <w:sz w:val="28"/>
          <w:sz w:val="28"/>
          <w:szCs w:val="28"/>
          <w:rtl w:val="true"/>
          <w:lang w:bidi="ar-SA"/>
        </w:rPr>
        <w:t>، مبنيّة على الأخذ بظاهر اللفظ ، وأنّ البراءة لا بدّ من متعلّق لها ثابت في الذمّة ، ولهذا التجأ إلى</w:t>
      </w:r>
    </w:p>
    <w:p>
      <w:pPr>
        <w:pStyle w:val="BookText"/>
        <w:rPr/>
      </w:pPr>
      <w:r>
        <w:rPr>
          <w:rFonts w:ascii="Amiri" w:hAnsi="Amiri" w:eastAsia="Amiri" w:cs="Amiri"/>
          <w:color w:val="111111"/>
          <w:sz w:val="28"/>
          <w:sz w:val="28"/>
          <w:szCs w:val="28"/>
          <w:rtl w:val="true"/>
          <w:lang w:bidi="ar-SA"/>
        </w:rPr>
        <w:t xml:space="preserve">التوجيه فيه ؛ ضرورة أنّ العيب لم يكن ثابتاً على عهدة البائع ، فاحتمل أن يكون المراد بها البراءة عن تعهّد السلامة ، أو البراءة عن ضمان المعيب ؛ ممّا هو بعيد عن ظاهر اللفظ ، وعمّا يريده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النداء ، كناية عن سقوط الخيار والأرش ، وقد مرّ أ نّهما عقلائيان</w:t>
      </w:r>
      <w:r>
        <w:rPr>
          <w:rStyle w:val="FootnoteAnchor"/>
          <w:rtl w:val="true"/>
        </w:rPr>
        <w:footnoteReference w:id="309"/>
      </w:r>
      <w:r>
        <w:rPr>
          <w:rFonts w:ascii="Amiri" w:hAnsi="Amiri" w:eastAsia="Amiri" w:cs="Amiri"/>
          <w:color w:val="111111"/>
          <w:sz w:val="28"/>
          <w:sz w:val="28"/>
          <w:szCs w:val="28"/>
          <w:rtl w:val="true"/>
          <w:lang w:bidi="ar-SA"/>
        </w:rPr>
        <w:t xml:space="preserve">، ويدلّ عليه هذا التبرّي المتعارف في البلاد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الأذهان العرفية عند البيع ، التزام بالصحّة ، أو اشتغال بالضمان ، حتّى يحمل الكلام عليه ، بل ما هو المعهود ، هو ثبوت الخيار والأرش ، ويراد بهذا التبرّي التخلّص منهما بسقوط حقّ المشتري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فالكلام المذكور يرجع إلى اشتراط سقوطهما ، لا إلى البراءة عن شيء في الذمّة ، ولهذا يقع بغير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بكلّ عيب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المتعارف في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 في بلادنا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عدم ذكر التبرّي بلفظه ، ومن الواضح أنّ النداء بأيّ نحو وقع ، إنّما هو لمقصد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يرجع إلى شرط سقوط حقّ المشتري خياراً وأرشاً ، يتّضح أ نّه لا وقع للنزاع في أنّ التبرّي عن العيوب ، أو عن عيب خاصّ ، هل يسقط تأثيره من حيث الخيار ، أو يشمل سائر أحكامه</w:t>
      </w:r>
      <w:r>
        <w:rPr>
          <w:rStyle w:val="FootnoteAnchor"/>
          <w:rtl w:val="true"/>
        </w:rPr>
        <w:footnoteReference w:id="310"/>
      </w:r>
      <w:r>
        <w:rPr>
          <w:rFonts w:ascii="Amiri" w:hAnsi="Amiri" w:eastAsia="Amiri" w:cs="Amiri"/>
          <w:color w:val="111111"/>
          <w:sz w:val="28"/>
          <w:sz w:val="28"/>
          <w:szCs w:val="28"/>
          <w:rtl w:val="true"/>
          <w:lang w:bidi="ar-SA"/>
        </w:rPr>
        <w:t xml:space="preserve">، كعهدة التلف قبل القبض ، أو في زمان خيار المشتري المضمون على البائع ، بناءً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التلف موجب للضمان ، لا لانفساخ العقد</w:t>
      </w:r>
      <w:r>
        <w:rPr>
          <w:rStyle w:val="FootnoteAnchor"/>
          <w:rtl w:val="true"/>
        </w:rPr>
        <w:footnoteReference w:id="311"/>
      </w:r>
      <w:r>
        <w:rPr>
          <w:rFonts w:ascii="Amiri" w:hAnsi="Amiri" w:eastAsia="Amiri" w:cs="Amiri"/>
          <w:color w:val="111111"/>
          <w:sz w:val="28"/>
          <w:sz w:val="28"/>
          <w:szCs w:val="28"/>
          <w:rtl w:val="true"/>
          <w:lang w:bidi="ar-SA"/>
        </w:rPr>
        <w:t xml:space="preserve">؟ ضرورة أنّ إسقاط خيار العيب أو سقوطه ، لا مساس له بما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الاحتمال المذكور ، من متفرّعات إرادة التبرّي من اللفظ المذكور ، وعلى فرض تسليمه ، لا مجال لاحتمال المذكور إلاّ دعوى انصراف قاعدة كلّ مبيع تلف قبل قبضه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قاعدة التلف في زمن الخيار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التلف المسبّب عن العيب الذي برئ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دعوى إطلاق التبرّي بالنسبة إلى العهدة المتأخّرة ، وفيهما منع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وقع </w:t>
      </w:r>
      <w:r>
        <w:rPr>
          <w:rFonts w:eastAsia="Amiri" w:cs="Amiri" w:ascii="Amiri" w:hAnsi="Amiri"/>
          <w:color w:val="111111"/>
          <w:sz w:val="28"/>
          <w:szCs w:val="28"/>
          <w:rtl w:val="true"/>
          <w:lang w:bidi="ar-SA"/>
        </w:rPr>
        <w:t xml:space="preserve">: </w:t>
      </w:r>
      <w:bookmarkStart w:id="196" w:name="pg15222_162263"/>
    </w:p>
    <w:p>
      <w:pPr>
        <w:pStyle w:val="Heading5"/>
        <w:numPr>
          <w:ilvl w:val="4"/>
          <w:numId w:val="1"/>
        </w:numPr>
        <w:rPr/>
      </w:pPr>
      <w:bookmarkStart w:id="197" w:name="__RefHeading___Toc3331646_2142443653"/>
      <w:bookmarkStart w:id="198" w:name="_Toc72"/>
      <w:bookmarkEnd w:id="196"/>
      <w:bookmarkEnd w:id="197"/>
      <w:r>
        <w:rPr>
          <w:rtl w:val="true"/>
        </w:rPr>
        <w:t>الكلام في سقوط الردّ والأرش في موارد اُخر</w:t>
      </w:r>
      <w:bookmarkEnd w:id="198"/>
    </w:p>
    <w:p>
      <w:pPr>
        <w:pStyle w:val="Heading6"/>
        <w:numPr>
          <w:ilvl w:val="5"/>
          <w:numId w:val="1"/>
        </w:numPr>
        <w:rPr/>
      </w:pPr>
      <w:bookmarkStart w:id="199" w:name="__RefHeading___Toc3331648_2142443653"/>
      <w:bookmarkStart w:id="200" w:name="_Toc73"/>
      <w:bookmarkEnd w:id="199"/>
      <w:r>
        <w:rPr>
          <w:rtl w:val="true"/>
        </w:rPr>
        <w:t xml:space="preserve">منها </w:t>
      </w:r>
      <w:r>
        <w:rPr>
          <w:rtl w:val="true"/>
        </w:rPr>
        <w:t xml:space="preserve">: </w:t>
      </w:r>
      <w:r>
        <w:rPr>
          <w:rtl w:val="true"/>
        </w:rPr>
        <w:t>زوال العيب قبل العلم به، بل وبعده قبل الردّ</w:t>
      </w:r>
      <w:bookmarkEnd w:id="200"/>
    </w:p>
    <w:p>
      <w:pPr>
        <w:pStyle w:val="BookText"/>
        <w:rPr/>
      </w:pPr>
      <w:r>
        <w:rPr>
          <w:rFonts w:ascii="Amiri" w:hAnsi="Amiri" w:eastAsia="Amiri" w:cs="Amiri"/>
          <w:color w:val="111111"/>
          <w:sz w:val="28"/>
          <w:sz w:val="28"/>
          <w:szCs w:val="28"/>
          <w:rtl w:val="true"/>
          <w:lang w:bidi="ar-SA"/>
        </w:rPr>
        <w:t>بدعوى أ نّه لا موجب لهما معه ، وأنّ سبق العيب لا يوجب خياراً ، كما لو سبق على العقد ، ثمّ زال قبله ، بل مهما زال العيب قبل العلم ، أو بعده قبل الردّ ،</w:t>
      </w:r>
    </w:p>
    <w:p>
      <w:pPr>
        <w:pStyle w:val="BookText"/>
        <w:rPr/>
      </w:pPr>
      <w:r>
        <w:rPr>
          <w:rFonts w:ascii="Amiri" w:hAnsi="Amiri" w:eastAsia="Amiri" w:cs="Amiri"/>
          <w:color w:val="111111"/>
          <w:sz w:val="28"/>
          <w:sz w:val="28"/>
          <w:szCs w:val="28"/>
          <w:rtl w:val="true"/>
          <w:lang w:bidi="ar-SA"/>
        </w:rPr>
        <w:t>سقط حقّ الردّ كما عن العلاّمة</w:t>
      </w:r>
      <w:r>
        <w:rPr>
          <w:rStyle w:val="FootnoteAnchor"/>
          <w:rtl w:val="true"/>
        </w:rPr>
        <w:footnoteReference w:id="312"/>
      </w:r>
      <w:r>
        <w:rPr>
          <w:rFonts w:ascii="Amiri" w:hAnsi="Amiri" w:eastAsia="Amiri" w:cs="Amiri"/>
          <w:color w:val="111111"/>
          <w:sz w:val="28"/>
          <w:sz w:val="28"/>
          <w:szCs w:val="28"/>
          <w:rtl w:val="true"/>
          <w:lang w:bidi="ar-SA"/>
        </w:rPr>
        <w:t xml:space="preserve">، بل 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موجبه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وتنظيره بما لو زال قبل العقد ، هو سقوط الأرش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الشيخ الأعظم قدّس سرّه بين الردّ والأرش ، بالسقوط في الأوّل ؛ لظهور الأدلّة في ردّ المعيوب فعلاً ، خصوصاً بملاحظة أنّ الصبر على العيب ضرر ، فعليه لا يجري الاستصحاب أيضاً ، وأمّا الأرش فلا مانع من استصحابه ، بعد تعلّقه بالذمّة حال العقد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 والأقوى عدم سقوطهما مطلقاً ؛ لمنع ظهور أدلّة الخيار فيما ذكر ، بل مقتضى الإطلاق ثبوتهما ؛ لأنّ الظاهر من رواية زرارة</w:t>
      </w:r>
      <w:r>
        <w:rPr>
          <w:rStyle w:val="FootnoteAnchor"/>
          <w:rtl w:val="true"/>
        </w:rPr>
        <w:footnoteReference w:id="314"/>
      </w:r>
      <w:r>
        <w:rPr>
          <w:rFonts w:ascii="Amiri" w:hAnsi="Amiri" w:eastAsia="Amiri" w:cs="Amiri"/>
          <w:color w:val="111111"/>
          <w:sz w:val="28"/>
          <w:sz w:val="28"/>
          <w:szCs w:val="28"/>
          <w:rtl w:val="true"/>
          <w:lang w:bidi="ar-SA"/>
        </w:rPr>
        <w:t xml:space="preserve">هو أنّ من اشترى شيئاً وبه عيب حال الاشتراء ، فأحدث فيه شيئاً ، ثمّ علم بذلك العيب الذي كان حال الاشتراء ، يمضى عليه البيع ، وله الأرش ، ومقتضى إطلاقها </w:t>
      </w:r>
    </w:p>
    <w:p>
      <w:pPr>
        <w:pStyle w:val="BookText"/>
        <w:rPr/>
      </w:pPr>
      <w:r>
        <w:rPr>
          <w:rFonts w:ascii="Amiri" w:hAnsi="Amiri" w:eastAsia="Amiri" w:cs="Amiri"/>
          <w:color w:val="111111"/>
          <w:sz w:val="28"/>
          <w:sz w:val="28"/>
          <w:szCs w:val="28"/>
          <w:rtl w:val="true"/>
          <w:lang w:bidi="ar-SA"/>
        </w:rPr>
        <w:t xml:space="preserve">عدم الفرق بين زوال العيب بعده وعدمه ، وليس فيها من أخذ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المردود ، عين ولا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صدرها ، عدم دخالة بقاء العيب في ثبوت الخيار ، وإلاّ كان اللازم التقييد به ، وعدم الاقتصار على عدم التبرّي وعدم التبيّن ؛ فإنّ الظاهر منه</w:t>
      </w:r>
    </w:p>
    <w:p>
      <w:pPr>
        <w:pStyle w:val="BookText"/>
        <w:rPr/>
      </w:pPr>
      <w:r>
        <w:rPr>
          <w:rFonts w:ascii="Amiri" w:hAnsi="Amiri" w:eastAsia="Amiri" w:cs="Amiri"/>
          <w:color w:val="111111"/>
          <w:sz w:val="28"/>
          <w:sz w:val="28"/>
          <w:szCs w:val="28"/>
          <w:rtl w:val="true"/>
          <w:lang w:bidi="ar-SA"/>
        </w:rPr>
        <w:t>أ نّه أراد ذكر تحقّق الموضوع ، وأ نّه بعد تحقّق الخيار لو أحدث شيئاً سقط ، فالاقتصار على القيدين دليل على عدم دخالة غيرهما ، فتدبّر حتّى لا تتوهّم منافاة ذلك لما تقدّم منّا ؛ من عدم المفهوم له ، بل عدم الإطلاق للصدر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ظاهرة في أنّ العيب حال الاشتراء ، موضوع للحكم بالقيود المذكورة فيها ، ومقتضى الإطلاق ثبوت الحكم ردّاً وأرشاً مع زوال العيب بعده ، فلو منع إطلاق صدرها ، فلا ريب في إطلاق ذيلها الدالّ على ثبوت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رواية جميل</w:t>
      </w:r>
      <w:r>
        <w:rPr>
          <w:rStyle w:val="FootnoteAnchor"/>
          <w:rtl w:val="true"/>
        </w:rPr>
        <w:footnoteReference w:id="316"/>
      </w:r>
      <w:r>
        <w:rPr>
          <w:rFonts w:ascii="Amiri" w:hAnsi="Amiri" w:eastAsia="Amiri" w:cs="Amiri"/>
          <w:color w:val="111111"/>
          <w:sz w:val="28"/>
          <w:sz w:val="28"/>
          <w:szCs w:val="28"/>
          <w:rtl w:val="true"/>
          <w:lang w:bidi="ar-SA"/>
        </w:rPr>
        <w:t xml:space="preserve">أيضاً ثبوتهما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يشتري الثوب ، فيجد فيه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العيب حال الاشتراء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يجد عيباً ، وكان ذلك العيب حال الاشتراء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 بالتفصيل بين القيام بعينه وعدمه ، ومقتضى إطلاقه عدم الفرق بين زوال ما كان ثابتاً حاله وعدمه ، ولا سيّما مع كون الوجدان طريقياً ، فكأ 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 عيب حاله</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الإطلاق ثابت حتّى مع الجمود على ظاهرها ، وهو أ نّه وجد فيه عيباً </w:t>
      </w:r>
    </w:p>
    <w:p>
      <w:pPr>
        <w:pStyle w:val="BookText"/>
        <w:rPr/>
      </w:pPr>
      <w:r>
        <w:rPr>
          <w:rFonts w:ascii="Amiri" w:hAnsi="Amiri" w:eastAsia="Amiri" w:cs="Amiri"/>
          <w:color w:val="111111"/>
          <w:sz w:val="28"/>
          <w:sz w:val="28"/>
          <w:szCs w:val="28"/>
          <w:rtl w:val="true"/>
          <w:lang w:bidi="ar-SA"/>
        </w:rPr>
        <w:t xml:space="preserve">فعلاً ؛ فإنّ مقتضى الإطلاق أنّ من وجد في المبيع عيباً سابقاً ، كان له الخيار ، سواء زال بعد ذلك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الروايتين ثبوتهما مطلقاً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مع الغضّ عن ذلك ، فالتفصيل غير وجيه ؛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كناية عن ثبوت خيار الفسخ كما مرّ مراراً </w:t>
      </w:r>
      <w:r>
        <w:rPr>
          <w:rStyle w:val="FootnoteAnchor"/>
          <w:rtl w:val="true"/>
        </w:rPr>
        <w:footnoteReference w:id="317"/>
      </w:r>
      <w:r>
        <w:rPr>
          <w:rFonts w:ascii="Amiri" w:hAnsi="Amiri" w:eastAsia="Amiri" w:cs="Amiri"/>
          <w:color w:val="111111"/>
          <w:sz w:val="28"/>
          <w:sz w:val="28"/>
          <w:szCs w:val="28"/>
          <w:rtl w:val="true"/>
          <w:lang w:bidi="ar-SA"/>
        </w:rPr>
        <w:t xml:space="preserve">، وعليه يكون الموضوع هو العقد ، فمع زوال العيب ، يشكّ في بقاء الخيار المتعلّق بالعقد ،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مع تعلّق حقّ الردّ بالمعيب بعنوانه ، لا مانع من الاستصحاب ؛ لأنّ القضيّة المتيقّنة موضوعها في الخارج محفوظ ؛ ضرورة ثبوت الحكم للعين الموجودة ، والشكّ في زواله ، ولا يعتبر بقاء موضوع الدليل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يشكّ في أصل ثبوت الخيار من الأوّل ؛ لاحتمال ثبوته للمعيوب الذي لا يتعقّبه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تسليمه ، يجري في الأرش أيضاً ؛ للشكّ في ثبوته من أوّل الأمر ، مع أنّ المبنى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الانصراف ، أو دعوى كون النكتة الضرر ، ومع ارتفاعه لا موجب لهما </w:t>
      </w:r>
      <w:r>
        <w:rPr>
          <w:rStyle w:val="FootnoteAnchor"/>
          <w:rtl w:val="true"/>
        </w:rPr>
        <w:footnoteReference w:id="318"/>
      </w:r>
      <w:r>
        <w:rPr>
          <w:rFonts w:ascii="IRNazanin" w:hAnsi="IRNazanin" w:eastAsia="IRNazanin"/>
          <w:color w:val="111111"/>
          <w:sz w:val="28"/>
          <w:sz w:val="28"/>
          <w:szCs w:val="28"/>
          <w:rtl w:val="true"/>
          <w:lang w:bidi="fa-IR"/>
        </w:rPr>
        <w:t xml:space="preserve">، ففي غير محلّهما ، والعهدة على المدّعي ، ولم يحرز بناء العقلاء المتّصل بعصر المعصوم علیه السلام في المورد ؛ لندرة الاتّفاق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بناءهم على عدمهما مع الزوال في ملك المشتري ، لم يثبت ، بل الظاهر </w:t>
      </w:r>
      <w:bookmarkStart w:id="201" w:name="pg15222_162266"/>
    </w:p>
    <w:p>
      <w:pPr>
        <w:pStyle w:val="BookText"/>
        <w:rPr/>
      </w:pPr>
      <w:bookmarkEnd w:id="201"/>
      <w:r>
        <w:rPr>
          <w:rFonts w:ascii="Amiri" w:hAnsi="Amiri" w:eastAsia="Amiri" w:cs="Amiri"/>
          <w:color w:val="111111"/>
          <w:sz w:val="28"/>
          <w:sz w:val="28"/>
          <w:szCs w:val="28"/>
          <w:rtl w:val="true"/>
          <w:lang w:bidi="ar-SA"/>
        </w:rPr>
        <w:t xml:space="preserve">هو ملاحظة حال العقد ، كما في خيار الغبن إذا تغيّر السعر في ملك المغبون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ضعف المحكيّ عن العلاّمة ؛ من نفي الموجب لهما مع زواله</w:t>
      </w:r>
      <w:r>
        <w:rPr>
          <w:rStyle w:val="FootnoteAnchor"/>
          <w:rtl w:val="true"/>
        </w:rPr>
        <w:footnoteReference w:id="319"/>
      </w:r>
      <w:r>
        <w:rPr>
          <w:rFonts w:ascii="Amiri" w:hAnsi="Amiri" w:eastAsia="Amiri" w:cs="Amiri"/>
          <w:color w:val="111111"/>
          <w:sz w:val="28"/>
          <w:sz w:val="28"/>
          <w:szCs w:val="28"/>
          <w:rtl w:val="true"/>
          <w:lang w:bidi="ar-SA"/>
        </w:rPr>
        <w:t xml:space="preserve">، فإنّ الموجب هو العيب حال العقد ، وهو ممّا لا يعقل زواله ، وما هو زائل هو الوجود البقائي ، ولم يكن موجباً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 ذلك ، فلا دليل على أنّ علّة الحدوث هي علّة البقاء ، وأنّ الخيار والأرش دائران مدار العيب ، ومعه لا مانع من استصحابهما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ذلك ، قياس الزوال بعد العقد بالزوال قبله</w:t>
      </w:r>
      <w:r>
        <w:rPr>
          <w:rStyle w:val="FootnoteAnchor"/>
          <w:rtl w:val="true"/>
        </w:rPr>
        <w:footnoteReference w:id="320"/>
      </w:r>
      <w:r>
        <w:rPr>
          <w:rFonts w:ascii="IRNazanin" w:hAnsi="IRNazanin" w:eastAsia="IRNazanin"/>
          <w:color w:val="111111"/>
          <w:sz w:val="28"/>
          <w:sz w:val="28"/>
          <w:szCs w:val="28"/>
          <w:rtl w:val="true"/>
          <w:lang w:bidi="fa-IR"/>
        </w:rPr>
        <w:t xml:space="preserve">، مع وضوح الفرق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فرض الاستناد فيهما إلى دليل نفي الضرر ، فالحكم كما ذكر من ثبوتهما مع الزوال ؛ لأنّ مقتضى دليله هو نفي اللزوم وإثبات الأرش بالعيب الموجود حال تحقّق العقد ، والزوال بعد ذلك لا دخل له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المرفوع هو الضرر الذي لم يتعقّبه الجبر ولو في ملك المشتري ، وهو كما ترى ، وكيف ما كان فالتحقيق ثبوتهما مطلقاً </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331650_2142443653"/>
      <w:bookmarkStart w:id="203" w:name="_Toc74"/>
      <w:bookmarkEnd w:id="202"/>
      <w:r>
        <w:rPr>
          <w:rtl w:val="true"/>
        </w:rPr>
        <w:t xml:space="preserve">ومنها </w:t>
      </w:r>
      <w:r>
        <w:rPr>
          <w:rtl w:val="true"/>
        </w:rPr>
        <w:t xml:space="preserve">: </w:t>
      </w:r>
      <w:r>
        <w:rPr>
          <w:rtl w:val="true"/>
        </w:rPr>
        <w:t>التصرّف بعد العلم بالعيب</w:t>
      </w:r>
      <w:bookmarkEnd w:id="203"/>
    </w:p>
    <w:p>
      <w:pPr>
        <w:pStyle w:val="BookText"/>
        <w:rPr/>
      </w:pPr>
      <w:r>
        <w:rPr>
          <w:rFonts w:ascii="Amiri" w:hAnsi="Amiri" w:eastAsia="Amiri" w:cs="Amiri"/>
          <w:color w:val="111111"/>
          <w:sz w:val="28"/>
          <w:sz w:val="28"/>
          <w:szCs w:val="28"/>
          <w:rtl w:val="true"/>
          <w:lang w:bidi="ar-SA"/>
        </w:rPr>
        <w:t>فقد حكي عن ابن حمزة أ نّه مسقط للأمرين</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 فإنّه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أراد أ نّه مطلقاً مسقط ، فهو مخالف لكافّة الروايات الواردة في خيار </w:t>
      </w:r>
    </w:p>
    <w:p>
      <w:pPr>
        <w:pStyle w:val="BookText"/>
        <w:rPr/>
      </w:pPr>
      <w:r>
        <w:rPr>
          <w:rFonts w:ascii="Amiri" w:hAnsi="Amiri" w:eastAsia="Amiri" w:cs="Amiri"/>
          <w:color w:val="111111"/>
          <w:sz w:val="28"/>
          <w:sz w:val="28"/>
          <w:szCs w:val="28"/>
          <w:rtl w:val="true"/>
          <w:lang w:bidi="ar-SA"/>
        </w:rPr>
        <w:t>العيب</w:t>
      </w:r>
      <w:r>
        <w:rPr>
          <w:rStyle w:val="FootnoteAnchor"/>
          <w:rtl w:val="true"/>
        </w:rPr>
        <w:footnoteReference w:id="322"/>
      </w:r>
      <w:r>
        <w:rPr>
          <w:rFonts w:ascii="Amiri" w:hAnsi="Amiri" w:eastAsia="Amiri" w:cs="Amiri"/>
          <w:color w:val="111111"/>
          <w:sz w:val="28"/>
          <w:sz w:val="28"/>
          <w:szCs w:val="28"/>
          <w:rtl w:val="true"/>
          <w:lang w:bidi="ar-SA"/>
        </w:rPr>
        <w:t xml:space="preserve">، الظاهرة في أنّ التصرّف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الموجب لتغيّر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الموجب لسقوط الخيار وثبوت الأرش كما في بعضها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شيء في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بعضها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مسبوق بلا شبهة ببعض التصرّفات ، كاللمس والتقبيل وغيرهما ، كما في كثير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ريب في أنّ مطلق التصرّف ، ليس موجباً لسقوط أحدهما ، فضلاً عن سقوط كليهما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ضعف ذلك ، 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بما ورد في خيار الحيوان ؛ معلّلاً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 نّه رضاً بالبيع</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فإنّه مضافاً إلى ما ذكر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ورد في خيار الحيوان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إحداث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التصرّف مطلقاً ، وقد تقدّم وجه عدّ لمس الجارية وتقبيلها منه ، فراجع</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الدالّ على الرضا بالبيع ، موجب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يوجب سقوط الأرش ، بل الرضا بالمعيب أيضاً لا يوجبه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الدالّ على إسقاطهما كذلك ، فهو حقّ لو كان في الخارج مصداق للتصرّف الدالّ على سقوطهما عند العقلاء ؛ فإنّ المسقط العرفي ، لا بدّ فيه من دلالة عرفية عقلائية ، وعليه فلا ينبغي أن يعدّ ذلك مقابل </w:t>
      </w:r>
    </w:p>
    <w:p>
      <w:pPr>
        <w:pStyle w:val="BookText"/>
        <w:rPr/>
      </w:pPr>
      <w:r>
        <w:rPr>
          <w:rFonts w:ascii="Amiri" w:hAnsi="Amiri" w:eastAsia="Amiri" w:cs="Amiri"/>
          <w:color w:val="111111"/>
          <w:sz w:val="28"/>
          <w:sz w:val="28"/>
          <w:szCs w:val="28"/>
          <w:rtl w:val="true"/>
          <w:lang w:bidi="ar-SA"/>
        </w:rPr>
        <w:t xml:space="preserve">المسقطات ؛ فإنّ الإسقاط الفعلي مع وجدانه لما ذكر من الشرط ، يكون كالقولي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إحداث الحدث ، والتصرّف المغيّر للعين ، إذا كان قبل العلم ، يوجب سقوط الردّ فقط ، وأمّا إذا كان بعده فيوجب سقوطهما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سقوط الردّ فبظاهر الأخبار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سقوط الأرش ؛ فلعدم دليل على ثبوته ، فإنّ ما دلّ عليه مختصّ بما قبل العلم ، فالأصل البراءة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مرسلة جميل عدم الفرق في سقوط الردّ وثبوت الأرش بين كون التصرّف الخاصّ قبل العلم أو بعده ، لو لم نقل بظهورها في التصرّف بعد وجدان العيب ، وإلاّ كانت دالّة بلفظها على خلاف ما 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إطلاقها لو منع الاحتمال المذكور ، فلا بدّ من مقيّد له ، وهو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زرارة فللاختلاف في نقلها لا يصحّ الاحتجاج بها ؛ إذ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فأحدث فيه بعد ما قبضه شيئاً ، ثمّ علم بذلك العوار</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بذلك 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بالواو</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دالّة على أنّ الإحداث كان بعد العلم ؛ فإنّ الظاهر حينئذٍ أ نّه إذا أحدث بعد علمه إذا كان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وعلى فرض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حينئذٍ أ نّه أحدث مع علمه بالعوار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الظاهر منها التصرّف قبل العلم ، مع احتمال عطفه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 فيكون المراد إذا قبضه ثمّ علم بالعيب ، فأحدث فيه شيئاً ، فيكون مخالفاً لما اُريد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الاستدلال مبنيّ على ثبوت المفهوم للقيد ، وقد تقدّم تزييفه</w:t>
      </w:r>
      <w:r>
        <w:rPr>
          <w:rStyle w:val="FootnoteAnchor"/>
          <w:rtl w:val="true"/>
        </w:rPr>
        <w:footnoteReference w:id="327"/>
      </w:r>
      <w:r>
        <w:rPr>
          <w:rFonts w:ascii="Amiri" w:hAnsi="Amiri" w:eastAsia="Amiri" w:cs="Amiri"/>
          <w:color w:val="111111"/>
          <w:sz w:val="28"/>
          <w:sz w:val="28"/>
          <w:szCs w:val="28"/>
          <w:rtl w:val="true"/>
          <w:lang w:bidi="ar-SA"/>
        </w:rPr>
        <w:t xml:space="preserve">، مضافا إلى أ نّه مع فرض ثبوت المفهوم للقيد ليس في القيد المذكور مفهوم ؛ فإنّ ذكر العلم بالعيب جارٍ مجرى العادة ، كما في أشباه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بالغبن 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أنّ العلم جزء الموضوع ، ودخيل في الحكم ، ولهذا لا يفهم من تعبير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ظهور الغبن أو ظهور العيب موجب للخيار ، أنّ لذلك دخالة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تعبير عادي ؛ لأجل أنّ الجاهل بالعيب لا يردّ المعيب ، أي لا يعمل الخيار ، ولا يطالب بالأرش ، فظرف الردّ ومطالبة الأرش هو بعد العلم ، لا أنّ ظرف ثبوت الحقّ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على فرض المفهوم للقيد ، يكون مفهوم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علم بذلك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 يعلم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عدم العلم لو أحدث فيه شيئاً ، لم يثبت مضيّ البيع عليه وردّ الأرش إليه ، ونفيهما يصدق بنفي واحد منهما ، كما يصدق بنفي المجموع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لو كان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نقل بأنّ القيود إذا كانت من سنخ الحروف ليس لها مفهوم على فرض تسليم المفهوم للقيد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مفهومها سلب ما ثبت في المنطوق ؛ أي أحدهما أو كليهما </w:t>
      </w:r>
      <w:r>
        <w:rPr>
          <w:rFonts w:eastAsia="Amiri" w:cs="Amiri" w:ascii="Amiri" w:hAnsi="Amiri"/>
          <w:color w:val="111111"/>
          <w:sz w:val="28"/>
          <w:szCs w:val="28"/>
          <w:rtl w:val="true"/>
          <w:lang w:bidi="ar-SA"/>
        </w:rPr>
        <w:t xml:space="preserve">. </w:t>
      </w:r>
      <w:bookmarkStart w:id="204" w:name="pg15222_162270"/>
    </w:p>
    <w:p>
      <w:pPr>
        <w:pStyle w:val="BookText"/>
        <w:rPr/>
      </w:pPr>
      <w:bookmarkEnd w:id="204"/>
      <w:r>
        <w:rPr>
          <w:rFonts w:ascii="Amiri" w:hAnsi="Amiri" w:eastAsia="Amiri" w:cs="Amiri"/>
          <w:color w:val="111111"/>
          <w:sz w:val="28"/>
          <w:sz w:val="28"/>
          <w:szCs w:val="28"/>
          <w:rtl w:val="true"/>
          <w:lang w:bidi="ar-SA"/>
        </w:rPr>
        <w:t xml:space="preserve">ألا ترى مفهوم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طلعت الشمس أكرم زيداً وعمراً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مع عدم طلوعها لا يجب إكرام هذا وهذا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وجوب إكرام هذا بالخصوص ، أو هذا بالخصوص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برواية زرارة ما اُفيد ، ولا تصلح لتقييد المرسلة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الكلام في الروايات الواردة في وط‌ء الجارية</w:t>
      </w:r>
      <w:r>
        <w:rPr>
          <w:rStyle w:val="FootnoteAnchor"/>
          <w:rtl w:val="true"/>
        </w:rPr>
        <w:footnoteReference w:id="328"/>
      </w:r>
      <w:r>
        <w:rPr>
          <w:rFonts w:ascii="Amiri" w:hAnsi="Amiri" w:eastAsia="Amiri" w:cs="Amiri"/>
          <w:color w:val="111111"/>
          <w:sz w:val="28"/>
          <w:sz w:val="28"/>
          <w:szCs w:val="28"/>
          <w:rtl w:val="true"/>
          <w:lang w:bidi="ar-SA"/>
        </w:rPr>
        <w:t>، فإنّها بإطلاقها تدلّ على أ نّه مانع عن الردّ ، وإنّما له الأرش ، سواء كان مع العلم أو</w:t>
      </w:r>
    </w:p>
    <w:p>
      <w:pPr>
        <w:pStyle w:val="BookText"/>
        <w:rPr/>
      </w:pPr>
      <w:r>
        <w:rPr>
          <w:rFonts w:ascii="IRNazanin" w:hAnsi="IRNazanin" w:eastAsia="IRNazanin"/>
          <w:color w:val="111111"/>
          <w:sz w:val="28"/>
          <w:sz w:val="28"/>
          <w:szCs w:val="28"/>
          <w:rtl w:val="true"/>
          <w:lang w:bidi="fa-IR"/>
        </w:rPr>
        <w:t xml:space="preserve">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ورد فيها من فرض المواقعة قبل العلم ، إنّما هو في لسان السائل ، ولا يصلح للتقييد ، بل لو كان في لسان المجيب ، لم يكن صالحاً أيضاً لذلك كما مرّ</w:t>
      </w:r>
      <w:r>
        <w:rPr>
          <w:rStyle w:val="FootnoteAnchor"/>
          <w:rtl w:val="true"/>
        </w:rPr>
        <w:footnoteReference w:id="329"/>
      </w:r>
      <w:r>
        <w:rPr>
          <w:rFonts w:ascii="Amiri" w:hAnsi="Amiri" w:eastAsia="Amiri" w:cs="Amiri"/>
          <w:color w:val="111111"/>
          <w:sz w:val="28"/>
          <w:sz w:val="28"/>
          <w:szCs w:val="28"/>
          <w:rtl w:val="true"/>
          <w:lang w:bidi="ar-SA"/>
        </w:rPr>
        <w:t xml:space="preserve">، فتدبّر جيّداً </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331652_2142443653"/>
      <w:bookmarkStart w:id="206" w:name="_Toc75"/>
      <w:bookmarkEnd w:id="205"/>
      <w:r>
        <w:rPr>
          <w:rtl w:val="true"/>
        </w:rPr>
        <w:t xml:space="preserve">ومنها </w:t>
      </w:r>
      <w:r>
        <w:rPr>
          <w:rtl w:val="true"/>
        </w:rPr>
        <w:t xml:space="preserve">: </w:t>
      </w:r>
      <w:r>
        <w:rPr>
          <w:rtl w:val="true"/>
        </w:rPr>
        <w:t>التصرّف في المعيب الذي لم تنقص قيمته بالعيب</w:t>
      </w:r>
      <w:bookmarkEnd w:id="206"/>
    </w:p>
    <w:p>
      <w:pPr>
        <w:pStyle w:val="BookText"/>
        <w:rPr/>
      </w:pPr>
      <w:r>
        <w:rPr>
          <w:rFonts w:ascii="Amiri" w:hAnsi="Amiri" w:eastAsia="Amiri" w:cs="Amiri"/>
          <w:color w:val="111111"/>
          <w:sz w:val="28"/>
          <w:sz w:val="28"/>
          <w:szCs w:val="28"/>
          <w:rtl w:val="true"/>
          <w:lang w:bidi="ar-SA"/>
        </w:rPr>
        <w:t xml:space="preserve">كالعبد الخصيّ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ساقط فرضاً ، والردّ بالتصرّف</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عدّ ما ذكر من موجبات سقوط الأمرين ، واضح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المطلق لا يوجب سقوط الردّ كما تقدّم</w:t>
      </w:r>
      <w:r>
        <w:rPr>
          <w:rStyle w:val="FootnoteAnchor"/>
          <w:rtl w:val="true"/>
        </w:rPr>
        <w:footnoteReference w:id="331"/>
      </w:r>
      <w:r>
        <w:rPr>
          <w:rFonts w:ascii="Amiri" w:hAnsi="Amiri" w:eastAsia="Amiri" w:cs="Amiri"/>
          <w:color w:val="111111"/>
          <w:sz w:val="28"/>
          <w:sz w:val="28"/>
          <w:szCs w:val="28"/>
          <w:rtl w:val="true"/>
          <w:lang w:bidi="ar-SA"/>
        </w:rPr>
        <w:t xml:space="preserve">، وأمّا التصرّف المغيّر ، فإنّما يوجبه لا لكونه تصرّفاً ، بل لكون المبيع غير قائم بعينه ولو لم يكن ذلك بالتصرّف ، أو كان بفعل الغير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الردّ بالتصرّف ، مختصّ بموارد ثبوت الأرش ، وإلاّ فمقتضى القاعدة عدم سقوطه به إلاّ مع الدلالة على الرضا ، أو على إسقاطه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مفهوم مرسلة جميل هو سقوطه بالتغيّر ، سواء كان من قبل التصرّف ،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متعرّضة لحكمين مستقلّين</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سقوط الردّ وثبوته بدلالة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الشيء قائماً بعينه ردّ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منطوقاً ومفهوماً ، ومقتضى الإطلاق عدم الفرق المتقدّم ، وعدم الفرق بين مورد ثبوت الأرش وعدمه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الأرش بدلالة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الثوب قد قطع </w:t>
      </w:r>
      <w:r>
        <w:rPr>
          <w:rFonts w:eastAsia="IRNazanin" w:cs="IRNazanin"/>
          <w:color w:val="111111"/>
          <w:sz w:val="28"/>
          <w:szCs w:val="28"/>
          <w:rtl w:val="true"/>
          <w:lang w:bidi="fa-IR"/>
        </w:rPr>
        <w:t>. . .»</w:t>
      </w:r>
      <w:r>
        <w:rPr>
          <w:rStyle w:val="FootnoteAnchor"/>
          <w:rtl w:val="true"/>
        </w:rPr>
        <w:footnoteReference w:id="334"/>
      </w:r>
      <w:r>
        <w:rPr>
          <w:rFonts w:ascii="Amiri" w:hAnsi="Amiri" w:eastAsia="Amiri" w:cs="Amiri"/>
          <w:color w:val="111111"/>
          <w:sz w:val="28"/>
          <w:sz w:val="28"/>
          <w:szCs w:val="28"/>
          <w:rtl w:val="true"/>
          <w:lang w:bidi="ar-SA"/>
        </w:rPr>
        <w:t xml:space="preserve">إلى آخره ، وهذه الجملة متعرّضة لحكم الأرش ، لا الردّ وعدمه ، وليست مفهوماً للاُولى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فالجملتان متعرّضتان لحكمين مستقلّين ، وليست الاُولى مختصّة بمورد ثبوت الأرش ، وليس شيء من الروايات صالحاً لتقييدها كما هو واضح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سقوطه بالتغيّر مطلقاً ، ولا وجه للتمسّك بدليل نفي الضرر</w:t>
      </w:r>
      <w:r>
        <w:rPr>
          <w:rStyle w:val="FootnoteAnchor"/>
          <w:rtl w:val="true"/>
        </w:rPr>
        <w:footnoteReference w:id="335"/>
      </w:r>
      <w:r>
        <w:rPr>
          <w:rFonts w:ascii="IRNazanin" w:hAnsi="IRNazanin" w:eastAsia="IRNazanin"/>
          <w:color w:val="111111"/>
          <w:sz w:val="28"/>
          <w:sz w:val="28"/>
          <w:szCs w:val="28"/>
          <w:rtl w:val="true"/>
          <w:lang w:bidi="fa-IR"/>
        </w:rPr>
        <w:t xml:space="preserve">، مع </w:t>
      </w:r>
    </w:p>
    <w:p>
      <w:pPr>
        <w:pStyle w:val="BookText"/>
        <w:rPr/>
      </w:pPr>
      <w:r>
        <w:rPr>
          <w:rFonts w:ascii="Amiri" w:hAnsi="Amiri" w:eastAsia="Amiri" w:cs="Amiri"/>
          <w:color w:val="111111"/>
          <w:sz w:val="28"/>
          <w:sz w:val="28"/>
          <w:szCs w:val="28"/>
          <w:rtl w:val="true"/>
          <w:lang w:bidi="ar-SA"/>
        </w:rPr>
        <w:t xml:space="preserve">ما في التمسّك به من إشكال أو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الكلام في المورد الآخر ؛ وهو حدوث العيب في المعيب الذي لم تنقص قيمته ؛ فإنّ الكلام فيه هو الكلام في شقيقه ، والإشكال في عدّه من مسقطاتهما كالإشكال فيه ، فلا نطيل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الفرعين الأخيرين ؛ أي ثبوت أحد مانعي الردّ في المعيب الذي لا أرش له ؛ من جهة حصول الربا كما قيل</w:t>
      </w:r>
      <w:r>
        <w:rPr>
          <w:rStyle w:val="FootnoteAnchor"/>
          <w:rtl w:val="true"/>
        </w:rPr>
        <w:footnoteReference w:id="336"/>
      </w:r>
      <w:r>
        <w:rPr>
          <w:rFonts w:ascii="Amiri" w:hAnsi="Amiri" w:eastAsia="Amiri" w:cs="Amiri"/>
          <w:color w:val="111111"/>
          <w:sz w:val="28"/>
          <w:sz w:val="28"/>
          <w:szCs w:val="28"/>
          <w:rtl w:val="true"/>
          <w:lang w:bidi="ar-SA"/>
        </w:rPr>
        <w:t>، أو من جهة إلغاء الشارع الغرامة عنه كما تقدّم</w:t>
      </w:r>
      <w:r>
        <w:rPr>
          <w:rStyle w:val="FootnoteAnchor"/>
          <w:rtl w:val="true"/>
        </w:rPr>
        <w:footnoteReference w:id="337"/>
      </w:r>
      <w:r>
        <w:rPr>
          <w:rFonts w:ascii="Amiri" w:hAnsi="Amiri" w:eastAsia="Amiri" w:cs="Amiri"/>
          <w:color w:val="111111"/>
          <w:sz w:val="28"/>
          <w:sz w:val="28"/>
          <w:szCs w:val="28"/>
          <w:rtl w:val="true"/>
          <w:lang w:bidi="ar-SA"/>
        </w:rPr>
        <w:t xml:space="preserve">؛ فإنّ الكلام فيهما هو الكلام في سابقهما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سقوط الردّ ؛ للتغيّر بالتصرّف أو بالتعيّب ، وسقوط الأرش ؛ للحكم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لامتناع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لو ردّ مع أرش العيب الحادث لزم الربا ، ولو ردّ بلا أرش لزم الضرر على البائع</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الردّ بلا أرش لا مانع منه ؛ فإنّ الإضرار إنّما هو من قبل الحكم الشرعي ، ولا دليل على نفيه ؛ لما تكرّر من أنّ مفاد دليل نفي الضرر ، هو النهي المولوي عن الإضرار ، فلا مساس له بالأحكام الإلهية تحكيماً وتقييداً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ماهية الفسخ هي حلّ العقد ، ولازمه رجوع كلّ من العوضين إلى صاحبه بالسبب السابق، لا بالسبب الذي هو الفسخ، فإنّه لم يتعلّق بتمليك العين بالعوض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في اعتبار العرف الموافق له اعتبار الشرع ، يوجب فسخ العقد وحلّه ، ولازم الحلّ إعادة الملكية السابقة نحو إعادة المعدوم العرفية ، ولا مانع منها ، كما</w:t>
      </w:r>
    </w:p>
    <w:p>
      <w:pPr>
        <w:pStyle w:val="BookText"/>
        <w:rPr/>
      </w:pPr>
      <w:r>
        <w:rPr>
          <w:rFonts w:ascii="Amiri" w:hAnsi="Amiri" w:eastAsia="Amiri" w:cs="Amiri"/>
          <w:color w:val="111111"/>
          <w:sz w:val="28"/>
          <w:sz w:val="28"/>
          <w:szCs w:val="28"/>
          <w:rtl w:val="true"/>
          <w:lang w:bidi="ar-SA"/>
        </w:rPr>
        <w:t xml:space="preserve">أنّ الإقالة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المعاوضة الجديدة</w:t>
      </w:r>
      <w:r>
        <w:rPr>
          <w:rStyle w:val="FootnoteAnchor"/>
          <w:rtl w:val="true"/>
        </w:rPr>
        <w:footnoteReference w:id="340"/>
      </w:r>
      <w:r>
        <w:rPr>
          <w:rFonts w:ascii="Amiri" w:hAnsi="Amiri" w:eastAsia="Amiri" w:cs="Amiri"/>
          <w:color w:val="111111"/>
          <w:sz w:val="28"/>
          <w:sz w:val="28"/>
          <w:szCs w:val="28"/>
          <w:rtl w:val="true"/>
          <w:lang w:bidi="ar-SA"/>
        </w:rPr>
        <w:t>، أو تعاوض جديد</w:t>
      </w:r>
      <w:r>
        <w:rPr>
          <w:rStyle w:val="FootnoteAnchor"/>
          <w:rtl w:val="true"/>
        </w:rPr>
        <w:footnoteReference w:id="341"/>
      </w:r>
      <w:r>
        <w:rPr>
          <w:rFonts w:ascii="Amiri" w:hAnsi="Amiri" w:eastAsia="Amiri" w:cs="Amiri"/>
          <w:color w:val="111111"/>
          <w:sz w:val="28"/>
          <w:sz w:val="28"/>
          <w:szCs w:val="28"/>
          <w:rtl w:val="true"/>
          <w:lang w:bidi="ar-SA"/>
        </w:rPr>
        <w:t>، أو ملكية جديدة</w:t>
      </w:r>
      <w:r>
        <w:rPr>
          <w:rStyle w:val="FootnoteAnchor"/>
          <w:rtl w:val="true"/>
        </w:rPr>
        <w:footnoteReference w:id="342"/>
      </w:r>
      <w:r>
        <w:rPr>
          <w:rFonts w:ascii="Amiri" w:hAnsi="Amiri" w:eastAsia="Amiri" w:cs="Amiri"/>
          <w:color w:val="111111"/>
          <w:sz w:val="28"/>
          <w:sz w:val="28"/>
          <w:szCs w:val="28"/>
          <w:rtl w:val="true"/>
          <w:lang w:bidi="ar-SA"/>
        </w:rPr>
        <w:t>، غير وجيه ؛ فإنّ الحلّ أجنبيّ عن الأوّلين ، والملكية الجديدة بلا سبب غير معقولة ، والإقالة سبب للحلّ ، لا لإنشاء الملكية ، ولازم الحلّ عود ما سبق ، لا حصول أمر جديد ، والإشكال الفلسفي في المقام</w:t>
      </w:r>
      <w:r>
        <w:rPr>
          <w:rStyle w:val="FootnoteAnchor"/>
          <w:rtl w:val="true"/>
        </w:rPr>
        <w:footnoteReference w:id="343"/>
      </w:r>
      <w:r>
        <w:rPr>
          <w:rFonts w:ascii="IRNazanin" w:hAnsi="IRNazanin" w:eastAsia="IRNazanin"/>
          <w:color w:val="111111"/>
          <w:sz w:val="28"/>
          <w:sz w:val="28"/>
          <w:szCs w:val="28"/>
          <w:rtl w:val="true"/>
          <w:lang w:bidi="fa-IR"/>
        </w:rPr>
        <w:t xml:space="preserve">لا مقام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الربا لا يجري في الإقالة ، فضلاً عن الفسخ الذي لا مساس له بالمعاملة والمعاوضة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أرش العيب الجديد غرامة عقلائية ، فإنّ الفسخ موجب لردّ العين على ما كانت عليه ، فلو نقصت عمّا كانت عليه ، لا بدّ من جبرانه بالغرامة ، وهي غير مربوطة بباب الربا ، وما ذكرنا من إلغاء الشارع الغرامة</w:t>
      </w:r>
      <w:r>
        <w:rPr>
          <w:rStyle w:val="FootnoteAnchor"/>
          <w:rtl w:val="true"/>
        </w:rPr>
        <w:footnoteReference w:id="344"/>
      </w:r>
      <w:r>
        <w:rPr>
          <w:rFonts w:ascii="Amiri" w:hAnsi="Amiri" w:eastAsia="Amiri" w:cs="Amiri"/>
          <w:color w:val="111111"/>
          <w:sz w:val="28"/>
          <w:sz w:val="28"/>
          <w:szCs w:val="28"/>
          <w:rtl w:val="true"/>
          <w:lang w:bidi="ar-SA"/>
        </w:rPr>
        <w:t xml:space="preserve">، إنّما هي الغرامة في خصوص البيع ونحوه ، الذي ورد فيه لزوم كون المثل بالمثل ، ولهذا لا ترفع به غرامة اليد وضمانها </w:t>
      </w:r>
      <w:r>
        <w:rPr>
          <w:rFonts w:eastAsia="Amiri" w:cs="Amiri" w:ascii="Amiri" w:hAnsi="Amiri"/>
          <w:color w:val="111111"/>
          <w:sz w:val="28"/>
          <w:szCs w:val="28"/>
          <w:rtl w:val="true"/>
          <w:lang w:bidi="ar-SA"/>
        </w:rPr>
        <w:t xml:space="preserve">. </w:t>
      </w:r>
      <w:bookmarkStart w:id="207" w:name="pg15222_162274"/>
    </w:p>
    <w:p>
      <w:pPr>
        <w:pStyle w:val="BookText"/>
        <w:rPr/>
      </w:pPr>
      <w:bookmarkEnd w:id="207"/>
      <w:r>
        <w:rPr>
          <w:rFonts w:ascii="Amiri" w:hAnsi="Amiri" w:eastAsia="Amiri" w:cs="Amiri"/>
          <w:color w:val="111111"/>
          <w:sz w:val="28"/>
          <w:sz w:val="28"/>
          <w:szCs w:val="28"/>
          <w:rtl w:val="true"/>
          <w:lang w:bidi="ar-SA"/>
        </w:rPr>
        <w:t xml:space="preserve">وممّا ذكرناه يظهر النظر ، فيما حكاه الشيخ الأعظم قدّس سرّه </w:t>
      </w:r>
      <w:r>
        <w:rPr>
          <w:rStyle w:val="FootnoteAnchor"/>
          <w:rtl w:val="true"/>
        </w:rPr>
        <w:footnoteReference w:id="345"/>
      </w:r>
      <w:r>
        <w:rPr>
          <w:rFonts w:ascii="Amiri" w:hAnsi="Amiri" w:eastAsia="Amiri" w:cs="Amiri"/>
          <w:color w:val="111111"/>
          <w:sz w:val="28"/>
          <w:sz w:val="28"/>
          <w:szCs w:val="28"/>
          <w:rtl w:val="true"/>
          <w:lang w:bidi="ar-SA"/>
        </w:rPr>
        <w:t xml:space="preserve">عن جماعة من الأصحاب ؛ من عدم الحكم على المشتري بالصبر على المعيب مجّاناً ، وما ذكروا في تدارك ضرره من الوجهين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ردّه مع تدارك ضرر العيب الحادث ، وهذا مبنيّ على عدم جريان الربا في الفسخ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مبنيّ على جريانه فيه ، هو فسخ البيع ، وإعطاء بدل المعيب معيباً بالعيب القديم ، وسليماً عن الجديد ، فإنّه في حكم التالف ؛ لامتناع ردّه بلا أرش ، ومعه بالحكم الشرعي ، نظير بيع العين المشتراة بالغبن ، ولمّا كان المعيب مثلياً يحفظ على مثليته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والوجهان مزيّفان لما تقدّم ، ووجيهان على فرض الغضّ عنه </w:t>
      </w:r>
      <w:r>
        <w:rPr>
          <w:rFonts w:eastAsia="Amiri" w:cs="Amiri" w:ascii="Amiri" w:hAnsi="Amiri"/>
          <w:color w:val="111111"/>
          <w:sz w:val="28"/>
          <w:szCs w:val="28"/>
          <w:rtl w:val="true"/>
          <w:lang w:bidi="ar-SA"/>
        </w:rPr>
        <w:t>.</w:t>
      </w:r>
    </w:p>
    <w:p>
      <w:pPr>
        <w:pStyle w:val="Heading6"/>
        <w:numPr>
          <w:ilvl w:val="5"/>
          <w:numId w:val="1"/>
        </w:numPr>
        <w:rPr/>
      </w:pPr>
      <w:bookmarkStart w:id="208" w:name="__RefHeading___Toc3331654_2142443653"/>
      <w:bookmarkStart w:id="209" w:name="_Toc76"/>
      <w:bookmarkEnd w:id="208"/>
      <w:r>
        <w:rPr>
          <w:rtl w:val="true"/>
        </w:rPr>
        <w:t xml:space="preserve">ومنها </w:t>
      </w:r>
      <w:r>
        <w:rPr>
          <w:rtl w:val="true"/>
        </w:rPr>
        <w:t xml:space="preserve">: </w:t>
      </w:r>
      <w:r>
        <w:rPr>
          <w:rtl w:val="true"/>
        </w:rPr>
        <w:t>تأخير الأخذ بمقتضى الخيار</w:t>
      </w:r>
      <w:bookmarkEnd w:id="209"/>
    </w:p>
    <w:p>
      <w:pPr>
        <w:pStyle w:val="BookText"/>
        <w:rPr/>
      </w:pPr>
      <w:r>
        <w:rPr>
          <w:rFonts w:ascii="Amiri" w:hAnsi="Amiri" w:eastAsia="Amiri" w:cs="Amiri"/>
          <w:color w:val="111111"/>
          <w:sz w:val="28"/>
          <w:sz w:val="28"/>
          <w:szCs w:val="28"/>
          <w:rtl w:val="true"/>
          <w:lang w:bidi="ar-SA"/>
        </w:rPr>
        <w:t xml:space="preserve">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الردّ والأرش معه</w:t>
      </w:r>
      <w:r>
        <w:rPr>
          <w:rStyle w:val="FootnoteAnchor"/>
          <w:rtl w:val="true"/>
        </w:rPr>
        <w:footnoteReference w:id="346"/>
      </w:r>
      <w:r>
        <w:rPr>
          <w:rFonts w:ascii="Amiri" w:hAnsi="Amiri" w:eastAsia="Amiri" w:cs="Amiri"/>
          <w:color w:val="111111"/>
          <w:sz w:val="28"/>
          <w:sz w:val="28"/>
          <w:szCs w:val="28"/>
          <w:rtl w:val="true"/>
          <w:lang w:bidi="ar-SA"/>
        </w:rPr>
        <w:t xml:space="preserve">،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الردّ فقط</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عدم سقوطهما ؛ لإطلاق مرسلة جميل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في مقام بيان أصل الخيار</w:t>
      </w:r>
      <w:r>
        <w:rPr>
          <w:rStyle w:val="FootnoteAnchor"/>
          <w:rtl w:val="true"/>
        </w:rPr>
        <w:footnoteReference w:id="348"/>
      </w:r>
      <w:r>
        <w:rPr>
          <w:rFonts w:ascii="Amiri" w:hAnsi="Amiri" w:eastAsia="Amiri" w:cs="Amiri"/>
          <w:color w:val="111111"/>
          <w:sz w:val="28"/>
          <w:sz w:val="28"/>
          <w:szCs w:val="28"/>
          <w:rtl w:val="true"/>
          <w:lang w:bidi="ar-SA"/>
        </w:rPr>
        <w:t xml:space="preserve">، غير مرضيّ ، بل هي في مقام بيان الحالات الطارئة ، وثبوت </w:t>
      </w:r>
    </w:p>
    <w:p>
      <w:pPr>
        <w:pStyle w:val="BookText"/>
        <w:rPr/>
      </w:pPr>
      <w:r>
        <w:rPr>
          <w:rFonts w:ascii="Amiri" w:hAnsi="Amiri" w:eastAsia="Amiri" w:cs="Amiri"/>
          <w:color w:val="111111"/>
          <w:sz w:val="28"/>
          <w:sz w:val="28"/>
          <w:szCs w:val="28"/>
          <w:rtl w:val="true"/>
          <w:lang w:bidi="ar-SA"/>
        </w:rPr>
        <w:t xml:space="preserve">الخيار مع بعضها ، وسقوطه مع بعض ، وثبوت الأرش مع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إطلاقها أنّ كون الشيء قائماً بعينه ، هو تمام الموضوع لثبوت حقّ الفسخ ، ولو كان قيد آخر دخيلاً ، لكان عليه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ذيلها ثبوت الأرش مع التغيّر مطلقاً ؛ إذ هو تمام الموضوع له ، فلا مجال للتمسّك بدليل وجوب الوفاء بالعقد ، ولا بالاستصحاب</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 بناءً على عدم ثبوت الإطلاق ، ودعوى الإهمال في الأدلّة ، فعلى المبنى المنصور المتقدّم ؛ من أنّ حقّ الفسخ حقّ تعييني متعلّق بالعقد ، وحقّ الأرش حقّ تعييني مستقلّ في قباله ، والتخيير إنّما هو في مقام الأخذ</w:t>
      </w:r>
      <w:r>
        <w:rPr>
          <w:rStyle w:val="FootnoteAnchor"/>
          <w:rtl w:val="true"/>
        </w:rPr>
        <w:footnoteReference w:id="350"/>
      </w:r>
      <w:r>
        <w:rPr>
          <w:rFonts w:ascii="Amiri" w:hAnsi="Amiri" w:eastAsia="Amiri" w:cs="Amiri"/>
          <w:color w:val="111111"/>
          <w:sz w:val="28"/>
          <w:sz w:val="28"/>
          <w:szCs w:val="28"/>
          <w:rtl w:val="true"/>
          <w:lang w:bidi="ar-SA"/>
        </w:rPr>
        <w:t xml:space="preserve">، لا محيص عن التفصيل بالأخذ بإطلاق دليل اللزوم في الزائد على القدر المتيقّن ، والقول بفورية خيار الفسخ ، والأخذ باستصحاب بقاء حقّ الأرش ؛ ضرورة أنّ دليل لزوم العقد ، وكذا دلالة التأخير على الرضا بالبيع لو سلّمت ، لا يوجبان سقوط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مبنى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الحقّ في المقام واحد ، متعلّق بالردّ والأرش على سبيل التخيير والترديد</w:t>
      </w:r>
      <w:r>
        <w:rPr>
          <w:rStyle w:val="FootnoteAnchor"/>
          <w:rtl w:val="true"/>
        </w:rPr>
        <w:footnoteReference w:id="351"/>
      </w:r>
      <w:r>
        <w:rPr>
          <w:rFonts w:ascii="Amiri" w:hAnsi="Amiri" w:eastAsia="Amiri" w:cs="Amiri"/>
          <w:color w:val="111111"/>
          <w:sz w:val="28"/>
          <w:sz w:val="28"/>
          <w:szCs w:val="28"/>
          <w:rtl w:val="true"/>
          <w:lang w:bidi="ar-SA"/>
        </w:rPr>
        <w:t xml:space="preserve">، فمع سقوط حقّ الردّ ، أو عدم تحقّقه في الزمان الثاني بدليل وجوب الوفاء بالعقد ، لا يبقى الحكم التخييري ، والمفروض عدم ثبوت حقّ الأرش تعييناً ، فلا يجري استصحاب حقّ الأرش تعييناً مع الشكّ فيه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استصحاب جامع الحقّ على نعت استصحاب القسم الثالث من الكلّي ، </w:t>
      </w:r>
    </w:p>
    <w:p>
      <w:pPr>
        <w:pStyle w:val="BookText"/>
        <w:rPr/>
      </w:pPr>
      <w:r>
        <w:rPr>
          <w:rFonts w:ascii="Amiri" w:hAnsi="Amiri" w:eastAsia="Amiri" w:cs="Amiri"/>
          <w:color w:val="111111"/>
          <w:sz w:val="28"/>
          <w:sz w:val="28"/>
          <w:szCs w:val="28"/>
          <w:rtl w:val="true"/>
          <w:lang w:bidi="ar-SA"/>
        </w:rPr>
        <w:t xml:space="preserve">فلا يجري ولو سلّمنا جريانه في غير المقام ؛ لأنّ ما هو المتيقّن ، هو الجامع بين الحكم المردّد والمعيّن ؛ أي نفس الحقّ ، واستصحابه لإثبات حقّ الأرش مثبت ، نظير استصحاب الكلّي لإثبات فرده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قلنا في غير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الجامع بين الحكمين الشرعيين ، ليس مجعولاً ، ولا حكماً شرعياً حتّى يستصحب ، بل هو أمر انتزاعي عقلي من الجعلين ، والتفصيل في محلّه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للتفصيل المذكور ، بل لا بدّ من القول بسقوط الردّ بإطلاق دليل اللزوم ، وسقوط الأرش بأصل البراءة ، وإن كان في التسمية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 والأمر سهل ، والتحقيق ما عرفت </w:t>
      </w:r>
      <w:r>
        <w:rPr>
          <w:rFonts w:eastAsia="Amiri" w:cs="Amiri" w:ascii="Amiri" w:hAnsi="Amiri"/>
          <w:color w:val="111111"/>
          <w:sz w:val="28"/>
          <w:szCs w:val="28"/>
          <w:rtl w:val="true"/>
          <w:lang w:bidi="ar-SA"/>
        </w:rPr>
        <w:t xml:space="preserve">. </w:t>
      </w:r>
      <w:bookmarkStart w:id="210" w:name="pg15222_162277"/>
    </w:p>
    <w:p>
      <w:pPr>
        <w:pStyle w:val="Heading3"/>
        <w:numPr>
          <w:ilvl w:val="2"/>
          <w:numId w:val="1"/>
        </w:numPr>
        <w:rPr/>
      </w:pPr>
      <w:bookmarkStart w:id="211" w:name="__RefHeading___Toc3331656_2142443653"/>
      <w:bookmarkStart w:id="212" w:name="_Toc77"/>
      <w:bookmarkEnd w:id="210"/>
      <w:bookmarkEnd w:id="211"/>
      <w:r>
        <w:rPr>
          <w:rtl w:val="true"/>
        </w:rPr>
        <w:t>مسألة في عدم وجوب الإعلام بالعيب مطلقاً</w:t>
      </w:r>
      <w:bookmarkEnd w:id="212"/>
    </w:p>
    <w:p>
      <w:pPr>
        <w:pStyle w:val="BookText"/>
        <w:rPr/>
      </w:pPr>
      <w:r>
        <w:rPr>
          <w:rFonts w:ascii="Amiri" w:hAnsi="Amiri" w:eastAsia="Amiri" w:cs="Amiri"/>
          <w:color w:val="111111"/>
          <w:sz w:val="28"/>
          <w:sz w:val="28"/>
          <w:szCs w:val="28"/>
          <w:rtl w:val="true"/>
          <w:lang w:bidi="ar-SA"/>
        </w:rPr>
        <w:t>إذا باع شيئاً فيه عيب ، هل يجب عليه إعلامه بالعيب ، أو يحرم عليه تركه مطلقاً ، أو لا كذلك ، أو يفصّل بين العيوب الظاهرة والخفيّة ، أو بين تبرّي العيب وعدمه ؟</w:t>
      </w:r>
    </w:p>
    <w:p>
      <w:pPr>
        <w:pStyle w:val="BookText"/>
        <w:rPr/>
      </w:pP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أوجهها عدمه مطلقاً ؛ لعدم الدليل عليه إلاّ دعوى كونه غشّاً ،</w:t>
      </w:r>
    </w:p>
    <w:p>
      <w:pPr>
        <w:pStyle w:val="BookText"/>
        <w:rPr/>
      </w:pPr>
      <w:r>
        <w:rPr>
          <w:rFonts w:ascii="IRNazanin" w:hAnsi="IRNazanin" w:eastAsia="IRNazanin"/>
          <w:color w:val="111111"/>
          <w:sz w:val="28"/>
          <w:sz w:val="28"/>
          <w:szCs w:val="28"/>
          <w:rtl w:val="true"/>
          <w:lang w:bidi="fa-IR"/>
        </w:rPr>
        <w:t>وهو حرام</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الغشّ أمر وجودي عرفاً ولغة ، وبحسب الموارد التي وردت في الأخبار الكثيرة الدالّة على حرمته</w:t>
      </w:r>
      <w:r>
        <w:rPr>
          <w:rStyle w:val="FootnoteAnchor"/>
          <w:rtl w:val="true"/>
        </w:rPr>
        <w:footnoteReference w:id="354"/>
      </w:r>
      <w:r>
        <w:rPr>
          <w:rFonts w:ascii="Amiri" w:hAnsi="Amiri" w:eastAsia="Amiri" w:cs="Amiri"/>
          <w:color w:val="111111"/>
          <w:sz w:val="28"/>
          <w:sz w:val="28"/>
          <w:szCs w:val="28"/>
          <w:rtl w:val="true"/>
          <w:lang w:bidi="ar-SA"/>
        </w:rPr>
        <w:t xml:space="preserve">، وهو ضدّ النصيحة ، ففي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غشّه ؛ أظهر له خلاف ما أضمره ، زيّن له غير المصلحة ، خدعه ، ضدّ النصيحة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فهو متقوّم بإيجاد عمل أو قول يوقعه في خلاف مصلحته ، أو يصلح أن يوقعه فيه ، فلا يصدق على مجرّد ترك النصح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التزام البائع بصحّة المتاع يوجب صدقه ؛ فإنّه بمنزلة الإخبار بصحّته</w:t>
      </w:r>
      <w:r>
        <w:rPr>
          <w:rStyle w:val="FootnoteAnchor"/>
          <w:rtl w:val="true"/>
        </w:rPr>
        <w:footnoteReference w:id="356"/>
      </w:r>
      <w:r>
        <w:rPr>
          <w:rFonts w:ascii="Amiri" w:hAnsi="Amiri" w:eastAsia="Amiri" w:cs="Amiri"/>
          <w:color w:val="111111"/>
          <w:sz w:val="28"/>
          <w:sz w:val="28"/>
          <w:szCs w:val="28"/>
          <w:rtl w:val="true"/>
          <w:lang w:bidi="ar-SA"/>
        </w:rPr>
        <w:t>قد مرّ بطلانها في أوائل البحث عن خيار العيب</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التزامه أوّلاً ، كما هو المعلوم عند الرجوع إلى السوق ، ومنع كونه بمنزلة الإخبار إن رجع إلى تعهّد وصف الصحّة ؛ بمعنى الالتزام بلوازم تخلّفها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رجع إلى الالتزام بكونه صحيحاً فهو كذلك ، لكنّه غير ظاهر ، فالعمدة ممنوعية الالتزام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الضمني يوجب الغشّ ، فلا إشكال في أ نّه لا يصدق مع التبرّي عن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لبطلان البيع على فرض كون ترك الإعلام غشّاً ؛ ضرورة أ نّه محرّم نفسي ، لا ينطبق على البيع حتّى خارجاً ، مع أ نّه لو كان منطبقاً عليه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 لم يوجب بطلانه ، ولا حرمته </w:t>
      </w:r>
      <w:r>
        <w:rPr>
          <w:rFonts w:eastAsia="Amiri" w:cs="Amiri" w:ascii="Amiri" w:hAnsi="Amiri"/>
          <w:color w:val="111111"/>
          <w:sz w:val="28"/>
          <w:szCs w:val="28"/>
          <w:rtl w:val="true"/>
          <w:lang w:bidi="ar-SA"/>
        </w:rPr>
        <w:t xml:space="preserve">. </w:t>
      </w:r>
      <w:bookmarkStart w:id="213" w:name="pg15222_162279"/>
    </w:p>
    <w:p>
      <w:pPr>
        <w:pStyle w:val="Heading3"/>
        <w:numPr>
          <w:ilvl w:val="2"/>
          <w:numId w:val="1"/>
        </w:numPr>
        <w:rPr/>
      </w:pPr>
      <w:bookmarkStart w:id="214" w:name="__RefHeading___Toc3331658_2142443653"/>
      <w:bookmarkStart w:id="215" w:name="_Toc78"/>
      <w:bookmarkEnd w:id="213"/>
      <w:bookmarkEnd w:id="214"/>
      <w:r>
        <w:rPr>
          <w:rtl w:val="true"/>
        </w:rPr>
        <w:t>مسائل في اختلاف المتبايعين</w:t>
      </w:r>
      <w:bookmarkEnd w:id="215"/>
    </w:p>
    <w:p>
      <w:pPr>
        <w:pStyle w:val="Heading4"/>
        <w:numPr>
          <w:ilvl w:val="3"/>
          <w:numId w:val="1"/>
        </w:numPr>
        <w:rPr/>
      </w:pPr>
      <w:bookmarkStart w:id="216" w:name="__RefHeading___Toc3331660_2142443653"/>
      <w:bookmarkStart w:id="217" w:name="_Toc79"/>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وهو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الخيار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موجبه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مسقطه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الفسخ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3331662_2142443653"/>
      <w:bookmarkStart w:id="219" w:name="_Toc80"/>
      <w:bookmarkEnd w:id="218"/>
      <w:r>
        <w:rPr>
          <w:rtl w:val="true"/>
        </w:rPr>
        <w:t>في تشخيص المدّعي والمنكر</w:t>
      </w:r>
      <w:bookmarkEnd w:id="219"/>
    </w:p>
    <w:p>
      <w:pPr>
        <w:pStyle w:val="BookText"/>
        <w:rPr/>
      </w:pPr>
      <w:r>
        <w:rPr>
          <w:rFonts w:ascii="IRNazanin" w:hAnsi="IRNazanin" w:eastAsia="IRNazanin"/>
          <w:color w:val="111111"/>
          <w:sz w:val="28"/>
          <w:sz w:val="28"/>
          <w:szCs w:val="28"/>
          <w:rtl w:val="true"/>
          <w:lang w:bidi="fa-IR"/>
        </w:rPr>
        <w:t xml:space="preserve">وليعلم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المهمّ في مسائل الخلاف تشخيص المدّعي من المنكر ، وقد ذكروا له وجوهاً ، والظاهر أ نّه موكول إلى العرف ؛ فإنّ الموضوع 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 واليمين على المدّعى عليه</w:t>
      </w:r>
      <w:r>
        <w:rPr>
          <w:rFonts w:eastAsia="IRNazanin" w:cs="IRNazanin"/>
          <w:color w:val="111111"/>
          <w:sz w:val="28"/>
          <w:szCs w:val="28"/>
          <w:rtl w:val="true"/>
          <w:lang w:bidi="fa-IR"/>
        </w:rPr>
        <w:t>»</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 لا دخالة للشرع الأنور فيه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والموازين الاُخر التي ذكرها الفقهاء ،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لبيان ما يقابل التشخيص العرفي ، بل هي اُمور لبيان ذلك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المدّعي من لو ترك </w:t>
      </w:r>
    </w:p>
    <w:p>
      <w:pPr>
        <w:pStyle w:val="BookText"/>
        <w:rPr/>
      </w:pPr>
      <w:r>
        <w:rPr>
          <w:rFonts w:ascii="Amiri" w:hAnsi="Amiri" w:eastAsia="Amiri" w:cs="Amiri"/>
          <w:color w:val="111111"/>
          <w:sz w:val="28"/>
          <w:sz w:val="28"/>
          <w:szCs w:val="28"/>
          <w:rtl w:val="true"/>
          <w:lang w:bidi="ar-SA"/>
        </w:rPr>
        <w:t>ترك</w:t>
      </w:r>
      <w:r>
        <w:rPr>
          <w:rStyle w:val="FootnoteAnchor"/>
          <w:rtl w:val="true"/>
        </w:rPr>
        <w:footnoteReference w:id="359"/>
      </w:r>
      <w:r>
        <w:rPr>
          <w:rFonts w:ascii="Amiri" w:hAnsi="Amiri" w:eastAsia="Amiri" w:cs="Amiri"/>
          <w:color w:val="111111"/>
          <w:sz w:val="28"/>
          <w:sz w:val="28"/>
          <w:szCs w:val="28"/>
          <w:rtl w:val="true"/>
          <w:lang w:bidi="ar-SA"/>
        </w:rPr>
        <w:t>، أو لو سكت يسكت عنه</w:t>
      </w:r>
      <w:r>
        <w:rPr>
          <w:rStyle w:val="FootnoteAnchor"/>
          <w:rtl w:val="true"/>
        </w:rPr>
        <w:footnoteReference w:id="360"/>
      </w:r>
      <w:r>
        <w:rPr>
          <w:rFonts w:ascii="Amiri" w:hAnsi="Amiri" w:eastAsia="Amiri" w:cs="Amiri"/>
          <w:color w:val="111111"/>
          <w:sz w:val="28"/>
          <w:sz w:val="28"/>
          <w:szCs w:val="28"/>
          <w:rtl w:val="true"/>
          <w:lang w:bidi="ar-SA"/>
        </w:rPr>
        <w:t>، أو من يكون في مقام إثبات قضيّة</w:t>
      </w:r>
      <w:r>
        <w:rPr>
          <w:rStyle w:val="FootnoteAnchor"/>
          <w:rtl w:val="true"/>
        </w:rPr>
        <w:footnoteReference w:id="361"/>
      </w:r>
      <w:r>
        <w:rPr>
          <w:rFonts w:ascii="Amiri" w:hAnsi="Amiri" w:eastAsia="Amiri" w:cs="Amiri"/>
          <w:color w:val="111111"/>
          <w:sz w:val="28"/>
          <w:sz w:val="28"/>
          <w:szCs w:val="28"/>
          <w:rtl w:val="true"/>
          <w:lang w:bidi="ar-SA"/>
        </w:rPr>
        <w:t>، أو من يدّعي خلاف الأصل</w:t>
      </w:r>
      <w:r>
        <w:rPr>
          <w:rStyle w:val="FootnoteAnchor"/>
          <w:rtl w:val="true"/>
        </w:rPr>
        <w:footnoteReference w:id="362"/>
      </w:r>
      <w:r>
        <w:rPr>
          <w:rFonts w:ascii="Amiri" w:hAnsi="Amiri" w:eastAsia="Amiri" w:cs="Amiri"/>
          <w:color w:val="111111"/>
          <w:sz w:val="28"/>
          <w:sz w:val="28"/>
          <w:szCs w:val="28"/>
          <w:rtl w:val="true"/>
          <w:lang w:bidi="ar-SA"/>
        </w:rPr>
        <w:t xml:space="preserve">، ولا يبعد انطباق غير الأخير على الموضوع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الأخير ، فالظاهر عدم التطابق بينهما ؛ فإنّ مرادهم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الاُصول العملية ، والأمارات الشرعية ، والأمارات والاُصول العقلائية غير المردوعة ، والأصل الشرعي ربّما يتخلّف عن الموضوع العرفي ، كما لو ادّعى المشتري مثلاً العيب ، وأنكر البائع ، وكان المبيع مسبوقاً بالعيب ، فإنّه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منكر ؛ لأنّ قوله موافق للأصل الشرعي ، مع أ نّه بحسب العرف مدّعٍ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نوقش في المثال لأجل مثبتية الأصل ، فلا إشكال في أنّ موافقة الاُصول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لا ربط لهما بالموضوع العرفي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لا يحرز موضوع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البيّنة على المدّعي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حتّى على القول بالأصل المثبت ، ولا يكون موافقاً للموضوع مورداً ؛ للتخلّف في كثير من الموارد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مورد الموافقة للأصل ، لا بدّ من ترتيب الآثار عليه إلى أن يثبت خلافه ، فلو كانت عين مسبوقة بملكية زيد ، فادّعاها عمرو ، يحكم بملكية زيد حتّى يثبت خلافه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فرق بين لزوم أو جواز ترتيب الأثر على ملكية زيد ، وبين القضاء </w:t>
      </w:r>
    </w:p>
    <w:p>
      <w:pPr>
        <w:pStyle w:val="BookText"/>
        <w:rPr/>
      </w:pPr>
      <w:r>
        <w:rPr>
          <w:rFonts w:ascii="Amiri" w:hAnsi="Amiri" w:eastAsia="Amiri" w:cs="Amiri"/>
          <w:color w:val="111111"/>
          <w:sz w:val="28"/>
          <w:sz w:val="28"/>
          <w:szCs w:val="28"/>
          <w:rtl w:val="true"/>
          <w:lang w:bidi="ar-SA"/>
        </w:rPr>
        <w:t xml:space="preserve">له في مقام التخاصم ؛ فإنّ الفاصل للخصومة ليس إلاّ حكم القاضي بعد قيام البيّنة أو الحلف ، فلا يجوز للقاضي الحكم قبلهما وإن كانت العين مسبوقة بملكية أحدهما ، أو كانت تحت يد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فجواز ترتيب آثار ملكيتها لذي اليد أمر ، والحكم له على موازين القضاء أمر آخر ، فربّما يكون الشيء محكوماً بملكية المدّعي العرفي ، ويطلب منه البيّنة للقضاء له ، والتفصيل موكول إلى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مخالفة الأمارات العقلائية كاليد ونحوهما ، منطبقة ظاهراً مع المدّعي</w:t>
      </w:r>
    </w:p>
    <w:p>
      <w:pPr>
        <w:pStyle w:val="BookText"/>
        <w:rPr/>
      </w:pPr>
      <w:r>
        <w:rPr>
          <w:rFonts w:ascii="Amiri" w:hAnsi="Amiri" w:eastAsia="Amiri" w:cs="Amiri"/>
          <w:color w:val="111111"/>
          <w:sz w:val="28"/>
          <w:sz w:val="28"/>
          <w:szCs w:val="28"/>
          <w:rtl w:val="true"/>
          <w:lang w:bidi="ar-SA"/>
        </w:rPr>
        <w:t>عرفاً، وقد يستفاد من بعض الروايات أنّ ذا اليد منكر، فراجع باب تعارض البيّنة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لو اختلف الميزان العرفي مع الأصل الشرعي ، بناءً على كونه ميزاناً أيضاً ، فالظاهر هو الأخذ بالتشخيص العرفي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إشكال في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الأصل المعتبر شرعاً ، فلا وقع للاُصول المثبتة ، وكذا الاستصحاب مع الشكّ في المقتضي عند القائل بعدم اعتباره</w:t>
      </w:r>
      <w:r>
        <w:rPr>
          <w:rStyle w:val="FootnoteAnchor"/>
          <w:rtl w:val="true"/>
        </w:rPr>
        <w:footnoteReference w:id="364"/>
      </w:r>
      <w:r>
        <w:rPr>
          <w:rFonts w:ascii="Amiri" w:hAnsi="Amiri" w:eastAsia="Amiri" w:cs="Amiri"/>
          <w:color w:val="111111"/>
          <w:sz w:val="28"/>
          <w:sz w:val="28"/>
          <w:szCs w:val="28"/>
          <w:rtl w:val="true"/>
          <w:lang w:bidi="ar-SA"/>
        </w:rPr>
        <w:t xml:space="preserve">، ومن هنا قد يقع اختلاف النظر بين الفقهاء في التشخيص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الميزان في تشخيصهما هو مصبّ الدعوى ، لا مرجعها وغايتها ، فلو ادّعى العيب ، لا يصحّ الإرجاع إلى ثبوت الخيار وعدمه ، كما أنّ الميزان في قبول الدعوى ، هو كونها ذات أثر شرعي أو عقلائي غير مردوع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يمكن أن تقع الدعاوى المتعدّدة على عناوين كذلك ، كلّها ترجع إلى </w:t>
      </w:r>
      <w:bookmarkStart w:id="220" w:name="pg15222_162282"/>
    </w:p>
    <w:p>
      <w:pPr>
        <w:pStyle w:val="BookText"/>
        <w:rPr/>
      </w:pPr>
      <w:bookmarkEnd w:id="220"/>
      <w:r>
        <w:rPr>
          <w:rFonts w:ascii="Amiri" w:hAnsi="Amiri" w:eastAsia="Amiri" w:cs="Amiri"/>
          <w:color w:val="111111"/>
          <w:sz w:val="28"/>
          <w:sz w:val="28"/>
          <w:szCs w:val="28"/>
          <w:rtl w:val="true"/>
          <w:lang w:bidi="ar-SA"/>
        </w:rPr>
        <w:t xml:space="preserve">غاية واحدة ، فلو ادّعى العيب ، فأنكر البائع ففصلت الخصومة بالبيّنة ، ثمّ ادّعى البائع علمه بالعيب ، أو تبرّيه منه ، تقبل 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ادّعى الخيار ، وأقام البيّنة على ثبوته فعلاً ، لا تقبل سائر الدعاوى المستلزمة لنفيه ، كدعوى كونه عالماً به ، أو دعوى إسقاطه ؛ لأ نّها منافية للبيّنة</w:t>
      </w:r>
    </w:p>
    <w:p>
      <w:pPr>
        <w:pStyle w:val="BookText"/>
        <w:rPr/>
      </w:pPr>
      <w:r>
        <w:rPr>
          <w:rFonts w:ascii="Amiri" w:hAnsi="Amiri" w:eastAsia="Amiri" w:cs="Amiri"/>
          <w:color w:val="111111"/>
          <w:sz w:val="28"/>
          <w:sz w:val="28"/>
          <w:szCs w:val="28"/>
          <w:rtl w:val="true"/>
          <w:lang w:bidi="ar-SA"/>
        </w:rPr>
        <w:t xml:space="preserve">التي هي حجّة في لوازمها </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3331664_2142443653"/>
      <w:bookmarkStart w:id="222" w:name="_Toc81"/>
      <w:bookmarkEnd w:id="221"/>
      <w:r>
        <w:rPr>
          <w:rtl w:val="true"/>
        </w:rPr>
        <w:t xml:space="preserve">موارد اختلاف المتبايعين </w:t>
      </w:r>
      <w:r>
        <w:rPr>
          <w:rtl w:val="true"/>
        </w:rPr>
        <w:t>:</w:t>
      </w:r>
      <w:bookmarkEnd w:id="222"/>
    </w:p>
    <w:p>
      <w:pPr>
        <w:pStyle w:val="Heading5"/>
        <w:numPr>
          <w:ilvl w:val="4"/>
          <w:numId w:val="1"/>
        </w:numPr>
        <w:rPr/>
      </w:pPr>
      <w:bookmarkStart w:id="223" w:name="__RefHeading___Toc3331666_2142443653"/>
      <w:bookmarkStart w:id="224" w:name="_Toc82"/>
      <w:bookmarkEnd w:id="223"/>
      <w:r>
        <w:rPr>
          <w:rtl w:val="true"/>
        </w:rPr>
        <w:t>اشارة</w:t>
      </w:r>
      <w:bookmarkEnd w:id="224"/>
    </w:p>
    <w:p>
      <w:pPr>
        <w:pStyle w:val="BookText"/>
        <w:rPr/>
      </w:pPr>
      <w:r>
        <w:rPr>
          <w:rFonts w:ascii="IRNazanin" w:hAnsi="IRNazanin" w:eastAsia="IRNazanin"/>
          <w:color w:val="111111"/>
          <w:sz w:val="28"/>
          <w:sz w:val="28"/>
          <w:szCs w:val="28"/>
          <w:rtl w:val="true"/>
          <w:lang w:bidi="fa-IR"/>
        </w:rPr>
        <w:t xml:space="preserve">فلنرجع إلى التعرّض لموارد اختلافهما </w:t>
      </w:r>
      <w:r>
        <w:rPr>
          <w:rFonts w:eastAsia="IRNazanin" w:cs="IRNazanin"/>
          <w:color w:val="111111"/>
          <w:sz w:val="28"/>
          <w:szCs w:val="28"/>
          <w:rtl w:val="true"/>
          <w:lang w:bidi="fa-IR"/>
        </w:rPr>
        <w:t>:</w:t>
      </w:r>
    </w:p>
    <w:p>
      <w:pPr>
        <w:pStyle w:val="Heading5"/>
        <w:numPr>
          <w:ilvl w:val="4"/>
          <w:numId w:val="1"/>
        </w:numPr>
        <w:rPr/>
      </w:pPr>
      <w:bookmarkStart w:id="225" w:name="__RefHeading___Toc3331668_2142443653"/>
      <w:bookmarkStart w:id="226" w:name="_Toc83"/>
      <w:bookmarkEnd w:id="225"/>
      <w:r>
        <w:rPr>
          <w:rtl w:val="true"/>
        </w:rPr>
        <w:t xml:space="preserve">الأوّل </w:t>
      </w:r>
      <w:r>
        <w:rPr>
          <w:rtl w:val="true"/>
        </w:rPr>
        <w:t xml:space="preserve">: </w:t>
      </w:r>
      <w:r>
        <w:rPr>
          <w:rtl w:val="true"/>
        </w:rPr>
        <w:t>الاختلاف في ثبوت الخيار</w:t>
      </w:r>
      <w:bookmarkEnd w:id="226"/>
    </w:p>
    <w:p>
      <w:pPr>
        <w:pStyle w:val="BookText"/>
        <w:rPr/>
      </w:pPr>
      <w:r>
        <w:rPr>
          <w:rFonts w:ascii="Amiri" w:hAnsi="Amiri" w:eastAsia="Amiri" w:cs="Amiri"/>
          <w:color w:val="111111"/>
          <w:sz w:val="28"/>
          <w:sz w:val="28"/>
          <w:szCs w:val="28"/>
          <w:rtl w:val="true"/>
          <w:lang w:bidi="ar-SA"/>
        </w:rPr>
        <w:t xml:space="preserve">لو اختلفا في ثبوت الخيار ، فالقول قول المنكر بيمينه ، لا لاستصحاب عدم الخيار ؛ فإنّه لا حالة سابقة له إن اُريد به استصحاب عدمه في البيع ، ومثبت إن اُريد به استصحاب عدم الخيار بعدم الموضوع إلى زمان تحقّقه ؛ لإثبات عدم الخيار فيه ، بل لكون المدّعي عرفاً هو الذي ادّعى ثبوته </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3331670_2142443653"/>
      <w:bookmarkStart w:id="228" w:name="_Toc84"/>
      <w:bookmarkEnd w:id="227"/>
      <w:r>
        <w:rPr>
          <w:rtl w:val="true"/>
        </w:rPr>
        <w:t xml:space="preserve">الثاني </w:t>
      </w:r>
      <w:r>
        <w:rPr>
          <w:rtl w:val="true"/>
        </w:rPr>
        <w:t xml:space="preserve">: </w:t>
      </w:r>
      <w:r>
        <w:rPr>
          <w:rtl w:val="true"/>
        </w:rPr>
        <w:t>اختلافهما في تعيّب المبيع</w:t>
      </w:r>
      <w:bookmarkEnd w:id="228"/>
    </w:p>
    <w:p>
      <w:pPr>
        <w:pStyle w:val="BookText"/>
        <w:rPr/>
      </w:pPr>
      <w:r>
        <w:rPr>
          <w:rFonts w:ascii="Amiri" w:hAnsi="Amiri" w:eastAsia="Amiri" w:cs="Amiri"/>
          <w:color w:val="111111"/>
          <w:sz w:val="28"/>
          <w:sz w:val="28"/>
          <w:szCs w:val="28"/>
          <w:rtl w:val="true"/>
          <w:lang w:bidi="ar-SA"/>
        </w:rPr>
        <w:t xml:space="preserve">لو اختلفا في تعيّب المبيع فكالأوّل ؛ لما ذكر ، من غير فرق بين كونه قبل البيع صحيحاً ، أو معيباً ، أو مجهول الحال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المشتري هو المنكر فيما إذا كان المبيع مسبوقاً بالعيب ؛ لاستصحاب بقائه إلى زمان تحقّق العقد ، فقوله موافق للأصل</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ما لا يخفى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أشرنا إليه ؛ من أنّ تشخيص العرف مقدّم على الأصل</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مثبت ؛ لأنّ أصالة بقائه إلى زمان العقد لا تثبت وقوعه على المعيب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ادّعى البائع زوال العيب ، لصار مدّعياً ، والمشتري منكراً ، وهي دعوى اُخرى ، وكثيراً ما ينقلب المدّعي منكراً في خلال الدعاوى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كون شيء عيباً فكالسابق ؛ لكون المشتري مدّعياً عرفاً وأمّا أصالة عدم كونه عيباً فلا تجري ؛ لأ نّها غير مسبوقة باليقين على وجه ، ومثبتة على وجه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أصالة عدم كون الحيوان مثلاً معيوباً ، لا تثبت عدم كون ذلك الشيء 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السلامة لا تجري في مورد الشكّ في كون الشيء عيباً ، كأصالة عدم القرينة في الشكّ في قرينية الموجود ، وأصالة عدم المانع في الشكّ في مانعيته ؛ فإنّ تلك الاُصول غير جارية في تلك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الشيء مسبوقاً بعدم كونه عيباً ، ثمّ بعد الرشد والنموّ ، يشكّ في صيرورته عيباً ، فيجري الأصل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اتّفقا في كون شيء نقصاً عن الخلقة الأصلية ، واختلفا في كونه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كالختان ، والثيوبة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فكالسابق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اتّفقا في كونه عيباً ، واختلفا في كونه موجباً للأرش ، كان له الخيار ، وأمّا </w:t>
      </w:r>
      <w:bookmarkStart w:id="229" w:name="pg15222_162284"/>
    </w:p>
    <w:p>
      <w:pPr>
        <w:pStyle w:val="BookText"/>
        <w:rPr/>
      </w:pPr>
      <w:bookmarkEnd w:id="229"/>
      <w:r>
        <w:rPr>
          <w:rFonts w:ascii="Amiri" w:hAnsi="Amiri" w:eastAsia="Amiri" w:cs="Amiri"/>
          <w:color w:val="111111"/>
          <w:sz w:val="28"/>
          <w:sz w:val="28"/>
          <w:szCs w:val="28"/>
          <w:rtl w:val="true"/>
          <w:lang w:bidi="ar-SA"/>
        </w:rPr>
        <w:t xml:space="preserve">الأرش فالقول قول منكره ، هذا بناءً على أنّ العيب غير الموجب لنقص القيمة ، موجب للخيار فقط ، وأمّا بناءً على عدمه والملازمة بينهما ، فلا وقع للنزاع </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3331672_2142443653"/>
      <w:bookmarkStart w:id="231" w:name="_Toc85"/>
      <w:bookmarkEnd w:id="230"/>
      <w:r>
        <w:rPr>
          <w:rtl w:val="true"/>
        </w:rPr>
        <w:t xml:space="preserve">الثالث </w:t>
      </w:r>
      <w:r>
        <w:rPr>
          <w:rtl w:val="true"/>
        </w:rPr>
        <w:t xml:space="preserve">: </w:t>
      </w:r>
      <w:r>
        <w:rPr>
          <w:rtl w:val="true"/>
        </w:rPr>
        <w:t>الاختلاف في زمان حدوث العيب</w:t>
      </w:r>
      <w:bookmarkEnd w:id="231"/>
    </w:p>
    <w:p>
      <w:pPr>
        <w:pStyle w:val="Heading6"/>
        <w:numPr>
          <w:ilvl w:val="5"/>
          <w:numId w:val="1"/>
        </w:numPr>
        <w:rPr/>
      </w:pPr>
      <w:bookmarkStart w:id="232" w:name="__RefHeading___Toc3331674_2142443653"/>
      <w:bookmarkStart w:id="233" w:name="_Toc86"/>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لو اختلفا في زمان حدوث العيب ، بعد الاتّفاق على أصله ، فهو على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وجود العيب عند تعلّق العقد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حدوثه قبل القبض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حدوثه في زمان الخيار المضمون على البائع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جميع الصور يكون المدّعي هو المشتري ، فالقول قول البائع بيمينه ؛ للصدق العرفي ، لا للأصل ؛ لأنّ أصالة عدم كون الشيء معيباً إلى ما بعد زمان العقد ، لا تثبت تعلّقه بغير المعيب ، وسلب التعلّق بنحو الإطلاق ليس موضوعاً لحكم شرعي ؛ فإنّه يصدق مع عدم العقد والعاقد ، وما هو موضوع الأثر هو العقد المتعلّق بغير المعيب ، أو المتعلّق بالصحيح ، فإنّ أثره لزوم البيع ، وسلب الخيار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وصف الصحّة ، أو عدم كونه معيباً ، لا دخل لها شرعاً في اللزوم ؛ لأنّ موضوعه هو العقد الصحيح ، لا العقد على الصحيح ، بل المأخوذ شرعاً في موضوع دليل الجواز والخيار ، هو أنّ المبيع به عيب وعوار</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ينبغي أن يصغى إليه ؛ ضرورة أنّ دليل لزوم العقد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خصّص أو قيّد بأدلّة الخيارات ، منها خيار العيب ، فيكون موضوع اللزوم بحسب الشرع بعد التقييد ، هو العقد على غير المعيب ، مقابل العقد على المعيب ، ولا يعقل بعد التقييد بقاء الموضوع على إطلاقه حسب الإرادة الجدّية ، وإن لم يعنون به بحسب الإرادة الاستعمالية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موضوعان ، لكلّ منهما أثر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العقد على المعيب ، وأثره الخيار والأرش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على الصحيح ، وأثره اللزوم من غير 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في إجراء الأصل الذي يراد به تشخيص المدّعي ، من أن يكون جارياً في محطّ الدعوى ، ويكون له أثر مطلوب ، كاللزوم ، وسلب الخيار ، والأرش في المقام ، ومحطّ الدعوى هنا هو وقوع العقد على غير المعيب ، واستصحاب عدم كون الشيء معيباً إلى زمان العقد ، لا يثبت وقوعه على غير المعيب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العقد على العين وجدانياً ، وعدم كونها معيبة يحرز بالأصل ، فيثبت الموضوع</w:t>
      </w:r>
      <w:r>
        <w:rPr>
          <w:rStyle w:val="FootnoteAnchor"/>
          <w:rtl w:val="true"/>
        </w:rPr>
        <w:footnoteReference w:id="369"/>
      </w:r>
      <w:r>
        <w:rPr>
          <w:rFonts w:ascii="Amiri" w:hAnsi="Amiri" w:eastAsia="Amiri" w:cs="Amiri"/>
          <w:color w:val="111111"/>
          <w:sz w:val="28"/>
          <w:sz w:val="28"/>
          <w:szCs w:val="28"/>
          <w:rtl w:val="true"/>
          <w:lang w:bidi="ar-SA"/>
        </w:rPr>
        <w:t xml:space="preserve">فاسد ؛ لأنّ الموضوع كون العقد متعلّقاً بالمعيب ، وهو غير وجداني ، ولا محرز بالأصل ، وليس من قبيل الموضوعات المركّبة كما يظهر بالتأمّل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حال الصورة الاُولى </w:t>
      </w:r>
      <w:r>
        <w:rPr>
          <w:rFonts w:eastAsia="Amiri" w:cs="Amiri" w:ascii="Amiri" w:hAnsi="Amiri"/>
          <w:color w:val="111111"/>
          <w:sz w:val="28"/>
          <w:szCs w:val="28"/>
          <w:rtl w:val="true"/>
          <w:lang w:bidi="ar-SA"/>
        </w:rPr>
        <w:t xml:space="preserve">. </w:t>
      </w:r>
      <w:bookmarkStart w:id="234" w:name="pg15222_162286"/>
    </w:p>
    <w:p>
      <w:pPr>
        <w:pStyle w:val="Heading6"/>
        <w:numPr>
          <w:ilvl w:val="5"/>
          <w:numId w:val="1"/>
        </w:numPr>
        <w:rPr/>
      </w:pPr>
      <w:bookmarkStart w:id="235" w:name="__RefHeading___Toc3331676_2142443653"/>
      <w:bookmarkStart w:id="236" w:name="_Toc87"/>
      <w:bookmarkEnd w:id="234"/>
      <w:bookmarkEnd w:id="235"/>
      <w:r>
        <w:rPr>
          <w:rtl w:val="true"/>
        </w:rPr>
        <w:t>حكم الاختلاف في حدوث العيب قبل القبض أو مضيّ الخيار</w:t>
      </w:r>
      <w:bookmarkEnd w:id="236"/>
    </w:p>
    <w:p>
      <w:pPr>
        <w:pStyle w:val="BookText"/>
        <w:rPr/>
      </w:pPr>
      <w:r>
        <w:rPr>
          <w:rFonts w:ascii="Amiri" w:hAnsi="Amiri" w:eastAsia="Amiri" w:cs="Amiri"/>
          <w:color w:val="111111"/>
          <w:sz w:val="28"/>
          <w:sz w:val="28"/>
          <w:szCs w:val="28"/>
          <w:rtl w:val="true"/>
          <w:lang w:bidi="ar-SA"/>
        </w:rPr>
        <w:t xml:space="preserve">وأمّا الاختلاف في حدوث العيب قبل القبض ، أو قبل مضيّ الخيار وعدمه ، فيمكن التفصيل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إذا علم بعدم العيب بعد العقد برهة من الزمان ، وشكّ في حدوثه في قطعة اُخرى قبل القبض ، أو قبل مضيّ الخيار ، وما إذا لم يتيقّن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استصحاب عدم حدوثه في المبيع قبل قبضه ، أو في زمن الخيار ، فيحرز به الموضوع ذو الأثر ويحكم بلزوم البيع ، وأنّ القول قول المنكر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الحال كالصورة الاُولى المتقدّمة ؛ لأنّ الموضوع للأثر هو كون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متعلّقاً للعقد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تالفاً ولو وصفاً قبل القبض ، أو في زمان الخيار ، وهذا العنوان ليس مسبوقاً باليقين ، وما هو مسبوق لا يصلح لإثبات تلك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 يظهر حال الدعوى إذا اُقيمت على وجه آخر ، وهو دعوى المشتري تقدّم العيب على العقد ، أو على القبض ، أو على مضيّ الخيار ، مع إنكار البائع ، فإنّه مدّعٍ عرفاً ، ولا يمكن الاتّكال على الأصل ؛ لعدم الحالة السابقة له على وجه ، وكونه مثبتاً على وجه آخر </w:t>
      </w:r>
      <w:r>
        <w:rPr>
          <w:rFonts w:eastAsia="Amiri" w:cs="Amiri" w:ascii="Amiri" w:hAnsi="Amiri"/>
          <w:color w:val="111111"/>
          <w:sz w:val="28"/>
          <w:szCs w:val="28"/>
          <w:rtl w:val="true"/>
          <w:lang w:bidi="ar-SA"/>
        </w:rPr>
        <w:t>.</w:t>
      </w:r>
    </w:p>
    <w:p>
      <w:pPr>
        <w:pStyle w:val="Heading6"/>
        <w:numPr>
          <w:ilvl w:val="5"/>
          <w:numId w:val="1"/>
        </w:numPr>
        <w:rPr/>
      </w:pPr>
      <w:bookmarkStart w:id="237" w:name="__RefHeading___Toc3331678_2142443653"/>
      <w:bookmarkStart w:id="238" w:name="_Toc88"/>
      <w:bookmarkEnd w:id="237"/>
      <w:r>
        <w:rPr>
          <w:rtl w:val="true"/>
        </w:rPr>
        <w:t>الاختلاف في حدوث العيب في أحد الأزمنة المتقدّمة وبعدها</w:t>
      </w:r>
      <w:bookmarkEnd w:id="2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المشتري حدوثه في أحد الأزمنة المتقدّمة ، وادّعى البائع حدوثه بعدها ، كان كلّ منهما مدّعيا ومنكرا ، فيعمل على طبق قاعدة التداعي ، لأنّ كلاًّ </w:t>
      </w:r>
    </w:p>
    <w:p>
      <w:pPr>
        <w:pStyle w:val="BookText"/>
        <w:rPr/>
      </w:pPr>
      <w:r>
        <w:rPr>
          <w:rFonts w:ascii="Amiri" w:hAnsi="Amiri" w:eastAsia="Amiri" w:cs="Amiri"/>
          <w:color w:val="111111"/>
          <w:sz w:val="28"/>
          <w:sz w:val="28"/>
          <w:szCs w:val="28"/>
          <w:rtl w:val="true"/>
          <w:lang w:bidi="ar-SA"/>
        </w:rPr>
        <w:t>منهما يدّعي موضوعاً ذا أثر شرعي ، لما عرفت من أنّ كلاًّ من اللزوم والخيار ، أثر متعلّق بموضوع خاصّ</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أقام البائع البيّنة على حدوثه في يد المشتري ، أو بعد مضيّ الخيار ، يحكم بلزوم العقد ، وسلب الخيار والأرش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إذا ادّعى البائع أنّ العيب حدث عند المشتري ، حلف المشتري إن كان منكراً </w:t>
      </w:r>
      <w:r>
        <w:rPr>
          <w:rStyle w:val="FootnoteAnchor"/>
          <w:rtl w:val="true"/>
        </w:rPr>
        <w:footnoteReference w:id="371"/>
      </w:r>
      <w:r>
        <w:rPr>
          <w:rFonts w:ascii="Amiri" w:hAnsi="Amiri" w:eastAsia="Amiri" w:cs="Amiri"/>
          <w:color w:val="111111"/>
          <w:sz w:val="28"/>
          <w:sz w:val="28"/>
          <w:szCs w:val="28"/>
          <w:rtl w:val="true"/>
          <w:lang w:bidi="ar-SA"/>
        </w:rPr>
        <w:t xml:space="preserve">لعلّه لأنّ البائع مدّعٍ عرفاً ، وتكون دعواه أمراً ذا أثر ، والمشتري منكر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استناده إلى أصالة عدم تسليم البائع العين إلى المشتري على الوجه المقصود ، وعدم استحقاقه الثمن كلاًّ ، وعدم لزوم العقد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غاية البعد في تمسّك مثل ابن الجنيد ونظائره بتلك الاُصول المتداولة في ألسنة المتأخّرين على هذا المنهج البعيد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الاُصول المذكورة لا أصل لها ، وفيها إشكال من وجوه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العدم المذكور ، ليست له حالة سابقة إلاّ بنحو العدم المحمولي ، الصادق حتّى قبل وجود العقد والعاقد ، فهو بهذا الوجه لا أثر له ؛ لأنّ الأثر لو كان ، فهو مترتّب على التسليم لا على الوجه المقصود ، لا على عدم التسليم كذلك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الأصل المذكور ، لا يثبت عدم حدوث العيب عند المشتري إلاّ بالأصل المثبت ، ومع الغضّ عنهما فهو معارض بأصالة عدم تسليمه على الوجه الآخر ؛ أي مع وصف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الثمن لا يصير معنوناً بالثمنية إلاّ بعد العقد ، وعليه فيرد</w:t>
      </w:r>
    </w:p>
    <w:p>
      <w:pPr>
        <w:pStyle w:val="BookText"/>
        <w:rPr/>
      </w:pPr>
      <w:r>
        <w:rPr>
          <w:rFonts w:ascii="Amiri" w:hAnsi="Amiri" w:eastAsia="Amiri" w:cs="Amiri"/>
          <w:color w:val="111111"/>
          <w:sz w:val="28"/>
          <w:sz w:val="28"/>
          <w:szCs w:val="28"/>
          <w:rtl w:val="true"/>
          <w:lang w:bidi="ar-SA"/>
        </w:rPr>
        <w:t xml:space="preserve">عليها ما يرد على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العدم المحمولي لا أثر له ، ولا يثبت باستصحابه عدم الاستحقاق بعد وصف الثمنية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مثبت أيضاً ؛ لأنّ عدم حدوث العيب عند المشتري ، لازم عقلي لعدم استحقاق الثمن 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منع عدم استحقاقه كلاًّ ؛ فإنّ الأرش لا يتعيّن أن يكون من الثمن</w:t>
      </w:r>
    </w:p>
    <w:p>
      <w:pPr>
        <w:pStyle w:val="BookText"/>
        <w:rPr/>
      </w:pPr>
      <w:r>
        <w:rPr>
          <w:rFonts w:ascii="Amiri" w:hAnsi="Amiri" w:eastAsia="Amiri" w:cs="Amiri"/>
          <w:color w:val="111111"/>
          <w:sz w:val="28"/>
          <w:sz w:val="28"/>
          <w:szCs w:val="28"/>
          <w:rtl w:val="true"/>
          <w:lang w:bidi="ar-SA"/>
        </w:rPr>
        <w:t>وإن كان يتوهّم من تعبير بعض الروايات</w:t>
      </w:r>
      <w:r>
        <w:rPr>
          <w:rStyle w:val="FootnoteAnchor"/>
          <w:rtl w:val="true"/>
        </w:rPr>
        <w:footnoteReference w:id="373"/>
      </w:r>
      <w:r>
        <w:rPr>
          <w:rFonts w:ascii="Amiri" w:hAnsi="Amiri" w:eastAsia="Amiri" w:cs="Amiri"/>
          <w:color w:val="111111"/>
          <w:sz w:val="28"/>
          <w:sz w:val="28"/>
          <w:szCs w:val="28"/>
          <w:rtl w:val="true"/>
          <w:lang w:bidi="ar-SA"/>
        </w:rPr>
        <w:t xml:space="preserve">، لكنّ القيد عادي أكثري ، لا يصلح لتقييد المطلقات الدالّة على لزوم تفاوت القيمة ، أو لزوم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تقسيط الثمن على السلعة والعيب</w:t>
      </w:r>
      <w:r>
        <w:rPr>
          <w:rStyle w:val="FootnoteAnchor"/>
          <w:rtl w:val="true"/>
        </w:rPr>
        <w:footnoteReference w:id="374"/>
      </w:r>
      <w:r>
        <w:rPr>
          <w:rFonts w:ascii="Amiri" w:hAnsi="Amiri" w:eastAsia="Amiri" w:cs="Amiri"/>
          <w:color w:val="111111"/>
          <w:sz w:val="28"/>
          <w:sz w:val="28"/>
          <w:szCs w:val="28"/>
          <w:rtl w:val="true"/>
          <w:lang w:bidi="ar-SA"/>
        </w:rPr>
        <w:t xml:space="preserve">، فاسد جدّاً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الأرش على الذمّة</w:t>
      </w:r>
      <w:r>
        <w:rPr>
          <w:rStyle w:val="FootnoteAnchor"/>
          <w:rtl w:val="true"/>
        </w:rPr>
        <w:footnoteReference w:id="375"/>
      </w:r>
      <w:r>
        <w:rPr>
          <w:rFonts w:ascii="Amiri" w:hAnsi="Amiri" w:eastAsia="Amiri" w:cs="Amiri"/>
          <w:color w:val="111111"/>
          <w:sz w:val="28"/>
          <w:sz w:val="28"/>
          <w:szCs w:val="28"/>
          <w:rtl w:val="true"/>
          <w:lang w:bidi="ar-SA"/>
        </w:rPr>
        <w:t>، فلو كان الثمن على ذمّة المشتري يتهاتر ، فيصحّ الأصل المذكور ضعيف لما مرّ في محلّه ؛ من أنّ الأرش ليس على ذمّة البائع ، وإنّما للمشتري حقّ مطالبته به</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يقال في تقريبها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اللزوم ، هو العقد على الصحيح ، ووقوعه عليه مسبوق بالعدم ، فبأصالة عدمه يحكم بعدم اللزوم</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عليها ما يرد على السابقتين ؛ فإنّ عدم وقوع العقد على الصحيح ، ليس موضوعاً لأثر شرعي ، بل الموضوع للأثر وقوعه على المعيب ، والأصل لا يثبته ، مع أ نّه مثبت بالنسبة إلى مورد الدعوى ونفيها ، ومع الغضّ عن ذلك كلّه ، فهو معارض بالمثل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وصف الصحّة ، لا دخل له شرعاً في اللزوم ؛ لأنّ موضوع اللزوم العقد الصحيح ، لا العقد على الصحيح</w:t>
      </w:r>
      <w:r>
        <w:rPr>
          <w:rStyle w:val="FootnoteAnchor"/>
          <w:rtl w:val="true"/>
        </w:rPr>
        <w:footnoteReference w:id="378"/>
      </w:r>
      <w:r>
        <w:rPr>
          <w:rFonts w:ascii="IRNazanin" w:hAnsi="IRNazanin" w:eastAsia="IRNazanin"/>
          <w:color w:val="111111"/>
          <w:sz w:val="28"/>
          <w:sz w:val="28"/>
          <w:szCs w:val="28"/>
          <w:rtl w:val="true"/>
          <w:lang w:bidi="fa-IR"/>
        </w:rPr>
        <w:t>، فقد مرّ دفعه</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لا وقع للأصل المذكور ، لا وقع لأصالة عدم وقوع العقد على ما به عيب لنفي موضوع الخيار ؛ لأنّ ما يثبت به عدم الخيار في البيع الكذائي ، هو وقوعه على غير المعيب ، لا عدم وقوعه على المعيب بالعدم المطلق ، الصادق مع عدم العاقد والعقد ، ولا يصحّ إثبات المقيّد باستصحاب المطلق ، فالاُصول المذكورة كلّها مخدوشة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أقام أحدهما بيّنة عمل بها ، ولو أقاما عمل</w:t>
      </w:r>
    </w:p>
    <w:p>
      <w:pPr>
        <w:pStyle w:val="BookText"/>
        <w:rPr/>
      </w:pPr>
      <w:r>
        <w:rPr>
          <w:rFonts w:ascii="Amiri" w:hAnsi="Amiri" w:eastAsia="Amiri" w:cs="Amiri"/>
          <w:color w:val="111111"/>
          <w:sz w:val="28"/>
          <w:sz w:val="28"/>
          <w:szCs w:val="28"/>
          <w:rtl w:val="true"/>
          <w:lang w:bidi="ar-SA"/>
        </w:rPr>
        <w:t>ببيّنة المشتري ؛ لأنّ القول قول البائع ، لأ نّه ينكر ، فالبيّنة على المشتري</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بيّنة المنكر ، وكذا ترجيح بيّنته على بينّة المدّعي ، مسألتان </w:t>
      </w:r>
      <w:bookmarkStart w:id="239" w:name="pg15222_162290"/>
    </w:p>
    <w:p>
      <w:pPr>
        <w:pStyle w:val="BookText"/>
        <w:rPr/>
      </w:pPr>
      <w:bookmarkEnd w:id="239"/>
      <w:r>
        <w:rPr>
          <w:rFonts w:ascii="Amiri" w:hAnsi="Amiri" w:eastAsia="Amiri" w:cs="Amiri"/>
          <w:color w:val="111111"/>
          <w:sz w:val="28"/>
          <w:sz w:val="28"/>
          <w:szCs w:val="28"/>
          <w:rtl w:val="true"/>
          <w:lang w:bidi="ar-SA"/>
        </w:rPr>
        <w:t>مشكلتان ، وقد اختلفت فيهما الأخبار والآراء ولا سيّما في الثانية ، ولا يمكن</w:t>
      </w:r>
    </w:p>
    <w:p>
      <w:pPr>
        <w:pStyle w:val="BookText"/>
        <w:rPr/>
      </w:pPr>
      <w:r>
        <w:rPr>
          <w:rFonts w:ascii="Amiri" w:hAnsi="Amiri" w:eastAsia="Amiri" w:cs="Amiri"/>
          <w:color w:val="111111"/>
          <w:sz w:val="28"/>
          <w:sz w:val="28"/>
          <w:szCs w:val="28"/>
          <w:rtl w:val="true"/>
          <w:lang w:bidi="ar-SA"/>
        </w:rPr>
        <w:t xml:space="preserve">تنقيحهما في المقام ؛ فإنّه خروج عن وضع الرسالة </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331680_2142443653"/>
      <w:bookmarkStart w:id="241" w:name="_Toc89"/>
      <w:bookmarkEnd w:id="240"/>
      <w:r>
        <w:rPr>
          <w:rtl w:val="true"/>
        </w:rPr>
        <w:t>لزوم التطابق بين الدعوى وردّها والحلف والبيّنة</w:t>
      </w:r>
      <w:bookmarkEnd w:id="241"/>
    </w:p>
    <w:p>
      <w:pPr>
        <w:pStyle w:val="BookText"/>
        <w:rPr/>
      </w:pPr>
      <w:r>
        <w:rPr>
          <w:rFonts w:ascii="IRNazanin" w:hAnsi="IRNazanin" w:eastAsia="IRNazanin"/>
          <w:color w:val="111111"/>
          <w:sz w:val="28"/>
          <w:sz w:val="28"/>
          <w:szCs w:val="28"/>
          <w:rtl w:val="true"/>
          <w:lang w:bidi="fa-IR"/>
        </w:rPr>
        <w:t xml:space="preserve">ثمّ إنّه لا إشكال في أنّ مقتضى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المدّعي ، واليمين على المدّعى عليه</w:t>
      </w:r>
      <w:r>
        <w:rPr>
          <w:rFonts w:eastAsia="IRNazanin" w:cs="IRNazanin"/>
          <w:color w:val="111111"/>
          <w:sz w:val="28"/>
          <w:szCs w:val="28"/>
          <w:rtl w:val="true"/>
          <w:lang w:bidi="fa-IR"/>
        </w:rPr>
        <w:t>»</w:t>
      </w:r>
      <w:r>
        <w:rPr>
          <w:rStyle w:val="FootnoteAnchor"/>
          <w:rtl w:val="true"/>
        </w:rPr>
        <w:footnoteReference w:id="38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أنكر</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xml:space="preserve">هو لزوم التطابق بين الدعوى وردّها ، وبين الحلف والبيّنة ، ولزوم كون مصبّهما أمراً واحداً ؛ لأنّ منشأ صدق العنوانين هو الدعوى ، وهما متضايفان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المستفيضة ، أ نّه في الدعوى التي صار لأجلها المدّعي والمدّعى عليه معنونين بهما ، تكون البيّنة على الأوّل ، واليمين على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يكفي في الصدق العرفي أن يكون المدّعي مدّعياً للثبوت ، والمنكر نافياً لما يدّعيه ولو باللزوم العرفي ، لا العقلي ، فلو ادّعى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نّي أقرضتك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كانت ذمّتي مشغولة لك في حال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لازمه نفي الإقراض ، فيصدق الإنكار وردّ الدعوى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ذمّتي مشغولة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الاشتغال الفعلي ، ليس ملزوماً لعدم الإقراض ، فلا تطابق </w:t>
      </w:r>
      <w:r>
        <w:rPr>
          <w:rFonts w:eastAsia="Amiri" w:cs="Amiri" w:ascii="Amiri" w:hAnsi="Amiri"/>
          <w:color w:val="111111"/>
          <w:sz w:val="28"/>
          <w:szCs w:val="28"/>
          <w:rtl w:val="true"/>
          <w:lang w:bidi="ar-SA"/>
        </w:rPr>
        <w:t xml:space="preserve">. </w:t>
      </w:r>
      <w:bookmarkStart w:id="242" w:name="pg15222_162291"/>
    </w:p>
    <w:p>
      <w:pPr>
        <w:pStyle w:val="BookText"/>
        <w:rPr/>
      </w:pPr>
      <w:bookmarkEnd w:id="242"/>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أنّ المبيع كان معيباً ، لا بدّ من الحلف على نفيه ، وأمّا الحلف على نفي استحقاق الردّ والأرش فلا يكفي ؛ لعدم التطابق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 دعوى العيب عرفاً إلى دعوى استحقاقهما ، أو تضمّنها لها كذلك ؛ فإنّ تلك الدعوى لأجل إثبات الاستحقاق ، فعليه يكون الحلف على نفيه مطابقاً للدعوى بنحو الالتزام العرفي ، وفيه 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ادّعى العيب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يتطابق الإثبات والنفي لا مطابقة ، ولا التزاماً ، ولم يتوجّه اليمين المذكور إليه ، فلو حلف كذلك لم</w:t>
      </w:r>
    </w:p>
    <w:p>
      <w:pPr>
        <w:pStyle w:val="BookText"/>
        <w:rPr/>
      </w:pPr>
      <w:r>
        <w:rPr>
          <w:rFonts w:ascii="Amiri" w:hAnsi="Amiri" w:eastAsia="Amiri" w:cs="Amiri"/>
          <w:color w:val="111111"/>
          <w:sz w:val="28"/>
          <w:sz w:val="28"/>
          <w:szCs w:val="28"/>
          <w:rtl w:val="true"/>
          <w:lang w:bidi="ar-SA"/>
        </w:rPr>
        <w:t xml:space="preserve">يكن فاصلاً للخصومة ، ولا موجباً لتوقّف الدعوى موقّتاً ، بل لا بدّ من ردّ الحلف على المدّعي ، أو الحكم على المدّعى عليه بمجرّد النكول ، وكذا الحال في كلّ مورد من الدعاوى المتعلّقة بالواقع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مدّعياً لعلمه ، كما لو ادّعى البائع علم المشتري بالعيب ، فلا بدّ من الحلف على عدمه ، أو على عنوان يلزم منه عدمه </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3331682_2142443653"/>
      <w:bookmarkStart w:id="244" w:name="_Toc90"/>
      <w:bookmarkEnd w:id="243"/>
      <w:r>
        <w:rPr>
          <w:rtl w:val="true"/>
        </w:rPr>
        <w:t>اشتراط الجزم في الحلف وإن استند للأمارات</w:t>
      </w:r>
      <w:bookmarkEnd w:id="244"/>
    </w:p>
    <w:p>
      <w:pPr>
        <w:pStyle w:val="BookText"/>
        <w:rPr/>
      </w:pPr>
      <w:r>
        <w:rPr>
          <w:rFonts w:ascii="Amiri" w:hAnsi="Amiri" w:eastAsia="Amiri" w:cs="Amiri"/>
          <w:color w:val="111111"/>
          <w:sz w:val="28"/>
          <w:sz w:val="28"/>
          <w:szCs w:val="28"/>
          <w:rtl w:val="true"/>
          <w:lang w:bidi="ar-SA"/>
        </w:rPr>
        <w:t>ثمّ إنّه لا بدّ في الحلف أن يكون بنحو الجزم ؛ أي متعلّقاً بقضيّة تصديقية جازمة ، فلو كان متردّداً فحلف جازماً ، لم يكن مثله فاصلاً بحسب الواقع ولو حكم الحاكم أخذاً بالظاهر ، كما لو حلف كاذباً ، أو مورّياً ، أو أقام المدّعي بيّنة</w:t>
      </w:r>
    </w:p>
    <w:p>
      <w:pPr>
        <w:pStyle w:val="BookText"/>
        <w:rPr/>
      </w:pPr>
      <w:r>
        <w:rPr>
          <w:rFonts w:ascii="Amiri" w:hAnsi="Amiri" w:eastAsia="Amiri" w:cs="Amiri"/>
          <w:color w:val="111111"/>
          <w:sz w:val="28"/>
          <w:sz w:val="28"/>
          <w:szCs w:val="28"/>
          <w:rtl w:val="true"/>
          <w:lang w:bidi="ar-SA"/>
        </w:rPr>
        <w:t xml:space="preserve">كاذبة ، مع غفلة القاضي عنها ، ولا يكون الحكم في تلك الموارد فاصلاً واقعاً ، فلو اطّلع القاضي على الواقعة ، يحكم بعدم الفصل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اللازم في الجزم ، أن يكون ناشئاً من اليقين بالواقع ، فلا يكفي الحلف </w:t>
      </w:r>
    </w:p>
    <w:p>
      <w:pPr>
        <w:pStyle w:val="BookText"/>
        <w:rPr/>
      </w:pPr>
      <w:r>
        <w:rPr>
          <w:rFonts w:ascii="Amiri" w:hAnsi="Amiri" w:eastAsia="Amiri" w:cs="Amiri"/>
          <w:color w:val="111111"/>
          <w:sz w:val="28"/>
          <w:sz w:val="28"/>
          <w:szCs w:val="28"/>
          <w:rtl w:val="true"/>
          <w:lang w:bidi="ar-SA"/>
        </w:rPr>
        <w:t>المستند إلى الأمارات العقلائية أو الشرعية ، إلاّ أن تفيد الاطمئنان ، أو يكفي الاستناد إلى الأمارات مطلقاً ، أو يكفي الاستناد إلى الاُصول أيضاً ، كالاستصحاب ، وأصلي الطهارة والحلّ ؟</w:t>
      </w:r>
    </w:p>
    <w:p>
      <w:pPr>
        <w:pStyle w:val="BookText"/>
        <w:rPr/>
      </w:pPr>
      <w:r>
        <w:rPr>
          <w:rFonts w:ascii="Amiri" w:hAnsi="Amiri" w:eastAsia="Amiri" w:cs="Amiri"/>
          <w:color w:val="111111"/>
          <w:sz w:val="28"/>
          <w:sz w:val="28"/>
          <w:szCs w:val="28"/>
          <w:rtl w:val="true"/>
          <w:lang w:bidi="ar-SA"/>
        </w:rPr>
        <w:t xml:space="preserve">لا إشكال في عدم اعتبار اليقين والقطع ، بل ولا حصول الاطمئنان ، بل يصحّ الحلف مع الاستناد إلى الأمارات العقلائية والشرعية ، وإلاّ لتوقّف جلّ الدعاوى ؛ فإنّه قلّما يتّفق العلم القطعي ، بل الاطمئنان ، ولا سيّما في موارد الدعاوى والاختلافات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الجواز والكفاية بعض الروايات</w:t>
      </w:r>
      <w:r>
        <w:rPr>
          <w:rStyle w:val="FootnoteAnchor"/>
          <w:rtl w:val="true"/>
        </w:rPr>
        <w:footnoteReference w:id="383"/>
      </w:r>
      <w:r>
        <w:rPr>
          <w:rFonts w:ascii="Amiri" w:hAnsi="Amiri" w:eastAsia="Amiri" w:cs="Amiri"/>
          <w:color w:val="111111"/>
          <w:sz w:val="28"/>
          <w:sz w:val="28"/>
          <w:szCs w:val="28"/>
          <w:rtl w:val="true"/>
          <w:lang w:bidi="ar-SA"/>
        </w:rPr>
        <w:t xml:space="preserve">، بل السيرة القطعية من العلماء الأخيار على ذلك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الاستناد إلى الاُصول</w:t>
      </w:r>
      <w:r>
        <w:rPr>
          <w:rStyle w:val="FootnoteAnchor"/>
          <w:rtl w:val="true"/>
        </w:rPr>
        <w:footnoteReference w:id="384"/>
      </w:r>
      <w:r>
        <w:rPr>
          <w:rFonts w:ascii="Amiri" w:hAnsi="Amiri" w:eastAsia="Amiri" w:cs="Amiri"/>
          <w:color w:val="111111"/>
          <w:sz w:val="28"/>
          <w:sz w:val="28"/>
          <w:szCs w:val="28"/>
          <w:rtl w:val="true"/>
          <w:lang w:bidi="ar-SA"/>
        </w:rPr>
        <w:t xml:space="preserve">ففيه إشكال ، لا لعدم جواز الحلف جزماً على طبقها ؛ فإنّ حكم الشارع الأقدس بكونه طاهراً أو حلالاً ، يجوّز الحلف على نحو ما ورد ، بل لأجل عدم التطابق بين الدعوى والحلف ، إذا كانت </w:t>
      </w:r>
    </w:p>
    <w:p>
      <w:pPr>
        <w:pStyle w:val="BookText"/>
        <w:rPr/>
      </w:pPr>
      <w:r>
        <w:rPr>
          <w:rFonts w:ascii="Amiri" w:hAnsi="Amiri" w:eastAsia="Amiri" w:cs="Amiri"/>
          <w:color w:val="111111"/>
          <w:sz w:val="28"/>
          <w:sz w:val="28"/>
          <w:szCs w:val="28"/>
          <w:rtl w:val="true"/>
          <w:lang w:bidi="ar-SA"/>
        </w:rPr>
        <w:t xml:space="preserve">الدعوى متعلّقة بثبوت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الطهارة وبين ما نحن فيه ؛ بأنّ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استعمال المتشرّعة ، ما يعمّ غير معلوم النجاسة ، لا الطاهر الواقعي ، كما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الملكية والزوجية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استند إلى سبب شرعي ظاهري</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وقرّبه بعض المحشّين ؛ بأنّ الطهارة والنجاسة ، من الموضوعات المجعولة شرعاً ، فيكون ما هو مشكوك الطهارة ، طاهراً فعلاً شرعاً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ففيهما إشكال ولا سيّما الثاني ؛ فإنّه إن كان المراد ، أ نّه ليس في استعمالهم الطهارة الظاهرية والواقعية ، ولا فرق بينهما عندهم ، فهو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المشكوك فيه طاهر حقيقة لدى الشارع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مفاد قول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أفحش ، إلاّ عند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النجس هو خصوص معلوم النجاسة ، والعلم جزء الموضوع</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صحّة الجزم بها ؛ فإنّ الطاهر الظاهري أيضاً طاهر بحسب الأحكام ، وهو كافٍ في الحلف على ثبوتها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يفي بالجواب عن عدم التطابق بين الدعوى ونفيها ، مضافاً إلى أنّ استصحاب عدم العيب أيضاً مجوّز للحلف عليه ، كأصالة الطهارة ، فالتفصيل غير وجيه </w:t>
      </w:r>
      <w:r>
        <w:rPr>
          <w:rFonts w:eastAsia="Amiri" w:cs="Amiri" w:ascii="Amiri" w:hAnsi="Amiri"/>
          <w:color w:val="111111"/>
          <w:sz w:val="28"/>
          <w:szCs w:val="28"/>
          <w:rtl w:val="true"/>
          <w:lang w:bidi="ar-SA"/>
        </w:rPr>
        <w:t xml:space="preserve">. </w:t>
      </w:r>
      <w:bookmarkStart w:id="245" w:name="pg15222_162294"/>
    </w:p>
    <w:p>
      <w:pPr>
        <w:pStyle w:val="Heading6"/>
        <w:numPr>
          <w:ilvl w:val="5"/>
          <w:numId w:val="1"/>
        </w:numPr>
        <w:rPr/>
      </w:pPr>
      <w:bookmarkStart w:id="246" w:name="__RefHeading___Toc3331684_2142443653"/>
      <w:bookmarkStart w:id="247" w:name="_Toc91"/>
      <w:bookmarkEnd w:id="245"/>
      <w:bookmarkEnd w:id="246"/>
      <w:r>
        <w:rPr>
          <w:rtl w:val="true"/>
        </w:rPr>
        <w:t xml:space="preserve">فرع </w:t>
      </w:r>
      <w:r>
        <w:rPr>
          <w:rtl w:val="true"/>
        </w:rPr>
        <w:t xml:space="preserve">: </w:t>
      </w:r>
      <w:r>
        <w:rPr>
          <w:rtl w:val="true"/>
        </w:rPr>
        <w:t>في لزوم ردّ المعيب على الموكّل دون الوكيل</w:t>
      </w:r>
      <w:bookmarkEnd w:id="247"/>
    </w:p>
    <w:p>
      <w:pPr>
        <w:pStyle w:val="BookText"/>
        <w:rPr/>
      </w:pPr>
      <w:r>
        <w:rPr>
          <w:rFonts w:ascii="Amiri" w:hAnsi="Amiri" w:eastAsia="Amiri" w:cs="Amiri"/>
          <w:color w:val="111111"/>
          <w:sz w:val="28"/>
          <w:sz w:val="28"/>
          <w:szCs w:val="28"/>
          <w:rtl w:val="true"/>
          <w:lang w:bidi="ar-SA"/>
        </w:rPr>
        <w:t xml:space="preserve">لو باع الوكيل في خصوص البيع ، فوجد به المشتري عيباً يوجب الردّ ، ردّه على الموكّل دون الوكيل ، فلو ردّه عليه صار ضامناً كالوكيل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 المشتري والموكّل في العيب ونحوه ، يحلف الموكّل مع فقد البيّنة ، ولا يقبل إقرار الوكيل ؛ لأ نّه صار أجنبيّاً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إقراره ؛ لقاعدة من ملك شيئاً ملك الإقرار به</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فاسد ؛ فإنّه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عدم دليل على القاعدة ، وعدم ثبوت قيام إجماع معتمد أو شهرة معتمدة عليها ؛ لاحتمال استناد جملة من المجمعين إلى قواعد اُخر ، كقاعدة الإقرار ، أو توهّم ثبوت قاعدة عقلائية في نفوذه ممّن كان المال تحت يده، كقبول قول ذي اليد في الطهارة والنجاسة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صدورها بهذه اللفظة من المعصوم علیه السلام ، لا تشمل مثل المقام ؛ فإنّ الظاهر منها أنّ ظرف الإقرار هو عين ظرف الملك ، فالإقرار بعد مضيّ السلطنة والملك ، غير مشمول 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أقرّ الوليّ بما يتعلّق بملك الصغير بعد قطع ولايته ، لم ينفذ بالضرورة ، وكذا لو باع ملك الصغير ، ثمّ انقطعت ولايته ، فأقرّ بشيء بالنسبة إلى بيعه ، أو إلى</w:t>
      </w:r>
    </w:p>
    <w:p>
      <w:pPr>
        <w:pStyle w:val="BookText"/>
        <w:rPr/>
      </w:pPr>
      <w:r>
        <w:rPr>
          <w:rFonts w:ascii="Amiri" w:hAnsi="Amiri" w:eastAsia="Amiri" w:cs="Amiri"/>
          <w:color w:val="111111"/>
          <w:sz w:val="28"/>
          <w:sz w:val="28"/>
          <w:szCs w:val="28"/>
          <w:rtl w:val="true"/>
          <w:lang w:bidi="ar-SA"/>
        </w:rPr>
        <w:t xml:space="preserve">ما باعه ، لم ينفذ اتّكالاً على القاعدة ؛ لعدم وحدة ظرف الإقرار والسلطنة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لا شبهة في نفوذ إقرار الوكيل بالبيع ، إذا أنكر الموكّل وقوعه</w:t>
      </w:r>
      <w:r>
        <w:rPr>
          <w:rStyle w:val="FootnoteAnchor"/>
          <w:rtl w:val="true"/>
        </w:rPr>
        <w:footnoteReference w:id="389"/>
      </w:r>
      <w:r>
        <w:rPr>
          <w:rFonts w:ascii="Amiri" w:hAnsi="Amiri" w:eastAsia="Amiri" w:cs="Amiri"/>
          <w:color w:val="111111"/>
          <w:sz w:val="28"/>
          <w:sz w:val="28"/>
          <w:szCs w:val="28"/>
          <w:rtl w:val="true"/>
          <w:lang w:bidi="ar-SA"/>
        </w:rPr>
        <w:t xml:space="preserve">، على فرض صحّته لا بدّ وأن يكون له مستند غير تلك القاعدة ، </w:t>
      </w:r>
    </w:p>
    <w:p>
      <w:pPr>
        <w:pStyle w:val="BookText"/>
        <w:rPr/>
      </w:pPr>
      <w:r>
        <w:rPr>
          <w:rFonts w:ascii="Amiri" w:hAnsi="Amiri" w:eastAsia="Amiri" w:cs="Amiri"/>
          <w:color w:val="111111"/>
          <w:sz w:val="28"/>
          <w:sz w:val="28"/>
          <w:szCs w:val="28"/>
          <w:rtl w:val="true"/>
          <w:lang w:bidi="ar-SA"/>
        </w:rPr>
        <w:t xml:space="preserve">ولم يثبت كون التسالم بينهم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تلك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الوكيل انقطعت وكالته وسلطنته على المال بالبيع ، وليس الاستيلاء الخارجي قبل إقباض المشتري سلطنة ؛ فإنّ السلطنة من قبل البائع الموكّل انقطعت ، وليس سلطاناً من قبل المشتري أيضاً ، فلا سلطنة له بعد البيع قبل الإقباض ، فضلاً عمّا بعده ، فلا ينفذ إقراره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 القاعدة هو الأعيان المسلّط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المراد منه هو التصرّفات الواردة على الأشياء ، كالبيع ، والإجارة ، ونحوها ، وكان المراد أنّ من ملك تصرّفاً ملك الإقرار به ، نفذ إقراره بالبيع ؛ لأ نّه</w:t>
      </w:r>
    </w:p>
    <w:p>
      <w:pPr>
        <w:pStyle w:val="BookText"/>
        <w:rPr/>
      </w:pPr>
      <w:r>
        <w:rPr>
          <w:rFonts w:ascii="Amiri" w:hAnsi="Amiri" w:eastAsia="Amiri" w:cs="Amiri"/>
          <w:color w:val="111111"/>
          <w:sz w:val="28"/>
          <w:sz w:val="28"/>
          <w:szCs w:val="28"/>
          <w:rtl w:val="true"/>
          <w:lang w:bidi="ar-SA"/>
        </w:rPr>
        <w:t xml:space="preserve">كان سلطاناً عليه ، وأمّا الإقرار بالعيب ونحوه فلا ؛ لخروجه عنها موضوعاً ، والتفصيل موكول إلى محلّه ، وكيف كان لا دليل على نفوذ إقراره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المشتري منكراً لوكالته ، ولم تكن له بيّنة على إثباتها ، فادّعى على الوكيل تقدّم العيب مثلاً ، فإن اعترف الوكيل ، لم يملك ردّه على موكّله لو كان منكراً له ؛ لأنّ ذلك دعوى على الموكّل لا بدّ من فصلها بالبيّنة ، أو إحلاف الموكّل على عدمه ، وهذه الدعوى مقبولة ، لها أثر بحسب ظاهر الشرع ، كما أنّ الحلف كذلك ؛ لأ نّه يدفع عنه الضمان في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لو أنكر الوكيل التقدّم ، حلف ليدفع عن نفسه ما يتوجّه إليه من الضمان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نكل فحلف المشتري اليمين المردودة ، ردّ العين على الوكيل ، وليس للوكيل ردّها على موكّله إلاّ مع إقامة البيّنة </w:t>
      </w:r>
      <w:r>
        <w:rPr>
          <w:rFonts w:eastAsia="Amiri" w:cs="Amiri" w:ascii="Amiri" w:hAnsi="Amiri"/>
          <w:color w:val="111111"/>
          <w:sz w:val="28"/>
          <w:szCs w:val="28"/>
          <w:rtl w:val="true"/>
          <w:lang w:bidi="ar-SA"/>
        </w:rPr>
        <w:t xml:space="preserve">. </w:t>
      </w:r>
      <w:bookmarkStart w:id="248" w:name="pg15222_162296"/>
    </w:p>
    <w:p>
      <w:pPr>
        <w:pStyle w:val="BookText"/>
        <w:rPr/>
      </w:pPr>
      <w:bookmarkEnd w:id="248"/>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ابتناء المسألة على كون اليمين المردودة كالبيّنة ، فينفذ في حقّ الموكّل ، أو كإقرار المنكر فلا ينفذ</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كونه بمنزلة واحد منهما ، مع أ نّه على فرض التسليم ، لا يصحّ في المقام إلاّ على بعض الوجوه ، وتنقيح تلك المسائل موكول إلى محالّها </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3331686_2142443653"/>
      <w:bookmarkStart w:id="250" w:name="_Toc92"/>
      <w:bookmarkEnd w:id="249"/>
      <w:r>
        <w:rPr>
          <w:rtl w:val="true"/>
        </w:rPr>
        <w:t xml:space="preserve">الرابع </w:t>
      </w:r>
      <w:r>
        <w:rPr>
          <w:rtl w:val="true"/>
        </w:rPr>
        <w:t xml:space="preserve">: </w:t>
      </w:r>
      <w:r>
        <w:rPr>
          <w:rtl w:val="true"/>
        </w:rPr>
        <w:t>الاختلاف في السلعة</w:t>
      </w:r>
      <w:bookmarkEnd w:id="250"/>
    </w:p>
    <w:p>
      <w:pPr>
        <w:pStyle w:val="Heading6"/>
        <w:numPr>
          <w:ilvl w:val="5"/>
          <w:numId w:val="1"/>
        </w:numPr>
        <w:rPr/>
      </w:pPr>
      <w:bookmarkStart w:id="251" w:name="__RefHeading___Toc3331688_2142443653"/>
      <w:bookmarkStart w:id="252" w:name="_Toc93"/>
      <w:bookmarkEnd w:id="251"/>
      <w:r>
        <w:rPr>
          <w:rtl w:val="true"/>
        </w:rPr>
        <w:t>الاختلاف في السلعة مع الخلاف في الخيار</w:t>
      </w:r>
      <w:bookmarkEnd w:id="252"/>
    </w:p>
    <w:p>
      <w:pPr>
        <w:pStyle w:val="BookText"/>
        <w:rPr/>
      </w:pPr>
      <w:r>
        <w:rPr>
          <w:rFonts w:ascii="Amiri" w:hAnsi="Amiri" w:eastAsia="Amiri" w:cs="Amiri"/>
          <w:color w:val="111111"/>
          <w:sz w:val="28"/>
          <w:sz w:val="28"/>
          <w:szCs w:val="28"/>
          <w:rtl w:val="true"/>
          <w:lang w:bidi="ar-SA"/>
        </w:rPr>
        <w:t xml:space="preserve">لو اختلفا في السلعة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الخلاف في الخيار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الاتّفاق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المشتري أنّ هذه السلعة هي التي وقع عليها العقد ، وكان غرضه إثبات الخيار ، فأنكر البائع ، فالقول قول البائع ؛ لأ نّه منكر عرفاً ، وطرفه مدّعٍ كذلك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عدم كونها سلعته ، وأصالة عدم تعلّق العقد بها </w:t>
      </w:r>
      <w:r>
        <w:rPr>
          <w:rStyle w:val="FootnoteAnchor"/>
          <w:rtl w:val="true"/>
        </w:rPr>
        <w:footnoteReference w:id="391"/>
      </w:r>
      <w:r>
        <w:rPr>
          <w:rFonts w:ascii="Amiri" w:hAnsi="Amiri" w:eastAsia="Amiri" w:cs="Amiri"/>
          <w:color w:val="111111"/>
          <w:sz w:val="28"/>
          <w:sz w:val="28"/>
          <w:szCs w:val="28"/>
          <w:rtl w:val="true"/>
          <w:lang w:bidi="ar-SA"/>
        </w:rPr>
        <w:t>، وأصالة عدم وقوع هذه السلعة الشخصية موقع البيع ، وأصالة عدم حقّ للمشتري على البائع</w:t>
      </w:r>
      <w:r>
        <w:rPr>
          <w:rStyle w:val="FootnoteAnchor"/>
          <w:rtl w:val="true"/>
        </w:rPr>
        <w:footnoteReference w:id="39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فكلّها ممّا لا أصل 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ما عدا الاُولى ، فلأنّ تلك الاُصول على فرض جريانها ، لا تثبت عدم كونها سلعته إلاّ بالأصل المثبت ، وقد تقدّم منّا أنّ المشخّص للمدّعي والمنكر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الميزان فيه 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الأصل الجاري في مصبّ الدعوى</w:t>
      </w:r>
      <w:r>
        <w:rPr>
          <w:rStyle w:val="FootnoteAnchor"/>
          <w:rtl w:val="true"/>
        </w:rPr>
        <w:footnoteReference w:id="393"/>
      </w:r>
      <w:r>
        <w:rPr>
          <w:rFonts w:ascii="Amiri" w:hAnsi="Amiri" w:eastAsia="Amiri" w:cs="Amiri"/>
          <w:color w:val="111111"/>
          <w:sz w:val="28"/>
          <w:sz w:val="28"/>
          <w:szCs w:val="28"/>
          <w:rtl w:val="true"/>
          <w:lang w:bidi="ar-SA"/>
        </w:rPr>
        <w:t xml:space="preserve">، ومصبّ الدعوى على الفرض ، هو كون السلعة له وعدمه ، وهذه دعوى مقبولة ذات أثر ، ولا يجوز إرجاعها إلى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الإشكال في أصل جريانها ؛ فإنّ ما هو المسبوق باليقين ، هو عدم وقوع العقد عليها بعدم العقد ، أو العدم الصادق مع عدمه ؛ أي المطلق القابل للانطباق عليه وعلى شقّ آخر ، وهذا ممّا لا أثر شرعي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هو موضوع الحكم ، هو وقوع العقد على غير المعيب على نحو معدولة المحمول، أو وقوعه على الذي ليس بمعيب على نحو الموجبة السالبة المحمول، أو كون العقد لم يقع على المعيب على نعت السالبة مع فرض تحقّق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العديل لإثبات عديله ، أو استصحاب المطلق لإثبات قسم منه ،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الكلام ، في أصالة عدم كون هذه السلعة واقعة موقع البيع ، إن رجعت إلى غير الأصل الأوّل ؛ فإنّ عدم الوقوع موقعه ، لا سابقة يقينية له إلاّ على نحو السلب المطلق ، أو النحو الآخر المشار إليه آنفاً ، ولا أثر له ، واستصحابه لإثبات قسم منه مثبت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عدم حقّ له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اُريد بها أصالة عدم حقّ الخيار له على البائع ، ففيها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لا يتعلّق إلاّ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عدم تعلّق حقّ الخيار بالعقد ، فيرد عليها ما 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به حقّ الأرش ، نظير أصل البراءة عنه ، فيمكن دعوى ورود الإشكال المتقدّم عليه أيضاً ؛ لأنّ الأرش هو التفاوت بين الصحيح والمعيب في المبيع الذي تعلّق به العقد ، لا التفاوت مطلقاً ، مع أ نّه مثبت بالنسبة إلى مصبّ الدعوى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كون هذه السلعة سلعته على فرض جريانها ، فهي وإن كانت في مصبّ الدعوى ، لكنّ الإشكال في جريانها ؛ لأنّ الأثر مترتّب على كون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تعلّق بها البيع ، وصارت سلعة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معيبة أو غير معيبة ، وهذا ليس مسبوقاً باليقين ، واستصحاب ما له حالة سابقة يقينية ،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بنينا على أنّ الميزان في التشخيص هو الأصل ، فلا يمكن الإحراز بتلك الاُصول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الكلام في أصل آخر ، وهو أصل حكمي ؛ أي أصالة عدم الخيار ، بدعوى أنّ الخيار حقّ حادث مسبوق بالعدم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وإن كان حقّاً حادثاً مسبوقاً بالعدم ، لكن مسبوقيته باليقين إنّما هي بعدم العقد ، وأمّا عدم الخيار في العقد فغير مسبوق باليقين ، وعليه فيرد عليه ما تقدّم ، مع أ نّه على فرض جريانه مثبت </w:t>
      </w:r>
      <w:r>
        <w:rPr>
          <w:rFonts w:eastAsia="Amiri" w:cs="Amiri" w:ascii="Amiri" w:hAnsi="Amiri"/>
          <w:color w:val="111111"/>
          <w:sz w:val="28"/>
          <w:szCs w:val="28"/>
          <w:rtl w:val="true"/>
          <w:lang w:bidi="ar-SA"/>
        </w:rPr>
        <w:t xml:space="preserve">. </w:t>
      </w:r>
      <w:bookmarkStart w:id="253" w:name="pg15222_162299"/>
    </w:p>
    <w:p>
      <w:pPr>
        <w:pStyle w:val="BookText"/>
        <w:rPr/>
      </w:pPr>
      <w:bookmarkEnd w:id="253"/>
      <w:r>
        <w:rPr>
          <w:rFonts w:ascii="Amiri" w:hAnsi="Amiri" w:eastAsia="Amiri" w:cs="Amiri"/>
          <w:color w:val="111111"/>
          <w:sz w:val="28"/>
          <w:sz w:val="28"/>
          <w:szCs w:val="28"/>
          <w:rtl w:val="true"/>
          <w:lang w:bidi="ar-SA"/>
        </w:rPr>
        <w:t xml:space="preserve">ولو ادّعى في هذا الفرض كلّ منهما غير ما يدّعيه الآخر ، فادّعى المشتري أنّ هذه السلعة سلعة البائع ، وادّعى البائع أنّ سلعته غير ذلك ؛ أي السلعة الصحيحة ، فكلّ منهما مدّعٍ ومنكر بحسب العرف ، والاُصول المتقدّمة ونظائرها قد عرفت ما فيها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حال ما لو اختلفا في ثبوت الخيار </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331690_2142443653"/>
      <w:bookmarkStart w:id="255" w:name="_Toc94"/>
      <w:bookmarkEnd w:id="254"/>
      <w:r>
        <w:rPr>
          <w:rtl w:val="true"/>
        </w:rPr>
        <w:t>الاختلاف في السلعة بعد الاتّفاق على الخيار</w:t>
      </w:r>
      <w:bookmarkEnd w:id="255"/>
    </w:p>
    <w:p>
      <w:pPr>
        <w:pStyle w:val="Heading6"/>
        <w:numPr>
          <w:ilvl w:val="5"/>
          <w:numId w:val="1"/>
        </w:numPr>
        <w:rPr/>
      </w:pPr>
      <w:bookmarkStart w:id="256" w:name="__RefHeading___Toc3331692_2142443653"/>
      <w:bookmarkStart w:id="257" w:name="_Toc95"/>
      <w:bookmarkEnd w:id="256"/>
      <w:r>
        <w:rPr>
          <w:rtl w:val="true"/>
        </w:rPr>
        <w:t xml:space="preserve">فهنا صورتان </w:t>
      </w:r>
      <w:r>
        <w:rPr>
          <w:rtl w:val="true"/>
        </w:rPr>
        <w:t>:</w:t>
      </w:r>
      <w:bookmarkEnd w:id="257"/>
    </w:p>
    <w:p>
      <w:pPr>
        <w:pStyle w:val="Heading6"/>
        <w:numPr>
          <w:ilvl w:val="5"/>
          <w:numId w:val="1"/>
        </w:numPr>
        <w:rPr/>
      </w:pPr>
      <w:bookmarkStart w:id="258" w:name="__RefHeading___Toc3331694_2142443653"/>
      <w:bookmarkStart w:id="259" w:name="_Toc96"/>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 xml:space="preserve">وأمّا لو اختلفا في السلعة ، بعد الاتّفاق على الخيار ، فهنا صورتان </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3331696_2142443653"/>
      <w:bookmarkStart w:id="261" w:name="_Toc97"/>
      <w:bookmarkEnd w:id="260"/>
      <w:r>
        <w:rPr>
          <w:rtl w:val="true"/>
        </w:rPr>
        <w:t xml:space="preserve">الاُولى </w:t>
      </w:r>
      <w:r>
        <w:rPr>
          <w:rtl w:val="true"/>
        </w:rPr>
        <w:t xml:space="preserve">: </w:t>
      </w:r>
      <w:r>
        <w:rPr>
          <w:rtl w:val="true"/>
        </w:rPr>
        <w:t>أن يريد المشتري بردّ السلعة المعيوبة الفسخ</w:t>
      </w:r>
      <w:bookmarkEnd w:id="261"/>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المشتري بردّ السلعة المعيوبة الفسخ ؛ أي يريد الفسخ العملي بردّ المعيوب ، فأنكر البائع كونها سلعته ، فالقول قول البائع بيمينه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هذا وبين الفرض المتقدّم ، ففي هذا الفرض يكون المشتري منكراً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الاتّفاق على الخيار، يكون الاختلاف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خيانة المشتري ، فيدّعيها البائع ، والمشتري ينكرها ، والأصل عدمها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حقّ الخيار الثابت ، فالبائع يدّعيه ، والمشتري ينكره ، والأصل بقاؤه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عليه 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إنكار كون السلعة سلعته ، لا يرجع إلى دعوى الخيانة ، ولا إلى دعوى سقوط الخيار ، بل ولا يلازمهما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أصالة عدم الخيانة ، لا تثبت كون السلعة سلعته ، وهذا هو مصبّ الدعوى ، كما أنّ أصل بقاء الخيار لا يثبت كونها سلعته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وناقش الشيخ الأعظم قدّس سرّه في كلام الفخر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الخيانة ، لو جرت مع وجود أصالة عدم كون المال الخاصّ هو المبيع ، لكانت جارية في الفرض الأوّل ؛ أي في صورة عدم الاتّفاق على الخيار ، وكانت حاكمة على سائر الاُصول التي تمسّك بها الفخر قدّس سرّه ، فلا فرق بين المسألتين</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يظهر منه تصديق الفخر في الأصل المذكور ، بل نظره الإشكال عليه ، وسؤال الفرق ، ولهذا لم يتمسّك بالأصل المذكور في شيء من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تأييد الفخر قدّس سرّه ، وبيان الفرق بين هذا الفرض والفرض المتقدّم</w:t>
      </w:r>
    </w:p>
    <w:p>
      <w:pPr>
        <w:pStyle w:val="BookText"/>
        <w:rPr/>
      </w:pPr>
      <w:r>
        <w:rPr>
          <w:rFonts w:ascii="Amiri" w:hAnsi="Amiri" w:eastAsia="Amiri" w:cs="Amiri"/>
          <w:color w:val="111111"/>
          <w:sz w:val="28"/>
          <w:sz w:val="28"/>
          <w:szCs w:val="28"/>
          <w:rtl w:val="true"/>
          <w:lang w:bidi="ar-SA"/>
        </w:rPr>
        <w:t xml:space="preserve">الذي لم يتّفقا فيه على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في صورة معلومية الخيار للعيب أو لغيره ، يكون دفع العين من البائع إلى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كونها في معرض العود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شبيهاً بالأمانة ، فكأنّ البائع جعل المشتري أميناً في ذلك ، فعليه أن يقبل قوله في</w:t>
      </w:r>
    </w:p>
    <w:p>
      <w:pPr>
        <w:pStyle w:val="BookText"/>
        <w:rPr/>
      </w:pPr>
      <w:r>
        <w:rPr>
          <w:rFonts w:ascii="Amiri" w:hAnsi="Amiri" w:eastAsia="Amiri" w:cs="Amiri"/>
          <w:color w:val="111111"/>
          <w:sz w:val="28"/>
          <w:sz w:val="28"/>
          <w:szCs w:val="28"/>
          <w:rtl w:val="true"/>
          <w:lang w:bidi="ar-SA"/>
        </w:rPr>
        <w:t>دعوى التعيين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ضرورة أ نّه على فرض كونه شبيهاً بالأمانة ، لا يوجب ذلك لزوم قبول قوله ؛ إذ لا دليل على كون الشبيه بالأمانة في حكمها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 نّه لا شباهة لذلك بالأمانة ؛ فإنّ ردّ مال الغير إلى صاحبه ، منافر للأمانة ، لا شبيه بها ، ومجرّد احتمال الفسخ لا يجعله شبيهاً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المشتري بمقتضى ثبوت حقّ الخيار ، وحقّ ردّ العين له ، تكون له الولاية شرعاً على العين ، فيجب تصديقه فيما له الولاية عليه ؛ لأ نّه أمين من قبل الشارع ، فلا يجوز اتّهامه وتخوينه ؛ للنصوص الخاصّة</w:t>
      </w:r>
      <w:r>
        <w:rPr>
          <w:rStyle w:val="FootnoteAnchor"/>
          <w:rtl w:val="true"/>
        </w:rPr>
        <w:footnoteReference w:id="40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الحقّ إنّما يتعلّق بالعقد ، لا بالعين ، والكلام إنّما هو في قبول قوله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ليس من قبيل الولاية على العين المشتراة ، ولا مستلزم لها ، بل الخيار حقّ عقلائي متعلّق بالعقد ، لا ولاية مجعولة من قبل العقلاء في الخيارات العقلائية ، كخيار الغبن ، والعيب ، أو من قبل الشارع ، كبعض الخيارات الاُخر ، وقياس المقام بولاية الحاكم أو الأب والجدّ ، مع الفارق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جعل الحقّ له ، لا يوجب الولاية الشرعية ، ولا سيّما مع كون العين قبل الفسخ ملكاً للمشتري ، ولا معنى لجعل ولايته على ملكه ، وبعد الفسخ ملك للبائع يجب الردّ إليه ، من غير احتمال ولاية شرعية في الحالين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صحّة كلام الفخر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البائع مدّعٍ للخيانة ، والمشتري منكر لها ، لا يحتاج كلامه إلى توجيه بعيد لعلّه لا يرضى به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أ نّه اتّكل على العرف في تشخيص المدّعي من المنكر ، وهو أمر </w:t>
      </w:r>
      <w:bookmarkStart w:id="262" w:name="pg15222_162302"/>
    </w:p>
    <w:p>
      <w:pPr>
        <w:pStyle w:val="BookText"/>
        <w:rPr/>
      </w:pPr>
      <w:bookmarkEnd w:id="262"/>
      <w:r>
        <w:rPr>
          <w:rFonts w:ascii="Amiri" w:hAnsi="Amiri" w:eastAsia="Amiri" w:cs="Amiri"/>
          <w:color w:val="111111"/>
          <w:sz w:val="28"/>
          <w:sz w:val="28"/>
          <w:szCs w:val="28"/>
          <w:rtl w:val="true"/>
          <w:lang w:bidi="ar-SA"/>
        </w:rPr>
        <w:t xml:space="preserve">صحيح ، وإن كان إرجاع إنكار البائع عدم كون السلعة له إلى دعوى الخيانة ، 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 الذي أشار إليه الفخر قدّس سرّه ؛ وهو دعوى سقوط الخيار ، فإن كان مراده أنّ إنكار البائع ، راجع إلى دعوى السقوط ، فقد تقدّم ما فيه</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الاتّفاق في الخيار ، يمكن أن يختلفا في سقوط الخيار وعدمه ، وهذا مختصّ بهذه الصورة ، فلا بأس به ، ولا يحضرني كلامه ، 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الاُصول المحكيّة عن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كسائر الاُصول المتقدّمة</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أصل لها ، ويرد على أصالة بقاء الخيار لإثبات كونها سلعته ، ما يرد على تلك الاُصول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الأعظم قدّس سرّه أشار إلى مثبتيتها هاهنا </w:t>
      </w:r>
      <w:r>
        <w:rPr>
          <w:rStyle w:val="FootnoteAnchor"/>
          <w:rtl w:val="true"/>
        </w:rPr>
        <w:footnoteReference w:id="403"/>
      </w:r>
      <w:r>
        <w:rPr>
          <w:rFonts w:ascii="Amiri" w:hAnsi="Amiri" w:eastAsia="Amiri" w:cs="Amiri"/>
          <w:color w:val="111111"/>
          <w:sz w:val="28"/>
          <w:sz w:val="28"/>
          <w:szCs w:val="28"/>
          <w:rtl w:val="true"/>
          <w:lang w:bidi="ar-SA"/>
        </w:rPr>
        <w:t>، مع ورود ذلك على بعض الاُصول التي تشبّث بها في الصورة السابقة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3331698_2142443653"/>
      <w:bookmarkStart w:id="264" w:name="_Toc98"/>
      <w:bookmarkEnd w:id="263"/>
      <w:r>
        <w:rPr>
          <w:rtl w:val="true"/>
        </w:rPr>
        <w:t xml:space="preserve">الثانية </w:t>
      </w:r>
      <w:r>
        <w:rPr>
          <w:rtl w:val="true"/>
        </w:rPr>
        <w:t xml:space="preserve">: </w:t>
      </w:r>
      <w:r>
        <w:rPr>
          <w:rtl w:val="true"/>
        </w:rPr>
        <w:t>في اختلافهما في السلعة في مقام الدفع</w:t>
      </w:r>
      <w:bookmarkEnd w:id="264"/>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اختلافهما في السلعة في مقام الدفع بعد الاتّفاق على الخيار ، وتحقّق الفسخ ، فادّعى المشتري أ نّها سلعة البائع فأنكر ، فالقول قول البائع ؛ لما تقدّم</w:t>
      </w:r>
      <w:r>
        <w:rPr>
          <w:rStyle w:val="FootnoteAnchor"/>
          <w:rtl w:val="true"/>
        </w:rPr>
        <w:footnoteReference w:id="405"/>
      </w:r>
      <w:r>
        <w:rPr>
          <w:rFonts w:ascii="Amiri" w:hAnsi="Amiri" w:eastAsia="Amiri" w:cs="Amiri"/>
          <w:color w:val="111111"/>
          <w:sz w:val="28"/>
          <w:sz w:val="28"/>
          <w:szCs w:val="28"/>
          <w:rtl w:val="true"/>
          <w:lang w:bidi="ar-SA"/>
        </w:rPr>
        <w:t xml:space="preserve">، وليس في المقام أصل أصيل كسائر الصور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كون يد المشتري يد أمانة على المبيع بعد الفسخ ، أقرب ممّا تقدّم </w:t>
      </w:r>
      <w:bookmarkStart w:id="265" w:name="pg15222_162303"/>
    </w:p>
    <w:p>
      <w:pPr>
        <w:pStyle w:val="BookText"/>
        <w:rPr/>
      </w:pPr>
      <w:bookmarkEnd w:id="265"/>
      <w:r>
        <w:rPr>
          <w:rFonts w:ascii="IRNazanin" w:hAnsi="IRNazanin" w:eastAsia="IRNazanin"/>
          <w:color w:val="111111"/>
          <w:sz w:val="28"/>
          <w:sz w:val="28"/>
          <w:szCs w:val="28"/>
          <w:rtl w:val="true"/>
          <w:lang w:bidi="fa-IR"/>
        </w:rPr>
        <w:t>من القائل</w:t>
      </w:r>
      <w:r>
        <w:rPr>
          <w:rStyle w:val="FootnoteAnchor"/>
          <w:rtl w:val="true"/>
        </w:rPr>
        <w:footnoteReference w:id="406"/>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الفسخ رجعت العين إلى المالك وهي في يد المشتري ، فإن لم تكن يده يد أمانة ، فلا بدّ من تضمينه لو تلف بتلف سماوي ، ومن البعيد التزامهم بذلك ، فلا بدّ وأن تكون يد أمانة شرعية ، والأمين يقبل قوله في مورد الأمانة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تسليم عدم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الملازمة بين ذلك وكون اليد يد أمانة؛ إذ لا دليل على ثبوت الضمان باليد مطلقاً إلاّ فيما إذا كانت يد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w:t>
      </w:r>
      <w:r>
        <w:rPr>
          <w:rFonts w:eastAsia="IRNazanin" w:cs="IRNazanin"/>
          <w:color w:val="111111"/>
          <w:sz w:val="28"/>
          <w:szCs w:val="28"/>
          <w:rtl w:val="true"/>
          <w:lang w:bidi="fa-IR"/>
        </w:rPr>
        <w:t>. . .»</w:t>
      </w:r>
      <w:r>
        <w:rPr>
          <w:rStyle w:val="FootnoteAnchor"/>
          <w:rtl w:val="true"/>
        </w:rPr>
        <w:footnoteReference w:id="407"/>
      </w:r>
      <w:r>
        <w:rPr>
          <w:rFonts w:ascii="Amiri" w:hAnsi="Amiri" w:eastAsia="Amiri" w:cs="Amiri"/>
          <w:color w:val="111111"/>
          <w:sz w:val="28"/>
          <w:sz w:val="28"/>
          <w:szCs w:val="28"/>
          <w:rtl w:val="true"/>
          <w:lang w:bidi="ar-SA"/>
        </w:rPr>
        <w:t xml:space="preserve">مطلق قابل للتخصيص ، أو الانصراف عن بعض الصور ، فيمكن أن يكون عدم التزامهم بالضمان ؛ لأجل ثبوت تخصيص عندهم للقاعدة ، أو دعوى انصرافها عن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القول بالضمان أخذاً بإطلاق القاعدة ، ممّا لا بأس به ، ولم يثبت تسالمهم على عدمه </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3331700_2142443653"/>
      <w:bookmarkStart w:id="267" w:name="_Toc99"/>
      <w:bookmarkEnd w:id="266"/>
      <w:r>
        <w:rPr>
          <w:rtl w:val="true"/>
        </w:rPr>
        <w:t xml:space="preserve">الخامس </w:t>
      </w:r>
      <w:r>
        <w:rPr>
          <w:rtl w:val="true"/>
        </w:rPr>
        <w:t xml:space="preserve">: </w:t>
      </w:r>
      <w:r>
        <w:rPr>
          <w:rtl w:val="true"/>
        </w:rPr>
        <w:t>الاختلاف في المسقط بالمعنى الأعمّ</w:t>
      </w:r>
      <w:bookmarkEnd w:id="267"/>
    </w:p>
    <w:p>
      <w:pPr>
        <w:pStyle w:val="Heading6"/>
        <w:numPr>
          <w:ilvl w:val="5"/>
          <w:numId w:val="1"/>
        </w:numPr>
        <w:rPr/>
      </w:pPr>
      <w:bookmarkStart w:id="268" w:name="__RefHeading___Toc3331702_2142443653"/>
      <w:bookmarkStart w:id="269" w:name="_Toc100"/>
      <w:bookmarkEnd w:id="268"/>
      <w:r>
        <w:rPr>
          <w:rtl w:val="true"/>
        </w:rPr>
        <w:t xml:space="preserve">فيه صور </w:t>
      </w:r>
      <w:r>
        <w:rPr>
          <w:rtl w:val="true"/>
        </w:rPr>
        <w:t>:</w:t>
      </w:r>
      <w:bookmarkEnd w:id="269"/>
    </w:p>
    <w:p>
      <w:pPr>
        <w:pStyle w:val="Heading6"/>
        <w:numPr>
          <w:ilvl w:val="5"/>
          <w:numId w:val="1"/>
        </w:numPr>
        <w:rPr/>
      </w:pPr>
      <w:bookmarkStart w:id="270" w:name="__RefHeading___Toc3331704_2142443653"/>
      <w:bookmarkStart w:id="271" w:name="_Toc101"/>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 xml:space="preserve">فإنّ في عدّ بعضها من الاختلاف فيه مسامحة ، وفيه صور </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3331706_2142443653"/>
      <w:bookmarkStart w:id="273" w:name="_Toc102"/>
      <w:bookmarkEnd w:id="272"/>
      <w:r>
        <w:rPr>
          <w:rtl w:val="true"/>
        </w:rPr>
        <w:t xml:space="preserve">منها </w:t>
      </w:r>
      <w:r>
        <w:rPr>
          <w:rtl w:val="true"/>
        </w:rPr>
        <w:t xml:space="preserve">: </w:t>
      </w:r>
      <w:r>
        <w:rPr>
          <w:rtl w:val="true"/>
        </w:rPr>
        <w:t>ما لو اختلفا في علم المشتري بالعيب</w:t>
      </w:r>
      <w:bookmarkEnd w:id="27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علم المشتري بالعيب ، فادّعى البائع علمه فأنكره ، </w:t>
      </w:r>
    </w:p>
    <w:p>
      <w:pPr>
        <w:pStyle w:val="BookText"/>
        <w:rPr/>
      </w:pPr>
      <w:r>
        <w:rPr>
          <w:rFonts w:ascii="Amiri" w:hAnsi="Amiri" w:eastAsia="Amiri" w:cs="Amiri"/>
          <w:color w:val="111111"/>
          <w:sz w:val="28"/>
          <w:sz w:val="28"/>
          <w:szCs w:val="28"/>
          <w:rtl w:val="true"/>
          <w:lang w:bidi="ar-SA"/>
        </w:rPr>
        <w:t xml:space="preserve">فالقول قول المنكر بيمينه ؛ للصدق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مانع ، وبأصالة عدمه يعمل المقتضي عمله ، فكما لو شكّ في المسقط بعد ثبوت الخيار يبنى على عدمه ، فكذا لو شكّ فيه في حال العقد ، فهو نظير ما إذا شكّ في الحدث حال الاشتغال بالوضوء ، فإنّه يبني على عدمه ، ويحكم بصحّته ، هذا إذا كان مسبوقاً بالجهل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عالماً بالعيب سابقاً ، وكان الشكّ في زوال علمه حين العقد حتّى</w:t>
      </w:r>
    </w:p>
    <w:p>
      <w:pPr>
        <w:pStyle w:val="BookText"/>
        <w:rPr/>
      </w:pPr>
      <w:r>
        <w:rPr>
          <w:rFonts w:ascii="Amiri" w:hAnsi="Amiri" w:eastAsia="Amiri" w:cs="Amiri"/>
          <w:color w:val="111111"/>
          <w:sz w:val="28"/>
          <w:sz w:val="28"/>
          <w:szCs w:val="28"/>
          <w:rtl w:val="true"/>
          <w:lang w:bidi="ar-SA"/>
        </w:rPr>
        <w:t>يثبت له الخيار ، وعدمه حتّى يكون ساقطاً ، فالأصل بقاؤه ، ولا خيار</w:t>
      </w:r>
      <w:r>
        <w:rPr>
          <w:rStyle w:val="FootnoteAnchor"/>
          <w:rtl w:val="true"/>
        </w:rPr>
        <w:footnoteReference w:id="40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كان المقام من قبيل المانع والمقتضي ، فلا ينبغي الإشكال في أنّ أصالة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بعمل المقتضي مثبتة ؛ فإنّ ترتّب المقتضى على مقتضيه على فرض عدم المانع عقلي ، وإن كان المقتضي والمانع شرعيين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لو جعل الشارع الملازمة بين الشيئين ، أو جعل العلّية لشيء بالنسبة إلى آخر ، فاستصحاب وجود الملازمة لإثبات ملازمه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وجود العلّة لإثبات معلولها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 ؛ لأنّ ثبوت أحد المتلازمين بثبوت الآخر ، كثبوت المعلول بثبوت علّته عقلي ، لا شرعي</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جعل حكماً عقيب شيء كوجوب الإكرام عقيب كون الشخص عالماً ، كان الترتّب بحكم الشرع ، فلا تكون شبهة إثبات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 يظهر حال سائر الأمثلة المذكورة ، فأصالة عدم المسقط لا تثبت الخيار ؛ لأنّ ثبوته مع عدم علّة زواله عقلي ، وكذا أصالة عدم الحدث لإثبات صحّة الوضوء ، وقد مرّ حال استصحاب بقاء العيب لإثبات الخيار ، وقرّرنا أ نّه مثبت</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ويتلوه في الضعف 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المشتري منكر ؛ نظراً إلى أخذ عدم العلم في المقتضي للخيار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رجل اشترى شيئاً وبه عيب وعوار ، ولم يتبرّأ إليه ، ولم ينبّه</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لم ينبّه حتّى يتنبّه ، فعدم العلم مقوّم المقتضي للخيار ، وجزء موضوع الأثر ، فقول المشتري موافق للأصل الذي له أثر شرعي</w:t>
      </w:r>
      <w:r>
        <w:rPr>
          <w:rStyle w:val="FootnoteAnchor"/>
          <w:rtl w:val="true"/>
        </w:rPr>
        <w:footnoteReference w:id="41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الإشكال في إمكان كون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مضافاً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للمقتضي ، وصحّة نسبة الاقتضاء إلى ما لا تحقّق له بوجه من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والغضّ عن أنّ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يبرأ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يتبيّن</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والغضّ عن أ نّه لم يكن في مقام البيان حتّى يستفاد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والغضّ عن الإشكال في دلالتها على الاقتضاء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في بعض النسخ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 عور لم يتبرّأ إليه ، </w:t>
      </w:r>
      <w:bookmarkStart w:id="274" w:name="pg15222_162306"/>
    </w:p>
    <w:p>
      <w:pPr>
        <w:pStyle w:val="BookText"/>
        <w:rPr/>
      </w:pPr>
      <w:bookmarkEnd w:id="274"/>
      <w:r>
        <w:rPr>
          <w:rFonts w:ascii="Amiri" w:hAnsi="Amiri" w:eastAsia="Amiri" w:cs="Amiri"/>
          <w:color w:val="111111"/>
          <w:sz w:val="28"/>
          <w:sz w:val="28"/>
          <w:szCs w:val="28"/>
          <w:rtl w:val="true"/>
          <w:lang w:bidi="ar-SA"/>
        </w:rPr>
        <w:t>ولم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xml:space="preserve">فعليه تكون الجملتان وصفين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فيكون حاصل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شيئاً والحال أنّ به عوراً موصوفاً بعدم المعلومية ، فحينئذٍ لا بدّ من إحراز هذا المضمون بالأصل ، وهو غير ممكن ؛ لأنّ ذلك ليست له حالة سابقة إلاّ بالعدم المحمولي الأزلي ، واستصحابه لإثبات الموصوف بالوصف مثبت ، كما يظهر بالتأمّل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بعض النسخ الاُخر المذكور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الجملة حالية كالجملة السابقة ، فيأتي فيها ما يأتي في الجملة الموصوفة من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إثبات كون الموضوع من المركّبات ، التي يصحّ إثبات جزء منها بالأصل ، والآخر بالوجدان </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3331708_2142443653"/>
      <w:bookmarkStart w:id="276" w:name="_Toc103"/>
      <w:bookmarkEnd w:id="275"/>
      <w:r>
        <w:rPr>
          <w:rtl w:val="true"/>
        </w:rPr>
        <w:t xml:space="preserve">ومنها </w:t>
      </w:r>
      <w:r>
        <w:rPr>
          <w:rtl w:val="true"/>
        </w:rPr>
        <w:t xml:space="preserve">: </w:t>
      </w:r>
      <w:r>
        <w:rPr>
          <w:rtl w:val="true"/>
        </w:rPr>
        <w:t>ما لو اختلفا في زواله قبل علم المشتري</w:t>
      </w:r>
      <w:bookmarkEnd w:id="27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زواله قبل علم المشتري ومحطّ البحث هاهنا بعد تسليم أنّ زوال العيب قبل علمه مسقط للخيار ، كما نقل الشيخ الأعظم قدّس سرّه </w:t>
      </w:r>
      <w:r>
        <w:rPr>
          <w:rStyle w:val="FootnoteAnchor"/>
          <w:rtl w:val="true"/>
        </w:rPr>
        <w:footnoteReference w:id="415"/>
      </w:r>
      <w:r>
        <w:rPr>
          <w:rFonts w:ascii="Amiri" w:hAnsi="Amiri" w:eastAsia="Amiri" w:cs="Amiri"/>
          <w:color w:val="111111"/>
          <w:sz w:val="28"/>
          <w:sz w:val="28"/>
          <w:szCs w:val="28"/>
          <w:rtl w:val="true"/>
          <w:lang w:bidi="ar-SA"/>
        </w:rPr>
        <w:t xml:space="preserve">التصريح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إليه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خلط بعضهم بين هذه المسألة والمسألة الاُخرى التي تقدّم الكلام فيها ، وهي أنّ العيب بوجوده الواقعي سبب للخيار ، أو ظهوره دخيل ويكون العلم </w:t>
      </w:r>
    </w:p>
    <w:p>
      <w:pPr>
        <w:pStyle w:val="BookText"/>
        <w:rPr/>
      </w:pPr>
      <w:r>
        <w:rPr>
          <w:rFonts w:ascii="IRNazanin" w:hAnsi="IRNazanin" w:eastAsia="IRNazanin"/>
          <w:color w:val="111111"/>
          <w:sz w:val="28"/>
          <w:sz w:val="28"/>
          <w:szCs w:val="28"/>
          <w:rtl w:val="true"/>
          <w:lang w:bidi="fa-IR"/>
        </w:rPr>
        <w:t>جزء الموضوع لثبوته</w:t>
      </w:r>
      <w:r>
        <w:rPr>
          <w:rStyle w:val="FootnoteAnchor"/>
          <w:rtl w:val="true"/>
        </w:rPr>
        <w:footnoteReference w:id="419"/>
      </w:r>
      <w:r>
        <w:rPr>
          <w:rFonts w:ascii="Amiri" w:hAnsi="Amiri" w:eastAsia="Amiri" w:cs="Amiri"/>
          <w:color w:val="111111"/>
          <w:sz w:val="28"/>
          <w:sz w:val="28"/>
          <w:szCs w:val="28"/>
          <w:rtl w:val="true"/>
          <w:lang w:bidi="ar-SA"/>
        </w:rPr>
        <w:t xml:space="preserve">، فحمل كلام الشيخ قدّس سرّه ومورد البحث هاهنا على المسألة الثانية ، فقال في بيان تقديم 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العيب علّة للخيار ، لا ظهوره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آخر بعد كلام منه أجنبيّ عن محطّ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أنّ النزاع في أصل الخيار ، لا في سقوطه بعد ثبوته</w:t>
      </w:r>
      <w:r>
        <w:rPr>
          <w:rStyle w:val="FootnoteAnchor"/>
          <w:rtl w:val="true"/>
        </w:rPr>
        <w:footnoteReference w:id="421"/>
      </w:r>
      <w:r>
        <w:rPr>
          <w:rFonts w:ascii="Amiri" w:hAnsi="Amiri" w:eastAsia="Amiri" w:cs="Amiri"/>
          <w:color w:val="111111"/>
          <w:sz w:val="28"/>
          <w:sz w:val="28"/>
          <w:szCs w:val="28"/>
          <w:rtl w:val="true"/>
          <w:lang w:bidi="ar-SA"/>
        </w:rPr>
        <w:t xml:space="preserve">، حملاً للكلام على المسألة الاُولى من المسألتين المشار إليهما ، وقد وقع في كلام الشيخ الأعظم قدّس سرّه أيضاً خلط صدرا وذيلاً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البناء على أنّ العيب بوجوده الواقعي سبب ، والعلم كاشف عنه ، كما هو التحقيق ، والبناء على أنّ زواله قبل علم المشتري من المسقطات ، كما ذهب إليه جماعة ، لو وقع الاختلاف في زواله قبل علم المشتري حتّى يتحقّق المسقط ، أو لا حتّى لا يتحقّق ، فالقول قول المنكر ؛ للصدق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أصالة عدم زواله قبل علمه فلا تجري ؛ لأنّ عدم زواله قبل علمه بهذا العنوان ، غير مسبوق بالعلم ، وإلاّ لما وقع التنازع فيه ، وأصالة عدم زوال العيب إلى زمان العلم به ، لا تثبت القبلية إلاّ بالأصل المثبت ، وكذا أصالة بقائه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أصالة عدم علم المشتري بالعيب قبل زواله ؛ لأ نّها بين ما ليس مسبوقاً باليقين ، وبين ما هو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كان الأثر مترتّباً على عدم زوال العيب إلى زمان العلم به ، وعلى عدم علمه إلى زمان زواله ، لجرى الأصلان وتعارضا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 يظهر الحال فيما لو ادّعى المشتري تأخّر زواله عن علمه أو بقاءه إلى زمان علمه ، وأنكر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الحال فيما لو ادّعى كلّ منهما عنواناً ، فادّعى البائع زواله قبل علم المشتري ، وادّعى المشتري زواله بعد علمه ؛ فإنّ المورد من التداعي ، وقد عرفت حال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اختلفا في زواله قبل الردّ أو بعده ، بناءً على قول آخر ؛ وهو أنّ زوال العيب قبل الردّ مسقط للخيار والأرش</w:t>
      </w:r>
      <w:r>
        <w:rPr>
          <w:rStyle w:val="FootnoteAnchor"/>
          <w:rtl w:val="true"/>
        </w:rPr>
        <w:footnoteReference w:id="422"/>
      </w:r>
      <w:r>
        <w:rPr>
          <w:rFonts w:ascii="Amiri" w:hAnsi="Amiri" w:eastAsia="Amiri" w:cs="Amiri"/>
          <w:color w:val="111111"/>
          <w:sz w:val="28"/>
          <w:sz w:val="28"/>
          <w:szCs w:val="28"/>
          <w:rtl w:val="true"/>
          <w:lang w:bidi="ar-SA"/>
        </w:rPr>
        <w:t xml:space="preserve">، فتأتي فيه الفروض المتقدّمة ، والكلام فيها هو الكلام فيما تقدّم ، والإيكال في التشخيص إلى العرف ، يحسم مادّة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بعد حدوث عيب جديد وزوال أحد العيبين ؛ في كون الزائل هو القديم أو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دعوى كونه هو القديم إلى عدم ثبوت الخيار رأساً ، كما لو تردّد الأمر بين زواله قبل العقد ، أو بعد دفعه إلى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سقوطه بعد ثبوته ؛ بأن تسالما على وجود العيب حال العقد ، وثبوت الخيار به ، واختلفا في كون الزائل هو ذلك قبل دفعه ، أو الحادث في يد المشتري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والصورة الأخيرة هي مورد البحث ، لا الاُولى ؛ لأنّ المفروض الاختلاف في </w:t>
      </w:r>
    </w:p>
    <w:p>
      <w:pPr>
        <w:pStyle w:val="BookText"/>
        <w:rPr/>
      </w:pPr>
      <w:r>
        <w:rPr>
          <w:rFonts w:ascii="Amiri" w:hAnsi="Amiri" w:eastAsia="Amiri" w:cs="Amiri"/>
          <w:color w:val="111111"/>
          <w:sz w:val="28"/>
          <w:sz w:val="28"/>
          <w:szCs w:val="28"/>
          <w:rtl w:val="true"/>
          <w:lang w:bidi="ar-SA"/>
        </w:rPr>
        <w:t>المسقط ، فقد يدّعي البائع أنّ الزائل هو القديم ، وينكر المشتري ، وقد يدّعي</w:t>
      </w:r>
    </w:p>
    <w:p>
      <w:pPr>
        <w:pStyle w:val="BookText"/>
        <w:rPr/>
      </w:pPr>
      <w:r>
        <w:rPr>
          <w:rFonts w:ascii="Amiri" w:hAnsi="Amiri" w:eastAsia="Amiri" w:cs="Amiri"/>
          <w:color w:val="111111"/>
          <w:sz w:val="28"/>
          <w:sz w:val="28"/>
          <w:szCs w:val="28"/>
          <w:rtl w:val="true"/>
          <w:lang w:bidi="ar-SA"/>
        </w:rPr>
        <w:t xml:space="preserve">المشتري أ نّه هو الحادث ، وينكر البائع ، وقد يتداعيان ، فيدّعي البائع أ نّه هو القديم ، والمشتري أ نّه هو الحادث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المفروض فيما إذا كان للدعوى أثر ، فلو ادّعى البائع بأنّ الزائل هو القديم ، وقلنا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زوال العيب الموجود حال العقد ، لا يوجب سقوط الردّ ، ولا الأرش ، وأنّ زواله وعدمه على السواء ، لم تكن دعواه مسموعة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زواله قبل علم المشتري ، أو قبل الردّ إليه ، موجب لسقوط الردّ والأرش ، أو الردّ فقط كما قد يقال</w:t>
      </w:r>
      <w:r>
        <w:rPr>
          <w:rStyle w:val="FootnoteAnchor"/>
          <w:rtl w:val="true"/>
        </w:rPr>
        <w:footnoteReference w:id="423"/>
      </w:r>
      <w:r>
        <w:rPr>
          <w:rFonts w:ascii="Amiri" w:hAnsi="Amiri" w:eastAsia="Amiri" w:cs="Amiri"/>
          <w:color w:val="111111"/>
          <w:sz w:val="28"/>
          <w:sz w:val="28"/>
          <w:szCs w:val="28"/>
          <w:rtl w:val="true"/>
          <w:lang w:bidi="ar-SA"/>
        </w:rPr>
        <w:t xml:space="preserve">؛ فإنّ دعواه مسموعة ذات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دعوى المشتري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حدوث العيب مسقط للردّ ، سواء زال أم لا ، فلا أثر لدعواه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لازم زواله ثبوت الردّ ، وأنّ الميزان قيام العين بنفسها حال الردّ ، فتصير دعواه ذات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إرجاع دعواهما إلى دعوى اُخرى ذات أثر ، فلا وجه له ، إلاّ أن يكون اللازم العرفي من تلك الدعوى ، هي دعوى اُخرى ذات أثر ، فيكون المسموع هو الدعوى المذكورة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ادّعى البائع زوال القديم ، وأنكر المشتري ، كان القول قول المشتري ؛ للصدق العرفي ، ولأصالة بقاء العيب ، أو عدم زواله إلى زمان التسليم إلى المشتري ، ولا يكون الأصل المذكور مثبتاً ؛ لأنّ المفروض تحقّق العيب </w:t>
      </w:r>
    </w:p>
    <w:p>
      <w:pPr>
        <w:pStyle w:val="BookText"/>
        <w:rPr/>
      </w:pPr>
      <w:r>
        <w:rPr>
          <w:rFonts w:ascii="Amiri" w:hAnsi="Amiri" w:eastAsia="Amiri" w:cs="Amiri"/>
          <w:color w:val="111111"/>
          <w:sz w:val="28"/>
          <w:sz w:val="28"/>
          <w:szCs w:val="28"/>
          <w:rtl w:val="true"/>
          <w:lang w:bidi="ar-SA"/>
        </w:rPr>
        <w:t>حال العقد ، والشكّ في بقائه إلى زمان الدفع ، وليس الدفع من القيود التي</w:t>
      </w:r>
    </w:p>
    <w:p>
      <w:pPr>
        <w:pStyle w:val="BookText"/>
        <w:rPr/>
      </w:pPr>
      <w:r>
        <w:rPr>
          <w:rFonts w:ascii="Amiri" w:hAnsi="Amiri" w:eastAsia="Amiri" w:cs="Amiri"/>
          <w:color w:val="111111"/>
          <w:sz w:val="28"/>
          <w:sz w:val="28"/>
          <w:szCs w:val="28"/>
          <w:rtl w:val="true"/>
          <w:lang w:bidi="ar-SA"/>
        </w:rPr>
        <w:t xml:space="preserve">نحتاج إلى إثباتها ، وأمّا بقاء الحادث وزواله ، فليسا مورد الدعوى حتّى يجري الأصل فيهما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ادّعى المشتري زوال العيب الحادث ؛ ليستفيد منه حقّ الردّ ، وأنكر البائع ، فالقول قول البائع ؛ لأ نّه منكر عرفاً ، ولأصالة بقائه أو عدم زواله إن كان جواز الردّ مترتّباً على ذلك ، وكان قوله علیه السلام في المرسلة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قائماً بعينه</w:t>
      </w:r>
      <w:r>
        <w:rPr>
          <w:rFonts w:eastAsia="IRNazanin" w:cs="IRNazanin"/>
          <w:color w:val="111111"/>
          <w:sz w:val="28"/>
          <w:szCs w:val="28"/>
          <w:rtl w:val="true"/>
          <w:lang w:bidi="fa-IR"/>
        </w:rPr>
        <w:t>»</w:t>
      </w:r>
      <w:r>
        <w:rPr>
          <w:rStyle w:val="FootnoteAnchor"/>
          <w:rtl w:val="true"/>
        </w:rPr>
        <w:footnoteReference w:id="424"/>
      </w:r>
      <w:r>
        <w:rPr>
          <w:rFonts w:ascii="Amiri" w:hAnsi="Amiri" w:eastAsia="Amiri" w:cs="Amiri"/>
          <w:color w:val="111111"/>
          <w:sz w:val="28"/>
          <w:sz w:val="28"/>
          <w:szCs w:val="28"/>
          <w:rtl w:val="true"/>
          <w:lang w:bidi="ar-SA"/>
        </w:rPr>
        <w:t xml:space="preserve">كناية عن عدم وجود العيب في مقابل وجوده ، كما هو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البائع زوال القديم ، والمشتري زوال الجديد ، فيتداعيان ويتحالفان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زوال العيب القديم ، لا يوجب سقوط الأرش</w:t>
      </w:r>
      <w:r>
        <w:rPr>
          <w:rStyle w:val="FootnoteAnchor"/>
          <w:rtl w:val="true"/>
        </w:rPr>
        <w:footnoteReference w:id="425"/>
      </w:r>
      <w:r>
        <w:rPr>
          <w:rFonts w:ascii="Amiri" w:hAnsi="Amiri" w:eastAsia="Amiri" w:cs="Amiri"/>
          <w:color w:val="111111"/>
          <w:sz w:val="28"/>
          <w:sz w:val="28"/>
          <w:szCs w:val="28"/>
          <w:rtl w:val="true"/>
          <w:lang w:bidi="ar-SA"/>
        </w:rPr>
        <w:t xml:space="preserve">، فحينئذٍ مع التحالف يرجع المشتري إلى الأرش ، لتسالمهما على ثبوته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يوجب سقوط الأرش أيضاً </w:t>
      </w:r>
      <w:r>
        <w:rPr>
          <w:rStyle w:val="FootnoteAnchor"/>
          <w:rtl w:val="true"/>
        </w:rPr>
        <w:footnoteReference w:id="426"/>
      </w:r>
      <w:r>
        <w:rPr>
          <w:rFonts w:ascii="Amiri" w:hAnsi="Amiri" w:eastAsia="Amiri" w:cs="Amiri"/>
          <w:color w:val="111111"/>
          <w:sz w:val="28"/>
          <w:sz w:val="28"/>
          <w:szCs w:val="28"/>
          <w:rtl w:val="true"/>
          <w:lang w:bidi="ar-SA"/>
        </w:rPr>
        <w:t xml:space="preserve">، ففي الحكم بثبوت الأرش بعد التحالف ، تأمّل وإشكال ، وإن كان الظاهر أنّ هذا الفرض هو المحكيّ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مع التحالف استفاد البائع بيمينه دفع الردّ ، واستفاد المشتري بيمينه أخذ الأرش</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bookmarkStart w:id="277" w:name="pg15222_162311"/>
    </w:p>
    <w:p>
      <w:pPr>
        <w:pStyle w:val="BookText"/>
        <w:rPr/>
      </w:pPr>
      <w:bookmarkEnd w:id="277"/>
      <w:r>
        <w:rPr>
          <w:rFonts w:ascii="Amiri" w:hAnsi="Amiri" w:eastAsia="Amiri" w:cs="Amiri"/>
          <w:color w:val="111111"/>
          <w:sz w:val="28"/>
          <w:sz w:val="28"/>
          <w:szCs w:val="28"/>
          <w:rtl w:val="true"/>
          <w:lang w:bidi="ar-SA"/>
        </w:rPr>
        <w:t xml:space="preserve">ولا يبعد الرجوع إلى القرعة بعد التحالف ، أو إلزامهم بالتصالح </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3331710_2142443653"/>
      <w:bookmarkStart w:id="279" w:name="_Toc104"/>
      <w:bookmarkEnd w:id="278"/>
      <w:r>
        <w:rPr>
          <w:rtl w:val="true"/>
        </w:rPr>
        <w:t xml:space="preserve">ومنها </w:t>
      </w:r>
      <w:r>
        <w:rPr>
          <w:rtl w:val="true"/>
        </w:rPr>
        <w:t xml:space="preserve">: </w:t>
      </w:r>
      <w:r>
        <w:rPr>
          <w:rtl w:val="true"/>
        </w:rPr>
        <w:t>ما لو اختلفا في زمان حدوث عيب مشاهد</w:t>
      </w:r>
      <w:bookmarkEnd w:id="27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زمان حدوث عيب مشاهد غير ما اتّفقا على وجوده ، فلو ادّعى المشتري حدوثه عند البائع فأنكره ، فالقول قول البائع ؛ للصدق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أصالة عدم حدوثه ، سواء كان المراد به عدم وجوده حال البيع ، أو عدم حدوثه قبل القبض ، على اختلاف في المدّعى ، فلا تجري لما مرّ مراراً ؛ من عدم الحالة السابقة المتيقّنة على وجه ، وكون الأصل مثبتاً على آخر</w:t>
      </w:r>
      <w:r>
        <w:rPr>
          <w:rStyle w:val="FootnoteAnchor"/>
          <w:rtl w:val="true"/>
        </w:rPr>
        <w:footnoteReference w:id="428"/>
      </w:r>
      <w:r>
        <w:rPr>
          <w:rFonts w:ascii="Amiri" w:hAnsi="Amiri" w:eastAsia="Amiri" w:cs="Amiri"/>
          <w:color w:val="111111"/>
          <w:sz w:val="28"/>
          <w:sz w:val="28"/>
          <w:szCs w:val="28"/>
          <w:rtl w:val="true"/>
          <w:lang w:bidi="ar-SA"/>
        </w:rPr>
        <w:t xml:space="preserve">، هذا إذا كان الاختلاف في وجوده حال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اختلفا في أ نّه حدث بعد القبض ، أو أ نّه حدث قبل القبض الذي هو مورد قاعدة التلف ، فالحكم كذلك ؛ فإنّه بهذا العنوان غير مسبوق باليقين ، والعدم المطلق المسبوق لا يثبت 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بعد العقد وقبل القبض زمان ، علم عدم تلفه فيه ، يصحّ إجراء الأصل ، وليس بمثبت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البائع حدوثه عند المشتري ؛ ليسقط الردّ ، فالقول قول المشتري ، لا لأصالة عدم حدوثه عند المشتري ؛ لأنّ فيها ما تقدّم في الاُصول المتقدّمة</w:t>
      </w:r>
      <w:r>
        <w:rPr>
          <w:rStyle w:val="FootnoteAnchor"/>
          <w:rtl w:val="true"/>
        </w:rPr>
        <w:footnoteReference w:id="429"/>
      </w:r>
      <w:r>
        <w:rPr>
          <w:rFonts w:ascii="Amiri" w:hAnsi="Amiri" w:eastAsia="Amiri" w:cs="Amiri"/>
          <w:color w:val="111111"/>
          <w:sz w:val="28"/>
          <w:sz w:val="28"/>
          <w:szCs w:val="28"/>
          <w:rtl w:val="true"/>
          <w:lang w:bidi="ar-SA"/>
        </w:rPr>
        <w:t>كما يظهر بالتأمّل ، بل لما مرّ من الصدق العرفي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أصالة عدم حدوثه عند البائع ، فلا تصلح لإثبات حدوثه عند المشتري ، مضافاً إلى أ نّها على فرض الجريان ، يكون الصدق العرفي مقدّماً </w:t>
      </w:r>
      <w:bookmarkStart w:id="280" w:name="pg15222_162312"/>
    </w:p>
    <w:p>
      <w:pPr>
        <w:pStyle w:val="BookText"/>
        <w:rPr/>
      </w:pPr>
      <w:bookmarkEnd w:id="280"/>
      <w:r>
        <w:rPr>
          <w:rFonts w:ascii="Amiri" w:hAnsi="Amiri" w:eastAsia="Amiri" w:cs="Amiri"/>
          <w:color w:val="111111"/>
          <w:sz w:val="28"/>
          <w:sz w:val="28"/>
          <w:szCs w:val="28"/>
          <w:rtl w:val="true"/>
          <w:lang w:bidi="ar-SA"/>
        </w:rPr>
        <w:t xml:space="preserve">على الأصل ، كما أشرنا إليه سالفاً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يظهر الحال فيما إذا ادّعى كلّ منهما حدوثه عند صاحبه ، كما يظهر الكلام في الاختلاف في الزيادة ، فلا طائل في الإطالة </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3331712_2142443653"/>
      <w:bookmarkStart w:id="282" w:name="_Toc105"/>
      <w:bookmarkEnd w:id="281"/>
      <w:r>
        <w:rPr>
          <w:rtl w:val="true"/>
        </w:rPr>
        <w:t xml:space="preserve">ومنها </w:t>
      </w:r>
      <w:r>
        <w:rPr>
          <w:rtl w:val="true"/>
        </w:rPr>
        <w:t xml:space="preserve">: </w:t>
      </w:r>
      <w:r>
        <w:rPr>
          <w:rtl w:val="true"/>
        </w:rPr>
        <w:t>ما لو اختلفا في البراءة</w:t>
      </w:r>
      <w:bookmarkEnd w:id="28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البراءة ، فادّعى البائع البراءة ، فأنكرها المشتري ، فالقول قول المنكر ؛ للصدق العرفي ، لا لأصالة عدمها ؛ فإنّ ما هو الموضوع للأثر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المستفاد من رواية زرارة</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اشتراء شيء به عيب لم يتبرّأ منه ، وهذا العنوان لا يمكن إثباته إلاّ بالأصل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أنكر المشتري سماع البراءة ، فالقول 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مكاتبة جعفر بن عيسى يظهر منها خلاف ذلك</w:t>
      </w:r>
      <w:r>
        <w:rPr>
          <w:rStyle w:val="FootnoteAnchor"/>
          <w:rtl w:val="true"/>
        </w:rPr>
        <w:footnoteReference w:id="43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المتاع يباع فيمن يزيد ، فينادي عليه المنادي ، فإذا نادى عليه برئ من كلّ عيب فيه ، فإذا اشتراه المشتري ورضيه ، ولم يبق إلاّ نقد الثمن ، فربّما زهد ، فإذا زهد فيه ادّعى عيوباً ، وأ نّه لم يعلم بها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فيقول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برئت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البراءة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أيصدّق فلا يجب عليه الثمن ، أم لا يصدّق فيجب عليه الثمن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الثمن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المفهوم من مساق الخبر ، أنّ إنكار المشتري إنّما وقع مدالسة ؛ لعدم رغبته في المبيع</w:t>
      </w:r>
      <w:r>
        <w:rPr>
          <w:rStyle w:val="FootnoteAnchor"/>
          <w:rtl w:val="true"/>
        </w:rPr>
        <w:footnoteReference w:id="435"/>
      </w:r>
      <w:r>
        <w:rPr>
          <w:rFonts w:ascii="Amiri" w:hAnsi="Amiri" w:eastAsia="Amiri" w:cs="Amiri"/>
          <w:color w:val="111111"/>
          <w:sz w:val="28"/>
          <w:sz w:val="28"/>
          <w:szCs w:val="28"/>
          <w:rtl w:val="true"/>
          <w:lang w:bidi="ar-SA"/>
        </w:rPr>
        <w:t xml:space="preserve">، وهو غير بعيد عن ظاهر الخبر ، ولعلّ السائل نقل صورة القضيّة على ما هي عليها ؛ ليطّلع على تكليفه ، أو تكليف غيره إذا كان الثمن المأخوذ منه مورد ابتلائه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الخبر الشيخ الأعظم قدّس سرّه على ما يوافق قاعدة كون البيّنة على المدّعي ، واليمين على المدّعى عليه ؛ بأنّ قول المنكر مخالف للظاهر ، بحسب جريان العادة على سماع النداء ، على ما هو المتعارف من الدلاّلين</w:t>
      </w:r>
      <w:r>
        <w:rPr>
          <w:rStyle w:val="FootnoteAnchor"/>
          <w:rtl w:val="true"/>
        </w:rPr>
        <w:footnoteReference w:id="436"/>
      </w:r>
      <w:r>
        <w:rPr>
          <w:rFonts w:ascii="Amiri" w:hAnsi="Amiri" w:eastAsia="Amiri" w:cs="Amiri"/>
          <w:color w:val="111111"/>
          <w:sz w:val="28"/>
          <w:sz w:val="28"/>
          <w:szCs w:val="28"/>
          <w:rtl w:val="true"/>
          <w:lang w:bidi="ar-SA"/>
        </w:rPr>
        <w:t xml:space="preserve">، وهو 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بعضهم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إنّه توجيه وجيه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 نّه يتوقّف على أنّ موافقة الظاهر ومخالفته الموجبة لتشخيص المدّعي والمنكر ، مجرّد المخالفة للظاهر العرفي وإن لم يقم دليل على حجّيته ، وإلاّ فكلّ ظهور حال ، لا دليل على حجّيته ولو من العقلاء ، وظهور مقام النداء في سماع كلّ من حضر للشراء ، من هذا القبيل</w:t>
      </w:r>
      <w:r>
        <w:rPr>
          <w:rStyle w:val="FootnoteAnchor"/>
          <w:rtl w:val="true"/>
        </w:rPr>
        <w:footnoteReference w:id="437"/>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قوّة احتمال عدم اعتناء العقلاء بمثل دعوى عدم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التصديق بأنّ محطّ مفاد الرواية ، هو ما أفاده الشيخ قدّس سرّه ، تكون نفس تلك الرواية دليلاً على حجّية مثل هذا الظهور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توجيه الرواية بوجه آخر ؛ وهو أنّ المقصود من السؤال ، العلم بتكليفه </w:t>
      </w:r>
    </w:p>
    <w:p>
      <w:pPr>
        <w:pStyle w:val="BookText"/>
        <w:rPr/>
      </w:pPr>
      <w:r>
        <w:rPr>
          <w:rFonts w:ascii="Amiri" w:hAnsi="Amiri" w:eastAsia="Amiri" w:cs="Amiri"/>
          <w:color w:val="111111"/>
          <w:sz w:val="28"/>
          <w:sz w:val="28"/>
          <w:szCs w:val="28"/>
          <w:rtl w:val="true"/>
          <w:lang w:bidi="ar-SA"/>
        </w:rPr>
        <w:t>من التعامل مع الثمن معاملة ملك البائع ، أو المشتري على فرض أخذ الدلاّل من</w:t>
      </w:r>
    </w:p>
    <w:p>
      <w:pPr>
        <w:pStyle w:val="BookText"/>
        <w:rPr/>
      </w:pPr>
      <w:r>
        <w:rPr>
          <w:rFonts w:ascii="Amiri" w:hAnsi="Amiri" w:eastAsia="Amiri" w:cs="Amiri"/>
          <w:color w:val="111111"/>
          <w:sz w:val="28"/>
          <w:sz w:val="28"/>
          <w:szCs w:val="28"/>
          <w:rtl w:val="true"/>
          <w:lang w:bidi="ar-SA"/>
        </w:rPr>
        <w:t xml:space="preserve">المشتري ، لا بتكليف المشتري ؛ فإنّه عالم بتكليفه ، لعلمه بالسماع أو عدمه ، ولا تكليف القاضي في مقام تشخيص المدّعي ؛ فإنّه أمر بعيد من مثل السائل الذي هو من أصحاب الكتب ، نظير محمّد بن مسلم وأشباهه من الفقهاء ، مع عدم كونه ولا غيره من أصحابنا في معرض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النداء لا تقابل إنكار السماع ، وصورة القضيّة أنّ البائع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برئت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ينكر ما ادّعاه ، كما لم يدّع البائع سماعه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الإشكال الآخر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النداء ما لم يقع في ضمن العقد ، لا يوجب سقوط الخيار ، والظاهر منها أنّ النداء كان قبل العقد ، كما هو المتعارف في البيع بالمزاد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فمبنيّ على أنّ البراءة من العيوب من المسقطات ، ولا بدّ في إسقاط الخيار من الإنشاء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بمكان من الضعف ؛ لما تكرّر من أنّ خيار العيب عقلائي</w:t>
      </w:r>
      <w:r>
        <w:rPr>
          <w:rStyle w:val="FootnoteAnchor"/>
          <w:rtl w:val="true"/>
        </w:rPr>
        <w:footnoteReference w:id="439"/>
      </w:r>
      <w:r>
        <w:rPr>
          <w:rFonts w:ascii="Amiri" w:hAnsi="Amiri" w:eastAsia="Amiri" w:cs="Amiri"/>
          <w:color w:val="111111"/>
          <w:sz w:val="28"/>
          <w:sz w:val="28"/>
          <w:szCs w:val="28"/>
          <w:rtl w:val="true"/>
          <w:lang w:bidi="ar-SA"/>
        </w:rPr>
        <w:t xml:space="preserve">، ولم يكن لجعل الشارع فيه دخالة إلاّ نادراً ، ومن المعلوم أنّ النداء بالبراءة على النحو المعهود المتعارف ، موجب لعدم سببية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للخيار وأنّ ذلك دافع ، لا مسقط ، ولا من قبيل شرط السقوط ، أو شرط عدم الخيار </w:t>
      </w:r>
      <w:r>
        <w:rPr>
          <w:rFonts w:eastAsia="Amiri" w:cs="Amiri" w:ascii="Amiri" w:hAnsi="Amiri"/>
          <w:color w:val="111111"/>
          <w:sz w:val="28"/>
          <w:szCs w:val="28"/>
          <w:rtl w:val="true"/>
          <w:lang w:bidi="ar-SA"/>
        </w:rPr>
        <w:t xml:space="preserve">. </w:t>
      </w:r>
      <w:bookmarkStart w:id="283" w:name="pg15222_162315"/>
    </w:p>
    <w:p>
      <w:pPr>
        <w:pStyle w:val="BookText"/>
        <w:rPr/>
      </w:pPr>
      <w:bookmarkEnd w:id="283"/>
      <w:r>
        <w:rPr>
          <w:rFonts w:ascii="Amiri" w:hAnsi="Amiri" w:eastAsia="Amiri" w:cs="Amiri"/>
          <w:color w:val="111111"/>
          <w:sz w:val="28"/>
          <w:sz w:val="28"/>
          <w:szCs w:val="28"/>
          <w:rtl w:val="true"/>
          <w:lang w:bidi="ar-SA"/>
        </w:rPr>
        <w:t xml:space="preserve">فإذا نادى بالبراءة ، وسمع المشتري واشتراه ، وقع العقد لازماً بلا خيار عند العقلاء ، والرواية شاهدة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شرط السقوط في ضمن العقد ، أو إنشاء البراءة ، أو شرط عدم الخيار بعيد عن الصواب ، وهذا نظير العلم بالعيب ، حيث يكون موجباً لعدم ثبوت الخيار ، لا لسقوطه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فالتفصّي عنه بما أفاده الشيخ قدّس سرّه </w:t>
      </w:r>
      <w:r>
        <w:rPr>
          <w:rStyle w:val="FootnoteAnchor"/>
          <w:rtl w:val="true"/>
        </w:rPr>
        <w:footnoteReference w:id="440"/>
      </w:r>
      <w:r>
        <w:rPr>
          <w:rFonts w:ascii="Amiri" w:hAnsi="Amiri" w:eastAsia="Amiri" w:cs="Amiri"/>
          <w:color w:val="111111"/>
          <w:sz w:val="28"/>
          <w:sz w:val="28"/>
          <w:szCs w:val="28"/>
          <w:rtl w:val="true"/>
          <w:lang w:bidi="ar-SA"/>
        </w:rPr>
        <w:t xml:space="preserve">، غير محتاج إليه ، بل 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وقع للتفصّي عنه ؛ بأنّ مدرك الخيار التزام البائع بالصحّة ، ومع التبرّي</w:t>
      </w:r>
    </w:p>
    <w:p>
      <w:pPr>
        <w:pStyle w:val="BookText"/>
        <w:rPr/>
      </w:pPr>
      <w:r>
        <w:rPr>
          <w:rFonts w:ascii="Amiri" w:hAnsi="Amiri" w:eastAsia="Amiri" w:cs="Amiri"/>
          <w:color w:val="111111"/>
          <w:sz w:val="28"/>
          <w:sz w:val="28"/>
          <w:szCs w:val="28"/>
          <w:rtl w:val="true"/>
          <w:lang w:bidi="ar-SA"/>
        </w:rPr>
        <w:t>لا يكون التزام حتّى يثبت الخيار ؛ وذلك لما مرّ سالفاً من عدم الأساس لهذه الدعوى</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اليمين لا بدّ وأن تكون على إنكار مصبّ الدعوى ، وهو مختلف ، فإن ادّعى البائع النداء بالبراءة ، وأنكر المشتري نداءه ، فاليمين على عدم النداء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توافقا في النداء ، واختلفا في سماع المشتري وعدمه ، فالبائع ادّعى سماعه ، وهو أنكره ، فاليمين على عدم السماع ، وهو يمين على البتّ ، والأثر مترتّب على سماعه وعدمه </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3331714_2142443653"/>
      <w:bookmarkStart w:id="285" w:name="_Toc106"/>
      <w:bookmarkEnd w:id="284"/>
      <w:r>
        <w:rPr>
          <w:rtl w:val="true"/>
        </w:rPr>
        <w:t xml:space="preserve">ومنها </w:t>
      </w:r>
      <w:r>
        <w:rPr>
          <w:rtl w:val="true"/>
        </w:rPr>
        <w:t xml:space="preserve">: </w:t>
      </w:r>
      <w:r>
        <w:rPr>
          <w:rtl w:val="true"/>
        </w:rPr>
        <w:t>ما لو ادّعى البائع رضا المشتري بالعيب بعد العلم به</w:t>
      </w:r>
      <w:bookmarkEnd w:id="28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ادّعى البائع رضا المشتري بالعيب بعد العلم به بناءً على كونه مسقطاً ، أو ادّعى إسقاط الخيار بعد العقد ، أو تصرّفه بما يوجب السقوط ، أو حدوث عيب عنده بعد ما كان غير موجود عند التسليم </w:t>
      </w:r>
      <w:r>
        <w:rPr>
          <w:rFonts w:eastAsia="Amiri" w:cs="Amiri" w:ascii="Amiri" w:hAnsi="Amiri"/>
          <w:color w:val="111111"/>
          <w:sz w:val="28"/>
          <w:szCs w:val="28"/>
          <w:rtl w:val="true"/>
          <w:lang w:bidi="ar-SA"/>
        </w:rPr>
        <w:t xml:space="preserve">. </w:t>
      </w:r>
      <w:bookmarkStart w:id="286" w:name="pg15222_162316"/>
    </w:p>
    <w:p>
      <w:pPr>
        <w:pStyle w:val="BookText"/>
        <w:rPr/>
      </w:pPr>
      <w:bookmarkEnd w:id="286"/>
      <w:r>
        <w:rPr>
          <w:rFonts w:ascii="Amiri" w:hAnsi="Amiri" w:eastAsia="Amiri" w:cs="Amiri"/>
          <w:color w:val="111111"/>
          <w:sz w:val="28"/>
          <w:sz w:val="28"/>
          <w:szCs w:val="28"/>
          <w:rtl w:val="true"/>
          <w:lang w:bidi="ar-SA"/>
        </w:rPr>
        <w:t xml:space="preserve">وفي جميع هذه الصور ، يكون القول قول المشتري ؛ للصدق العرفي ، وللاُصول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كان الاختلاف في اشتراط السقوط في ضمن العقد ، يرد على أصالة عدم الاشتراط ، ما يرد على الاُصول المتقدّمة ، فالاتّكال في التشخيص على الصدق العرفي </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331716_2142443653"/>
      <w:bookmarkStart w:id="288" w:name="_Toc107"/>
      <w:bookmarkEnd w:id="287"/>
      <w:r>
        <w:rPr>
          <w:rtl w:val="true"/>
        </w:rPr>
        <w:t xml:space="preserve">السادس </w:t>
      </w:r>
      <w:r>
        <w:rPr>
          <w:rtl w:val="true"/>
        </w:rPr>
        <w:t xml:space="preserve">: </w:t>
      </w:r>
      <w:r>
        <w:rPr>
          <w:rtl w:val="true"/>
        </w:rPr>
        <w:t>في الاختلاف في الفسخ</w:t>
      </w:r>
      <w:bookmarkEnd w:id="288"/>
    </w:p>
    <w:p>
      <w:pPr>
        <w:pStyle w:val="Heading6"/>
        <w:numPr>
          <w:ilvl w:val="5"/>
          <w:numId w:val="1"/>
        </w:numPr>
        <w:rPr/>
      </w:pPr>
      <w:bookmarkStart w:id="289" w:name="__RefHeading___Toc3331718_2142443653"/>
      <w:bookmarkStart w:id="290" w:name="_Toc108"/>
      <w:bookmarkEnd w:id="289"/>
      <w:r>
        <w:rPr>
          <w:rtl w:val="true"/>
        </w:rPr>
        <w:t xml:space="preserve">وفيه مسائل </w:t>
      </w:r>
      <w:r>
        <w:rPr>
          <w:rtl w:val="true"/>
        </w:rPr>
        <w:t>:</w:t>
      </w:r>
      <w:bookmarkEnd w:id="290"/>
    </w:p>
    <w:p>
      <w:pPr>
        <w:pStyle w:val="Heading6"/>
        <w:numPr>
          <w:ilvl w:val="5"/>
          <w:numId w:val="1"/>
        </w:numPr>
        <w:rPr/>
      </w:pPr>
      <w:bookmarkStart w:id="291" w:name="__RefHeading___Toc3331720_2142443653"/>
      <w:bookmarkStart w:id="292" w:name="_Toc109"/>
      <w:bookmarkEnd w:id="291"/>
      <w:r>
        <w:rPr>
          <w:rtl w:val="true"/>
        </w:rPr>
        <w:t xml:space="preserve">الاُولى </w:t>
      </w:r>
      <w:r>
        <w:rPr>
          <w:rtl w:val="true"/>
        </w:rPr>
        <w:t xml:space="preserve">: </w:t>
      </w:r>
      <w:r>
        <w:rPr>
          <w:rtl w:val="true"/>
        </w:rPr>
        <w:t>الاختلاف في أصل الفسخ</w:t>
      </w:r>
      <w:bookmarkEnd w:id="292"/>
    </w:p>
    <w:p>
      <w:pPr>
        <w:pStyle w:val="BookText"/>
        <w:rPr/>
      </w:pPr>
      <w:r>
        <w:rPr>
          <w:rFonts w:ascii="Amiri" w:hAnsi="Amiri" w:eastAsia="Amiri" w:cs="Amiri"/>
          <w:color w:val="111111"/>
          <w:sz w:val="28"/>
          <w:sz w:val="28"/>
          <w:szCs w:val="28"/>
          <w:rtl w:val="true"/>
          <w:lang w:bidi="ar-SA"/>
        </w:rPr>
        <w:t xml:space="preserve">لو اختلفا في الفسخ ، فإن كان سبب الخيار باقياً ؛ بمعنى أ نّه لو كان كاذباً في دعواه كان له الخيار ، فحينئذٍ لو فسخ فعلاً يعلم بالانحلال ، إمّا سابقاً لو كان صادقاً ، أو فعلاً لو كان كاذباً ، وإنّما تسمع دعوى فسخه سابقاً إذا كان لدعواه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حكي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يمكن جعل إقراره إنشاء</w:t>
      </w:r>
      <w:r>
        <w:rPr>
          <w:rStyle w:val="FootnoteAnchor"/>
          <w:rtl w:val="true"/>
        </w:rPr>
        <w:footnoteReference w:id="442"/>
      </w:r>
      <w:r>
        <w:rPr>
          <w:rFonts w:ascii="Amiri" w:hAnsi="Amiri" w:eastAsia="Amiri" w:cs="Amiri"/>
          <w:color w:val="111111"/>
          <w:sz w:val="28"/>
          <w:sz w:val="28"/>
          <w:szCs w:val="28"/>
          <w:rtl w:val="true"/>
          <w:lang w:bidi="ar-SA"/>
        </w:rPr>
        <w:t xml:space="preserve">ولم يتّضح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إخباره بالفسخ ، يمكن أن يكون على نحو الكناية ، كالإخبار بكثرة الرماد للانتقال إلى السخاوة ، وكالجمل الإخبارية التي يؤتى بها في مقام الإنشاء ،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خروج عن محلّ البحث ؛ لأنّ المفروض أ نّه ادّعى الفسخ السابق وأخبر </w:t>
      </w:r>
    </w:p>
    <w:p>
      <w:pPr>
        <w:pStyle w:val="BookText"/>
        <w:rPr/>
      </w:pPr>
      <w:r>
        <w:rPr>
          <w:rFonts w:ascii="Amiri" w:hAnsi="Amiri" w:eastAsia="Amiri" w:cs="Amiri"/>
          <w:color w:val="111111"/>
          <w:sz w:val="28"/>
          <w:sz w:val="28"/>
          <w:szCs w:val="28"/>
          <w:rtl w:val="true"/>
          <w:lang w:bidi="ar-SA"/>
        </w:rPr>
        <w:t xml:space="preserve">به ، لا أ نّه أنشأه بالجملة الإخبارية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فيه ، لو كان مراده إمكان الجمع بين الإخبار والإنشاء ؛ لجواز استعمال اللفظ في أكثر من معنىً واحد، فإنّه أيضاً خروج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لو كان صادقاً في دعواه ، لم يعقل تمشّي الجدّ في إنشائه ؛ لأنّ إنشاء حلّ ما هو منحلّ محال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الإخبار عن الفسخ إظهار لعدم الرضا بالبيع ، ولا يعتبر في الفسخ إلاّ نيّته ووجود مظهر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فيما إذا أراد الفسخ ونواه وأظهره بوجه ، دون ما إذا أخبر بأمر سابق ؛ بداهة أ نّه مع صحّة دعواه ، لا يعقل أن ينوي الفسخ ، فلا يمكن حمل إخباره على نيّته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في كفاية ما ذكر في الفسخ وانحلال العقد به منعاً ، مضافاً إلى أنّ ذلك</w:t>
      </w:r>
    </w:p>
    <w:p>
      <w:pPr>
        <w:pStyle w:val="BookText"/>
        <w:rPr/>
      </w:pPr>
      <w:r>
        <w:rPr>
          <w:rFonts w:ascii="Amiri" w:hAnsi="Amiri" w:eastAsia="Amiri" w:cs="Amiri"/>
          <w:color w:val="111111"/>
          <w:sz w:val="28"/>
          <w:sz w:val="28"/>
          <w:szCs w:val="28"/>
          <w:rtl w:val="true"/>
          <w:lang w:bidi="ar-SA"/>
        </w:rPr>
        <w:t xml:space="preserve">مخالف لظاهر محكيّ كلام الشهيد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حمله الشيخ قدّس سرّه عليه ، واحتمل كون ما ذكر للقاعدة المشهورة ؛ من أنّ من ملك شيئاً ملك الإقرار به</w:t>
      </w:r>
      <w:r>
        <w:rPr>
          <w:rStyle w:val="FootnoteAnchor"/>
          <w:rtl w:val="true"/>
        </w:rPr>
        <w:footnoteReference w:id="443"/>
      </w:r>
      <w:r>
        <w:rPr>
          <w:rFonts w:ascii="Amiri" w:hAnsi="Amiri" w:eastAsia="Amiri" w:cs="Amiri"/>
          <w:color w:val="111111"/>
          <w:sz w:val="28"/>
          <w:sz w:val="28"/>
          <w:szCs w:val="28"/>
          <w:rtl w:val="true"/>
          <w:lang w:bidi="ar-SA"/>
        </w:rPr>
        <w:t xml:space="preserve">بعيد ، بل غير صحيح جدّاً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 هنا كلام آخر ؛ وهو أنّ دعواه الفسخ مشمولة للقاعدة ، بل تكون القدر المتيقّن منها ؛ لأ نّه ملك الفسخ أو الخيار ، فملك الإقرار به ، فيكون منكراً ؛ لموافقة قوله للقاعدة الشرعية ، وإن كان مدّعياً بحسب العرف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تطرّق الاحتمالات في متن القاعدة ؛ بحيث يمكن منع انطباقها على المورد ، فضلاً عن كونه متيقّناً ، ومضافاً إلى منع ثبوتها بالمعنى الوسيع الذي أرادوا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الاتّكال عليها في تشخيص المنكر ، محلّ إشكال بل منع ؛ لما تقدّم من أنّ الميزان هو التشخيص عرفاً ، ويكون مع التعارض هو المتقدّم على غيره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على فرض انطباق القاعدة على المورد ، لا وجه لعدم انطباقها على الفرض الآخر ؛ وهو ما لو اختلفا في الفسخ بعد انقضاء زمان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لو اعتبر في الانطباق وحدة زمان الإقرار والملك الفعلي ، لم يصحّ التمسّك بها في شيء من الموردين ، وذلك للخروج عنها في الفرض الثاني ، وكونه من قبيل الشبهة المصداقية لها في الأوّل ؛ ضرورة عدم إحراز فعلية الخيار في حال إقراره ، بل إقراره مضادّ للخيار الفعلي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نعتبر ذلك ، واكتفينا بالإقرار بلحاظ حال الملك ، فالفرض الثاني أيضاً كذلك ، مع أ نّهم لم يحتملوا انطباقها عليه ، بل الظاهر منهم عدم الانطباق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أيضاً يكون المشتري مدّعياً ، وعليه البيّنة ، وعلى البائع الحلف على عدم الفسخ بتّاً ، وهو ممكن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ادّعى علمه بذلك كان عليه الحلف على نفيه ، لكنّه لا يكون قاطعاً للخلاف وفاصلاً للخصومة </w:t>
      </w:r>
      <w:r>
        <w:rPr>
          <w:rFonts w:eastAsia="Amiri" w:cs="Amiri" w:ascii="Amiri" w:hAnsi="Amiri"/>
          <w:color w:val="111111"/>
          <w:sz w:val="28"/>
          <w:szCs w:val="28"/>
          <w:rtl w:val="true"/>
          <w:lang w:bidi="ar-SA"/>
        </w:rPr>
        <w:t xml:space="preserve">. </w:t>
      </w:r>
      <w:bookmarkStart w:id="293" w:name="pg15222_162319"/>
    </w:p>
    <w:p>
      <w:pPr>
        <w:pStyle w:val="BookText"/>
        <w:rPr/>
      </w:pPr>
      <w:bookmarkEnd w:id="293"/>
      <w:r>
        <w:rPr>
          <w:rFonts w:ascii="Amiri" w:hAnsi="Amiri" w:eastAsia="Amiri" w:cs="Amiri"/>
          <w:color w:val="111111"/>
          <w:sz w:val="28"/>
          <w:sz w:val="28"/>
          <w:szCs w:val="28"/>
          <w:rtl w:val="true"/>
          <w:lang w:bidi="ar-SA"/>
        </w:rPr>
        <w:t>ثمّ إنّه إذا لم يثبت الفسخ ، فهل للمشتري الأرش ، أم لا لإقراره بالفسخ اللازم من عدم الأرش ؟</w:t>
      </w:r>
    </w:p>
    <w:p>
      <w:pPr>
        <w:pStyle w:val="BookText"/>
        <w:rPr/>
      </w:pPr>
      <w:r>
        <w:rPr>
          <w:rFonts w:ascii="Amiri" w:hAnsi="Amiri" w:eastAsia="Amiri" w:cs="Amiri"/>
          <w:color w:val="111111"/>
          <w:sz w:val="28"/>
          <w:sz w:val="28"/>
          <w:szCs w:val="28"/>
          <w:rtl w:val="true"/>
          <w:lang w:bidi="ar-SA"/>
        </w:rPr>
        <w:t xml:space="preserve">وعن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يحتمل أن يأخذ أقلّ الأمرين ، من الأرش ، وما زاد على القيمة من الثمن إن اتّفق ؛ لأ نّه بزعمه يستحقّ استرداد الثمن ، وردّ القيمة ، فيقع</w:t>
      </w:r>
    </w:p>
    <w:p>
      <w:pPr>
        <w:pStyle w:val="BookText"/>
        <w:rPr/>
      </w:pPr>
      <w:r>
        <w:rPr>
          <w:rFonts w:ascii="Amiri" w:hAnsi="Amiri" w:eastAsia="Amiri" w:cs="Amiri"/>
          <w:color w:val="111111"/>
          <w:sz w:val="28"/>
          <w:sz w:val="28"/>
          <w:szCs w:val="28"/>
          <w:rtl w:val="true"/>
          <w:lang w:bidi="ar-SA"/>
        </w:rPr>
        <w:t>التقاصّ في القيمة ، ويبقى قدر الأرش مستحقاً على التقديرين</w:t>
      </w:r>
      <w:r>
        <w:rPr>
          <w:rStyle w:val="FootnoteAnchor"/>
          <w:rtl w:val="true"/>
        </w:rPr>
        <w:footnoteReference w:id="446"/>
      </w:r>
      <w:r>
        <w:rPr>
          <w:rFonts w:ascii="Amiri" w:hAnsi="Amiri" w:eastAsia="Amiri" w:cs="Amiri"/>
          <w:color w:val="111111"/>
          <w:sz w:val="28"/>
          <w:sz w:val="28"/>
          <w:szCs w:val="28"/>
          <w:rtl w:val="true"/>
          <w:lang w:bidi="ar-SA"/>
        </w:rPr>
        <w:t xml:space="preserve">، انتهى ، وهو جيّد في بعض الفروض </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331722_2142443653"/>
      <w:bookmarkStart w:id="295" w:name="_Toc110"/>
      <w:bookmarkEnd w:id="294"/>
      <w:r>
        <w:rPr>
          <w:rtl w:val="true"/>
        </w:rPr>
        <w:t xml:space="preserve">الثانية </w:t>
      </w:r>
      <w:r>
        <w:rPr>
          <w:rtl w:val="true"/>
        </w:rPr>
        <w:t xml:space="preserve">: </w:t>
      </w:r>
      <w:r>
        <w:rPr>
          <w:rtl w:val="true"/>
        </w:rPr>
        <w:t>الاختلاف في تأخّر الفسخ عن أوّل الوقت</w:t>
      </w:r>
      <w:bookmarkEnd w:id="295"/>
    </w:p>
    <w:p>
      <w:pPr>
        <w:pStyle w:val="BookText"/>
        <w:rPr/>
      </w:pPr>
      <w:r>
        <w:rPr>
          <w:rFonts w:ascii="Amiri" w:hAnsi="Amiri" w:eastAsia="Amiri" w:cs="Amiri"/>
          <w:color w:val="111111"/>
          <w:sz w:val="28"/>
          <w:sz w:val="28"/>
          <w:szCs w:val="28"/>
          <w:rtl w:val="true"/>
          <w:lang w:bidi="ar-SA"/>
        </w:rPr>
        <w:t xml:space="preserve">لو اختلفا في تأخّر الفسخ عن أوّل الوقت بناءً على فورية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يكون مصبّ الدعوى ، تقدّم الفسخ على وقت مضيّ الخيار وعدمه ، أو تقدّمه على آخر الوقت وعدمه ، أو تأخّره عن أوّل الوقت وعدمه ، وفي شيء منها لا تجري الاُصول ، ولا تصلح لإثبات تلك العناوين ، وأمّا المدّعي والمنكر عرفاً فظاهر ، فمع الأثر للدعوى تسمع ، وتكون البيّنة على المدّعي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المصبّ وقوع الفسخ في حال الخيار ، فيدّعيه المشتري ، فالقول قول البائع ؛ للصدق العرفي ، ولأصالة عدم الفسخ حال وجود الخيار ؛ فإنّه بهذا العنوان مسبوق باليقين بعد العقد وفي زمان الخيار آناً ما ، والفسخ حاله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موضوع ذو أثر ؛ وهو حلّ العقد به شرعاً ، وجريان الأصل لنفيه لا مانع منه ، كما هو المتسالم بينهم </w:t>
      </w:r>
      <w:r>
        <w:rPr>
          <w:rFonts w:eastAsia="Amiri" w:cs="Amiri" w:ascii="Amiri" w:hAnsi="Amiri"/>
          <w:color w:val="111111"/>
          <w:sz w:val="28"/>
          <w:szCs w:val="28"/>
          <w:rtl w:val="true"/>
          <w:lang w:bidi="ar-SA"/>
        </w:rPr>
        <w:t xml:space="preserve">. </w:t>
      </w:r>
      <w:bookmarkStart w:id="296" w:name="pg15222_162320"/>
    </w:p>
    <w:p>
      <w:pPr>
        <w:pStyle w:val="BookText"/>
        <w:rPr/>
      </w:pPr>
      <w:bookmarkEnd w:id="296"/>
      <w:r>
        <w:rPr>
          <w:rFonts w:ascii="Amiri" w:hAnsi="Amiri" w:eastAsia="Amiri" w:cs="Amiri"/>
          <w:color w:val="111111"/>
          <w:sz w:val="28"/>
          <w:sz w:val="28"/>
          <w:szCs w:val="28"/>
          <w:rtl w:val="true"/>
          <w:lang w:bidi="ar-SA"/>
        </w:rPr>
        <w:t>وأمّا أصالة بقاء الخيار إلى حال الفسخ ، فلا وقع لها ؛ لأنّ بقاءه إلى حاله لا أثر له ، وإنّما الأثر للازمه العقلي ؛ وهو الفسخ حال الخيار ، ولا تصلح لإثباته</w:t>
      </w:r>
    </w:p>
    <w:p>
      <w:pPr>
        <w:pStyle w:val="BookText"/>
        <w:rPr/>
      </w:pPr>
      <w:r>
        <w:rPr>
          <w:rFonts w:ascii="IRNazanin" w:hAnsi="IRNazanin" w:eastAsia="IRNazanin"/>
          <w:color w:val="111111"/>
          <w:sz w:val="28"/>
          <w:sz w:val="28"/>
          <w:szCs w:val="28"/>
          <w:rtl w:val="true"/>
          <w:lang w:bidi="fa-IR"/>
        </w:rPr>
        <w:t xml:space="preserve">إلاّ على القول بالأصل المثبت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التأمّل فيما ذكرنا ، يظهر النظر في كلام السيّد الطباطبائي وغيره في تعاليقهم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أصالة صحّة الفسخ ، ففيها إشكالات تعرّض لبعضها الأعلام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تأريخ الفسخ ، وشكّ في وقوع العقد قبله بزمان طويل ، أو قبيله بحيث لا يضرّ بالفورية ، فلا أصل لإحرازه ، وهو واضح </w:t>
      </w:r>
      <w:r>
        <w:rPr>
          <w:rFonts w:eastAsia="Amiri" w:cs="Amiri" w:ascii="Amiri" w:hAnsi="Amiri"/>
          <w:color w:val="111111"/>
          <w:sz w:val="28"/>
          <w:szCs w:val="28"/>
          <w:rtl w:val="true"/>
          <w:lang w:bidi="ar-SA"/>
        </w:rPr>
        <w:t>.</w:t>
      </w:r>
    </w:p>
    <w:p>
      <w:pPr>
        <w:pStyle w:val="Heading6"/>
        <w:numPr>
          <w:ilvl w:val="5"/>
          <w:numId w:val="1"/>
        </w:numPr>
        <w:rPr/>
      </w:pPr>
      <w:bookmarkStart w:id="297" w:name="__RefHeading___Toc3331724_2142443653"/>
      <w:bookmarkStart w:id="298" w:name="_Toc111"/>
      <w:bookmarkEnd w:id="297"/>
      <w:r>
        <w:rPr>
          <w:rtl w:val="true"/>
        </w:rPr>
        <w:t xml:space="preserve">الثالثة </w:t>
      </w:r>
      <w:r>
        <w:rPr>
          <w:rtl w:val="true"/>
        </w:rPr>
        <w:t xml:space="preserve">: </w:t>
      </w:r>
      <w:r>
        <w:rPr>
          <w:rtl w:val="true"/>
        </w:rPr>
        <w:t>الاختلاف في العلم بالخيار أو بفوريته</w:t>
      </w:r>
      <w:bookmarkEnd w:id="298"/>
    </w:p>
    <w:p>
      <w:pPr>
        <w:pStyle w:val="BookText"/>
        <w:rPr/>
      </w:pPr>
      <w:r>
        <w:rPr>
          <w:rFonts w:ascii="Amiri" w:hAnsi="Amiri" w:eastAsia="Amiri" w:cs="Amiri"/>
          <w:color w:val="111111"/>
          <w:sz w:val="28"/>
          <w:sz w:val="28"/>
          <w:szCs w:val="28"/>
          <w:rtl w:val="true"/>
          <w:lang w:bidi="ar-SA"/>
        </w:rPr>
        <w:t xml:space="preserve">لو ادّعى البائع علم المشتري بالخيار أو بفوريته ، وأنكره المشتري ، فالقول قول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إلاّ أن يكون قوله مخالفاً للظاهر المعتمد</w:t>
      </w:r>
      <w:r>
        <w:rPr>
          <w:rStyle w:val="FootnoteAnchor"/>
          <w:rtl w:val="true"/>
        </w:rPr>
        <w:footnoteReference w:id="44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إشكال تقدّم الكلام فيه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الخيار للعالم به ، أو ثبوت الفورية للعالم بها ، غير معقول ، إمّا للدور ، أو للخلف ، نظير ما يقوله المصوّبة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المصوّبة لا يستلزم المحال ، وإن كان خلاف الواقع ، وقد ذكرنا في محلّه أ نّه لا مانع من جعل الأحكام القانونية الصورية ؛ ليجتهد فيها المجتهدون ، فإذا أدّى اجتهاد بعضهم إلى حكم ، والآخر إلى حكم آخر يخالفه ، تبع الحكم الفعلي لاجتهادهم</w:t>
      </w:r>
      <w:r>
        <w:rPr>
          <w:rStyle w:val="FootnoteAnchor"/>
          <w:rtl w:val="true"/>
        </w:rPr>
        <w:footnoteReference w:id="452"/>
      </w:r>
      <w:r>
        <w:rPr>
          <w:rFonts w:ascii="Amiri" w:hAnsi="Amiri" w:eastAsia="Amiri" w:cs="Amiri"/>
          <w:color w:val="111111"/>
          <w:sz w:val="28"/>
          <w:sz w:val="28"/>
          <w:szCs w:val="28"/>
          <w:rtl w:val="true"/>
          <w:lang w:bidi="ar-SA"/>
        </w:rPr>
        <w:t xml:space="preserve">، ويمكن تصوّر ذلك في المقام أيضاً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فيه زائداً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الدليل على الخيار حديث نفي الضرر</w:t>
      </w:r>
      <w:r>
        <w:rPr>
          <w:rStyle w:val="FootnoteAnchor"/>
          <w:rtl w:val="true"/>
        </w:rPr>
        <w:footnoteReference w:id="4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 نّه حاكم على دليل اللزوم ؛ بمقدار لا ينسب الضرر إلى تقصير صاحب الخيار ، فيدّعى أنّ عدم إعماله مع علمه بالخيار ، إهمال موجب لسلب الخيار ؛ لقصور دليله ، والأمر سهل </w:t>
      </w:r>
      <w:r>
        <w:rPr>
          <w:rFonts w:eastAsia="Amiri" w:cs="Amiri" w:ascii="Amiri" w:hAnsi="Amiri"/>
          <w:color w:val="111111"/>
          <w:sz w:val="28"/>
          <w:szCs w:val="28"/>
          <w:rtl w:val="true"/>
          <w:lang w:bidi="ar-SA"/>
        </w:rPr>
        <w:t xml:space="preserve">. </w:t>
      </w:r>
      <w:bookmarkStart w:id="299" w:name="pg15222_162322"/>
    </w:p>
    <w:p>
      <w:pPr>
        <w:pStyle w:val="Heading3"/>
        <w:numPr>
          <w:ilvl w:val="2"/>
          <w:numId w:val="1"/>
        </w:numPr>
        <w:rPr/>
      </w:pPr>
      <w:bookmarkStart w:id="300" w:name="__RefHeading___Toc3331726_2142443653"/>
      <w:bookmarkStart w:id="301" w:name="_Toc112"/>
      <w:bookmarkEnd w:id="299"/>
      <w:bookmarkEnd w:id="300"/>
      <w:r>
        <w:rPr>
          <w:rtl w:val="true"/>
        </w:rPr>
        <w:t>القول في ماهية العيب</w:t>
      </w:r>
      <w:bookmarkEnd w:id="301"/>
    </w:p>
    <w:p>
      <w:pPr>
        <w:pStyle w:val="Heading4"/>
        <w:numPr>
          <w:ilvl w:val="3"/>
          <w:numId w:val="1"/>
        </w:numPr>
        <w:rPr/>
      </w:pPr>
      <w:bookmarkStart w:id="302" w:name="__RefHeading___Toc3331728_2142443653"/>
      <w:bookmarkStart w:id="303" w:name="_Toc113"/>
      <w:bookmarkEnd w:id="302"/>
      <w:r>
        <w:rPr>
          <w:rtl w:val="true"/>
        </w:rPr>
        <w:t>تعريف العيب</w:t>
      </w:r>
      <w:bookmarkEnd w:id="303"/>
    </w:p>
    <w:p>
      <w:pPr>
        <w:pStyle w:val="BookText"/>
        <w:rPr/>
      </w:pPr>
      <w:r>
        <w:rPr>
          <w:rFonts w:ascii="Amiri" w:hAnsi="Amiri" w:eastAsia="Amiri" w:cs="Amiri"/>
          <w:color w:val="111111"/>
          <w:sz w:val="28"/>
          <w:sz w:val="28"/>
          <w:szCs w:val="28"/>
          <w:rtl w:val="true"/>
          <w:lang w:bidi="ar-SA"/>
        </w:rPr>
        <w:t xml:space="preserve">المأخوذ فيما سوى رواية زرارة من روايات الباب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فيها فقد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وجلّ الكتب التي تنقل عنه</w:t>
      </w:r>
      <w:r>
        <w:rPr>
          <w:rStyle w:val="FootnoteAnchor"/>
          <w:rtl w:val="true"/>
        </w:rPr>
        <w:footnoteReference w:id="455"/>
      </w:r>
      <w:r>
        <w:rPr>
          <w:rFonts w:ascii="Amiri" w:hAnsi="Amiri" w:eastAsia="Amiri" w:cs="Amiri"/>
          <w:color w:val="111111"/>
          <w:sz w:val="28"/>
          <w:sz w:val="28"/>
          <w:szCs w:val="28"/>
          <w:rtl w:val="true"/>
          <w:lang w:bidi="ar-SA"/>
        </w:rPr>
        <w:t xml:space="preserve">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الموجود في النسخة التي عندنا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العور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 فلا يبعد أن يكون المراد به الخرق والشقّ ، كما هو أحد معانيه</w:t>
      </w:r>
      <w:r>
        <w:rPr>
          <w:rStyle w:val="FootnoteAnchor"/>
          <w:rtl w:val="true"/>
        </w:rPr>
        <w:footnoteReference w:id="458"/>
      </w:r>
      <w:r>
        <w:rPr>
          <w:rFonts w:ascii="Amiri" w:hAnsi="Amiri" w:eastAsia="Amiri" w:cs="Amiri"/>
          <w:color w:val="111111"/>
          <w:sz w:val="28"/>
          <w:sz w:val="28"/>
          <w:szCs w:val="28"/>
          <w:rtl w:val="true"/>
          <w:lang w:bidi="ar-SA"/>
        </w:rPr>
        <w:t xml:space="preserve">، بل لم يذكر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معانيه </w:t>
      </w:r>
    </w:p>
    <w:p>
      <w:pPr>
        <w:pStyle w:val="BookText"/>
        <w:rPr/>
      </w:pPr>
      <w:r>
        <w:rPr>
          <w:rFonts w:ascii="Amiri" w:hAnsi="Amiri" w:eastAsia="Amiri" w:cs="Amiri"/>
          <w:color w:val="111111"/>
          <w:sz w:val="28"/>
          <w:sz w:val="28"/>
          <w:szCs w:val="28"/>
          <w:rtl w:val="true"/>
          <w:lang w:bidi="ar-SA"/>
        </w:rPr>
        <w:t>العيب</w:t>
      </w:r>
      <w:r>
        <w:rPr>
          <w:rStyle w:val="FootnoteAnchor"/>
          <w:rtl w:val="true"/>
        </w:rPr>
        <w:footnoteReference w:id="459"/>
      </w:r>
      <w:r>
        <w:rPr>
          <w:rFonts w:ascii="Amiri" w:hAnsi="Amiri" w:eastAsia="Amiri" w:cs="Amiri"/>
          <w:color w:val="111111"/>
          <w:sz w:val="28"/>
          <w:sz w:val="28"/>
          <w:szCs w:val="28"/>
          <w:rtl w:val="true"/>
          <w:lang w:bidi="ar-SA"/>
        </w:rPr>
        <w:t xml:space="preserve">، وعليه فيكون العطف من قبيل عطف الخاصّ على العامّ ، وقد ذكر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روايات الباب</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ما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فكونه من قبيل عطف الخاصّ على العامّ واضح ؛ فإنّ العور ضعف حاسّة إحدى العينين ، أو ذهابها ، ولعلّ ذكره بالخصوص لأجل التنبيه على هذا القبيل من النقص ، الذي لا أثر له في الظاهر ، وإن كان عيباً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فالمأخوذ في النصّ والفتوى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والمعوّل في تشخيصه مفهوماً ومصداقاً هو العرف ، كما هو الحال في جميع العناوين العقلائية المأخوذة في الأدلّة ، إلاّ أن يقوم دليل على الخلاف ، وسيأتي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العيب من العناوين التي تختلف الأنظار فيها بحسب الأمكنة ، والأزمنة ، والاعتبارات ، والعقائد ، فربّما يكون شيء في بعض الأزمنة عيباً ، ولا يعدّ عيباً في زمان آخر ، بل قد يعدّ كمالاً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مع اختلاف الأمكنة ، كما في قصر شعر المرأة من الأصل ؛ حسب اختلاف الأمكنة والأزمنة ، وسواد اللون وبياضه في النساء ؛ حسب اختلاف البلاد ، وكما في كون المرأة قليلة الولادة ، فإنّه عيب في بعض النواحي ، وكمال في الآخر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الختان كمال في محيط المسلمين واليهود ، وعيب في محيط النصارى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بدّ من الإيكال إلى العرف ، مع رعاية محيط المتعاملين بحسب الأزمنة ، والأمكنة ، والعادات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والتعاريف التي وردت في 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المذكورة في لسانهم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وردت بملاحظة محيطهم ، وعاداتهم ، وعقائدهم ، ومن الواضح أنّ المسائل الفقهية ، لا تختصّ بمحيط دون محيط ، ولا بزمان دون 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تلك التعاريف ، قاصرة عن إفادة مطلق العيب ، الذي نحن بصدد بيان ماهيته ،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المجرى الطبيعي</w:t>
      </w:r>
      <w:r>
        <w:rPr>
          <w:rStyle w:val="FootnoteAnchor"/>
          <w:rtl w:val="true"/>
        </w:rPr>
        <w:footnoteReference w:id="461"/>
      </w:r>
      <w:r>
        <w:rPr>
          <w:rFonts w:ascii="Amiri" w:hAnsi="Amiri" w:eastAsia="Amiri" w:cs="Amiri"/>
          <w:color w:val="111111"/>
          <w:sz w:val="28"/>
          <w:sz w:val="28"/>
          <w:szCs w:val="28"/>
          <w:rtl w:val="true"/>
          <w:lang w:bidi="ar-SA"/>
        </w:rPr>
        <w:t xml:space="preserve">، وقد ادّعى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الضابط مجمع عليه في الجملة</w:t>
      </w:r>
      <w:r>
        <w:rPr>
          <w:rStyle w:val="FootnoteAnchor"/>
          <w:rtl w:val="true"/>
        </w:rPr>
        <w:footnoteReference w:id="462"/>
      </w:r>
      <w:r>
        <w:rPr>
          <w:rFonts w:ascii="Amiri" w:hAnsi="Amiri" w:eastAsia="Amiri" w:cs="Amiri"/>
          <w:color w:val="111111"/>
          <w:sz w:val="28"/>
          <w:sz w:val="28"/>
          <w:szCs w:val="28"/>
          <w:rtl w:val="true"/>
          <w:lang w:bidi="ar-SA"/>
        </w:rPr>
        <w:t xml:space="preserve">، 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عليه</w:t>
      </w:r>
      <w:r>
        <w:rPr>
          <w:rStyle w:val="FootnoteAnchor"/>
          <w:rtl w:val="true"/>
        </w:rPr>
        <w:footnoteReference w:id="463"/>
      </w:r>
      <w:r>
        <w:rPr>
          <w:rFonts w:ascii="Amiri" w:hAnsi="Amiri" w:eastAsia="Amiri" w:cs="Amiri"/>
          <w:color w:val="111111"/>
          <w:sz w:val="28"/>
          <w:sz w:val="28"/>
          <w:szCs w:val="28"/>
          <w:rtl w:val="true"/>
          <w:lang w:bidi="ar-SA"/>
        </w:rPr>
        <w:t>، مع أنّ المحكيّ عنه تفسيره بأصل الخلقة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الضابط ، لا ينطبق إلاّ على الخارج عن مقتضيات الطبيعة من الماهيات الأصيلة ، دون المصنوعات بيد البشر ، كالمنسوجات ونحوها ، ولا سيّما مع تفسيره بأصل الخلقة ، كما هو الظاهر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جرت به العادة</w:t>
      </w:r>
      <w:r>
        <w:rPr>
          <w:rStyle w:val="FootnoteAnchor"/>
          <w:rtl w:val="true"/>
        </w:rPr>
        <w:footnoteReference w:id="465"/>
      </w:r>
      <w:r>
        <w:rPr>
          <w:rFonts w:ascii="Amiri" w:hAnsi="Amiri" w:eastAsia="Amiri" w:cs="Amiri"/>
          <w:color w:val="111111"/>
          <w:sz w:val="28"/>
          <w:sz w:val="28"/>
          <w:szCs w:val="28"/>
          <w:rtl w:val="true"/>
          <w:lang w:bidi="ar-SA"/>
        </w:rPr>
        <w:t xml:space="preserve">، موجب لخروج المخلوقات الطبيعية ؛ فإنّها ليست على مجاري العادة ، إذ لا دخل لها في وجودها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إيكاله إلى العرف ، فإنّه أمر واضح ، ولعلّ التفاسير توجب الإبهام </w:t>
      </w:r>
      <w:r>
        <w:rPr>
          <w:rFonts w:eastAsia="Amiri" w:cs="Amiri" w:ascii="Amiri" w:hAnsi="Amiri"/>
          <w:color w:val="111111"/>
          <w:sz w:val="28"/>
          <w:szCs w:val="28"/>
          <w:rtl w:val="true"/>
          <w:lang w:bidi="ar-SA"/>
        </w:rPr>
        <w:t xml:space="preserve">. </w:t>
      </w:r>
      <w:bookmarkStart w:id="304" w:name="pg15222_162325"/>
    </w:p>
    <w:p>
      <w:pPr>
        <w:pStyle w:val="BookText"/>
        <w:rPr/>
      </w:pPr>
      <w:bookmarkEnd w:id="304"/>
      <w:r>
        <w:rPr>
          <w:rFonts w:ascii="Amiri" w:hAnsi="Amiri" w:eastAsia="Amiri" w:cs="Amiri"/>
          <w:color w:val="111111"/>
          <w:sz w:val="28"/>
          <w:sz w:val="28"/>
          <w:szCs w:val="28"/>
          <w:rtl w:val="true"/>
          <w:lang w:bidi="ar-SA"/>
        </w:rPr>
        <w:t xml:space="preserve">ولعلّ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تفسيره بالنقيصة</w:t>
      </w:r>
      <w:r>
        <w:rPr>
          <w:rStyle w:val="FootnoteAnchor"/>
          <w:rtl w:val="true"/>
        </w:rPr>
        <w:footnoteReference w:id="466"/>
      </w:r>
      <w:r>
        <w:rPr>
          <w:rFonts w:ascii="Amiri" w:hAnsi="Amiri" w:eastAsia="Amiri" w:cs="Amiri"/>
          <w:color w:val="111111"/>
          <w:sz w:val="28"/>
          <w:sz w:val="28"/>
          <w:szCs w:val="28"/>
          <w:rtl w:val="true"/>
          <w:lang w:bidi="ar-SA"/>
        </w:rPr>
        <w:t>، أحسن ما ذكر في الباب ؛ فإنّ</w:t>
      </w:r>
    </w:p>
    <w:p>
      <w:pPr>
        <w:pStyle w:val="BookText"/>
        <w:rPr/>
      </w:pPr>
      <w:r>
        <w:rPr>
          <w:rFonts w:ascii="Amiri" w:hAnsi="Amiri" w:eastAsia="Amiri" w:cs="Amiri"/>
          <w:color w:val="111111"/>
          <w:sz w:val="28"/>
          <w:sz w:val="28"/>
          <w:szCs w:val="28"/>
          <w:rtl w:val="true"/>
          <w:lang w:bidi="ar-SA"/>
        </w:rPr>
        <w:t xml:space="preserve">الزيادات لو لم ترجع إلى نقيصة في الشيء ، لا تعدّ عيباً ، والنقيصة تشمل النقص في الخلقة الأصلية كنقص الإصبع وزيادته ، وما في المصنوعات من العيوب في الأوصاف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النقص عن مرتبة الصحّة المتوسّطة بينه وبين الكمال ، فالصحّة ما يقتضيها أصل الماهية ، المشتركة بين أفراد الشيء لو خلّي وطبعه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فيرد عليه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الكلام لا يختصّ بالعيوب التي تفرض في أفراد الماهيات الأصيلة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الماهية كذا ، والأمر سهل بعد وضوح المطلوب </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3331730_2142443653"/>
      <w:bookmarkStart w:id="306" w:name="_Toc114"/>
      <w:bookmarkEnd w:id="305"/>
      <w:r>
        <w:rPr>
          <w:rtl w:val="true"/>
        </w:rPr>
        <w:t>عدم انحصار خيار العيب بموارد العيب بحسب أصل الخلقة</w:t>
      </w:r>
      <w:bookmarkEnd w:id="306"/>
    </w:p>
    <w:p>
      <w:pPr>
        <w:pStyle w:val="BookText"/>
        <w:rPr/>
      </w:pPr>
      <w:r>
        <w:rPr>
          <w:rFonts w:ascii="Amiri" w:hAnsi="Amiri" w:eastAsia="Amiri" w:cs="Amiri"/>
          <w:color w:val="111111"/>
          <w:sz w:val="28"/>
          <w:sz w:val="28"/>
          <w:szCs w:val="28"/>
          <w:rtl w:val="true"/>
          <w:lang w:bidi="ar-SA"/>
        </w:rPr>
        <w:t xml:space="preserve">ثمّ إنّه لا إشكال في ثبوت خيار العيب عند العقلاء في غير المخلوقات الإلهية والماهيات الأصيلة ، ولا دليل على الانحصار بموارد العيب بحسب أصل الخلقة ، إلاّ توهّم دلالة رواية السيّاري عليه ، وفيها بعد ذكر قضيّة ابن أبي ليلى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فأتى محمّد بن مسلم الثقفي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تروون عن أبي جعفر علیه السلام في</w:t>
      </w:r>
    </w:p>
    <w:p>
      <w:pPr>
        <w:pStyle w:val="BookText"/>
        <w:rPr/>
      </w:pPr>
      <w:r>
        <w:rPr>
          <w:rFonts w:ascii="Amiri" w:hAnsi="Amiri" w:eastAsia="Amiri" w:cs="Amiri"/>
          <w:color w:val="111111"/>
          <w:sz w:val="28"/>
          <w:sz w:val="28"/>
          <w:szCs w:val="28"/>
          <w:rtl w:val="true"/>
          <w:lang w:bidi="ar-SA"/>
        </w:rPr>
        <w:t>المرأة لا يكون على ركبها شعر ، يكون ذلك عيباً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نصّاً فلا أعرفه ، ولكنّي حدّثني أبو جعفر ، عن </w:t>
      </w:r>
    </w:p>
    <w:p>
      <w:pPr>
        <w:pStyle w:val="BookText"/>
        <w:rPr/>
      </w:pPr>
      <w:r>
        <w:rPr>
          <w:rFonts w:ascii="IRNazanin" w:hAnsi="IRNazanin" w:eastAsia="IRNazanin"/>
          <w:color w:val="111111"/>
          <w:sz w:val="28"/>
          <w:sz w:val="28"/>
          <w:szCs w:val="28"/>
          <w:rtl w:val="true"/>
          <w:lang w:bidi="fa-IR"/>
        </w:rPr>
        <w:t xml:space="preserve">أبيه ، عن آبائه ، عن النبي صلی الله علیه و آله وسلم ،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ما كان في أصل الخلقة ، فزاد أو نقص ، فهو عيب </w:t>
      </w:r>
      <w:r>
        <w:rPr>
          <w:rFonts w:eastAsia="IRNazanin" w:cs="IRNazanin"/>
          <w:color w:val="111111"/>
          <w:sz w:val="28"/>
          <w:szCs w:val="28"/>
          <w:rtl w:val="true"/>
          <w:lang w:bidi="fa-IR"/>
        </w:rPr>
        <w:t xml:space="preserve">. . .» </w:t>
      </w:r>
      <w:r>
        <w:rPr>
          <w:rStyle w:val="FootnoteAnchor"/>
          <w:rtl w:val="true"/>
        </w:rPr>
        <w:footnoteReference w:id="468"/>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الكلّية بصدد تحديد العيب الذي هو موضوع للحكم الشرعي ، فما هو خارج عنها ، لا حكم له وإن كان عيباً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ضعف السند</w:t>
      </w:r>
      <w:r>
        <w:rPr>
          <w:rStyle w:val="FootnoteAnchor"/>
          <w:rtl w:val="true"/>
        </w:rPr>
        <w:footnoteReference w:id="470"/>
      </w:r>
      <w:r>
        <w:rPr>
          <w:rFonts w:ascii="Amiri" w:hAnsi="Amiri" w:eastAsia="Amiri" w:cs="Amiri"/>
          <w:color w:val="111111"/>
          <w:sz w:val="28"/>
          <w:sz w:val="28"/>
          <w:szCs w:val="28"/>
          <w:rtl w:val="true"/>
          <w:lang w:bidi="ar-SA"/>
        </w:rPr>
        <w:t xml:space="preserve">وإرسالها ، وتوهّم عمل الأصحاب بها ؛ بملاحظة أنّ عباراتهم على طبق مضمونها </w:t>
      </w:r>
      <w:r>
        <w:rPr>
          <w:rStyle w:val="FootnoteAnchor"/>
          <w:rtl w:val="true"/>
        </w:rPr>
        <w:footnoteReference w:id="471"/>
      </w:r>
      <w:r>
        <w:rPr>
          <w:rFonts w:ascii="Amiri" w:hAnsi="Amiri" w:eastAsia="Amiri" w:cs="Amiri"/>
          <w:color w:val="111111"/>
          <w:sz w:val="28"/>
          <w:sz w:val="28"/>
          <w:szCs w:val="28"/>
          <w:rtl w:val="true"/>
          <w:lang w:bidi="ar-SA"/>
        </w:rPr>
        <w:t xml:space="preserve">، فاسد ؛ لأ نّها ليست كتعبيرهم ، ولعلّ التعبير بما ذكر فيها تفسير بالمعنى الارتكازي العرفي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عدم عمل أحد منهم بها ؛ ضرورة عدم حصرهم خيار العيب بما هو ناقص في الخلقة الأصلية ، فهي على فرض دلالتها على الحصر ، معرض عنها ، لا معمول بها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دلالتها على الحصر ممنوعة ؛ ضرورة أنّ سؤال ابن أبي ليلى وجواب ابن مسلم ، يختصّان بالجارية ، وتلك الكلّية يحتمل أن تكون واردة فيها ، أو في مطلق الحيوان ، أو في المخلوقات الأصيلة مطلقاً ، ومع الاحتمالات لا يمكن استفادة الردع منها </w:t>
      </w:r>
      <w:r>
        <w:rPr>
          <w:rFonts w:eastAsia="Amiri" w:cs="Amiri" w:ascii="Amiri" w:hAnsi="Amiri"/>
          <w:color w:val="111111"/>
          <w:sz w:val="28"/>
          <w:szCs w:val="28"/>
          <w:rtl w:val="true"/>
          <w:lang w:bidi="ar-SA"/>
        </w:rPr>
        <w:t xml:space="preserve">. </w:t>
      </w:r>
      <w:bookmarkStart w:id="307" w:name="pg15222_162327"/>
    </w:p>
    <w:p>
      <w:pPr>
        <w:pStyle w:val="BookText"/>
        <w:rPr/>
      </w:pPr>
      <w:bookmarkEnd w:id="307"/>
      <w:r>
        <w:rPr>
          <w:rFonts w:ascii="Amiri" w:hAnsi="Amiri" w:eastAsia="Amiri" w:cs="Amiri"/>
          <w:color w:val="111111"/>
          <w:sz w:val="28"/>
          <w:sz w:val="28"/>
          <w:szCs w:val="28"/>
          <w:rtl w:val="true"/>
          <w:lang w:bidi="ar-SA"/>
        </w:rPr>
        <w:t xml:space="preserve">وعلى فرض ورودها في المخلوقات الأصيلة ، فلا دلالة لها على التحديد والحصر ؛ فإنّ غاية دلالتها أنّ النقص والزيادة المذكورين عيب ، لا أنّ العيب منحصر 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 إثبات الخيار في الروايات بجملة من الأشياء التي لا تكون من المخلوقات بالمعنى المذكور ، كالثوب ونحوه</w:t>
      </w:r>
      <w:r>
        <w:rPr>
          <w:rStyle w:val="FootnoteAnchor"/>
          <w:rtl w:val="true"/>
        </w:rPr>
        <w:footnoteReference w:id="472"/>
      </w:r>
      <w:r>
        <w:rPr>
          <w:rFonts w:ascii="Amiri" w:hAnsi="Amiri" w:eastAsia="Amiri" w:cs="Amiri"/>
          <w:color w:val="111111"/>
          <w:sz w:val="28"/>
          <w:sz w:val="28"/>
          <w:szCs w:val="28"/>
          <w:rtl w:val="true"/>
          <w:lang w:bidi="ar-SA"/>
        </w:rPr>
        <w:t>، وكذا في الحيوان ممّا لا يكون العيب من قبيل النقص في الخلقة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إشكال في عدم صلوح الرواية للردع عن بناء العقلاء ، أو لتقييد الإطلاق لو كان في الباب إطلاق </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3331732_2142443653"/>
      <w:bookmarkStart w:id="309" w:name="_Toc115"/>
      <w:bookmarkEnd w:id="308"/>
      <w:r>
        <w:rPr>
          <w:rtl w:val="true"/>
        </w:rPr>
        <w:t>حكم الزيادة أو النقيصة الموجبة لزيادة القيمة أو عدم النقص</w:t>
      </w:r>
      <w:bookmarkEnd w:id="309"/>
    </w:p>
    <w:p>
      <w:pPr>
        <w:pStyle w:val="BookText"/>
        <w:rPr/>
      </w:pPr>
      <w:r>
        <w:rPr>
          <w:rFonts w:ascii="Amiri" w:hAnsi="Amiri" w:eastAsia="Amiri" w:cs="Amiri"/>
          <w:color w:val="111111"/>
          <w:sz w:val="28"/>
          <w:sz w:val="28"/>
          <w:szCs w:val="28"/>
          <w:rtl w:val="true"/>
          <w:lang w:bidi="ar-SA"/>
        </w:rPr>
        <w:t xml:space="preserve">ولو كانت الزيادة أو النقيصة ، موجبة لزيادة القيمة أو عدم النقص ، فإن لم تعدّ عرفاً عيباً كالختان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الغلفة زائدة ، خلقت لأجل تربية حشفة الطفل في الباطن ، كالغلاف المخلوق لبعض الحبوب لتربيتها ، وعليه فعند الاستغناء عنها ، لا يكون قطعها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ثبوت الخيار ؛ لأ نّه مترتّب على عنوانه ، لا على النقص ، وقد عرفت حال رواية السيّاري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تعدّ عيباً عرفاً ، وإن أوجبت زيادة القيمة ، كالخصاء في الحيوان ، الذي لا يصير خاضعاً للعمل المطلوب منه إلاّ بإخصائه ، فهل يثبت بمثل ذلك </w:t>
      </w:r>
    </w:p>
    <w:p>
      <w:pPr>
        <w:pStyle w:val="BookText"/>
        <w:rPr/>
      </w:pPr>
      <w:r>
        <w:rPr>
          <w:rFonts w:ascii="Amiri" w:hAnsi="Amiri" w:eastAsia="Amiri" w:cs="Amiri"/>
          <w:color w:val="111111"/>
          <w:sz w:val="28"/>
          <w:sz w:val="28"/>
          <w:szCs w:val="28"/>
          <w:rtl w:val="true"/>
          <w:lang w:bidi="ar-SA"/>
        </w:rPr>
        <w:t>العيب خياره ، أم يختصّ بالعيوب الموجبة للنقص ؟</w:t>
      </w:r>
    </w:p>
    <w:p>
      <w:pPr>
        <w:pStyle w:val="BookText"/>
        <w:rPr/>
      </w:pPr>
      <w:r>
        <w:rPr>
          <w:rFonts w:ascii="Amiri" w:hAnsi="Amiri" w:eastAsia="Amiri" w:cs="Amiri"/>
          <w:color w:val="111111"/>
          <w:sz w:val="28"/>
          <w:sz w:val="28"/>
          <w:szCs w:val="28"/>
          <w:rtl w:val="true"/>
          <w:lang w:bidi="ar-SA"/>
        </w:rPr>
        <w:t xml:space="preserve">الظاهر عدم الاختصاص ، وثبوت الخيار مطلقاً ؛ لبناء العقلاء على ثبوته للعيب ، من غير نظر إلى القيم ، كما أنّ خيار الغبن ثابت للشيء بلحاظ القيمة ، من غير نظر إلى أوصاف الشيء وأجزائه إلاّ لتشخيص قيمته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اشترى عبداً أعرج ، يوجب عرجه زيادة قيمة لأجل منعه عن الإباق ، فلا ينبغي الإشكال في ثبوت الخيار له ، فالعيب بعنوانه الذاتي ، محطّ نظر العقلاء لإثبات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إطلاق السؤال والشرطية الاُولى في مرسلة جميل</w:t>
      </w:r>
      <w:r>
        <w:rPr>
          <w:rStyle w:val="FootnoteAnchor"/>
          <w:rtl w:val="true"/>
        </w:rPr>
        <w:footnoteReference w:id="474"/>
      </w:r>
      <w:r>
        <w:rPr>
          <w:rFonts w:ascii="Amiri" w:hAnsi="Amiri" w:eastAsia="Amiri" w:cs="Amiri"/>
          <w:color w:val="111111"/>
          <w:sz w:val="28"/>
          <w:sz w:val="28"/>
          <w:szCs w:val="28"/>
          <w:rtl w:val="true"/>
          <w:lang w:bidi="ar-SA"/>
        </w:rPr>
        <w:t xml:space="preserve">هو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المرسلة مشتملة على شرطيتين ، لإثبات حكمين مستقلّين ، وليست الشرطية الثانية مفهوم الاُولى ؛ فإنّ إحداهما متكفّلة بإثبات الردّ ، والثانية بإثبات الأرش</w:t>
      </w:r>
      <w:r>
        <w:rPr>
          <w:rStyle w:val="FootnoteAnchor"/>
          <w:rtl w:val="true"/>
        </w:rPr>
        <w:footnoteReference w:id="475"/>
      </w:r>
      <w:r>
        <w:rPr>
          <w:rFonts w:ascii="Amiri" w:hAnsi="Amiri" w:eastAsia="Amiri" w:cs="Amiri"/>
          <w:color w:val="111111"/>
          <w:sz w:val="28"/>
          <w:sz w:val="28"/>
          <w:szCs w:val="28"/>
          <w:rtl w:val="true"/>
          <w:lang w:bidi="ar-SA"/>
        </w:rPr>
        <w:t xml:space="preserve">، فلا وجه لتوهّم عدم الإطلاق في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بناء العرف وإطلاق الدليل ثبوته ، ولا دليل على الردع عن البناء ، ولا على تقييد الإطلاق ؛ لأنّ تعرّض الروايات</w:t>
      </w:r>
      <w:r>
        <w:rPr>
          <w:rStyle w:val="FootnoteAnchor"/>
          <w:rtl w:val="true"/>
        </w:rPr>
        <w:footnoteReference w:id="476"/>
      </w:r>
      <w:r>
        <w:rPr>
          <w:rFonts w:ascii="Amiri" w:hAnsi="Amiri" w:eastAsia="Amiri" w:cs="Amiri"/>
          <w:color w:val="111111"/>
          <w:sz w:val="28"/>
          <w:sz w:val="28"/>
          <w:szCs w:val="28"/>
          <w:rtl w:val="true"/>
          <w:lang w:bidi="ar-SA"/>
        </w:rPr>
        <w:t xml:space="preserve">للعيوب الموجبة للأرش ، لا يفهم منه الاختصاص ، وإنّما ذلك لكون غالب العيوب كذلك ، فلا تصلح تلك الروايات للتقييد والردع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أخذ ذي الخيار بخياره ، إذا كان غرضه المالية ، غير عدم حقّ الخيار ، </w:t>
      </w:r>
    </w:p>
    <w:p>
      <w:pPr>
        <w:pStyle w:val="BookText"/>
        <w:rPr/>
      </w:pPr>
      <w:r>
        <w:rPr>
          <w:rFonts w:ascii="Amiri" w:hAnsi="Amiri" w:eastAsia="Amiri" w:cs="Amiri"/>
          <w:color w:val="111111"/>
          <w:sz w:val="28"/>
          <w:sz w:val="28"/>
          <w:szCs w:val="28"/>
          <w:rtl w:val="true"/>
          <w:lang w:bidi="ar-SA"/>
        </w:rPr>
        <w:t xml:space="preserve">كما لو اشترى شيئاً بقيمة رابحة جدّاً ، فوجد فيه عيباً ، وكانت السلعة مع ذلك رابحة جدّاً ، ولأجله ترك الأخذ بالخيار ، ومن المعلوم أنّ ذلك لا ينافي ثبوته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النظر في كلام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تقوية احتمال كون المناط في العيب هو النقص المالي</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في تعليقة السيّد الطباطبائي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هذا هو المتعيّن ، قائلاً بأنّ المراد من العيب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العيب من حيث المالية ، لا في حدّ نفسه ، وإلاّ فكثير من الأوصاف والزيادات والنقائص ، عيب في الشيء في حدّ نفسه ، خصوصاً في مثل الحيوانات ، ولا يكون متعلّقاً للحكم بلا إشكال</w:t>
      </w:r>
      <w:r>
        <w:rPr>
          <w:rStyle w:val="FootnoteAnchor"/>
          <w:rtl w:val="true"/>
        </w:rPr>
        <w:footnoteReference w:id="47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خلط بين العيوب التي لا يعتني بها العقلاء ، والتي هي مورد الاعتناء وإن زادت بها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كما يختلف تفاوت القيمة باختلاف المعاملات المتعلّقة بالأمتعة والسلع في ثبوت خيار الغبن وعدمه ، فقد يكون النقص عن القيمة بمقدار ربع الدينار أو أقلّ في معاملة غبناً ، ولا يكون كذلك في معاملة اُخرى ، بل لا تعدّ عشرات منه في بعض المعاملات غبناً ، وإن كان نقصاً بحسب الواقع ، فلا يقال عرفاً فيمن باع عمارة أو سفينة كبيرة ، قيمتها مليون ديناراً ، بأقلّ منه</w:t>
      </w:r>
    </w:p>
    <w:p>
      <w:pPr>
        <w:pStyle w:val="BookText"/>
        <w:rPr/>
      </w:pPr>
      <w:r>
        <w:rPr>
          <w:rFonts w:ascii="Amiri" w:hAnsi="Amiri" w:eastAsia="Amiri" w:cs="Amiri"/>
          <w:color w:val="111111"/>
          <w:sz w:val="28"/>
          <w:sz w:val="28"/>
          <w:szCs w:val="28"/>
          <w:rtl w:val="true"/>
          <w:lang w:bidi="ar-SA"/>
        </w:rPr>
        <w:t xml:space="preserve">بمقدار مائة دينار ونحوها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مغبون ، وله الخيار</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العيوب في خيار العيب ، يختلف حكمها بحسب اختلاف المعاملات ، </w:t>
      </w:r>
      <w:bookmarkStart w:id="310" w:name="pg15222_162330"/>
    </w:p>
    <w:p>
      <w:pPr>
        <w:pStyle w:val="BookText"/>
        <w:rPr/>
      </w:pPr>
      <w:bookmarkEnd w:id="310"/>
      <w:r>
        <w:rPr>
          <w:rFonts w:ascii="Amiri" w:hAnsi="Amiri" w:eastAsia="Amiri" w:cs="Amiri"/>
          <w:color w:val="111111"/>
          <w:sz w:val="28"/>
          <w:sz w:val="28"/>
          <w:szCs w:val="28"/>
          <w:rtl w:val="true"/>
          <w:lang w:bidi="ar-SA"/>
        </w:rPr>
        <w:t xml:space="preserve">فلو اشترى عمارة ذات طوابق ، وكان أحد أبواب بعض الطوابق معيوباً ،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المبيع معيوب ، وله خيار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اشترى نفس الباب ، فإنّ نقصه عيب يوجب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القياس ، لو اشترى قرية ، وكانت فيها دور وعمارات ، وكان بعض غرفها خرباً ، لا يعتني به العقلاء بالنسبة إلى تلك المعاملة ، فتختلف المعاملات في ثبوت خيار العيب وعدمه فيها ، فقد يعتني العقلاء بأقلّ مراتب العيب ، ويثبت عندهم خياره ، وقد لا يعتنون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 كثيراً ما يكون في الأشياء عيب ، ولا خيار فيه بلا إشكال حقّ ، لكنّه ليس لأجل دخالة المالية في ثبوت الخيار ، بل لأجل لزوم كون العيب ممّا يعتني به العقلاء في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فالعرج عيب يوجب الخيار ، وإن زادت القيمة به أحياناً ، وكذا الخصاء عيب موجب له ، وإن زادت به </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3331734_2142443653"/>
      <w:bookmarkStart w:id="312" w:name="_Toc116"/>
      <w:bookmarkEnd w:id="311"/>
      <w:r>
        <w:rPr>
          <w:rtl w:val="true"/>
        </w:rPr>
        <w:t xml:space="preserve">حكم النقص الشائع الذي يصدق عليه </w:t>
      </w:r>
      <w:r>
        <w:rPr>
          <w:rtl w:val="true"/>
        </w:rPr>
        <w:t>«</w:t>
      </w:r>
      <w:r>
        <w:rPr>
          <w:rtl w:val="true"/>
        </w:rPr>
        <w:t>العيب</w:t>
      </w:r>
      <w:r>
        <w:rPr>
          <w:rtl w:val="true"/>
        </w:rPr>
        <w:t>»</w:t>
      </w:r>
      <w:bookmarkEnd w:id="312"/>
    </w:p>
    <w:p>
      <w:pPr>
        <w:pStyle w:val="BookText"/>
        <w:rPr/>
      </w:pPr>
      <w:r>
        <w:rPr>
          <w:rFonts w:ascii="Amiri" w:hAnsi="Amiri" w:eastAsia="Amiri" w:cs="Amiri"/>
          <w:color w:val="111111"/>
          <w:sz w:val="28"/>
          <w:sz w:val="28"/>
          <w:szCs w:val="28"/>
          <w:rtl w:val="true"/>
          <w:lang w:bidi="ar-SA"/>
        </w:rPr>
        <w:t xml:space="preserve">ثمّ إنّه لو كان النقص شائعاً في أفراد طبيعة ، كالخصاء في العوامل ، وكالختان في المسلمين ، فإن كان ذلك موجباً لعدم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فلا إشكال في عدم ثبوت خياره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صدق العنوان ، فيختلف الحكم حسب اختلاف المباني في ملاك ثبوت الخيار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الملاك هو التزام البائع ضمناً بالسلامة من العيوب ، لا بدّ من </w:t>
      </w:r>
      <w:bookmarkStart w:id="313" w:name="pg15222_162331"/>
    </w:p>
    <w:p>
      <w:pPr>
        <w:pStyle w:val="BookText"/>
        <w:rPr/>
      </w:pPr>
      <w:bookmarkEnd w:id="313"/>
      <w:r>
        <w:rPr>
          <w:rFonts w:ascii="Amiri" w:hAnsi="Amiri" w:eastAsia="Amiri" w:cs="Amiri"/>
          <w:color w:val="111111"/>
          <w:sz w:val="28"/>
          <w:sz w:val="28"/>
          <w:szCs w:val="28"/>
          <w:rtl w:val="true"/>
          <w:lang w:bidi="ar-SA"/>
        </w:rPr>
        <w:t xml:space="preserve">التفصيل بين علم البائع بالشيوع وعدمه ؛ ضرورة أ نّه مع جهله يكون الالتزام بها متحقّقاً على فرض صحّة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الأمر كذلك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بيع مثل ذلك ملازم للتبرّي من العيب ؛ بداهة أ نّه مع جهل البائع لا وجه له ، ومن هنا ظهر ما في إطلاق الشيخ قدّس سرّه وغيره</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ثابت إلاّ مع إقدام المشتري على اشتراء المعيب ، فلا بدّ من التفصيل بين علمه بالواقع وعدمه ؛ إذ مع جهله لا إقدام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اعتماد المشتري على أصالة الصحّة ، موجب له ؛ لوضوح ثبوت ذلك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الخيار ؛ لأجل كون الأصل والقاعدة في الأشياء السلامة ، والمناط هو ثبوت القاعدة واقعاً ، فلا يثبت مطلقاً فيما إذا كان الأصل فيه العيب ، أو لم يكن الأصل فيه السلامة </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3331736_2142443653"/>
      <w:bookmarkStart w:id="315" w:name="_Toc117"/>
      <w:bookmarkEnd w:id="314"/>
      <w:r>
        <w:rPr>
          <w:rtl w:val="true"/>
        </w:rPr>
        <w:t>حكم النقص عن الخلقة الأصلية الذي لا يكون عيباً</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مع عدم كون النقص عن الخلقة الأصلية عيباً ، فعلى مبنى القوم يثبت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جهل المتبايعين بشيوعه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تخلّف الشرط الضمني ؛ بدعوى أنّ الأصل هو السلامة عن مطلق النقص الخلقي ، سواء كان عيباً أم لا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ولازم ذلك أنّ الشرط الضمني ، يوجب خيار العيب فيما إذا كان النقص عيباً ، وخيارَ تخلّف الشرط فيما إذا لم يكن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 فإنّ الشرط المذكور ، لو كان موجباً للخيار بما هو شرط ، فلا وجه لعدم إيجابه في مورد العيب ، بل لا بدّ إذن من إثبات خيارين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الشرط بدليله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العيب بالأدلّة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ويجري هذا الكلام فيما إذا اشترط صريحاً عدم عيب خاصّ مثل الخصاء ، ففي مثله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خيارين ؛ لتحقّق سببهما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خيار العيب فقط ، بناءً على ثبوته بسبب الشرط الضمني في غير المقام ؛ بدعوى أنّ الشرط المذكور ، لم يكن غير الشرط الضمني المصرّح به ، بل هو تأكيد له ، لا شرط زائد ، فلو لم يثبت بالشرط الضمني في مورد العيب إلاّ خيار العيب ، فلا وجه لثبوت خيار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خيار الشرط فقط ؛ لأنّ ثبوت خيار العيب ، إنّما هو لأجل الاتّكال على أصل السلامة ، والشرط الصريح كاشف عن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الضمني لا أصل له ، وأمّا لو شرط صريحاً فيثبت به خيار تخلّف الشرط لدى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خيار العيب ، فبناء على ثبوته لدى العقلاء بتحقّق عنوانه ، مع عدم التبرّي عنه ، وعدم إقدام المشتري ، لا بدّ من القول به أيضاً ، وإن كان العيب شائعاً في افراد الطبيعة مع فرض جهلهما به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إنّما يثبت عندهم ، فيما إذا كان الأصل فيه هو السلامة ، فمع شيوع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أصل ، بل الأصل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خياره لدى العقلاء ، </w:t>
      </w:r>
      <w:bookmarkStart w:id="316" w:name="pg15222_162333"/>
    </w:p>
    <w:p>
      <w:pPr>
        <w:pStyle w:val="BookText"/>
        <w:rPr/>
      </w:pPr>
      <w:bookmarkEnd w:id="316"/>
      <w:r>
        <w:rPr>
          <w:rFonts w:ascii="Amiri" w:hAnsi="Amiri" w:eastAsia="Amiri" w:cs="Amiri"/>
          <w:color w:val="111111"/>
          <w:sz w:val="28"/>
          <w:sz w:val="28"/>
          <w:szCs w:val="28"/>
          <w:rtl w:val="true"/>
          <w:lang w:bidi="ar-SA"/>
        </w:rPr>
        <w:t xml:space="preserve">لكن مقتضى إطلاق دليل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كمرسلة جميل</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الخيارين ، كان المشتري مخيّراً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تغيّر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أخذ الأرش ، والفسخ لخيار العيب وخيارٍ آخر ؛ هو خيار تخلّف الشرط ، ومع التغيّر يكون مخيّراً بين الأرش للعيب ، والفسخ لتخلّف الشرط ، والتخيير بينهما عقلي بعد بطلان الجمع </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3331738_2142443653"/>
      <w:bookmarkStart w:id="318" w:name="_Toc118"/>
      <w:bookmarkEnd w:id="317"/>
      <w:r>
        <w:rPr>
          <w:rtl w:val="true"/>
        </w:rPr>
        <w:t>ثمرة المقام</w:t>
      </w:r>
      <w:bookmarkEnd w:id="318"/>
    </w:p>
    <w:p>
      <w:pPr>
        <w:pStyle w:val="BookText"/>
        <w:rPr/>
      </w:pPr>
      <w:r>
        <w:rPr>
          <w:rFonts w:ascii="Amiri" w:hAnsi="Amiri" w:eastAsia="Amiri" w:cs="Amiri"/>
          <w:color w:val="111111"/>
          <w:sz w:val="28"/>
          <w:sz w:val="28"/>
          <w:szCs w:val="28"/>
          <w:rtl w:val="true"/>
          <w:lang w:bidi="ar-SA"/>
        </w:rPr>
        <w:t xml:space="preserve">ثمّ إنّ الثمرة في أنّ الثابت هل هو خيار تخلّف الشرط فقط ، أو خيار العيب كذلك ، تظهر فيما إذا كان للعيب أرش ، فمع ثبوت خيار العيب يتخيّر بين الردّ والأرش ، بخلاف خيار تخلّف الشرط ، فإنّ له الفسخ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نّها تظهر مع تغيّر العين، فليس له الردّ في خيار العيب، دون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سقوط الردّ فيما إذا كان للعيب أرش ، لا مطلقاً ، فلا ثمرة بينهما من هذه الجهة</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منع ؛ لما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مرسلة جميل</w:t>
      </w:r>
      <w:r>
        <w:rPr>
          <w:rStyle w:val="FootnoteAnchor"/>
          <w:rtl w:val="true"/>
        </w:rPr>
        <w:footnoteReference w:id="483"/>
      </w:r>
      <w:r>
        <w:rPr>
          <w:rFonts w:ascii="Amiri" w:hAnsi="Amiri" w:eastAsia="Amiri" w:cs="Amiri"/>
          <w:color w:val="111111"/>
          <w:sz w:val="28"/>
          <w:sz w:val="28"/>
          <w:szCs w:val="28"/>
          <w:rtl w:val="true"/>
          <w:lang w:bidi="ar-SA"/>
        </w:rPr>
        <w:t>وتوهّم الاختصاص ناشئ عن توهّم كون الجملة الثانية فيها مفهوماً للاُولى ، وقد تقدّم تزييفه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وأمّا الثمرة الاُخرى التي أشار إليها الشيخ الأعظم قدّس سرّه في صورة حصول هذا النقص قبل القبض أو في زمان الخيار</w:t>
      </w:r>
      <w:r>
        <w:rPr>
          <w:rStyle w:val="FootnoteAnchor"/>
          <w:rtl w:val="true"/>
        </w:rPr>
        <w:footnoteReference w:id="485"/>
      </w:r>
      <w:r>
        <w:rPr>
          <w:rFonts w:ascii="Amiri" w:hAnsi="Amiri" w:eastAsia="Amiri" w:cs="Amiri"/>
          <w:color w:val="111111"/>
          <w:sz w:val="28"/>
          <w:sz w:val="28"/>
          <w:szCs w:val="28"/>
          <w:rtl w:val="true"/>
          <w:lang w:bidi="ar-SA"/>
        </w:rPr>
        <w:t>، ففيها كلام طويل الذيل ، ذكرنا جملة وافية منه في مسقطات خيار العيب</w:t>
      </w:r>
      <w:r>
        <w:rPr>
          <w:rStyle w:val="FootnoteAnchor"/>
          <w:rtl w:val="true"/>
        </w:rPr>
        <w:footnoteReference w:id="486"/>
      </w:r>
      <w:r>
        <w:rPr>
          <w:rFonts w:ascii="Amiri" w:hAnsi="Amiri" w:eastAsia="Amiri" w:cs="Amiri"/>
          <w:color w:val="111111"/>
          <w:sz w:val="28"/>
          <w:sz w:val="28"/>
          <w:szCs w:val="28"/>
          <w:rtl w:val="true"/>
          <w:lang w:bidi="ar-SA"/>
        </w:rPr>
        <w:t>، وسيأتي إن شاء اللّه أيضاً في محلّه</w:t>
      </w:r>
      <w:r>
        <w:rPr>
          <w:rStyle w:val="FootnoteAnchor"/>
          <w:rtl w:val="true"/>
        </w:rPr>
        <w:footnoteReference w:id="487"/>
      </w:r>
      <w:r>
        <w:rPr>
          <w:rFonts w:ascii="Amiri" w:hAnsi="Amiri" w:eastAsia="Amiri" w:cs="Amiri"/>
          <w:color w:val="111111"/>
          <w:sz w:val="28"/>
          <w:sz w:val="28"/>
          <w:szCs w:val="28"/>
          <w:rtl w:val="true"/>
          <w:lang w:bidi="ar-SA"/>
        </w:rPr>
        <w:t xml:space="preserve">، فلا مجال هاهنا للتعرّض له ، وإن كان الأقوى أنّ النقص الحاصل قبل القبض ، يثبت به الردّ والأرش في خيار العيب ، ولا يثبت به شيء في خيار الشرط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الحاصل في زمان الخيار ، ففيه كلام وإشكال ، فراجع ما حرّرناه في المقام المشار إليه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319" w:name="pg15222_162335"/>
    </w:p>
    <w:p>
      <w:pPr>
        <w:pStyle w:val="Heading3"/>
        <w:numPr>
          <w:ilvl w:val="2"/>
          <w:numId w:val="1"/>
        </w:numPr>
        <w:rPr/>
      </w:pPr>
      <w:bookmarkStart w:id="320" w:name="__RefHeading___Toc3331740_2142443653"/>
      <w:bookmarkStart w:id="321" w:name="_Toc119"/>
      <w:bookmarkEnd w:id="319"/>
      <w:bookmarkEnd w:id="320"/>
      <w:r>
        <w:rPr>
          <w:rtl w:val="true"/>
        </w:rPr>
        <w:t>الكلام في الأرش</w:t>
      </w:r>
      <w:bookmarkEnd w:id="321"/>
    </w:p>
    <w:p>
      <w:pPr>
        <w:pStyle w:val="Heading4"/>
        <w:numPr>
          <w:ilvl w:val="3"/>
          <w:numId w:val="1"/>
        </w:numPr>
        <w:rPr/>
      </w:pPr>
      <w:bookmarkStart w:id="322" w:name="__RefHeading___Toc3331742_2142443653"/>
      <w:bookmarkStart w:id="323" w:name="_Toc120"/>
      <w:bookmarkEnd w:id="322"/>
      <w:r>
        <w:rPr>
          <w:rtl w:val="true"/>
        </w:rPr>
        <w:t>معنى الأرش لغة واصطلاحاً</w:t>
      </w:r>
      <w:bookmarkEnd w:id="323"/>
    </w:p>
    <w:p>
      <w:pPr>
        <w:pStyle w:val="BookText"/>
        <w:rPr/>
      </w:pPr>
      <w:r>
        <w:rPr>
          <w:rFonts w:ascii="Amiri" w:hAnsi="Amiri" w:eastAsia="Amiri" w:cs="Amiri"/>
          <w:color w:val="111111"/>
          <w:sz w:val="28"/>
          <w:sz w:val="28"/>
          <w:szCs w:val="28"/>
          <w:rtl w:val="true"/>
          <w:lang w:bidi="ar-SA"/>
        </w:rPr>
        <w:t xml:space="preserve">وله في اللغة معانٍ مختلفة ذاتاً ؛ بحيث لا يعقل فيها الاشتراك المعنوي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اللفظي في جميع موارد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 xml:space="preserve">، غير ظاهر ، ولا وجه لإرجاع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بالتكلّف البارد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معنىً واحد فيما أمكن ، والقول بالمجاز فيما لا يمكن ، كما لا داعي للقول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بالاشتراك فيما يكون له جامع قريب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إبهام في معناه المراد منه في المقام في النصّ والفتوى ، فإنّه عبارة عن التفاوت الذي يكون بين الصحيح والمعيب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يردّ لجبر ما أخذه بلحاظ وصف الصحّة ، ففي رواية حمّاد بن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أرش العيب</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324" w:name="pg15222_162336"/>
    </w:p>
    <w:p>
      <w:pPr>
        <w:pStyle w:val="BookText"/>
        <w:rPr/>
      </w:pPr>
      <w:bookmarkEnd w:id="324"/>
      <w:r>
        <w:rPr>
          <w:rFonts w:ascii="Amiri" w:hAnsi="Amiri" w:eastAsia="Amiri" w:cs="Amiri"/>
          <w:color w:val="111111"/>
          <w:sz w:val="28"/>
          <w:sz w:val="28"/>
          <w:szCs w:val="28"/>
          <w:rtl w:val="true"/>
          <w:lang w:bidi="ar-SA"/>
        </w:rPr>
        <w:t xml:space="preserve">وفي رواية طلحة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وهذا تفسير له </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3331744_2142443653"/>
      <w:bookmarkStart w:id="326" w:name="_Toc121"/>
      <w:bookmarkEnd w:id="325"/>
      <w:r>
        <w:rPr>
          <w:rtl w:val="true"/>
        </w:rPr>
        <w:t>المراد بالضمان في مورد الأرش وتحديد مقداره</w:t>
      </w:r>
      <w:bookmarkEnd w:id="326"/>
    </w:p>
    <w:p>
      <w:pPr>
        <w:pStyle w:val="BookText"/>
        <w:rPr/>
      </w:pPr>
      <w:r>
        <w:rPr>
          <w:rFonts w:ascii="Amiri" w:hAnsi="Amiri" w:eastAsia="Amiri" w:cs="Amiri"/>
          <w:color w:val="111111"/>
          <w:sz w:val="28"/>
          <w:sz w:val="28"/>
          <w:szCs w:val="28"/>
          <w:rtl w:val="true"/>
          <w:lang w:bidi="ar-SA"/>
        </w:rPr>
        <w:t xml:space="preserve">ثمّ إنّه لا ريب في أنّ الضمان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كون الأرش مضموناً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ضمان اليد ، ولا ضمان الإتلاف ، وهو واضح ؛ لعدم سبب لضمانهما ، ولا ضمان المعاوضة ؛ لأنّ وصف الصحّة لم يقابل بعوض أوّلاً ، ولم يفرض فسخ العقد أو تنزيله منزلته ، حتّى يضمن ما يقابله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بضمان القيمة الواقعية للعيب ، كان شبيهاً بضمان اليد ، كما أ نّه لو قلنا بضمان مقدار من الثمن الذي وقع بلحاظ وصف الصحّة ، كان شبيهاً بضمان المعاوضة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 يكون ضماناً مستقلاًّ غير الضمانين ، لكنّ الشأن في كونه مضموناً ، وقد تعرّضنا له سابقاً </w:t>
      </w:r>
      <w:r>
        <w:rPr>
          <w:rStyle w:val="FootnoteAnchor"/>
          <w:rtl w:val="true"/>
        </w:rPr>
        <w:footnoteReference w:id="492"/>
      </w:r>
      <w:r>
        <w:rPr>
          <w:rFonts w:ascii="Amiri" w:hAnsi="Amiri" w:eastAsia="Amiri" w:cs="Amiri"/>
          <w:color w:val="111111"/>
          <w:sz w:val="28"/>
          <w:sz w:val="28"/>
          <w:szCs w:val="28"/>
          <w:rtl w:val="true"/>
          <w:lang w:bidi="ar-SA"/>
        </w:rPr>
        <w:t xml:space="preserve">، ورجّحنا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المتفاهم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للمشتري مثلاً حقّ الرجوع إلى البائع بالأرش ، وأخذه منه ، من دون أن يكون على ذمّته من الأوّل</w:t>
      </w:r>
      <w:r>
        <w:rPr>
          <w:rStyle w:val="FootnoteAnchor"/>
          <w:rtl w:val="true"/>
        </w:rPr>
        <w:footnoteReference w:id="493"/>
      </w:r>
      <w:r>
        <w:rPr>
          <w:rFonts w:ascii="Amiri" w:hAnsi="Amiri" w:eastAsia="Amiri" w:cs="Amiri"/>
          <w:color w:val="111111"/>
          <w:sz w:val="28"/>
          <w:sz w:val="28"/>
          <w:szCs w:val="28"/>
          <w:rtl w:val="true"/>
          <w:lang w:bidi="ar-SA"/>
        </w:rPr>
        <w:t>، أو عند الرجوع إليه</w:t>
      </w:r>
      <w:r>
        <w:rPr>
          <w:rStyle w:val="FootnoteAnchor"/>
          <w:rtl w:val="true"/>
        </w:rPr>
        <w:footnoteReference w:id="494"/>
      </w:r>
      <w:r>
        <w:rPr>
          <w:rFonts w:ascii="Amiri" w:hAnsi="Amiri" w:eastAsia="Amiri" w:cs="Amiri"/>
          <w:color w:val="111111"/>
          <w:sz w:val="28"/>
          <w:sz w:val="28"/>
          <w:szCs w:val="28"/>
          <w:rtl w:val="true"/>
          <w:lang w:bidi="ar-SA"/>
        </w:rPr>
        <w:t xml:space="preserve">، فلو اُطلق </w:t>
      </w:r>
    </w:p>
    <w:p>
      <w:pPr>
        <w:pStyle w:val="BookText"/>
        <w:rPr/>
      </w:pP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مشاحّة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المضمون بهذا المعنى ، هو ما به التفاوت بين الصحيح والمعيب بحسب القيمة الواقعية ، من غير نظر إلى العوض والثمن في المعاملة ، فيكون المضمون نظير ضمان اليد ، أو يلاحظ التفاوت بينهما ، ويكون المضمون هو ما به التفاوت بالنسبة إلى الثمن ؟</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المال ، تكون نسبته إلى الثمن كنسبة المعيب إلى الصحيح ، فلو كانت قيمة المعيب نصف قيمة الصحيح ، كان المضمون نصف المسمّى ، لا نصف القيمة بحسب الواقع ؟</w:t>
      </w:r>
    </w:p>
    <w:p>
      <w:pPr>
        <w:pStyle w:val="BookText"/>
        <w:rPr/>
      </w:pPr>
      <w:r>
        <w:rPr>
          <w:rFonts w:ascii="Amiri" w:hAnsi="Amiri" w:eastAsia="Amiri" w:cs="Amiri"/>
          <w:color w:val="111111"/>
          <w:sz w:val="28"/>
          <w:sz w:val="28"/>
          <w:szCs w:val="28"/>
          <w:rtl w:val="true"/>
          <w:lang w:bidi="ar-SA"/>
        </w:rPr>
        <w:t xml:space="preserve">لا إشكال في أنّ بناء العرف والعقلاء ، على الرجوع إلى البائع ، بمقدار ما تسلّمه بلحاظ وصف الصحّة ، فلو اشترى شيئاً بعشرة ، وكان إعطاء دينارين منها بلحاظ وصف صحّته ، يرجع إليه بدينارين ، لا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بناء عقلائي في خصوص خيار العيب ، وقد تقدّم مراراً أنّ خياره عقلائي ، كما أنّ الأرش عقلائي ، وإن لم يكن التخيير بينهما كذلك</w:t>
      </w:r>
      <w:r>
        <w:rPr>
          <w:rStyle w:val="FootnoteAnchor"/>
          <w:rtl w:val="true"/>
        </w:rPr>
        <w:footnoteReference w:id="495"/>
      </w:r>
      <w:r>
        <w:rPr>
          <w:rFonts w:ascii="Amiri" w:hAnsi="Amiri" w:eastAsia="Amiri" w:cs="Amiri"/>
          <w:color w:val="111111"/>
          <w:sz w:val="28"/>
          <w:sz w:val="28"/>
          <w:szCs w:val="28"/>
          <w:rtl w:val="true"/>
          <w:lang w:bidi="ar-SA"/>
        </w:rPr>
        <w:t xml:space="preserve">، والأرش عندهم ليس إلاّ ما ذهب من كيسهم بلحاظ وصف الصحّة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بناؤهم على تغريم البائع أزيد ممّا خرج من كيس المشتري بلحاظ الوصف ، بلا سبب للضمان والغرامة ، ولا على الإضرار بالمشتري لو اتّفق نقص القيمة الواقعية عمّا خرج من كيسه ، فما عليه الأكثر أو الجميع ، موافق لبناء العرف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السيّد الطباطبائي قدّس سرّه لإثبات التطبيق على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مقابلة الثمن لوصف الصحّة بحسب اللبّ ، وأنّ هنا معاوضتين ،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حسّية إنشائية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معاوضة لبّية ، والضمان هاهنا ضمان المعاوضة اللبّية ، ولازمه انفساخ تلك المعاوضة ، لا المعاوضة الحسّية</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ما لا يخفى ؛ ضرورة عدم عين ولا أثر ، لتلك المعاوضة اللبّية المعنوية في سوق العقلاء ، يكون لها تحقّق وانفساخ في مقابل المعاملة الرائجة ، وزيادة القيمة وإعطاؤها بلحاظ وصف الصحّة ، أجنبيّة عن المعاوضة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زيادتها بلحاظ أوصاف الكمال ، ككون الدار قريبة من الشارع ، أو من الشطّ ، لا تعدّ معاوضة أو معاوضات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تقريره الآخر الظاهر من الشيخ الأعظم قدّس سرّه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البائع التزم بالوصف للمشتري ، وأخذ بملاحظته زائداً عمّا يستحقّه ، فإذا تبيّن عدم وجود الوصف ، وجب عليه أن يخرج من عهدته ، وإنّما لا يجب إعطاء تمام القيمة ، بل بنسبة الثمن ؛ لأ نّه لم يلتزم بهذا الوصف إلاّ أن يكون له هذا المقدار من المالية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 لما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الالتزام مطلقاً ، وأنّ خيار العيب ليس مترتّباً على الالتزام المذكور</w:t>
      </w:r>
      <w:r>
        <w:rPr>
          <w:rStyle w:val="FootnoteAnchor"/>
          <w:rtl w:val="true"/>
        </w:rPr>
        <w:footnoteReference w:id="498"/>
      </w:r>
      <w:r>
        <w:rPr>
          <w:rFonts w:ascii="Amiri" w:hAnsi="Amiri" w:eastAsia="Amiri" w:cs="Amiri"/>
          <w:color w:val="111111"/>
          <w:sz w:val="28"/>
          <w:sz w:val="28"/>
          <w:szCs w:val="28"/>
          <w:rtl w:val="true"/>
          <w:lang w:bidi="ar-SA"/>
        </w:rPr>
        <w:t xml:space="preserve">، فضلاً عن الالتزام بالكيفية الخاصّة المدّعاة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حكم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ارتكازهم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w:t>
      </w:r>
    </w:p>
    <w:p>
      <w:pPr>
        <w:pStyle w:val="BookText"/>
        <w:rPr/>
      </w:pPr>
      <w:r>
        <w:rPr>
          <w:rFonts w:ascii="Amiri" w:hAnsi="Amiri" w:eastAsia="Amiri" w:cs="Amiri"/>
          <w:color w:val="111111"/>
          <w:sz w:val="28"/>
          <w:sz w:val="28"/>
          <w:szCs w:val="28"/>
          <w:rtl w:val="true"/>
          <w:lang w:bidi="ar-SA"/>
        </w:rPr>
        <w:t xml:space="preserve">خصوص ما خسر بلحاظ وصف الصحّة ، واستبعادهم خلافه ، لا ينقدح في أذهانهم من جلّ روايات الباب إلاّ ما هو عندهم ، والميزان في فهم الروايات هو فهم العرف ، لا الدقائق العقلية ، والمناقشات العلمية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ريب في أنّ المفهوم العرفي من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بنقصان العيب</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أرش العيب</w:t>
      </w:r>
      <w:r>
        <w:rPr>
          <w:rFonts w:eastAsia="IRNazanin" w:cs="IRNazanin"/>
          <w:color w:val="111111"/>
          <w:sz w:val="28"/>
          <w:szCs w:val="28"/>
          <w:rtl w:val="true"/>
          <w:lang w:bidi="fa-IR"/>
        </w:rPr>
        <w:t>»</w:t>
      </w:r>
      <w:r>
        <w:rPr>
          <w:rStyle w:val="FootnoteAnchor"/>
          <w:rtl w:val="true"/>
        </w:rPr>
        <w:footnoteReference w:id="500"/>
      </w:r>
      <w:r>
        <w:rPr>
          <w:rFonts w:ascii="Amiri" w:hAnsi="Amiri" w:eastAsia="Amiri" w:cs="Amiri"/>
          <w:color w:val="111111"/>
          <w:sz w:val="28"/>
          <w:sz w:val="28"/>
          <w:szCs w:val="28"/>
          <w:rtl w:val="true"/>
          <w:lang w:bidi="ar-SA"/>
        </w:rPr>
        <w:t xml:space="preserve">ونحوهما ، ليس إلاّ ما ذهب من ماله من جهة العيب ؛ أي يرجع إلى البائع لجبر ما نقص ، وجبر ما تضرّر به ، لا بأكثر منه ، ليرجع إلى الضمان من غير سبب ، ولا بأقلّ منه ، ليرجع إلى إضراره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وأولى بذلك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ويردّ بقدر ما نقص من ذلك الداء والعيب من ثمن ذلك لو لم يكن به</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يوضع عنها من ثمنها بقدر عيب إن كان فيها</w:t>
      </w:r>
      <w:r>
        <w:rPr>
          <w:rFonts w:eastAsia="IRNazanin" w:cs="IRNazanin"/>
          <w:color w:val="111111"/>
          <w:sz w:val="28"/>
          <w:szCs w:val="28"/>
          <w:rtl w:val="true"/>
          <w:lang w:bidi="fa-IR"/>
        </w:rPr>
        <w:t>»</w:t>
      </w:r>
      <w:r>
        <w:rPr>
          <w:rStyle w:val="FootnoteAnchor"/>
          <w:rtl w:val="true"/>
        </w:rPr>
        <w:footnoteReference w:id="502"/>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ذلك ، فإنّ المتفاهم منها عرفاً ، أنّ الردّ لجبر ما خرج من كيسه وأضرّ به ، لا أ نّه أمر مستقلّ ثبت عقوبة عليه من غير سبب ، كما في بعض الأحيان ، أو إرفاقاً له ، كما في بعض الموارد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 الظاهر من رواية طلحة بن زيد ثبوت القيمة الواقعية ، حيث روى عن أبي عبداللّه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علیه السلام في رجل اشترى جارية فوطأها ، ثمّ وجد فيها عيباً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وهي صحيحة ، وتقوّم وبها الداء ، ثمّ يردّ</w:t>
      </w:r>
    </w:p>
    <w:p>
      <w:pPr>
        <w:pStyle w:val="BookText"/>
        <w:rPr/>
      </w:pPr>
      <w:r>
        <w:rPr>
          <w:rFonts w:ascii="Amiri" w:hAnsi="Amiri" w:eastAsia="Amiri" w:cs="Amiri"/>
          <w:color w:val="111111"/>
          <w:sz w:val="28"/>
          <w:sz w:val="28"/>
          <w:szCs w:val="28"/>
          <w:rtl w:val="true"/>
          <w:lang w:bidi="ar-SA"/>
        </w:rPr>
        <w:t>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ضعفها سنداً </w:t>
      </w:r>
      <w:r>
        <w:rPr>
          <w:rStyle w:val="FootnoteAnchor"/>
          <w:rtl w:val="true"/>
        </w:rPr>
        <w:footnoteReference w:id="504"/>
      </w:r>
      <w:r>
        <w:rPr>
          <w:rFonts w:ascii="Amiri" w:hAnsi="Amiri" w:eastAsia="Amiri" w:cs="Amiri"/>
          <w:color w:val="111111"/>
          <w:sz w:val="28"/>
          <w:sz w:val="28"/>
          <w:szCs w:val="28"/>
          <w:rtl w:val="true"/>
          <w:lang w:bidi="ar-SA"/>
        </w:rPr>
        <w:t xml:space="preserve">، واحتمال كون القضاء في مورد خاصّ ، لا بياناً للحكم الكلّي ، فلا إطلاق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بل وجميع الروايات على فرض تسليم ظهورها في القيمة الواقعية ، واردة مورد الغالب ، ولا سيّما في مثل تلك الأعصار ، مع ملاحظة وضع السوق فيها من حيث ثباته غالباً ، خصوصاً في زمان يسير ، يطّلع فيه المشتري على عيب السلعة ، حيث لم تكن القيمة الواقعية مختلفة في مثله مع المسمّى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إطلاق في الروايات بالنسبة إلى الموارد النادرة ، فلا تصلح لردع البناء العقلائي ، على فرض تسليم الدلالة على القيمة الواقعية ، والغضّ عمّا عرفت من الدلالة على ما عليه الأصحاب </w:t>
      </w:r>
      <w:r>
        <w:rPr>
          <w:rFonts w:eastAsia="Amiri" w:cs="Amiri" w:ascii="Amiri" w:hAnsi="Amiri"/>
          <w:color w:val="111111"/>
          <w:sz w:val="28"/>
          <w:szCs w:val="28"/>
          <w:rtl w:val="true"/>
          <w:lang w:bidi="ar-SA"/>
        </w:rPr>
        <w:t xml:space="preserve">. </w:t>
      </w:r>
      <w:bookmarkStart w:id="327" w:name="pg15222_162341"/>
    </w:p>
    <w:p>
      <w:pPr>
        <w:pStyle w:val="BookText"/>
        <w:rPr/>
      </w:pPr>
      <w:bookmarkEnd w:id="327"/>
      <w:r>
        <w:rPr>
          <w:rFonts w:ascii="Amiri" w:hAnsi="Amiri" w:eastAsia="Amiri" w:cs="Amiri"/>
          <w:color w:val="111111"/>
          <w:sz w:val="28"/>
          <w:sz w:val="28"/>
          <w:szCs w:val="28"/>
          <w:rtl w:val="true"/>
          <w:lang w:bidi="ar-SA"/>
        </w:rPr>
        <w:t>وأمّا رواية محمّد بن مسلم</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ففيها إهمال من هذه الجهة ، بل الارتكاز العرفي لمّا كان مع ما هو المعهود عند الأصحاب ، يوجب حملها على ما هو المعهود ، وكذا بعض الروايات الاُخر</w:t>
      </w:r>
      <w:r>
        <w:rPr>
          <w:rStyle w:val="FootnoteAnchor"/>
          <w:rtl w:val="true"/>
        </w:rPr>
        <w:footnoteReference w:id="5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فراجعها </w:t>
      </w:r>
      <w:r>
        <w:rPr>
          <w:rFonts w:eastAsia="IRNazanin" w:cs="IRNazanin"/>
          <w:color w:val="111111"/>
          <w:sz w:val="28"/>
          <w:szCs w:val="28"/>
          <w:rtl w:val="true"/>
          <w:lang w:bidi="fa-IR"/>
        </w:rPr>
        <w:t>.</w:t>
      </w:r>
    </w:p>
    <w:p>
      <w:pPr>
        <w:pStyle w:val="Heading4"/>
        <w:numPr>
          <w:ilvl w:val="3"/>
          <w:numId w:val="1"/>
        </w:numPr>
        <w:rPr/>
      </w:pPr>
      <w:bookmarkStart w:id="328" w:name="__RefHeading___Toc3331746_2142443653"/>
      <w:bookmarkStart w:id="329" w:name="_Toc122"/>
      <w:bookmarkEnd w:id="328"/>
      <w:r>
        <w:rPr>
          <w:rtl w:val="true"/>
        </w:rPr>
        <w:t>عدم لزوم دفع الأرش من عين الثمن المسمّى</w:t>
      </w:r>
      <w:bookmarkEnd w:id="329"/>
    </w:p>
    <w:p>
      <w:pPr>
        <w:pStyle w:val="BookText"/>
        <w:rPr/>
      </w:pPr>
      <w:r>
        <w:rPr>
          <w:rFonts w:ascii="Amiri" w:hAnsi="Amiri" w:eastAsia="Amiri" w:cs="Amiri"/>
          <w:color w:val="111111"/>
          <w:sz w:val="28"/>
          <w:sz w:val="28"/>
          <w:szCs w:val="28"/>
          <w:rtl w:val="true"/>
          <w:lang w:bidi="ar-SA"/>
        </w:rPr>
        <w:t xml:space="preserve">ثمّ إنّه هل يتعيّن دفع الأرش من عين الثمن المسمّى أم لا ؟ الظاهر هو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البناء العرفي والارتكازات العقلائية ، فلأنّ رجوع جزء الثمن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بتخيّل أنّ الثمن موزّع على العين ووصف الصحّة ، ومع فقده يستحقّ الجزء ؛ لعدم انتقاله رأساً إلى البائع ، أو لانفساخ العقد بالنسبة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تدفعه الضرورة ؛ لعدم</w:t>
      </w:r>
    </w:p>
    <w:p>
      <w:pPr>
        <w:pStyle w:val="BookText"/>
        <w:rPr/>
      </w:pPr>
      <w:r>
        <w:rPr>
          <w:rFonts w:ascii="Amiri" w:hAnsi="Amiri" w:eastAsia="Amiri" w:cs="Amiri"/>
          <w:color w:val="111111"/>
          <w:sz w:val="28"/>
          <w:sz w:val="28"/>
          <w:szCs w:val="28"/>
          <w:rtl w:val="true"/>
          <w:lang w:bidi="ar-SA"/>
        </w:rPr>
        <w:t xml:space="preserve">المقابلة إلاّ بين الثمن وذات السلعة ، والأوصاف خارجة ، وإن كانت دخيلة في زيادة القيم ونقصها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ورجوع الجزء بلا انفساخ ولا مقابلة مذكورة ؛ بمعنى الجمع بين العوض والمعوّض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بناءهم على الرجوع إلى عين ما ذهب من كيسهم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بعد فرض عدم المقابلة المذكورة ، وأداء الأمر إلى الجمع الممنوع عرفاً وعقلاً ، فلا محالة يكون الرجوع لأجل سدّ الخلّة الحاصلة في تلك المعاملة ، وجبر الضرر الناشئ منها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نظر العرف في مثل المورد إلاّ جبر الضرر من غير لحاظ نفس الثمن ، أو النقد المماثل له ، ولا يرى إلاّ استحقاق رجوعه بما تضرّر به ، كما أنّ الأمر كذلك في مورد الغبن لو قلنا بأنّ الرجوع إلى تفاوت القيمة هناك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فالرجوع في المقامين ، ليس إلاّ بما يرفع به الضرر والخسارة ، من غير دخالة لخصوص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فتوى الأصحاب المأخوذ فيها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لبعض الروايات فالذي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مفسّرة لسائر الروايات التي عبّر فيها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العيب</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ما بين الصحّة والعيب</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ما بين الصحّة والعيب</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غير ذلك من التعبيرات</w:t>
      </w:r>
      <w:r>
        <w:rPr>
          <w:rStyle w:val="FootnoteAnchor"/>
          <w:rtl w:val="true"/>
        </w:rPr>
        <w:footnoteReference w:id="510"/>
      </w:r>
      <w:r>
        <w:rPr>
          <w:rFonts w:ascii="Amiri" w:hAnsi="Amiri" w:eastAsia="Amiri" w:cs="Amiri"/>
          <w:color w:val="111111"/>
          <w:sz w:val="28"/>
          <w:sz w:val="28"/>
          <w:szCs w:val="28"/>
          <w:rtl w:val="true"/>
          <w:lang w:bidi="ar-SA"/>
        </w:rPr>
        <w:t xml:space="preserve">، وإنّ المراد من الجميع هو الأرش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سيّما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القضاء الأوّل أنّ الرجل إذا اشترى الأمة فوطأها ، ثمّ ظهر على عيب ، أنّ البيع لازم ، وله أرش العيب</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وسيأتي الكلام فيما يوهم خلاف ذلك ، أو يدلّ عليه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مأخوذ من أرش الجراحات ، ومستعمل فيه </w:t>
      </w:r>
    </w:p>
    <w:p>
      <w:pPr>
        <w:pStyle w:val="BookText"/>
        <w:rPr/>
      </w:pPr>
      <w:r>
        <w:rPr>
          <w:rFonts w:ascii="Amiri" w:hAnsi="Amiri" w:eastAsia="Amiri" w:cs="Amiri"/>
          <w:color w:val="111111"/>
          <w:sz w:val="28"/>
          <w:sz w:val="28"/>
          <w:szCs w:val="28"/>
          <w:rtl w:val="true"/>
          <w:lang w:bidi="ar-SA"/>
        </w:rPr>
        <w:t xml:space="preserve">لمناسبة بين ذلك وأرش الجنايات ، فكأنّ هذه النقيصة جراحة ، ويكون ما يجبرها ديتها وأرشها ، من غير فرق بين كون الجبر بالثمن ، أو بنقد مثله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بحسب الروايات ، فإنّ مقتضى إطلاق كثير منها ، عدم الفرق بين الثمن وغيره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البيع لازم ، ويأخذ أرش العيب</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أرش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بقيمة العيب</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بقدر ما نقصها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بقيمة ذلك</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التعبيرات التي يراد بها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دافع لهذا الإطلاق إلاّ توهّم دلالة بعض الروايات على لزوم الأداء من الثمن</w:t>
      </w:r>
      <w:r>
        <w:rPr>
          <w:rStyle w:val="FootnoteAnchor"/>
          <w:rtl w:val="true"/>
        </w:rPr>
        <w:footnoteReference w:id="516"/>
      </w:r>
      <w:r>
        <w:rPr>
          <w:rFonts w:ascii="IRNazanin" w:hAnsi="IRNazanin" w:eastAsia="IRNazanin"/>
          <w:color w:val="111111"/>
          <w:sz w:val="28"/>
          <w:sz w:val="28"/>
          <w:szCs w:val="28"/>
          <w:rtl w:val="true"/>
          <w:lang w:bidi="fa-IR"/>
        </w:rPr>
        <w:t xml:space="preserve">، وهو فاسد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عبّر فيه بمثل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يوضع عنها من ثمنها بقدر عيب</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يضع له من ثمنها بقدر عيبها</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 xml:space="preserve">فلأنّ الظاهر منه أنّ الثمن فرض كلّياً على ذمّة المشتري ، وفي مثله لا معنى لأداء الثمن ، ثمّ الرجوع بقدر العيب ، بل يوضع عن الثمن بقدره ، ويدفع الباقي إلى البائع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فالدلالة على الوضع من الثمن ، تكون لخصوصية المورد ، لا لخصوصية في الثمن ، وهو واضح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رواية زرارة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عليه بقدر ما نقص من ذلك الداء والعيب ، من ثمن ذلك ، لو لم يكن به</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يردّ عليه بمقدار نقصه من الثمن ، على أن يكون</w:t>
      </w:r>
    </w:p>
    <w:p>
      <w:pPr>
        <w:pStyle w:val="BookText"/>
        <w:rPr/>
      </w:pPr>
      <w:r>
        <w:rPr>
          <w:rFonts w:ascii="IRNazanin" w:hAnsi="IRNazanin" w:eastAsia="IRNazanin"/>
          <w:color w:val="111111"/>
          <w:sz w:val="28"/>
          <w:sz w:val="28"/>
          <w:szCs w:val="28"/>
          <w:rtl w:val="true"/>
          <w:lang w:bidi="fa-IR"/>
        </w:rPr>
        <w:t xml:space="preserve">المجرور متعلّقاً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على أنّ المدفوع مقدار مساوٍ لما نقص من الثمن ، وعليه فليس فيها ما يصلح لتقييد الإطلاق ، بل مقتضى إطلاقها عدم الفرق في المقدار بين الردّ من الثمن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ويحتمل أن يكون المجرور متعلّقاً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فهي وإن كانت توهّم لزوم الردّ من الثمن ، إلاّ أنّ الظاهر أ نّه تعبير جارٍ على طبق التعابير العرفية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شبهة في أنّ العرف إذا قال في المغبون أو في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ثمنك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ثمني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يقصد به خصوص ما أدّى إلى البائع ، بل المراد الرجوع إلى مقداره ، سواء كان من عينه أم لا ، فلا دافع للإطلاقات ، ولا لبناء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وجه للرجوع إلى الأصل ، مع أنّ الأصل أيضاً يوافق ذلك ؛ إذ على فرض الشكّ فالأمر دائر بين المطلق والمقيّد ، للشكّ في أنّ ما يستحقّه هو نفس الغرامة وما يسدّ به الضرر ، أو أنّ لخصوصية النقدين أو خصوصية الثمن أيضاً دخالة فيه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فالمتيقّن هو أصل ما يسدّ به الضرر ، والباقي مشكوك فيه يجري فيه الأصل ، سواء كان الأرش من قبيل التكليف ، أو من قبيل الديون على الذمّة ، أو من قبيل حقّ التغريم ، كما هو الواقع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فالشكّ مطلقاً يرجع إلى الثبوت ، ومقتضى الأصل عدمه ، لا إلى السقوط ، كما يظهر من المحقّق الخراساني</w:t>
      </w:r>
      <w:r>
        <w:rPr>
          <w:rStyle w:val="FootnoteAnchor"/>
          <w:rtl w:val="true"/>
        </w:rPr>
        <w:footnoteReference w:id="520"/>
      </w:r>
      <w:r>
        <w:rPr>
          <w:rFonts w:ascii="Amiri" w:hAnsi="Amiri" w:eastAsia="Amiri" w:cs="Amiri"/>
          <w:color w:val="111111"/>
          <w:sz w:val="28"/>
          <w:sz w:val="28"/>
          <w:szCs w:val="28"/>
          <w:rtl w:val="true"/>
          <w:lang w:bidi="ar-SA"/>
        </w:rPr>
        <w:t xml:space="preserve">، والأمر سهل بعد ما عرفت من مقتضى الأدلّة الاجتهادية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لا إشكال في تعيّنه من النقدين ؛ وذلك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 نّه كسائر الغرامات المضمونة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مقتضى الروايات ذلك ، كقوله علیه السلام في صحيحة منصور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عليه بقيمة ما نقصها العيب</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بقيمة العيب</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طلحة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تقوّم وهي صحيحة ، وتقوّم وبها الداء ، ثمّ يردّ 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هذا هو المتفاهم من سائر الروايات</w:t>
      </w:r>
      <w:r>
        <w:rPr>
          <w:rStyle w:val="FootnoteAnchor"/>
          <w:rtl w:val="true"/>
        </w:rPr>
        <w:footnoteReference w:id="524"/>
      </w:r>
      <w:r>
        <w:rPr>
          <w:rFonts w:ascii="Amiri" w:hAnsi="Amiri" w:eastAsia="Amiri" w:cs="Amiri"/>
          <w:color w:val="111111"/>
          <w:sz w:val="28"/>
          <w:sz w:val="28"/>
          <w:szCs w:val="28"/>
          <w:rtl w:val="true"/>
          <w:lang w:bidi="ar-SA"/>
        </w:rPr>
        <w:t xml:space="preserve">أيضاً ، فلا إشكال فيه ، وهذا فيما إذا كانت المقابلة بين الأجناس والنقود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بين الأجناس مع مثلها ، ففي المثليات 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مقدار من جنس العوض ، أعمّ من أن يكون من عينه ، أو مثله ، كما أنّ الأمر كذلك في الأبواب الاُخر في باب المثليات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موافق لحكم العرف والعقلاء ، ومقتضى لزوم سدّ الخلّة </w:t>
      </w:r>
      <w:bookmarkStart w:id="330" w:name="pg15222_162346"/>
    </w:p>
    <w:p>
      <w:pPr>
        <w:pStyle w:val="BookText"/>
        <w:rPr/>
      </w:pPr>
      <w:bookmarkEnd w:id="330"/>
      <w:r>
        <w:rPr>
          <w:rFonts w:ascii="Amiri" w:hAnsi="Amiri" w:eastAsia="Amiri" w:cs="Amiri"/>
          <w:color w:val="111111"/>
          <w:sz w:val="28"/>
          <w:sz w:val="28"/>
          <w:szCs w:val="28"/>
          <w:rtl w:val="true"/>
          <w:lang w:bidi="ar-SA"/>
        </w:rPr>
        <w:t xml:space="preserve">والضرر في المقام ، ولا يخالف ذلك ما ذكر من الروايات لاختصاصها بغير المورد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3331748_2142443653"/>
      <w:bookmarkStart w:id="332" w:name="_Toc123"/>
      <w:bookmarkEnd w:id="331"/>
      <w:r>
        <w:rPr>
          <w:rtl w:val="true"/>
        </w:rPr>
        <w:t>هل المدفوع من غير النقدين نفس الأرش أو بدله؟</w:t>
      </w:r>
      <w:bookmarkEnd w:id="332"/>
    </w:p>
    <w:p>
      <w:pPr>
        <w:pStyle w:val="BookText"/>
        <w:rPr/>
      </w:pPr>
      <w:r>
        <w:rPr>
          <w:rFonts w:ascii="Amiri" w:hAnsi="Amiri" w:eastAsia="Amiri" w:cs="Amiri"/>
          <w:color w:val="111111"/>
          <w:sz w:val="28"/>
          <w:sz w:val="28"/>
          <w:szCs w:val="28"/>
          <w:rtl w:val="true"/>
          <w:lang w:bidi="ar-SA"/>
        </w:rPr>
        <w:t>ثمّ إنّه لا إشكال في جواز التراضي على غير النقدين ، فيما إذا كان مقتضى الأدلّة تعيّنهما ، إنّما الإشكال والكلام في أنّ المدفوع من غيرهما عند التراضي ، هل هو عين الأرش ، أو بدله ؟</w:t>
      </w:r>
    </w:p>
    <w:p>
      <w:pPr>
        <w:pStyle w:val="BookText"/>
        <w:rPr/>
      </w:pPr>
      <w:r>
        <w:rPr>
          <w:rFonts w:ascii="Amiri" w:hAnsi="Amiri" w:eastAsia="Amiri" w:cs="Amiri"/>
          <w:color w:val="111111"/>
          <w:sz w:val="28"/>
          <w:sz w:val="28"/>
          <w:szCs w:val="28"/>
          <w:rtl w:val="true"/>
          <w:lang w:bidi="ar-SA"/>
        </w:rPr>
        <w:t xml:space="preserve">فقد اختار الشيخ الأعظم قدّس سرّه الأوّل ؛ بدعوى الفرق بين المقام وسائر الغرامات ، بأنّ المضمون بالنقدين في غير المقام ، مال متعيّن مستقرّ في ذمّة الطرف ، فلا محالة يكون الرضا بغيره ، من قبيل التبادل والتعاوض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ثابتاً في ذمّته ، وإنّما له حقّ الرجوع والمطالبة بالمال ، إلاّ أنّ دفع غير النقدين ، يتوقّف على رضا ذي الخيار ، وإذا رضي يكون نفس الأرش ، لا بدله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تصدّى بعض المحشّين لبيان مراده وتصحيحه</w:t>
      </w:r>
      <w:r>
        <w:rPr>
          <w:rStyle w:val="FootnoteAnchor"/>
          <w:rtl w:val="true"/>
        </w:rPr>
        <w:footnoteReference w:id="526"/>
      </w:r>
      <w:r>
        <w:rPr>
          <w:rFonts w:ascii="Amiri" w:hAnsi="Amiri" w:eastAsia="Amiri" w:cs="Amiri"/>
          <w:color w:val="111111"/>
          <w:sz w:val="28"/>
          <w:sz w:val="28"/>
          <w:szCs w:val="28"/>
          <w:rtl w:val="true"/>
          <w:lang w:bidi="ar-SA"/>
        </w:rPr>
        <w:t xml:space="preserve">، بتفصيل خارج عن المقصود ، وعن مسير الفقه ، ولم يأت بشيء يدفع الإشكال الوارد عليه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مقتضى الأدلّة إن كان التغريم بنحو الإطلاق ؛ أي أعمّ من النقدين ، فلا إشكال في كون ما أدّى من غير النقدين ، هو عين الأرش ، لكن لا وجه إذن للحاجة إلى الرضا ، بل للبائع دفعه من أي شيء أراد </w:t>
      </w:r>
      <w:r>
        <w:rPr>
          <w:rFonts w:eastAsia="Amiri" w:cs="Amiri" w:ascii="Amiri" w:hAnsi="Amiri"/>
          <w:color w:val="111111"/>
          <w:sz w:val="28"/>
          <w:szCs w:val="28"/>
          <w:rtl w:val="true"/>
          <w:lang w:bidi="ar-SA"/>
        </w:rPr>
        <w:t xml:space="preserve">. </w:t>
      </w:r>
      <w:bookmarkStart w:id="333" w:name="pg15222_162347"/>
    </w:p>
    <w:p>
      <w:pPr>
        <w:pStyle w:val="BookText"/>
        <w:rPr/>
      </w:pPr>
      <w:bookmarkEnd w:id="333"/>
      <w:r>
        <w:rPr>
          <w:rFonts w:ascii="Amiri" w:hAnsi="Amiri" w:eastAsia="Amiri" w:cs="Amiri"/>
          <w:color w:val="111111"/>
          <w:sz w:val="28"/>
          <w:sz w:val="28"/>
          <w:szCs w:val="28"/>
          <w:rtl w:val="true"/>
          <w:lang w:bidi="ar-SA"/>
        </w:rPr>
        <w:t xml:space="preserve">وإن كان مقتضاها التغريم من النقدين ، كما هو كذلك لما تقدّم ، فلا إشكال في أنّ الأداء من غيرهما يحتاج إلى الرضا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أنّ المؤدّى حينئذٍ ، ليس نفس الأرش بحسب مقتضى الأدلّة ، بل يكون ممّا قام مقامه برضا الطرفين ، وليس لازم كون الشيء بدلاً عن شيء بالتراضي ، أن تقع المعاوضة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البدل هنا مقابل الأصل ، كبدلية التيمّم عن الوضوء والغسل ، فالمؤدّى من غير ما تقتضي الأدلّة دفعه ، ليس أرشاً بدلالة هذه الأدلّة ، ومع ذلك لمّا كان للمشتري حقّ التغريم بالنقدين ، فله الرضا بغيرهما بدلاً منهما ، من دون أن يرجع إلى المبادلة بينهما </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3331750_2142443653"/>
      <w:bookmarkStart w:id="335" w:name="_Toc124"/>
      <w:bookmarkEnd w:id="334"/>
      <w:r>
        <w:rPr>
          <w:rtl w:val="true"/>
        </w:rPr>
        <w:t>عدم ثبوت الأرش المستوعب في العيب المقارن للعقد</w:t>
      </w:r>
      <w:bookmarkEnd w:id="335"/>
    </w:p>
    <w:p>
      <w:pPr>
        <w:pStyle w:val="BookText"/>
        <w:rPr/>
      </w:pPr>
      <w:r>
        <w:rPr>
          <w:rFonts w:ascii="Amiri" w:hAnsi="Amiri" w:eastAsia="Amiri" w:cs="Amiri"/>
          <w:color w:val="111111"/>
          <w:sz w:val="28"/>
          <w:sz w:val="28"/>
          <w:szCs w:val="28"/>
          <w:rtl w:val="true"/>
          <w:lang w:bidi="ar-SA"/>
        </w:rPr>
        <w:t>ثمّ إنّ القوم قد أتعبوا أنفسهم الزكيّة في تصوير الأرش المستوعب لجميع الثمن ، فيما إذا كان العيب مقارناً للعقد ، بعد تسالمهم على جوازه فيما لو عرض قبل القبض ، أو في زمان الخيار المضمون على البائع</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وغفلوا عمّا هو مقتضى الأدلّة في الأرش المستوعب ، لو فرض تصويره في العيب المقارن أو المتأخّر ، ومن الواضح أ نّه لا نتيجة لتصوير الصغرى ولا وقع لإثباتها ، ما لم تتمّ كبرى الحكم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ثبوت الأرش المستوعب ، لا بحسب البناء العقلائي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ثبوت الأرش حكم عقلائي كما تقدّم</w:t>
      </w:r>
      <w:r>
        <w:rPr>
          <w:rStyle w:val="FootnoteAnchor"/>
          <w:rtl w:val="true"/>
        </w:rPr>
        <w:footnoteReference w:id="528"/>
      </w:r>
      <w:r>
        <w:rPr>
          <w:rFonts w:ascii="Amiri" w:hAnsi="Amiri" w:eastAsia="Amiri" w:cs="Amiri"/>
          <w:color w:val="111111"/>
          <w:sz w:val="28"/>
          <w:sz w:val="28"/>
          <w:szCs w:val="28"/>
          <w:rtl w:val="true"/>
          <w:lang w:bidi="ar-SA"/>
        </w:rPr>
        <w:t xml:space="preserve">، ولا بحسب الأدلّة الشرعية التعبّدية ، بناءً على أنّ ثبوته تعبّدي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بحسب بناء العقلاء ، فلأ نّه لا ينبغي الإشكال في أ نّه لا بناء منهم على أصل الأرش ؛ بالنسبة إلى العيب الحادث في زمان الخيار ، فكيف بالمستوعب منه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يشكل ثبوت بنائهم على أصل الأرش في العيب الحادث قبل القبض ، فلا محيص إلاّ بالتشبّث لإثباته فيهما بدليل تعبّدي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العيب المقارن ، فأصل ثبوت الأرش فيه وإن كان عقلائياً كما مرّ ، لكنّه لم يثبت منهم بناءً على ذلك في المستغرق منه ؛ فإنّه نادر الاتّفاق في الغاية ، وفي مثله لا طريق إلى إثبات بنائهم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الظاهر بُعد التزامهم مع الاستيعاب ، بأخذ تمام الثمن ونفس المعيب ، بل لا يبعد في مثله الحكم بانفساخ العقد ، أو بالردّ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بناؤهم على الأرش في المستوعب ، ودعوى عدم الفرق بينه وبين غير المستوعب ، كما ترى ؛ لاحتمال ثبوت الفرق عندهم ، بل الأرجح في النظر ثبوته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بحسب الأدلّة الشرعية ، بناءً على مسلك القوم من كون ثبوت الأرش بالتعبّد من الشرع ، فلفقد الدليل على ثبوت المستوعب منه ؛ فإنّ العمدة في </w:t>
      </w:r>
    </w:p>
    <w:p>
      <w:pPr>
        <w:pStyle w:val="BookText"/>
        <w:rPr/>
      </w:pPr>
      <w:r>
        <w:rPr>
          <w:rFonts w:ascii="Amiri" w:hAnsi="Amiri" w:eastAsia="Amiri" w:cs="Amiri"/>
          <w:color w:val="111111"/>
          <w:sz w:val="28"/>
          <w:sz w:val="28"/>
          <w:szCs w:val="28"/>
          <w:rtl w:val="true"/>
          <w:lang w:bidi="ar-SA"/>
        </w:rPr>
        <w:t>الباب معتمدة زرارة</w:t>
      </w:r>
      <w:r>
        <w:rPr>
          <w:rStyle w:val="FootnoteAnchor"/>
          <w:rtl w:val="true"/>
        </w:rPr>
        <w:footnoteReference w:id="529"/>
      </w:r>
      <w:r>
        <w:rPr>
          <w:rFonts w:ascii="Amiri" w:hAnsi="Amiri" w:eastAsia="Amiri" w:cs="Amiri"/>
          <w:color w:val="111111"/>
          <w:sz w:val="28"/>
          <w:sz w:val="28"/>
          <w:szCs w:val="28"/>
          <w:rtl w:val="true"/>
          <w:lang w:bidi="ar-SA"/>
        </w:rPr>
        <w:t>ومرسلة جميل</w:t>
      </w:r>
      <w:r>
        <w:rPr>
          <w:rStyle w:val="FootnoteAnchor"/>
          <w:rtl w:val="true"/>
        </w:rPr>
        <w:footnoteReference w:id="530"/>
      </w:r>
      <w:r>
        <w:rPr>
          <w:rFonts w:ascii="Amiri" w:hAnsi="Amiri" w:eastAsia="Amiri" w:cs="Amiri"/>
          <w:color w:val="111111"/>
          <w:sz w:val="28"/>
          <w:sz w:val="28"/>
          <w:szCs w:val="28"/>
          <w:rtl w:val="true"/>
          <w:lang w:bidi="ar-SA"/>
        </w:rPr>
        <w:t xml:space="preserve">ولا دلالة لشيء منهما على ثبوت المستوعب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ويردّ عليه بقدر ما نقص من ذلك الداء والعيب من ثمن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العيب غير المستوعب ، سواء تعلّق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واضح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المرسلة ، فلأنّ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الثوب قد قطع أو خيط أو صبغ ، يرجع بنقصان العيب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بما لا يستوعب الأرش ، وذكر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من باب المثال ، لكن لا يفهم منه إلاّ ما يشابهه من سائر الأمتعة ؛ ممّا به عيب غير مستوعب ، وأمّا المستوعب فلا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إلغاء الخصوصية غير ممكن مع احتمالها ، بل كونها مظنونة ، بل الظاهر</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العيب غير المستوعب ؛ بحيث صار موجباً لنقص القيمة ، لا لذهابها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الروايات الواردة في الجارية ، فهي ظاهرة في العيب غير المستوعب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 وبها الداء</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بقدر ما نقصها العيب</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من ثمنها بقدر عيبها</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حتّى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يأخذ أرش </w:t>
      </w:r>
    </w:p>
    <w:p>
      <w:pPr>
        <w:pStyle w:val="BookText"/>
        <w:rPr/>
      </w:pP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فإنّ المتفاهم منه تفاوت القيمتين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نّها في المورد الخاصّ ، واحتمال إطلاقها أو إطلاق بعضها للجارية الجانية المستوعبة جنايتها لتمام قيمتها ، فاسد غير معتنى به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على ثبوت الأرش في العيب المستوعب في المقارن منه للعقد ، فضلاً عن غير المقارن ؛ ممّا يتفرّع ثبوت الأرش فيه على ثبوته في المقارن ، فعلى ذلك يكون التعرّض لتصوير المستوعب بلا وجه </w:t>
      </w:r>
      <w:r>
        <w:rPr>
          <w:rFonts w:eastAsia="Amiri" w:cs="Amiri" w:ascii="Amiri" w:hAnsi="Amiri"/>
          <w:color w:val="111111"/>
          <w:sz w:val="28"/>
          <w:szCs w:val="28"/>
          <w:rtl w:val="true"/>
          <w:lang w:bidi="ar-SA"/>
        </w:rPr>
        <w:t xml:space="preserve">. </w:t>
      </w:r>
      <w:bookmarkStart w:id="336" w:name="pg15222_162351"/>
    </w:p>
    <w:p>
      <w:pPr>
        <w:pStyle w:val="Heading3"/>
        <w:numPr>
          <w:ilvl w:val="2"/>
          <w:numId w:val="1"/>
        </w:numPr>
        <w:rPr/>
      </w:pPr>
      <w:bookmarkStart w:id="337" w:name="__RefHeading___Toc3331752_2142443653"/>
      <w:bookmarkStart w:id="338" w:name="_Toc125"/>
      <w:bookmarkEnd w:id="336"/>
      <w:bookmarkEnd w:id="337"/>
      <w:r>
        <w:rPr>
          <w:rtl w:val="true"/>
        </w:rPr>
        <w:t xml:space="preserve">مسألة </w:t>
      </w:r>
      <w:r>
        <w:rPr>
          <w:rtl w:val="true"/>
        </w:rPr>
        <w:t xml:space="preserve">: </w:t>
      </w:r>
      <w:r>
        <w:rPr>
          <w:rtl w:val="true"/>
        </w:rPr>
        <w:t>في معرفة الأرش</w:t>
      </w:r>
      <w:bookmarkEnd w:id="338"/>
    </w:p>
    <w:p>
      <w:pPr>
        <w:pStyle w:val="BookText"/>
        <w:rPr/>
      </w:pPr>
      <w:r>
        <w:rPr>
          <w:rFonts w:ascii="Amiri" w:hAnsi="Amiri" w:eastAsia="Amiri" w:cs="Amiri"/>
          <w:color w:val="111111"/>
          <w:sz w:val="28"/>
          <w:sz w:val="28"/>
          <w:szCs w:val="28"/>
          <w:rtl w:val="true"/>
          <w:lang w:bidi="ar-SA"/>
        </w:rPr>
        <w:t xml:space="preserve">يعرف الأرش بمعرفة قيمتي الصحيح والمعيب ، ليعرف التفاوت ، فيؤخذ بنسبة التفاوت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الجهل بالقيمة يرجع إلى العالم بها ، فإن أخبر بالقيمة السوقية المتعارفة ، أو بتقويم أهل الخبرة ، فيدخل في الشهادة ، ولا تثبت إلاّ مع التعدّد ومع سائر ما يعتبر في الشهادة في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أخبر بما هو رأيه ونظره في القيمة ، وكان من أهل الخبرة ، فلا يعتبر التعدّد ، ولا العدالة ، ولا الإخبار عن حسّ ، أو المبادئ القريبة منه ، بل يتّبع نظره</w:t>
      </w:r>
    </w:p>
    <w:p>
      <w:pPr>
        <w:pStyle w:val="BookText"/>
        <w:rPr/>
      </w:pPr>
      <w:r>
        <w:rPr>
          <w:rFonts w:ascii="Amiri" w:hAnsi="Amiri" w:eastAsia="Amiri" w:cs="Amiri"/>
          <w:color w:val="111111"/>
          <w:sz w:val="28"/>
          <w:sz w:val="28"/>
          <w:szCs w:val="28"/>
          <w:rtl w:val="true"/>
          <w:lang w:bidi="ar-SA"/>
        </w:rPr>
        <w:t xml:space="preserve">إذا كان موثوقاً به ، وكان من أهل الخبرة والتشخيص ، وإن كان واحداً ، سواء كان منشأ التقويم بتشخيص نوع الجنس باجتهاده ، كالصائغ المطّلع على أنواع الذهب بالاجتهاد وإعمال الاختبار ، وإن كان كلّ نوع معلوم القيمة عند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كان التقويم لأجل كثرة ممارسته أشباه هذا الشيء ، واطّلاعه على الخصوصيات والخواصّ التي هي فيه وفي صنفه ونوعه ، من غير أن يكون له ميزان منضبط في السوق ، كالأحجار الكريمة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فهذان الموردان داخلان في تصديق أهل الخبرة ، ولا يعتبر فيه ما يعتبر في الشهادة ، ويكون الرجوع إليهم من رجوع الجاهل إلى العالم بالقيمة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أخبر في الصورة الاُولى منهما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هذا من النوع الكذائي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غير تقويم ، كان هذا من إخبار أهل الصنعة والاجتهاد ، ولا يعتبر فيه ما يعتبر في الشهادة ، ويكتفى بقوله في معرفة القيمة وإن لم يقوّم ، ولم يكن الرجوع إليه من رجوع الجاهل بالقيمة إلى المقوّم ، ولا يحتاج إلى تقويمه ؛ فإنّ المفروض أ نّه على فرض الاطّلاع على نوع الجنس تكون القيمة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فإخباره بالقيمة من غير ذكر الجنس ، أو إخباره بنوع الجنس من غير ذكر القيمة ، كافٍ في معرفة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فالرجوع إليه في كلتا الصورتين ، من قبيل رجوع الجاهل إلى العالم ، وغير الخبير إلى الخبير ؛ ممّا استقرّ عليه بناء العقلاء في الأعصار والأمصار بلا إشكال ، ولا ريب ، ولم يدلّ دليل على الردع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دلّ على اعتبار التعدّد والعدالة في الموارد الخاصّة ، كباب القضاء</w:t>
      </w:r>
      <w:r>
        <w:rPr>
          <w:rStyle w:val="FootnoteAnchor"/>
          <w:rtl w:val="true"/>
        </w:rPr>
        <w:footnoteReference w:id="535"/>
      </w:r>
      <w:r>
        <w:rPr>
          <w:rFonts w:ascii="Amiri" w:hAnsi="Amiri" w:eastAsia="Amiri" w:cs="Amiri"/>
          <w:color w:val="111111"/>
          <w:sz w:val="28"/>
          <w:sz w:val="28"/>
          <w:szCs w:val="28"/>
          <w:rtl w:val="true"/>
          <w:lang w:bidi="ar-SA"/>
        </w:rPr>
        <w:t>، وبعض الموضوعات كالهلال</w:t>
      </w:r>
      <w:r>
        <w:rPr>
          <w:rStyle w:val="FootnoteAnchor"/>
          <w:rtl w:val="true"/>
        </w:rPr>
        <w:footnoteReference w:id="536"/>
      </w:r>
      <w:r>
        <w:rPr>
          <w:rFonts w:ascii="Amiri" w:hAnsi="Amiri" w:eastAsia="Amiri" w:cs="Amiri"/>
          <w:color w:val="111111"/>
          <w:sz w:val="28"/>
          <w:sz w:val="28"/>
          <w:szCs w:val="28"/>
          <w:rtl w:val="true"/>
          <w:lang w:bidi="ar-SA"/>
        </w:rPr>
        <w:t>وغيره</w:t>
      </w:r>
      <w:r>
        <w:rPr>
          <w:rStyle w:val="FootnoteAnchor"/>
          <w:rtl w:val="true"/>
        </w:rPr>
        <w:footnoteReference w:id="537"/>
      </w:r>
      <w:r>
        <w:rPr>
          <w:rFonts w:ascii="IRNazanin" w:hAnsi="IRNazanin" w:eastAsia="IRNazanin"/>
          <w:color w:val="111111"/>
          <w:sz w:val="28"/>
          <w:sz w:val="28"/>
          <w:szCs w:val="28"/>
          <w:rtl w:val="true"/>
          <w:lang w:bidi="fa-IR"/>
        </w:rPr>
        <w:t>، فلا مجال لتوهّم دلالتها على الردع</w:t>
      </w:r>
      <w:r>
        <w:rPr>
          <w:rStyle w:val="FootnoteAnchor"/>
          <w:rtl w:val="true"/>
        </w:rPr>
        <w:footnoteReference w:id="538"/>
      </w:r>
      <w:r>
        <w:rPr>
          <w:rFonts w:ascii="Amiri" w:hAnsi="Amiri" w:eastAsia="Amiri" w:cs="Amiri"/>
          <w:color w:val="111111"/>
          <w:sz w:val="28"/>
          <w:sz w:val="28"/>
          <w:szCs w:val="28"/>
          <w:rtl w:val="true"/>
          <w:lang w:bidi="ar-SA"/>
        </w:rPr>
        <w:t xml:space="preserve">، كما لا يخفى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رواية مسعدة بن صدقة فربّما تتوهّم دلالتها عليه ، وهي ما رواه الكليني والشيخ بإسنادهما عنه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w:t>
      </w:r>
    </w:p>
    <w:p>
      <w:pPr>
        <w:pStyle w:val="BookText"/>
        <w:rPr/>
      </w:pPr>
      <w:r>
        <w:rPr>
          <w:rFonts w:ascii="Amiri" w:hAnsi="Amiri" w:eastAsia="Amiri" w:cs="Amiri"/>
          <w:color w:val="111111"/>
          <w:sz w:val="28"/>
          <w:sz w:val="28"/>
          <w:szCs w:val="28"/>
          <w:rtl w:val="true"/>
          <w:lang w:bidi="ar-SA"/>
        </w:rPr>
        <w:t>شيء هو لك حلال حتّى تعلم أ نّه حرام بعينه فتدعه من قبل نفسك ، وذلك مثل الثوب يكون عليك قد اشتريته وهو سرقة ، والمملوك عندك لعلّه حرّ قد باع نفسه ، أو خدع فبيع قهراً ، أو امرأة تحتك وهي اُختك أو رضيعتك ، والأشياء كلّها على هذا، حتّى يستبين لك غير ذلك ، أو تقوم به البيّنة</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القاعدة الكلّية في الذيل ، هي المناط الكلّي في الخروج عن القاعدة العقلية والشرعية ؛ أي أصلي البراءة والحلّ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فيها الاصطلاحي منه ، بل معنىً لغوي أعمّ ممّا يقابل الحرمة والوجوب ، فالقاعدة بكلّيتها ، تدلّ على انحصار طريق الثبوت بالعلم الوجداني والبيّنة ، والخروج عنها يحتاج إلى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سندها ، ومع الغضّ عن ظهورها في الشبهة التحريمية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يكشف عن نوع اضطراب واغتشاش في المتن ؛ فإنّ الأمثلة المذكورة فيها ، لا تنطبق عليها الكبرى ، لو اُريد بها قاعدة الحلّ المجعولة</w:t>
      </w:r>
    </w:p>
    <w:p>
      <w:pPr>
        <w:pStyle w:val="BookText"/>
        <w:rPr/>
      </w:pPr>
      <w:r>
        <w:rPr>
          <w:rFonts w:ascii="Amiri" w:hAnsi="Amiri" w:eastAsia="Amiri" w:cs="Amiri"/>
          <w:color w:val="111111"/>
          <w:sz w:val="28"/>
          <w:sz w:val="28"/>
          <w:szCs w:val="28"/>
          <w:rtl w:val="true"/>
          <w:lang w:bidi="ar-SA"/>
        </w:rPr>
        <w:t xml:space="preserve">في الموارد التي لا توجد فيها حجّة شرعية أو عقلية على الواقع ؛ ضرورة أنّ المثالين الأوّلين توجد فيهما قاعدة اليد ، وهي أمارة عقلائية على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ومعها لا محلّ للرجوع فيهما إلى القاعدة الكلّية ؛ أي أصل الحلّ ، أو ما يعمّه وأصل البراءة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يبعد اعتبار اليد في المثال الثالث أيضاً على تأمّل ، مع أنّ استصحاب </w:t>
      </w:r>
    </w:p>
    <w:p>
      <w:pPr>
        <w:pStyle w:val="BookText"/>
        <w:rPr/>
      </w:pPr>
      <w:r>
        <w:rPr>
          <w:rFonts w:ascii="Amiri" w:hAnsi="Amiri" w:eastAsia="Amiri" w:cs="Amiri"/>
          <w:color w:val="111111"/>
          <w:sz w:val="28"/>
          <w:sz w:val="28"/>
          <w:szCs w:val="28"/>
          <w:rtl w:val="true"/>
          <w:lang w:bidi="ar-SA"/>
        </w:rPr>
        <w:t xml:space="preserve">عدم الرضاع فيه يخرجه عن أصل الحلّ ، وقوله في الذيل متفرّع على الصدر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الخروج عن القاعدة لا ينحصر بما ذكر ، فلا بدّ من توجيه الرواية بما يخرجها عن قاعدة الحلّ ، ويوجب انطباقها على الأمثلة المذكورة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هو لك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أنّ كلّ شيء يختصّ بك ؛ بأن كان تحت يدك أو تحتك ، فهو حلال ، ولا سيّما مع ذكر ضمير الفصل فيها من غير تصديره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وحينئذٍ تندرج الأمثلة المذكورة تحت الكلّية ، ويندفع الإشكال عن الرواية ؛ فإنّ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قامت الحجّة العقلائية والشرعية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ترفع اليد عنها إلاّ بحجّة أقوى ، وهي العلم الوجداني والبيّنة الشرعية ، وعليه فتكون الرواية أجنبيّة عن أصل الحلّ وعن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الذيل بيان مستأنف لقاعدة اُخرى تدفعه الضرورة ، ولا سيّما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والأشياء كلّها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ذكر لكلّية منطبقة على نحو الأمثلة في جميع الأشياء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بناء العقلاء المحكم بمثل تلك الرواية ، خروج عن السداد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تعذّرت معرفة القيمة لفقد الطريق إلى معرفتها ، فلا ريب في جواز الأخذ بالأقلّ ؛ لما تقدّم الكلام فيه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339" w:name="pg15222_162355"/>
    </w:p>
    <w:p>
      <w:pPr>
        <w:pStyle w:val="Heading3"/>
        <w:numPr>
          <w:ilvl w:val="2"/>
          <w:numId w:val="1"/>
        </w:numPr>
        <w:rPr/>
      </w:pPr>
      <w:bookmarkStart w:id="340" w:name="__RefHeading___Toc3331754_2142443653"/>
      <w:bookmarkStart w:id="341" w:name="_Toc126"/>
      <w:bookmarkEnd w:id="339"/>
      <w:bookmarkEnd w:id="340"/>
      <w:r>
        <w:rPr>
          <w:rtl w:val="true"/>
        </w:rPr>
        <w:t>مسألة في اختلاف المقوّمين</w:t>
      </w:r>
      <w:bookmarkEnd w:id="341"/>
    </w:p>
    <w:p>
      <w:pPr>
        <w:pStyle w:val="BookText"/>
        <w:rPr/>
      </w:pPr>
      <w:r>
        <w:rPr>
          <w:rFonts w:ascii="Amiri" w:hAnsi="Amiri" w:eastAsia="Amiri" w:cs="Amiri"/>
          <w:color w:val="111111"/>
          <w:sz w:val="28"/>
          <w:sz w:val="28"/>
          <w:szCs w:val="28"/>
          <w:rtl w:val="true"/>
          <w:lang w:bidi="ar-SA"/>
        </w:rPr>
        <w:t>لو اختلف الشهود أو المقوّمون ففيه صور كثيرة ، لم يتعرّض الشيخ الأعظم قدّس سرّه إلاّ لصورة واحدة</w:t>
      </w:r>
      <w:r>
        <w:rPr>
          <w:rStyle w:val="FootnoteAnchor"/>
          <w:rtl w:val="true"/>
        </w:rPr>
        <w:footnoteReference w:id="541"/>
      </w:r>
      <w:r>
        <w:rPr>
          <w:rFonts w:ascii="Amiri" w:hAnsi="Amiri" w:eastAsia="Amiri" w:cs="Amiri"/>
          <w:color w:val="111111"/>
          <w:sz w:val="28"/>
          <w:sz w:val="28"/>
          <w:szCs w:val="28"/>
          <w:rtl w:val="true"/>
          <w:lang w:bidi="ar-SA"/>
        </w:rPr>
        <w:t xml:space="preserve">، ونحن نقتفي أثره ؛ لأنّ التعرّض لجميعها موجب للتطويل ، ولاحتياج بعضها إلى تنقيح بعض مسائل باب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المقوّمون مع عدم دعوى من المتبايعين ، فهل يسقطان ويرجع إلى الأصل ؛ وهو البراءة عن الزيادة على التحقيق ، أو الاشتغال على رأي ، أو يرجع إلى القرعة ، أو إلى قاعدة العدل والإنصاف ؟</w:t>
      </w:r>
    </w:p>
    <w:p>
      <w:pPr>
        <w:pStyle w:val="BookText"/>
        <w:rPr/>
      </w:pPr>
      <w:r>
        <w:rPr>
          <w:rFonts w:ascii="Amiri" w:hAnsi="Amiri" w:eastAsia="Amiri" w:cs="Amiri"/>
          <w:color w:val="111111"/>
          <w:sz w:val="28"/>
          <w:sz w:val="28"/>
          <w:szCs w:val="28"/>
          <w:rtl w:val="true"/>
          <w:lang w:bidi="ar-SA"/>
        </w:rPr>
        <w:t>أو لا يسقطان ، ويقدّم مقوّم الأقلّ ، أو الأكثر ، أو يرجع إلى الصلح ، أو يرجع إلى المفتي ، ويتخيّر في الأخذ بواحد منهما ؟</w:t>
      </w:r>
    </w:p>
    <w:p>
      <w:pPr>
        <w:pStyle w:val="BookText"/>
        <w:rPr/>
      </w:pPr>
      <w:r>
        <w:rPr>
          <w:rFonts w:ascii="Amiri" w:hAnsi="Amiri" w:eastAsia="Amiri" w:cs="Amiri"/>
          <w:color w:val="111111"/>
          <w:sz w:val="28"/>
          <w:sz w:val="28"/>
          <w:szCs w:val="28"/>
          <w:rtl w:val="true"/>
          <w:lang w:bidi="ar-SA"/>
        </w:rPr>
        <w:t>أو يؤخذ ببعض مضمون كلام كلّ من المقوّمين ؛ لوجوب الجمع بين الدليلين مهما أمكن ، وهو أولى من الطرح ، كما نسبه الشيخ الأعظم قدّس سرّه إلى المعظم</w:t>
      </w:r>
      <w:r>
        <w:rPr>
          <w:rStyle w:val="FootnoteAnchor"/>
          <w:rtl w:val="true"/>
        </w:rPr>
        <w:footnoteReference w:id="542"/>
      </w:r>
      <w:r>
        <w:rPr>
          <w:rFonts w:ascii="Amiri" w:hAnsi="Amiri" w:eastAsia="Amiri" w:cs="Amiri"/>
          <w:color w:val="111111"/>
          <w:sz w:val="28"/>
          <w:sz w:val="28"/>
          <w:szCs w:val="28"/>
          <w:rtl w:val="true"/>
          <w:lang w:bidi="ar-SA"/>
        </w:rPr>
        <w:t xml:space="preserve">؟ وفي كون مستند المعظم ما أفاده الشيخ تأمّل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سقوطهما ، والرجوع إلى الأصل ؛ وهو البراءة عن الزائد ، لما تقدّم</w:t>
      </w:r>
      <w:r>
        <w:rPr>
          <w:rStyle w:val="FootnoteAnchor"/>
          <w:rtl w:val="true"/>
        </w:rPr>
        <w:footnoteReference w:id="543"/>
      </w:r>
      <w:r>
        <w:rPr>
          <w:rFonts w:ascii="Amiri" w:hAnsi="Amiri" w:eastAsia="Amiri" w:cs="Amiri"/>
          <w:color w:val="111111"/>
          <w:sz w:val="28"/>
          <w:sz w:val="28"/>
          <w:szCs w:val="28"/>
          <w:rtl w:val="true"/>
          <w:lang w:bidi="ar-SA"/>
        </w:rPr>
        <w:t xml:space="preserve">من أنّ الرجوع إلى المقوّمين ، من رجوع الجاهل إلى ذي الفنّ والخبير ، ولا تعتبر </w:t>
      </w:r>
    </w:p>
    <w:p>
      <w:pPr>
        <w:pStyle w:val="BookText"/>
        <w:rPr/>
      </w:pPr>
      <w:r>
        <w:rPr>
          <w:rFonts w:ascii="Amiri" w:hAnsi="Amiri" w:eastAsia="Amiri" w:cs="Amiri"/>
          <w:color w:val="111111"/>
          <w:sz w:val="28"/>
          <w:sz w:val="28"/>
          <w:szCs w:val="28"/>
          <w:rtl w:val="true"/>
          <w:lang w:bidi="ar-SA"/>
        </w:rPr>
        <w:t xml:space="preserve">فيه البيّنة والأوصاف المعتبرة فيها ، بل يكفي فيه الوثوق بعدم الكذب عمداً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المقوّم من أهل الخبرة من الطرق العقلائية ، لا تحتمل فيه الموضوعية والسببية بوجه ، وإن قيل بها في أخبار الثقة في الأحكام الشرعية ؛ استناداً إلى عدم سقوط المتعارضين بحسب الأدلّة الشرعية ، خلافاً للقاعدة العقلائية ، وفي فتوى الفقهاء استناداً إلى ذلك ؛ لأنّ فتواهم إخبار عن الحكم الشرعي ، أو لبعض اعتبارات اُخر ، وفي البيّنة أحياناً ؛ لما ورد في الأخبار الكثيرة من الحكم بعدم السقوط ، والأخذ بالأكثر</w:t>
      </w:r>
      <w:r>
        <w:rPr>
          <w:rStyle w:val="FootnoteAnchor"/>
          <w:rtl w:val="true"/>
        </w:rPr>
        <w:footnoteReference w:id="544"/>
      </w:r>
      <w:r>
        <w:rPr>
          <w:rFonts w:ascii="Amiri" w:hAnsi="Amiri" w:eastAsia="Amiri" w:cs="Amiri"/>
          <w:color w:val="111111"/>
          <w:sz w:val="28"/>
          <w:sz w:val="28"/>
          <w:szCs w:val="28"/>
          <w:rtl w:val="true"/>
          <w:lang w:bidi="ar-SA"/>
        </w:rPr>
        <w:t>، أو بالقرعة لتعيين المنكر</w:t>
      </w:r>
      <w:r>
        <w:rPr>
          <w:rStyle w:val="FootnoteAnchor"/>
          <w:rtl w:val="true"/>
        </w:rPr>
        <w:footnoteReference w:id="545"/>
      </w:r>
      <w:r>
        <w:rPr>
          <w:rFonts w:ascii="Amiri" w:hAnsi="Amiri" w:eastAsia="Amiri" w:cs="Amiri"/>
          <w:color w:val="111111"/>
          <w:sz w:val="28"/>
          <w:sz w:val="28"/>
          <w:szCs w:val="28"/>
          <w:rtl w:val="true"/>
          <w:lang w:bidi="ar-SA"/>
        </w:rPr>
        <w:t xml:space="preserve">، خلافاً لمقتضى القاعدة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التقويم وسائر النظائر؛ ممّا لم يتصرّف الشارع فيها، وإنّما انكشف رضاه بها من عدم الردع ، بعد كونها شائعة عند العقلاء في الأعصار والأمصار ، فلا تحتمل فيها السببية أو التصويب ؛ ضرورة أنّ ما عند العقلاء من الأمارات ، لا تكون إلاّ طرقاً للتوصّل إلى الواقع ، وليس فيها من السببية عين ،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عدم تصرّف من الشارع الأقدس ، وعدم ورود شيء ممّا يوهم السببية فيها إلاّ في بعضها ، فالبحث عنها في المقام غير وجيه بعد القطع بخلافها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الطريقية ، فلا شبهة في سقوط الطريقين المتعارضين عقلاً وعرفاً ، فالبحث عن تقديم بيّنة الأقلّ ، أو الأكثر ، أو التشبّث بالصلح إلزاماً ، أو تخيير </w:t>
      </w:r>
    </w:p>
    <w:p>
      <w:pPr>
        <w:pStyle w:val="BookText"/>
        <w:rPr/>
      </w:pPr>
      <w:r>
        <w:rPr>
          <w:rFonts w:ascii="Amiri" w:hAnsi="Amiri" w:eastAsia="Amiri" w:cs="Amiri"/>
          <w:color w:val="111111"/>
          <w:sz w:val="28"/>
          <w:sz w:val="28"/>
          <w:szCs w:val="28"/>
          <w:rtl w:val="true"/>
          <w:lang w:bidi="ar-SA"/>
        </w:rPr>
        <w:t xml:space="preserve">الحاكم ، أو الجمع بين الدليلين ، كلّها في غير محلّها ؛ فإنّها مبنيّة على أمر مقطوع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كلّ منها إشكالاً ، تعرّض لبعضها الشيخ الأعظم قدّس سرّه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بالإشكال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الأخذ بقول كلّ من المقوّمين مهما أمكن ، فيؤخذ بقول كلّ منهما في النصف ، ويطرح في النصف الآخر ، استناداً إلى المحكيّ عن ابن أبي جمهور</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بالدليلين مهما أمكن ، خير من ترك أحدهما وتعطيله بإجماع العلماء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صحيح في الأخبار المتعارضة ، لو اُريد به الجمع العرفي العقلائي والعمل بالدليلين ؛ على نحو يستحسنه العقلاء في محيط التشريع ؛ بداهة أ نّه لا يؤخذ بقواعد التعارض إلاّ بعد عدم إمكان الجمع العقلائي ، ومزيّف لو اُريد به الأخذ بالدليلين ولو مع عدم مقبولية الجمع ؛ بأن يقال في 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نعمل ببعض مضمون كلّ منهما ، فنحكم بوجوب إكرام نصفهم ، وحرمة إكرام النصف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الشيخ الأعظم قدّس سرّه على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يوجب سدّ باب الترجيح ، والهرج في الفقه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والعجب أ نّه قدّس سرّه اختار في المقام ما كان مخدوشاً عنده في ذلك الباب ، بل ادّعى هناك الإجماع والدليل على خلافه</w:t>
      </w:r>
      <w:r>
        <w:rPr>
          <w:rStyle w:val="FootnoteAnchor"/>
          <w:rtl w:val="true"/>
        </w:rPr>
        <w:footnoteReference w:id="550"/>
      </w:r>
      <w:r>
        <w:rPr>
          <w:rFonts w:ascii="Amiri" w:hAnsi="Amiri" w:eastAsia="Amiri" w:cs="Amiri"/>
          <w:color w:val="111111"/>
          <w:sz w:val="28"/>
          <w:sz w:val="28"/>
          <w:szCs w:val="28"/>
          <w:rtl w:val="true"/>
          <w:lang w:bidi="ar-SA"/>
        </w:rPr>
        <w:t xml:space="preserve">، واستند في المقام إلى عين ما ردّه في ذلك المقام ؛ إذ من الواضح أنّ الأخذ ببعض مضمون قول كلّ من المقوّمين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الجمع بين الدليلين أولى من الطرح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 لقبول الجمع التبرّعي غير العقلائي الذي قدح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تلك القاعدة ، مختصّة بالأخبار الصادرة عن المعصومين علیهم السلام ، الحاكية عن الحكم الشرعي ؛ ممّا يصحّ فيها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بعض الكلام قرينة على بعض ، فتكشف من الجمع العقلائي إرادة الشارع الأقدس ، دون مثل المقام ؛ ممّا لا وجه للجمع العرفي أو التبرّعي فيه ، فلا ينبغي الإشكال في سقوط قول المقوّمين بالتعارض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التشبّث بالصلح قهراً على المتعاملين ، أو الرجوع إلى قاعدة العدل والإنصاف قهراً عليهما ، أو تخيير الحاكم بالأخذ بأيّهما شاء ، ممّا لا وجه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وجه للأخذ بالقرعة ؛ لأ نّها لكلّ أمر مشكل ، ومع سقوط قولهما ، يكون المرجع الأصل العقلي والشرعي ، ومع جريانه لا جهل بالوظيفة ، ولا مشكل ، فلا موضوع للقرعة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لم يحتمل جريان القرعة في الفرع المتقدّم في المسألة السابقة ؛ وهو ما لو تعذّرت معرفة القيمة لفقد الطريق إلى معرفتها ، ممّا كان المورد </w:t>
      </w:r>
    </w:p>
    <w:p>
      <w:pPr>
        <w:pStyle w:val="BookText"/>
        <w:rPr/>
      </w:pPr>
      <w:r>
        <w:rPr>
          <w:rFonts w:ascii="Amiri" w:hAnsi="Amiri" w:eastAsia="Amiri" w:cs="Amiri"/>
          <w:color w:val="111111"/>
          <w:sz w:val="28"/>
          <w:sz w:val="28"/>
          <w:szCs w:val="28"/>
          <w:rtl w:val="true"/>
          <w:lang w:bidi="ar-SA"/>
        </w:rPr>
        <w:t>مجرى البراءة</w:t>
      </w:r>
      <w:r>
        <w:rPr>
          <w:rStyle w:val="FootnoteAnchor"/>
          <w:rtl w:val="true"/>
        </w:rPr>
        <w:footnoteReference w:id="551"/>
      </w:r>
      <w:r>
        <w:rPr>
          <w:rFonts w:ascii="Amiri" w:hAnsi="Amiri" w:eastAsia="Amiri" w:cs="Amiri"/>
          <w:color w:val="111111"/>
          <w:sz w:val="28"/>
          <w:sz w:val="28"/>
          <w:szCs w:val="28"/>
          <w:rtl w:val="true"/>
          <w:lang w:bidi="ar-SA"/>
        </w:rPr>
        <w:t xml:space="preserve">، وكذا في نظائرها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بعد سقوط المتعارضين ، تتعذّر معرفة القيمة ، ولا حجّة عليها ، فيتعيّن الرجوع إلى البراءة ، وقياس المقام بتعارض البيّنات ، وإعمال القرعة لتشخيص من يتوجّه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به الأخبار</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الأمارات المتعارضة كما هي ساقطة في المدلول المطابقي ، كذلك ساقطة في المدلول الالتزامي</w:t>
      </w:r>
      <w:r>
        <w:rPr>
          <w:rStyle w:val="FootnoteAnchor"/>
          <w:rtl w:val="true"/>
        </w:rPr>
        <w:footnoteReference w:id="553"/>
      </w:r>
      <w:r>
        <w:rPr>
          <w:rFonts w:ascii="Amiri" w:hAnsi="Amiri" w:eastAsia="Amiri" w:cs="Amiri"/>
          <w:color w:val="111111"/>
          <w:sz w:val="28"/>
          <w:sz w:val="28"/>
          <w:szCs w:val="28"/>
          <w:rtl w:val="true"/>
          <w:lang w:bidi="ar-SA"/>
        </w:rPr>
        <w:t xml:space="preserve">؛ بدعوى تبعية الثاني للأوّل في الدلالة والحجّية والسقوط ، فلا إشكال في الرجوع إلى الأصل حتّى في مورد نفي قول كلّ من المقوّمين له بالدلالة الالتزامية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قوّم أحدهما الصحيح بالعشرة ، والمعيب بالخمسة ، والآخر الصحيح بالثمانية ، والمعيب بالثلاثة ، سقطا ، ويرجع إلى الأقلّ مطلقاً ولو خالف لازم الأمارتين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السقوط في الالتزامية مع توافقهما فيها </w:t>
      </w:r>
      <w:r>
        <w:rPr>
          <w:rStyle w:val="FootnoteAnchor"/>
          <w:rtl w:val="true"/>
        </w:rPr>
        <w:footnoteReference w:id="554"/>
      </w:r>
      <w:r>
        <w:rPr>
          <w:rFonts w:ascii="Amiri" w:hAnsi="Amiri" w:eastAsia="Amiri" w:cs="Amiri"/>
          <w:color w:val="111111"/>
          <w:sz w:val="28"/>
          <w:sz w:val="28"/>
          <w:szCs w:val="28"/>
          <w:rtl w:val="true"/>
          <w:lang w:bidi="ar-SA"/>
        </w:rPr>
        <w:t xml:space="preserve">، فإنّ الأصل حينئذٍ لا يجري في مورد توافقهما على نفيه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 نّه على مسلك القوم ؛ من الرجوع مع التعارض إلى أوسط القيمتين</w:t>
      </w:r>
      <w:r>
        <w:rPr>
          <w:rStyle w:val="FootnoteAnchor"/>
          <w:rtl w:val="true"/>
        </w:rPr>
        <w:footnoteReference w:id="555"/>
      </w:r>
      <w:r>
        <w:rPr>
          <w:rFonts w:ascii="IRNazanin" w:hAnsi="IRNazanin" w:eastAsia="IRNazanin"/>
          <w:color w:val="111111"/>
          <w:sz w:val="28"/>
          <w:sz w:val="28"/>
          <w:szCs w:val="28"/>
          <w:rtl w:val="true"/>
          <w:lang w:bidi="fa-IR"/>
        </w:rPr>
        <w:t xml:space="preserve">، أو </w:t>
      </w:r>
    </w:p>
    <w:p>
      <w:pPr>
        <w:pStyle w:val="BookText"/>
        <w:rPr/>
      </w:pPr>
      <w:r>
        <w:rPr>
          <w:rFonts w:ascii="Amiri" w:hAnsi="Amiri" w:eastAsia="Amiri" w:cs="Amiri"/>
          <w:color w:val="111111"/>
          <w:sz w:val="28"/>
          <w:sz w:val="28"/>
          <w:szCs w:val="28"/>
          <w:rtl w:val="true"/>
          <w:lang w:bidi="ar-SA"/>
        </w:rPr>
        <w:t xml:space="preserve">نصف الكسرين كما عن الشهيد قدّس سرّه </w:t>
      </w:r>
      <w:r>
        <w:rPr>
          <w:rStyle w:val="FootnoteAnchor"/>
          <w:rtl w:val="true"/>
        </w:rPr>
        <w:footnoteReference w:id="556"/>
      </w:r>
      <w:r>
        <w:rPr>
          <w:rFonts w:ascii="Amiri" w:hAnsi="Amiri" w:eastAsia="Amiri" w:cs="Amiri"/>
          <w:color w:val="111111"/>
          <w:sz w:val="28"/>
          <w:sz w:val="28"/>
          <w:szCs w:val="28"/>
          <w:rtl w:val="true"/>
          <w:lang w:bidi="ar-SA"/>
        </w:rPr>
        <w:t xml:space="preserve">، تكون صورة توافق القولين في اللازم ، داخلة في محلّ النزاع ، كما لو قوّم أحدهما بالعشرة والخمسة ، والآخر بالثمانية والأربعة ، ومقتضاهما على كلا المسلكين كون التفاوت بالنصف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ذلك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سقوطهما في اللازم المتّفق عليه ، يخرجان عن كونهما متعارضين ، فيؤخذ بالنسبة المتّفق عليها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بالسقوط ، يعمل فيها بما يعمل به في سائر الصور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عن طريقة المعروف وطريقة الشهيد وأنّ أيّهما أقرب إلى الصواب ، وعن موارد اختلافهما ، غير لازم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دليل على ما أفادوا ، وبطلان التمسّك بقاعدة الجمع ، وعدم شهرة أو إجماع في المسألة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 نّه يمكن أن يقال على فرض كون المستند قاعدة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الأخذ بالأكثر في موارد مخالفة طريق الشهيد قدّس سرّه مع المعروف ؛ فإنّ الأخذ به هو العمل بالدليلين مهما أمكن ، والأمر سهل </w:t>
      </w:r>
      <w:r>
        <w:rPr>
          <w:rFonts w:eastAsia="Amiri" w:cs="Amiri" w:ascii="Amiri" w:hAnsi="Amiri"/>
          <w:color w:val="111111"/>
          <w:sz w:val="28"/>
          <w:szCs w:val="28"/>
          <w:rtl w:val="true"/>
          <w:lang w:bidi="ar-SA"/>
        </w:rPr>
        <w:t xml:space="preserve">. </w:t>
      </w:r>
      <w:bookmarkStart w:id="342" w:name="pg15222_162361"/>
    </w:p>
    <w:p>
      <w:pPr>
        <w:pStyle w:val="Heading2"/>
        <w:numPr>
          <w:ilvl w:val="1"/>
          <w:numId w:val="1"/>
        </w:numPr>
        <w:rPr/>
      </w:pPr>
      <w:bookmarkStart w:id="343" w:name="__RefHeading___Toc3331756_2142443653"/>
      <w:bookmarkStart w:id="344" w:name="_Toc127"/>
      <w:bookmarkEnd w:id="342"/>
      <w:bookmarkEnd w:id="343"/>
      <w:r>
        <w:rPr>
          <w:rtl w:val="true"/>
        </w:rPr>
        <w:t>القول في الشروط التي تقع في العقد وشروط صحّتها</w:t>
      </w:r>
      <w:bookmarkEnd w:id="34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3331758_2142443653"/>
      <w:bookmarkStart w:id="346" w:name="_Toc128"/>
      <w:bookmarkEnd w:id="345"/>
      <w:r>
        <w:rPr>
          <w:rtl w:val="true"/>
        </w:rPr>
        <w:t>اشارة</w:t>
      </w:r>
      <w:bookmarkEnd w:id="34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5222_162363"/>
      <w:bookmarkStart w:id="348" w:name="pg15222_162363"/>
      <w:bookmarkEnd w:id="348"/>
    </w:p>
    <w:p>
      <w:pPr>
        <w:pStyle w:val="Heading3"/>
        <w:numPr>
          <w:ilvl w:val="2"/>
          <w:numId w:val="1"/>
        </w:numPr>
        <w:rPr/>
      </w:pPr>
      <w:bookmarkStart w:id="349" w:name="pg15222_162363"/>
      <w:bookmarkStart w:id="350" w:name="__RefHeading___Toc3331760_2142443653"/>
      <w:bookmarkStart w:id="351" w:name="_Toc129"/>
      <w:bookmarkEnd w:id="349"/>
      <w:bookmarkEnd w:id="350"/>
      <w:r>
        <w:rPr>
          <w:rtl w:val="true"/>
        </w:rPr>
        <w:t>شروط صحّة الشرط</w:t>
      </w:r>
      <w:bookmarkEnd w:id="351"/>
    </w:p>
    <w:p>
      <w:pPr>
        <w:pStyle w:val="Heading4"/>
        <w:numPr>
          <w:ilvl w:val="3"/>
          <w:numId w:val="1"/>
        </w:numPr>
        <w:rPr/>
      </w:pPr>
      <w:bookmarkStart w:id="352" w:name="__RefHeading___Toc3331762_2142443653"/>
      <w:bookmarkStart w:id="353" w:name="_Toc130"/>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 xml:space="preserve">وقد تقدّم الكلام مستقصىً في ماهية الشرط ، لغة وعرفاً في المعاطاة ، عند الكلام في التمسّك بدليل الشرط على صحّتها </w:t>
      </w:r>
      <w:r>
        <w:rPr>
          <w:rStyle w:val="FootnoteAnchor"/>
          <w:rtl w:val="true"/>
        </w:rPr>
        <w:footnoteReference w:id="557"/>
      </w:r>
      <w:r>
        <w:rPr>
          <w:rFonts w:ascii="Amiri" w:hAnsi="Amiri" w:eastAsia="Amiri" w:cs="Amiri"/>
          <w:color w:val="111111"/>
          <w:sz w:val="28"/>
          <w:sz w:val="28"/>
          <w:szCs w:val="28"/>
          <w:rtl w:val="true"/>
          <w:lang w:bidi="ar-SA"/>
        </w:rPr>
        <w:t xml:space="preserve">، فلا نطيل بالإعادة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شروط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وقع الكلام والخلاف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فاُمور </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3331764_2142443653"/>
      <w:bookmarkStart w:id="355" w:name="_Toc131"/>
      <w:bookmarkEnd w:id="354"/>
      <w:r>
        <w:rPr>
          <w:rtl w:val="true"/>
        </w:rPr>
        <w:t xml:space="preserve">الأوّل </w:t>
      </w:r>
      <w:r>
        <w:rPr>
          <w:rtl w:val="true"/>
        </w:rPr>
        <w:t xml:space="preserve">: </w:t>
      </w:r>
      <w:r>
        <w:rPr>
          <w:rtl w:val="true"/>
        </w:rPr>
        <w:t>أن يكون داخلاً تحت قدرة المشروط عليه</w:t>
      </w:r>
      <w:bookmarkEnd w:id="355"/>
    </w:p>
    <w:p>
      <w:pPr>
        <w:pStyle w:val="Heading5"/>
        <w:numPr>
          <w:ilvl w:val="4"/>
          <w:numId w:val="1"/>
        </w:numPr>
        <w:rPr/>
      </w:pPr>
      <w:bookmarkStart w:id="356" w:name="__RefHeading___Toc3331766_2142443653"/>
      <w:bookmarkStart w:id="357" w:name="_Toc132"/>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 xml:space="preserve">وقد مثّل لغير المقدور ببعض الأمثلة ، كجعل الزرع سنبلاً ، والبسر تمراً </w:t>
      </w:r>
      <w:r>
        <w:rPr>
          <w:rStyle w:val="FootnoteAnchor"/>
          <w:rtl w:val="true"/>
        </w:rPr>
        <w:footnoteReference w:id="558"/>
      </w:r>
      <w:r>
        <w:rPr>
          <w:rFonts w:ascii="Amiri" w:hAnsi="Amiri" w:eastAsia="Amiri" w:cs="Amiri"/>
          <w:color w:val="111111"/>
          <w:sz w:val="28"/>
          <w:sz w:val="28"/>
          <w:szCs w:val="28"/>
          <w:rtl w:val="true"/>
          <w:lang w:bidi="ar-SA"/>
        </w:rPr>
        <w:t xml:space="preserve">، ممّا لا ينبغي للفقيه التعرّض لها ، فصار ذلك موجباً لبسط الكلام فيها ؛ بما هو خروج عن طريق الفقه ، وطريقة الفقهاء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يمحّض الكلام في اعتبار القدرة في الصحّة ، بعد فرض اجتماع </w:t>
      </w:r>
    </w:p>
    <w:p>
      <w:pPr>
        <w:pStyle w:val="BookText"/>
        <w:rPr/>
      </w:pPr>
      <w:r>
        <w:rPr>
          <w:rFonts w:ascii="Amiri" w:hAnsi="Amiri" w:eastAsia="Amiri" w:cs="Amiri"/>
          <w:color w:val="111111"/>
          <w:sz w:val="28"/>
          <w:sz w:val="28"/>
          <w:szCs w:val="28"/>
          <w:rtl w:val="true"/>
          <w:lang w:bidi="ar-SA"/>
        </w:rPr>
        <w:t xml:space="preserve">شروط التحقّق بأجمعها ، ومنها جواز تعلّق الإرادة الجدّية بالاشتراط ، حتّى لا يختلّ تحقّقه من قبل امتناع ذلك ، ونحو تلك الأمثلة التي لا يعقل تعلّق الجدّ باشتراطها ، تكون خارجة عن موضوع البحث ؛ لأنّ البحث عن شرط الصحّة بعد الفراغ عن إمكان الاشتراط ، وفي مثلها يكون أصل الاشتراط مختلاًّ ، لا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مقصود بعض الأصحاب من الأمثلة ، بيان التنظير لما لا يقع تحت القدرة ، وإلاّ فما لا تتعلّق به الإرادة الجدّية ، ويعدّ التلفّظ به لعباً وسخرية ، خارج عن محطّ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لا بدّ من البحث عن هذا الشرط بعد الفراغ عن عقلائيته ، وإلاّ يرجع إلى فقد شرط آخر تعرّض القوم له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بعد الفراغ عن عدم اختلال شرط آخر تعرّضوا له ؛ وهو لزوم الغرر من ناحية الجهل بالحصول ، أو بحال الشرط</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مثل ما لو اشترط عليه خياطة ثوب مثلاً ، أو كتابة كتاب ، مع اعتقادهما قدرة المشروط عليه ، فتبيّن أ نّه لم يكن قادراً عليه ، فهذا شرط عقلائي جامع لجميع ما يعتبر فيه عند العقلاء والشرع ، وليس فاقداً لشيء سوى القدرة على إيجاده ، فيبحث عن أنّ عدم القدرة ، هل يوجب بطلانه أم لا ؟ </w:t>
      </w:r>
      <w:bookmarkStart w:id="358" w:name="pg15222_162365"/>
    </w:p>
    <w:p>
      <w:pPr>
        <w:pStyle w:val="Heading5"/>
        <w:numPr>
          <w:ilvl w:val="4"/>
          <w:numId w:val="1"/>
        </w:numPr>
        <w:rPr/>
      </w:pPr>
      <w:bookmarkStart w:id="359" w:name="__RefHeading___Toc3331768_2142443653"/>
      <w:bookmarkStart w:id="360" w:name="_Toc133"/>
      <w:bookmarkEnd w:id="358"/>
      <w:bookmarkEnd w:id="359"/>
      <w:r>
        <w:rPr>
          <w:rtl w:val="true"/>
        </w:rPr>
        <w:t>حال شرط الفعل</w:t>
      </w:r>
      <w:bookmarkEnd w:id="360"/>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أنّ الاشتراط في المعاملات ، وكذا الخيار عند تخلّفه ، أمر عقلائي شائع عندهم في الأعصار والأمصار ، والشروط العقلائية يترتّب عليها أمران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إلزام الشارط المشروط عليه بالعمل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الخيار عند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الحقّ الثاني مترتّباً على الأوّل ؛ بمعنى أ نّه مع عدم حقّ الإلزام لا يكون حقّ الفسخ أيضاً ، فلا محالة يقع الشرط غير المقدور باطلاً ، والبيع لازماً ، أو فاسداً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الشرط الفاسد يوجب فساد المعاملة حتّى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الحقّ الثاني مترتّباً على مطلق تخلّف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التخلّف اختيارياً أم لا ، وسواء كان تحت قدرته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الشرط ، وترتّب على تخلّفه الخيار ، نظير طروّ التعذّر بعد العقد ، فإنّ الظاهر الذي لا ينبغي الإشكال فيه ، هو</w:t>
      </w:r>
    </w:p>
    <w:p>
      <w:pPr>
        <w:pStyle w:val="BookText"/>
        <w:rPr/>
      </w:pPr>
      <w:r>
        <w:rPr>
          <w:rFonts w:ascii="Amiri" w:hAnsi="Amiri" w:eastAsia="Amiri" w:cs="Amiri"/>
          <w:color w:val="111111"/>
          <w:sz w:val="28"/>
          <w:sz w:val="28"/>
          <w:szCs w:val="28"/>
          <w:rtl w:val="true"/>
          <w:lang w:bidi="ar-SA"/>
        </w:rPr>
        <w:t xml:space="preserve">عدم حكم العقلاء ببطلان العقد حينئذٍ ، ولا بلزومه ، بل يحكمون بالخيار ؛ للتخلّف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فالخيار عند عدم العمل بالشرط عقلائي ، مترتّب على نفس عدم حصول الشرط ، سواء كان ذلك لعدم القدرة عليه ، أو لغير ذلك ، فاعتبار القدرة ليس شرطاً لصحّة الشرط ، بل شرط عقلي لجواز إلزامه على العمل به ، هذا حال المحيط العقلائي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بحسب الأدلّة الشرعية ، فلا ينبغي الإشكال في أنّ قوله صلی الله علیه و آله وسلم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561"/>
      </w:r>
      <w:r>
        <w:rPr>
          <w:rFonts w:ascii="Amiri" w:hAnsi="Amiri" w:eastAsia="Amiri" w:cs="Amiri"/>
          <w:color w:val="111111"/>
          <w:sz w:val="28"/>
          <w:sz w:val="28"/>
          <w:szCs w:val="28"/>
          <w:rtl w:val="true"/>
          <w:lang w:bidi="ar-SA"/>
        </w:rPr>
        <w:t>يدلّ على وجوب العمل بالشرط ، بل دلالة مثل تلك الجمل الإخبارية على الوجوب أو الحرمة ، آكد من الأوامر والنواهي ، كما هو المقرّر في محلّه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الكلّية القانونية ، لا تتقيّد بالقدرة ، كما لا تتقيّد بالعلم ، ويكون الحكم الفعلي ثابتاً لموضوعه ، سواء كان المكلّف عالماً أم لا ، وقادراً أم لا ، على ما ذكرنا في محلّه</w:t>
      </w:r>
      <w:r>
        <w:rPr>
          <w:rStyle w:val="FootnoteAnchor"/>
          <w:rtl w:val="true"/>
        </w:rPr>
        <w:footnoteReference w:id="563"/>
      </w:r>
      <w:r>
        <w:rPr>
          <w:rFonts w:ascii="Amiri" w:hAnsi="Amiri" w:eastAsia="Amiri" w:cs="Amiri"/>
          <w:color w:val="111111"/>
          <w:sz w:val="28"/>
          <w:sz w:val="28"/>
          <w:szCs w:val="28"/>
          <w:rtl w:val="true"/>
          <w:lang w:bidi="ar-SA"/>
        </w:rPr>
        <w:t xml:space="preserve">، والجهل أحياناً والعجز عذر للمكلّف في ترك المأمور به ، أو الإتيان بالمنهيّ عنه ، لا أنّه قيد للتكليف ، يكون وجوب العمل بالشرط ثابتاً ، والعذر عن الإتيان به لا يوجب بطلانه رأساً ، فيترتّب عليه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التكليف الكلّي ينحلّ إلى تكاليف ، ولا يعقل تعلّقه بالعاجز ، فلا يوجب ذلك أيضاً بطلان الشرط في المقام ، نظير البطلان في الشرط المخالف للكتاب ؛ لأنّ غاية ما في الباب ، قصور الأدلّة عن إيجاب العمل بمثل هذا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الأدلّة لا تتكفّل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يمكن أن تتكفّل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بالخيار عند التخلّف ، حتّى تتوهّم دلالتها على عدم الخيار عند عدم الوجوب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الخيار حكم عقلائي ، مترتّب على تخلّف الشرط ، فإن دلّ دليل شرعي ، </w:t>
      </w:r>
      <w:bookmarkStart w:id="361" w:name="pg15222_162367"/>
    </w:p>
    <w:p>
      <w:pPr>
        <w:pStyle w:val="BookText"/>
        <w:rPr/>
      </w:pPr>
      <w:bookmarkEnd w:id="361"/>
      <w:r>
        <w:rPr>
          <w:rFonts w:ascii="Amiri" w:hAnsi="Amiri" w:eastAsia="Amiri" w:cs="Amiri"/>
          <w:color w:val="111111"/>
          <w:sz w:val="28"/>
          <w:sz w:val="28"/>
          <w:szCs w:val="28"/>
          <w:rtl w:val="true"/>
          <w:lang w:bidi="ar-SA"/>
        </w:rPr>
        <w:t xml:space="preserve">على أنّ هذا الشرط لغو وباطل رأساً ، كالشرط المخالف للكتاب ، فيحكم بعدم الخيار ، وأمّا مع عدم الدلالة على ذلك ، فالحكم العقلائي متّبع لا رادع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تخلّف مثل ذلك الشرط موجب للخيار ، ولا دليل على بطلانه رأساً ، هذا حال شرط الفعل </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3331770_2142443653"/>
      <w:bookmarkStart w:id="363" w:name="_Toc134"/>
      <w:bookmarkEnd w:id="362"/>
      <w:r>
        <w:rPr>
          <w:rtl w:val="true"/>
        </w:rPr>
        <w:t>حال شرط النتيجة</w:t>
      </w:r>
      <w:bookmarkEnd w:id="363"/>
    </w:p>
    <w:p>
      <w:pPr>
        <w:pStyle w:val="BookText"/>
        <w:rPr/>
      </w:pPr>
      <w:r>
        <w:rPr>
          <w:rFonts w:ascii="Amiri" w:hAnsi="Amiri" w:eastAsia="Amiri" w:cs="Amiri"/>
          <w:color w:val="111111"/>
          <w:sz w:val="28"/>
          <w:sz w:val="28"/>
          <w:szCs w:val="28"/>
          <w:rtl w:val="true"/>
          <w:lang w:bidi="ar-SA"/>
        </w:rPr>
        <w:t xml:space="preserve">وأمّا شرط النتيجة ، فاعتبار القدرة فيه على نحو آخر ؛ فإنّه قد يكون مؤثّراً في النقل ، كشرط صيرورة شيء من مال المشروط عليه للشارط ، وفي مثله يكون الاعتبار بالقدرة على الوفاء بالشرط وهو تسليم متعلّقه ، كما تعتبر القدرة على تسليم العوضين في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لا يكون الشرط مؤثّراً في النقل لمانع ، كما لو شرط صيرورة عين له باعتقاد كونها له ، فتبيّن أ نّها لغيره مثلاً ، وفي مثله يكون الاعتبار بالقدرة على الوفاء بتسليم المتعلّق ، أو بالقدرة على النقل بالأسباب الشرعية والعقلائية ، 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القدرة يحكم بالبطلان في موارد فقدها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تقدّم في شرط الفعل ، يظهر حال شرط النتيجة بقسميه ؛ وأ نّه لا يحكم ببطلانه رأساً بمجرّد فقد القدرة عليه ، بل التخلّف مع اجتماع سائر الشرائط ، يوجب الخيار في محيط العقلاء ، من غير فرق بين القسمين ، سواء كان التخلّف لأجل عدم العمل به اختياراً ، أم كان لمحذور في التسليم ، أو لمانع عن تأثير الشرط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الصور يكون الحكم هو الخيار ؛ لأجل التخلّف ، لا بطلان الشرط </w:t>
      </w:r>
    </w:p>
    <w:p>
      <w:pPr>
        <w:pStyle w:val="BookText"/>
        <w:rPr/>
      </w:pPr>
      <w:r>
        <w:rPr>
          <w:rFonts w:ascii="Amiri" w:hAnsi="Amiri" w:eastAsia="Amiri" w:cs="Amiri"/>
          <w:color w:val="111111"/>
          <w:sz w:val="28"/>
          <w:sz w:val="28"/>
          <w:szCs w:val="28"/>
          <w:rtl w:val="true"/>
          <w:lang w:bidi="ar-SA"/>
        </w:rPr>
        <w:t xml:space="preserve">ولزوم المعاملة ، ولا فسادها ، وقصور الدليل الشرعي عن إيجاب الوفاء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لتعذّره ، أو لممنوعية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إسقاط الشرط والحكم ببطلانه ، كالحكم ببطلان الشرط المخالف للكتاب ، ومعه لا رادع عن الحكم العقلائي ، نظير ما لو تعذّر الشرط في الزمان المتأخّر عن العقد ، إذا كان وقت العمل متأخّراً زماناً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ببطلان الشرط فيما إذا لم يكن له وجوب الوفاء ، هو عدم التأثير في النقل أو في الوفاء ، فهو مسلّم ، لكن لا يوجب ذلك لغوية الشرط ؛ بحيث لا يترتّب على تخلّفه القهري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القول بالبطلان ؛ لمجرّد عدم التأثير في النقل أو في الوفاء ، فاسد ؛ لأنّ عدم ترتّب الأثر هاهنا ، لا بدّ وأن يراد منه عدمه مطلقاً حتّى من ناحية ثبوت الخيار عند التخلّف ؛ إذ ليس المقام كالبيع ونحوه ممّا تكون ماهيته متقوّمة بالنقل ، فإذا فرض عدمه مطلقاً يحكم بالبطلان ، كبيع الوقف ، أو ملك الغير مع عدم التعقّب بالإجازة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تكون ماهية الشرط ، هي الالتزام أو القرار في البيع ونحوه ، ولا يعتبر فيها نقل وغيره ، بلا فرق بين شرط النتيجة وغيره ؛ لأ نّه ماهية واحدة لا تختلف في شيء من الموارد ، وإنّما الاختلاف في المتعلّقات ، كاختلاف متعلّقات البيع ونحوه ، فإذا لم يترتّب على الشرط إلاّ الخيار ، فلا يوجب ذلك بطلانه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بإلغاء الشرط رأساً في العرف مع عدم النقل ، والحكم بلزوم العقد أو بطلانه ممنوع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شرط وصف حالي بتوهّم وجوده ، مع فقده واقعاً ؛ فإنّ الشرط في مثله لا يؤثّر في شيء ، ولا يكون له وجوب وفاء ، ومع ذلك يكون تخلّفه موجباً </w:t>
      </w:r>
    </w:p>
    <w:p>
      <w:pPr>
        <w:pStyle w:val="BookText"/>
        <w:rPr/>
      </w:pPr>
      <w:r>
        <w:rPr>
          <w:rFonts w:ascii="Amiri" w:hAnsi="Amiri" w:eastAsia="Amiri" w:cs="Amiri"/>
          <w:color w:val="111111"/>
          <w:sz w:val="28"/>
          <w:sz w:val="28"/>
          <w:szCs w:val="28"/>
          <w:rtl w:val="true"/>
          <w:lang w:bidi="ar-SA"/>
        </w:rPr>
        <w:t xml:space="preserve">للخيار عرفاً ؛ فإنّه شرط سائغ جامع للشرائط يترتّب عليه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الشرط إلى التوصيف</w:t>
      </w:r>
      <w:r>
        <w:rPr>
          <w:rStyle w:val="FootnoteAnchor"/>
          <w:rtl w:val="true"/>
        </w:rPr>
        <w:footnoteReference w:id="564"/>
      </w:r>
      <w:r>
        <w:rPr>
          <w:rFonts w:ascii="Amiri" w:hAnsi="Amiri" w:eastAsia="Amiri" w:cs="Amiri"/>
          <w:color w:val="111111"/>
          <w:sz w:val="28"/>
          <w:sz w:val="28"/>
          <w:szCs w:val="28"/>
          <w:rtl w:val="true"/>
          <w:lang w:bidi="ar-SA"/>
        </w:rPr>
        <w:t>في غير محلّه ؛ للفرق بينهما جعلاً واعتباراً وواقعاً ، فالشرط الباطل الذي لا يترتّب عليه الخيار ، منحصر بما هو لغو عرفاً ، كالشرط غير العقلائي ، على ما سيأتي الكلام فيه</w:t>
      </w:r>
      <w:r>
        <w:rPr>
          <w:rStyle w:val="FootnoteAnchor"/>
          <w:rtl w:val="true"/>
        </w:rPr>
        <w:footnoteReference w:id="565"/>
      </w:r>
      <w:r>
        <w:rPr>
          <w:rFonts w:ascii="Amiri" w:hAnsi="Amiri" w:eastAsia="Amiri" w:cs="Amiri"/>
          <w:color w:val="111111"/>
          <w:sz w:val="28"/>
          <w:sz w:val="28"/>
          <w:szCs w:val="28"/>
          <w:rtl w:val="true"/>
          <w:lang w:bidi="ar-SA"/>
        </w:rPr>
        <w:t xml:space="preserve">، أو شرعاً كالشرط المخالف للكتاب ، بناءً على استفادة إلغائه من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يظهر حال شرط الأوصاف الحالية المتخلّفة عن النقل التبعي ، فإنّ اعتبار القدرة فيها ليس بالمعنى الذي تقدّم في الأقسام المتقدّمة ، بل بمعنى القدرة على النقل تبعاً ، وسلب القدرة لا يوجب إلغاء الشرط ، بل يترتّب عليه الخيار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الكلام في الأوصاف الاستقبالية ، فإنّها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تعلّق القدرة به ولو تسبيباً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ذلك ، والكلام فيها هو الكلام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الكلام في الشرط المتعلّق بفعل الغير يظهر ممّا مرّ ، فإنّ فعله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ممّا يمكن أن يكون مقدوراً للمشروط عليه تسبيباً ، فتوهّم ذلك وشرط ، ثمّ تبيّن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خلاف ذلك ، فتوهّم إمكان تعلّق قدرته به ، وقدرته على إيجاده ، فتبيّن خلافه ، ففي الجميع يثبت خيار التخلّف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من جميع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هو عدم اعتبار هذا الشرط في شيء من </w:t>
      </w:r>
    </w:p>
    <w:p>
      <w:pPr>
        <w:pStyle w:val="BookText"/>
        <w:rPr/>
      </w:pPr>
      <w:r>
        <w:rPr>
          <w:rFonts w:ascii="Amiri" w:hAnsi="Amiri" w:eastAsia="Amiri" w:cs="Amiri"/>
          <w:color w:val="111111"/>
          <w:sz w:val="28"/>
          <w:sz w:val="28"/>
          <w:szCs w:val="28"/>
          <w:rtl w:val="true"/>
          <w:lang w:bidi="ar-SA"/>
        </w:rPr>
        <w:t>الموارد ، لكنّ ذلك بعد الفراغ عن اجتماع سائر الشرائط ، كما أشرنا إليه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إجماعية ، أو مشهورة شهرة معتبرة في غير محلّه ؛ لأنّ الأمثلة المأخوذة في كلماتهم ، وكذا الاستدلالات المذكورة ، تكشف عن الخلط بين هذا الشرط ، وبعض الشروط التي لا كلام في اعتبارها ، فلم يثبت قيام الإجماع على محطّ البحث بالنحو المتقدّم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الاتّكال على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كالغرر ، واللغوية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يوهن الإجماع والشهرة المعتمدة </w:t>
      </w:r>
      <w:r>
        <w:rPr>
          <w:rFonts w:eastAsia="Amiri" w:cs="Amiri" w:ascii="Amiri" w:hAnsi="Amiri"/>
          <w:color w:val="111111"/>
          <w:sz w:val="28"/>
          <w:szCs w:val="28"/>
          <w:rtl w:val="true"/>
          <w:lang w:bidi="ar-SA"/>
        </w:rPr>
        <w:t xml:space="preserve">. </w:t>
      </w:r>
      <w:bookmarkStart w:id="364" w:name="pg15222_162371"/>
    </w:p>
    <w:p>
      <w:pPr>
        <w:pStyle w:val="Heading4"/>
        <w:numPr>
          <w:ilvl w:val="3"/>
          <w:numId w:val="1"/>
        </w:numPr>
        <w:rPr/>
      </w:pPr>
      <w:bookmarkStart w:id="365" w:name="__RefHeading___Toc3331772_2142443653"/>
      <w:bookmarkStart w:id="366" w:name="_Toc135"/>
      <w:bookmarkEnd w:id="364"/>
      <w:bookmarkEnd w:id="365"/>
      <w:r>
        <w:rPr>
          <w:rtl w:val="true"/>
        </w:rPr>
        <w:t xml:space="preserve">الثاني </w:t>
      </w:r>
      <w:r>
        <w:rPr>
          <w:rtl w:val="true"/>
        </w:rPr>
        <w:t xml:space="preserve">: </w:t>
      </w:r>
      <w:r>
        <w:rPr>
          <w:rtl w:val="true"/>
        </w:rPr>
        <w:t>أن يكون الشرط سائغاً في نفسه</w:t>
      </w:r>
      <w:bookmarkEnd w:id="366"/>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يطلق ويراد به نفس الالتزام في ضمن البيع ونحوه ، الجامع بين أنحاء الشروط ؛ من شرط الفعل ، وشرط النتيجة ، وشرط الخيار ، وشرط الوصف الحالي أو الاستقبالي ، وإطلاقه بهذا المعنى يكون على نحو الحقيقة ؛ إذ لفظه موضوع لهذا المعنى المشترك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بهذا المعنى ، لا تكون المتعلّقات والملتزمات قيداً أو جزءاً له ، بل هو بمعناه المصدري أو الاسم المصدري ، مجرّد عن كافّة المتعلّقات ؛ إذ هو بهذا المعنى مشترك معنوي ، وماهية كلّية ، تنطبق على المصاديق ، فلو قيّد بها ، أو كانت المتعلّقات دخيلة فيه ، لم يعقل أن يكون مشتركاً معنوياً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به المتعلّق والملتزم به ، وإطلاقه عليه مجاز بضرب من المناسبة والعلاقة ، والجمع بين المعنيين في استعمال واحد إمّا غير جائز ، كما عليه الأكثر</w:t>
      </w:r>
      <w:r>
        <w:rPr>
          <w:rStyle w:val="FootnoteAnchor"/>
          <w:rtl w:val="true"/>
        </w:rPr>
        <w:footnoteReference w:id="567"/>
      </w:r>
      <w:r>
        <w:rPr>
          <w:rFonts w:ascii="IRNazanin" w:hAnsi="IRNazanin" w:eastAsia="IRNazanin"/>
          <w:color w:val="111111"/>
          <w:sz w:val="28"/>
          <w:sz w:val="28"/>
          <w:szCs w:val="28"/>
          <w:rtl w:val="true"/>
          <w:lang w:bidi="fa-IR"/>
        </w:rPr>
        <w:t>، أو جائز</w:t>
      </w:r>
      <w:r>
        <w:rPr>
          <w:rStyle w:val="FootnoteAnchor"/>
          <w:rtl w:val="true"/>
        </w:rPr>
        <w:footnoteReference w:id="568"/>
      </w:r>
      <w:r>
        <w:rPr>
          <w:rFonts w:ascii="Amiri" w:hAnsi="Amiri" w:eastAsia="Amiri" w:cs="Amiri"/>
          <w:color w:val="111111"/>
          <w:sz w:val="28"/>
          <w:sz w:val="28"/>
          <w:szCs w:val="28"/>
          <w:rtl w:val="true"/>
          <w:lang w:bidi="ar-SA"/>
        </w:rPr>
        <w:t xml:space="preserve">، ولكن لا يحمل عليه إلاّ بدلالة وقرينة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اعتبر أن يكون الشرط سائغاً في نفسه ، لو أراد به ما هو ظاهر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الالتزام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ولجعله شرطاً في قبال الشرط الرابع</w:t>
      </w:r>
      <w:r>
        <w:rPr>
          <w:rStyle w:val="FootnoteAnchor"/>
          <w:rtl w:val="true"/>
        </w:rPr>
        <w:footnoteReference w:id="569"/>
      </w:r>
      <w:r>
        <w:rPr>
          <w:rFonts w:ascii="Amiri" w:hAnsi="Amiri" w:eastAsia="Amiri" w:cs="Amiri"/>
          <w:color w:val="111111"/>
          <w:sz w:val="28"/>
          <w:sz w:val="28"/>
          <w:szCs w:val="28"/>
          <w:rtl w:val="true"/>
          <w:lang w:bidi="ar-SA"/>
        </w:rPr>
        <w:t xml:space="preserve">؛ أي اعتبر أن يكون الاشتراط بالمعنى المصدري سائغا في </w:t>
      </w:r>
    </w:p>
    <w:p>
      <w:pPr>
        <w:pStyle w:val="BookText"/>
        <w:rPr/>
      </w:pPr>
      <w:r>
        <w:rPr>
          <w:rFonts w:ascii="Amiri" w:hAnsi="Amiri" w:eastAsia="Amiri" w:cs="Amiri"/>
          <w:color w:val="111111"/>
          <w:sz w:val="28"/>
          <w:sz w:val="28"/>
          <w:szCs w:val="28"/>
          <w:rtl w:val="true"/>
          <w:lang w:bidi="ar-SA"/>
        </w:rPr>
        <w:t>قبال ما لا يكون كذلك ، كالشرط وقت النداء بناءً على حرمته ، أو فيما إذا تعلّق به نهي الوالدين أو المولى ، بناءً على سراية الحرمة إلى نفس العنوان ، كما عليه القوم</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شرطاً مستقلاًّ ، لا شبهة في أ نّه لا يؤول إلى الشرط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الظاهر من الأخبار الواردة في الشرط الرابع</w:t>
      </w:r>
      <w:r>
        <w:rPr>
          <w:rStyle w:val="FootnoteAnchor"/>
          <w:rtl w:val="true"/>
        </w:rPr>
        <w:footnoteReference w:id="571"/>
      </w:r>
      <w:r>
        <w:rPr>
          <w:rFonts w:ascii="Amiri" w:hAnsi="Amiri" w:eastAsia="Amiri" w:cs="Amiri"/>
          <w:color w:val="111111"/>
          <w:sz w:val="28"/>
          <w:sz w:val="28"/>
          <w:szCs w:val="28"/>
          <w:rtl w:val="true"/>
          <w:lang w:bidi="ar-SA"/>
        </w:rPr>
        <w:t xml:space="preserve">، هو الشرط بالمعنى المجازي ؛ أي الملتزمات ؛ ضرورة أنّ نفس الالتزام بالمعنى المصدري الجامع ، لا يكون موافقاً أو مخالفاً للكتاب إلاّ باعتبار متعلّقاته ، فالاستثناء دليل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المتعلّقات والملتزمات ، كما أنّ وجوب العمل لا يكون إلاّ للملتزمات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الشرط الرابع اعتبر أن يكون متعلّق الشرط غير مخالف للكتاب ، وهنا اعتبر أن يكون الشرط في نفسه سائغاً ، فأين أحدهما من الآخر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في إثبات اعتبار هذا الشرط ؛ بحيث لو كان نفس الاشتراط محرّماً مع تعلّقه بأمر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خياطة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باطلاً ؛ فإنّ غاية ما يقال في مثله ، هو أنّ تنفيذ ما هو محرّم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لا يخفى؛ إذ لا مانع عقلاً من تعلّق الحرمة بسبب ، وعلى فرض تحقّقه يحكم بنفوذه ، مع أنّ دليل التنفيذ إذا كان عموماً قانونياً ، لا يأتي فيه ما ذكر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 اعتبار جواز نفس الاشتراط ، أن لا يتعلّق الشرط بأمر محرّم ؛ إذ يوجب ذلك حرمة الشرط أيضاً ، بدعوى أنّ إلزام الغير بارتكاب الحرام حرام ، </w:t>
      </w:r>
    </w:p>
    <w:p>
      <w:pPr>
        <w:pStyle w:val="BookText"/>
        <w:rPr/>
      </w:pPr>
      <w:r>
        <w:rPr>
          <w:rFonts w:ascii="Amiri" w:hAnsi="Amiri" w:eastAsia="Amiri" w:cs="Amiri"/>
          <w:color w:val="111111"/>
          <w:sz w:val="28"/>
          <w:sz w:val="28"/>
          <w:szCs w:val="28"/>
          <w:rtl w:val="true"/>
          <w:lang w:bidi="ar-SA"/>
        </w:rPr>
        <w:t xml:space="preserve">كما يشعر به التمثيل باشتراط جعل العنب خمراً </w:t>
      </w:r>
      <w:r>
        <w:rPr>
          <w:rStyle w:val="FootnoteAnchor"/>
          <w:rtl w:val="true"/>
        </w:rPr>
        <w:footnoteReference w:id="572"/>
      </w:r>
      <w:r>
        <w:rPr>
          <w:rFonts w:ascii="Amiri" w:hAnsi="Amiri" w:eastAsia="Amiri" w:cs="Amiri"/>
          <w:color w:val="111111"/>
          <w:sz w:val="28"/>
          <w:sz w:val="28"/>
          <w:szCs w:val="28"/>
          <w:rtl w:val="true"/>
          <w:lang w:bidi="ar-SA"/>
        </w:rPr>
        <w:t xml:space="preserve">، فهذا أيضاً شرط مستقلّ ، لا يؤول إلى الشرط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لكنّه حيث لا ينفكّ عن الشرط الرابع ، فلا ثمرة لاعتباره على حدة ، إلاّ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الرابع مختصّ بمخالفة الكتاب ، ومخالفة السنّة خارجة عنه ، فيكون الاعتبار المذكور مثمراً حينئذٍ ، لكنّ المبنى غير وجيه ، كما يأتي الكلام فيه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تمسّك الشيخ الأعظم قدّس سرّه </w:t>
      </w:r>
      <w:r>
        <w:rPr>
          <w:rStyle w:val="FootnoteAnchor"/>
          <w:rtl w:val="true"/>
        </w:rPr>
        <w:footnoteReference w:id="574"/>
      </w:r>
      <w:r>
        <w:rPr>
          <w:rFonts w:ascii="Amiri" w:hAnsi="Amiri" w:eastAsia="Amiri" w:cs="Amiri"/>
          <w:color w:val="111111"/>
          <w:sz w:val="28"/>
          <w:sz w:val="28"/>
          <w:szCs w:val="28"/>
          <w:rtl w:val="true"/>
          <w:lang w:bidi="ar-SA"/>
        </w:rPr>
        <w:t xml:space="preserve">في المقام بالعلوي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به لها ؛ فإنّ المسلمين عند شروطهم ، إلاّ شرطاً حرّم حلالاً ، أو أحلّ حراماً</w:t>
      </w:r>
      <w:r>
        <w:rPr>
          <w:rFonts w:eastAsia="Amiri" w:cs="Amiri" w:ascii="Amiri" w:hAnsi="Amiri"/>
          <w:color w:val="111111"/>
          <w:sz w:val="28"/>
          <w:szCs w:val="28"/>
          <w:rtl w:val="true"/>
          <w:lang w:bidi="ar-SA"/>
        </w:rPr>
        <w:t>»</w:t>
      </w:r>
      <w:r>
        <w:rPr>
          <w:rStyle w:val="FootnoteAnchor"/>
          <w:rtl w:val="true"/>
        </w:rPr>
        <w:footnoteReference w:id="575"/>
      </w:r>
      <w:r>
        <w:rPr>
          <w:rFonts w:ascii="Amiri" w:hAnsi="Amiri" w:eastAsia="Amiri" w:cs="Amiri"/>
          <w:color w:val="111111"/>
          <w:sz w:val="28"/>
          <w:sz w:val="28"/>
          <w:szCs w:val="28"/>
          <w:rtl w:val="true"/>
          <w:lang w:bidi="ar-SA"/>
        </w:rPr>
        <w:t xml:space="preserve">في غير محلّه ، ومخالف لعنوان البحث ، ولعدّه شرطاً مقابلاً لسائر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كلامه لا يخلو من تشويش واضطراب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الشرط جائز بين المسلمين ؛ ما لم يمنع منه كتاب أو سنّة</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فمع عدم حجّيتها ، لا يراد منها إلاّ ما في سائر الروايات</w:t>
      </w:r>
      <w:r>
        <w:rPr>
          <w:rStyle w:val="FootnoteAnchor"/>
          <w:rtl w:val="true"/>
        </w:rPr>
        <w:footnoteReference w:id="5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اعتبار أن لا يكون الملتزم محرّماً ، والأمر سهل </w:t>
      </w:r>
      <w:r>
        <w:rPr>
          <w:rFonts w:eastAsia="Amiri" w:cs="Amiri" w:ascii="Amiri" w:hAnsi="Amiri"/>
          <w:color w:val="111111"/>
          <w:sz w:val="28"/>
          <w:szCs w:val="28"/>
          <w:rtl w:val="true"/>
          <w:lang w:bidi="ar-SA"/>
        </w:rPr>
        <w:t xml:space="preserve">. </w:t>
      </w:r>
      <w:bookmarkStart w:id="367" w:name="pg15222_162374"/>
    </w:p>
    <w:p>
      <w:pPr>
        <w:pStyle w:val="Heading4"/>
        <w:numPr>
          <w:ilvl w:val="3"/>
          <w:numId w:val="1"/>
        </w:numPr>
        <w:rPr/>
      </w:pPr>
      <w:bookmarkStart w:id="368" w:name="__RefHeading___Toc3331774_2142443653"/>
      <w:bookmarkStart w:id="369" w:name="_Toc136"/>
      <w:bookmarkEnd w:id="367"/>
      <w:bookmarkEnd w:id="368"/>
      <w:r>
        <w:rPr>
          <w:rtl w:val="true"/>
        </w:rPr>
        <w:t xml:space="preserve">الثالث </w:t>
      </w:r>
      <w:r>
        <w:rPr>
          <w:rtl w:val="true"/>
        </w:rPr>
        <w:t xml:space="preserve">: </w:t>
      </w:r>
      <w:r>
        <w:rPr>
          <w:rtl w:val="true"/>
        </w:rPr>
        <w:t>أن يكون الاشتراط عقلائياً</w:t>
      </w:r>
      <w:bookmarkEnd w:id="369"/>
    </w:p>
    <w:p>
      <w:pPr>
        <w:pStyle w:val="BookText"/>
        <w:rPr/>
      </w:pPr>
      <w:r>
        <w:rPr>
          <w:rFonts w:ascii="Amiri" w:hAnsi="Amiri" w:eastAsia="Amiri" w:cs="Amiri"/>
          <w:color w:val="111111"/>
          <w:sz w:val="28"/>
          <w:sz w:val="28"/>
          <w:szCs w:val="28"/>
          <w:rtl w:val="true"/>
          <w:lang w:bidi="ar-SA"/>
        </w:rPr>
        <w:t xml:space="preserve">بمعنى أن لا يكون ملغىً عند العرف والعقلاء ، واعتباره بهذا المعنى لا إشكال فيه ؛ لأنّ الاشتراط غير العقلائي ، لا يكون مشمولاً للأدلّة الشرعية ، من أجل أ نّها في المعاملات ناظرة إلى ما لدى العقلاء ، ولا سيّما في باب الشرط ، حيث كان لسان الدليل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شروطهم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والمقصود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اشترطه المسلمون يجب عليهم الوفاء به ، ومن المعلوم أنّ المراد منهم هو الناس والعقلاء ، لا خصوص المسلمين ، فما هو ملغىً عند العرف ، لا تصحّ دعوى إطلاق الأدلّة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أفادوا في المراد بهذا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ذا فائدة معتدّ بها عند العقلاء ؛</w:t>
      </w:r>
    </w:p>
    <w:p>
      <w:pPr>
        <w:pStyle w:val="BookText"/>
        <w:rPr/>
      </w:pPr>
      <w:r>
        <w:rPr>
          <w:rFonts w:ascii="Amiri" w:hAnsi="Amiri" w:eastAsia="Amiri" w:cs="Amiri"/>
          <w:color w:val="111111"/>
          <w:sz w:val="28"/>
          <w:sz w:val="28"/>
          <w:szCs w:val="28"/>
          <w:rtl w:val="true"/>
          <w:lang w:bidi="ar-SA"/>
        </w:rPr>
        <w:t>بمعنى أنّ الملتزم لا بدّ وأن يكون ذا فائدة عقلائية ، وإلاّ يقع باطلاً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تأمّل وإشكال ؛ فإنّه ربّما يكون الشرط بالمعنى المصدري عقلائياً ؛ لأجل ترتّب الخيار على تخلّفه ، من غير أن تكون في البين فائدة اُخرى للشارط ، كاشتراط بيعه بالقيمة التي اشتراه بها ، بل اشتراط الأوصاف الحالية ، </w:t>
      </w:r>
    </w:p>
    <w:p>
      <w:pPr>
        <w:pStyle w:val="BookText"/>
        <w:rPr/>
      </w:pPr>
      <w:r>
        <w:rPr>
          <w:rFonts w:ascii="Amiri" w:hAnsi="Amiri" w:eastAsia="Amiri" w:cs="Amiri"/>
          <w:color w:val="111111"/>
          <w:sz w:val="28"/>
          <w:sz w:val="28"/>
          <w:szCs w:val="28"/>
          <w:rtl w:val="true"/>
          <w:lang w:bidi="ar-SA"/>
        </w:rPr>
        <w:t xml:space="preserve">ممّا لا فائدة له إلاّ الخيار عند التخلّف ؛ فإنّ أمرها دائر بين الوجود والعدم ، ولا يترتّب على الشرط شيء سوى الخيار ، ففي مثلها لا يعدّ الاشتراط لغواً وملغىً عرفاً ، بل يصحّ ويترتّب عليه الخيار عند التخلّف ، وهو أمر 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يقاس المقام بالبيع حيث لا تكون ماهيته إلاّ التبادل ، ولا يترتّب عليه أثر عقلائي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فائدة له ؛ إمّا أن يكون بنحو يكون اشتراطه عبثاً ولغواً ، فلا إشكال فيه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تكون له فائدة لا يعتني بها العقلاء في معاملاتهم ، فبطلانه هاهنا ممنوع ؛ لأنّ ثبوت الخيار عند التخلّف من الفوائد العقلائية ، واختصاص خيار التخلّف بالشرط الذي له فائدة معتدّ بها </w:t>
      </w:r>
      <w:r>
        <w:rPr>
          <w:rStyle w:val="FootnoteAnchor"/>
          <w:rtl w:val="true"/>
        </w:rPr>
        <w:footnoteReference w:id="580"/>
      </w:r>
      <w:r>
        <w:rPr>
          <w:rFonts w:ascii="IRNazanin" w:hAnsi="IRNazanin" w:eastAsia="IRNazanin"/>
          <w:color w:val="111111"/>
          <w:sz w:val="28"/>
          <w:sz w:val="28"/>
          <w:szCs w:val="28"/>
          <w:rtl w:val="true"/>
          <w:lang w:bidi="fa-IR"/>
        </w:rPr>
        <w:t xml:space="preserve">، ممنوع </w:t>
      </w:r>
      <w:r>
        <w:rPr>
          <w:rFonts w:eastAsia="IRNazanin" w:cs="IRNazanin"/>
          <w:color w:val="111111"/>
          <w:sz w:val="28"/>
          <w:szCs w:val="28"/>
          <w:rtl w:val="true"/>
          <w:lang w:bidi="fa-IR"/>
        </w:rPr>
        <w:t xml:space="preserve">. </w:t>
      </w:r>
      <w:bookmarkStart w:id="370" w:name="pg15222_162376"/>
    </w:p>
    <w:p>
      <w:pPr>
        <w:pStyle w:val="Heading4"/>
        <w:numPr>
          <w:ilvl w:val="3"/>
          <w:numId w:val="1"/>
        </w:numPr>
        <w:rPr/>
      </w:pPr>
      <w:bookmarkStart w:id="371" w:name="__RefHeading___Toc3331776_2142443653"/>
      <w:bookmarkStart w:id="372" w:name="_Toc137"/>
      <w:bookmarkEnd w:id="370"/>
      <w:bookmarkEnd w:id="371"/>
      <w:r>
        <w:rPr>
          <w:rtl w:val="true"/>
        </w:rPr>
        <w:t xml:space="preserve">الرابع </w:t>
      </w:r>
      <w:r>
        <w:rPr>
          <w:rtl w:val="true"/>
        </w:rPr>
        <w:t xml:space="preserve">: </w:t>
      </w:r>
      <w:r>
        <w:rPr>
          <w:rtl w:val="true"/>
        </w:rPr>
        <w:t>أن لا يكون مخالفاً للكتاب والسنّة</w:t>
      </w:r>
      <w:bookmarkEnd w:id="372"/>
    </w:p>
    <w:p>
      <w:pPr>
        <w:pStyle w:val="Heading5"/>
        <w:numPr>
          <w:ilvl w:val="4"/>
          <w:numId w:val="1"/>
        </w:numPr>
        <w:rPr/>
      </w:pPr>
      <w:bookmarkStart w:id="373" w:name="__RefHeading___Toc3331778_2142443653"/>
      <w:bookmarkStart w:id="374" w:name="_Toc138"/>
      <w:bookmarkEnd w:id="373"/>
      <w:r>
        <w:rPr>
          <w:rtl w:val="true"/>
        </w:rPr>
        <w:t>أدلّة بطلان الشرط المخالف للكتاب</w:t>
      </w:r>
      <w:bookmarkEnd w:id="374"/>
    </w:p>
    <w:p>
      <w:pPr>
        <w:pStyle w:val="BookText"/>
        <w:rPr/>
      </w:pPr>
      <w:r>
        <w:rPr>
          <w:rFonts w:ascii="Amiri" w:hAnsi="Amiri" w:eastAsia="Amiri" w:cs="Amiri"/>
          <w:color w:val="111111"/>
          <w:sz w:val="28"/>
          <w:sz w:val="28"/>
          <w:szCs w:val="28"/>
          <w:rtl w:val="true"/>
          <w:lang w:bidi="ar-SA"/>
        </w:rPr>
        <w:t xml:space="preserve">أمّا المخالف للكتاب ، فممّا لا ريب في بطلانه ولغويته شرعاً ، كما تدلّ عليه الروايات المستفيضة وفيها الصحيحة والموثّقة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خالف كتاب اللّه فهو ردّ</w:t>
      </w:r>
      <w:r>
        <w:rPr>
          <w:rFonts w:eastAsia="Amiri" w:cs="Amiri" w:ascii="Amiri" w:hAnsi="Amiri"/>
          <w:color w:val="111111"/>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أي مردود كما في نسخة</w:t>
      </w:r>
      <w:r>
        <w:rPr>
          <w:rStyle w:val="FootnoteAnchor"/>
          <w:rtl w:val="true"/>
        </w:rPr>
        <w:footnoteReference w:id="582"/>
      </w:r>
      <w:r>
        <w:rPr>
          <w:rFonts w:ascii="Amiri" w:hAnsi="Amiri" w:eastAsia="Amiri" w:cs="Amiri"/>
          <w:color w:val="111111"/>
          <w:sz w:val="28"/>
          <w:sz w:val="28"/>
          <w:szCs w:val="28"/>
          <w:rtl w:val="true"/>
          <w:lang w:bidi="ar-SA"/>
        </w:rPr>
        <w:t>، وسيأتي التعرّض لتلك الروايات مع بعض روايات اُخر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3331780_2142443653"/>
      <w:bookmarkStart w:id="376" w:name="_Toc139"/>
      <w:bookmarkEnd w:id="375"/>
      <w:r>
        <w:rPr>
          <w:rtl w:val="true"/>
        </w:rPr>
        <w:t>أدلّة بطلان الشرط المخالف للسنّة</w:t>
      </w:r>
      <w:bookmarkEnd w:id="376"/>
    </w:p>
    <w:p>
      <w:pPr>
        <w:pStyle w:val="BookText"/>
        <w:rPr/>
      </w:pPr>
      <w:r>
        <w:rPr>
          <w:rFonts w:ascii="Amiri" w:hAnsi="Amiri" w:eastAsia="Amiri" w:cs="Amiri"/>
          <w:color w:val="111111"/>
          <w:sz w:val="28"/>
          <w:sz w:val="28"/>
          <w:szCs w:val="28"/>
          <w:rtl w:val="true"/>
          <w:lang w:bidi="ar-SA"/>
        </w:rPr>
        <w:t xml:space="preserve">وأمّا مخالف السنّة ، فيمكن أن يستدلّ على بطلانه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في محيط العقلاء ، وهو الذي تنظر إليه روايات الباب</w:t>
      </w:r>
      <w:r>
        <w:rPr>
          <w:rStyle w:val="FootnoteAnchor"/>
          <w:rtl w:val="true"/>
        </w:rPr>
        <w:footnoteReference w:id="584"/>
      </w:r>
      <w:r>
        <w:rPr>
          <w:rFonts w:ascii="Amiri" w:hAnsi="Amiri" w:eastAsia="Amiri" w:cs="Amiri"/>
          <w:color w:val="111111"/>
          <w:sz w:val="28"/>
          <w:sz w:val="28"/>
          <w:szCs w:val="28"/>
          <w:rtl w:val="true"/>
          <w:lang w:bidi="ar-SA"/>
        </w:rPr>
        <w:t xml:space="preserve">، إنّما يكون نافذاً وعقلائياً ، فيما إذا كان للمشروط عليه سلطنة عليه ، ولم يكن ذلك موجباً للتصرّف في سلطان الغير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لا يكون شرط غصب مال الغير أو جرحه والجناية عليه ، من الشروط العقلائية النافذة ، ومن هذا القبيل الشروط التي توجب نقض القوانين ، ولا سيّما </w:t>
      </w:r>
    </w:p>
    <w:p>
      <w:pPr>
        <w:pStyle w:val="BookText"/>
        <w:rPr/>
      </w:pPr>
      <w:r>
        <w:rPr>
          <w:rFonts w:ascii="Amiri" w:hAnsi="Amiri" w:eastAsia="Amiri" w:cs="Amiri"/>
          <w:color w:val="111111"/>
          <w:sz w:val="28"/>
          <w:sz w:val="28"/>
          <w:szCs w:val="28"/>
          <w:rtl w:val="true"/>
          <w:lang w:bidi="ar-SA"/>
        </w:rPr>
        <w:t xml:space="preserve">الإلهية ؛ فإنّ اشتراط مخالفتها ونقضها ، نحو تجاوز في سلطان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فاشتراط السرقة ، والقمار ، وشرب الخمر ، وترك الحجّ ، وترك إتيان الزكاة ، وأمثالها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تعدّ نقضاً للقوانين الشرعية ، وتجاوزاً في سلطان الغير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عقلائي ، لا بمعنى كونه سفهياً ، بل بمعنى آخر ، حتّى لو لم تكن في الباب تلك الروايات التي استثنيت فيها مخالفة الكتاب ، لما فهم العرف أيضاً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585"/>
      </w:r>
      <w:r>
        <w:rPr>
          <w:rFonts w:ascii="Amiri" w:hAnsi="Amiri" w:eastAsia="Amiri" w:cs="Amiri"/>
          <w:color w:val="111111"/>
          <w:sz w:val="28"/>
          <w:sz w:val="28"/>
          <w:szCs w:val="28"/>
          <w:rtl w:val="true"/>
          <w:lang w:bidi="ar-SA"/>
        </w:rPr>
        <w:t xml:space="preserve">تجويز التجاوز في سلطان الغير ، ونقض الأحكام الشرعية ، ومخالفة الحدود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أدلّة النفوذ منصرفة عن مثل ذلك ، ولم يثبت بناء العقلاء على العمل بالشرط الموجب لمخالفة الحكم العرفي أو الشرعي ، وعليه فتكون مخالفة السنّة والحكم الشرعي ، كمخالفة الكتاب في بطلان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الغضّ عن الروايات المشتملة على استثناء مخالفة الكتاب ، وسيأتي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إلغاء الخصوصية عن الروايات الواردة في مخالفة الكتاب</w:t>
      </w:r>
      <w:r>
        <w:rPr>
          <w:rStyle w:val="FootnoteAnchor"/>
          <w:rtl w:val="true"/>
        </w:rPr>
        <w:footnoteReference w:id="586"/>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للكتاب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كلام اللّه تعالى ، وأ نّه نزل به الروح الأمين ، وأ نّه إعجاز ، وأ نّه كتاب المسلمين ، يجب عليهم الإيمان به ، وأنّه مشتمل على أحكام اللّه تعالى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وتلك الخصوصيات سوى الأخير منها ، لا دخالة لها بنظر العرف في بطلان </w:t>
      </w:r>
    </w:p>
    <w:p>
      <w:pPr>
        <w:pStyle w:val="BookText"/>
        <w:rPr/>
      </w:pPr>
      <w:r>
        <w:rPr>
          <w:rFonts w:ascii="Amiri" w:hAnsi="Amiri" w:eastAsia="Amiri" w:cs="Amiri"/>
          <w:color w:val="111111"/>
          <w:sz w:val="28"/>
          <w:sz w:val="28"/>
          <w:szCs w:val="28"/>
          <w:rtl w:val="true"/>
          <w:lang w:bidi="ar-SA"/>
        </w:rPr>
        <w:t xml:space="preserve">الاشتراط ، فتمام الموضوع لذلك ، هو كونه مخالفاً للحكم الإلهي ، وعليه يكون الميزان هو المخالفة لحكم اللّه ، فخصوصية الكتاب غير دخيلة ، بل الحكم ثابت لمخالف السنّة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لا يخلو من نظر ، وإن كان لا يخلو من جودة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الروايات ، كلّ ما كتب اللّه على عباده ولو على قلب نبيّه وحياً أو إلهاماً ، فالمراد كتابه التشريعي ، في قبال كتابه التكويني</w:t>
      </w:r>
      <w:r>
        <w:rPr>
          <w:rStyle w:val="FootnoteAnchor"/>
          <w:rtl w:val="true"/>
        </w:rPr>
        <w:footnoteReference w:id="58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 ما أفاد ، فهو بالعرفان أشبه من الفقه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المستفاد من الرواية التي وردت من طرق العامّة</w:t>
      </w:r>
      <w:r>
        <w:rPr>
          <w:rStyle w:val="FootnoteAnchor"/>
          <w:rtl w:val="true"/>
        </w:rPr>
        <w:footnoteReference w:id="588"/>
      </w:r>
      <w:r>
        <w:rPr>
          <w:rFonts w:ascii="IRNazanin" w:hAnsi="IRNazanin" w:eastAsia="IRNazanin"/>
          <w:color w:val="111111"/>
          <w:sz w:val="28"/>
          <w:sz w:val="28"/>
          <w:szCs w:val="28"/>
          <w:rtl w:val="true"/>
          <w:lang w:bidi="fa-IR"/>
        </w:rPr>
        <w:t xml:space="preserve">، هو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كتبه اللّه على عباده من أحكام الدين ، وإن بيّنه على لسان رسوله صلی الله علیه و آله وسلم ، فاشتراط ولاء المملوك لبائعه ، إنّما جعل في النبوي مخالفاً لكتاب اللّه ، بهذا المعنى</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الرواية غير المعتمدة ، لا يصحّ أن تجعل قرينة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تذكر في تلك الرواية مخالفة الكتاب باللفظ الذي نقله عن الشيخ</w:t>
      </w:r>
      <w:r>
        <w:rPr>
          <w:rStyle w:val="FootnoteAnchor"/>
          <w:rtl w:val="true"/>
        </w:rPr>
        <w:footnoteReference w:id="590"/>
      </w:r>
      <w:r>
        <w:rPr>
          <w:rFonts w:ascii="Amiri" w:hAnsi="Amiri" w:eastAsia="Amiri" w:cs="Amiri"/>
          <w:color w:val="111111"/>
          <w:sz w:val="28"/>
          <w:sz w:val="28"/>
          <w:szCs w:val="28"/>
          <w:rtl w:val="true"/>
          <w:lang w:bidi="ar-SA"/>
        </w:rPr>
        <w:t>، والعلاّمة</w:t>
      </w:r>
      <w:r>
        <w:rPr>
          <w:rStyle w:val="FootnoteAnchor"/>
          <w:rtl w:val="true"/>
        </w:rPr>
        <w:footnoteReference w:id="591"/>
      </w:r>
      <w:r>
        <w:rPr>
          <w:rFonts w:ascii="Amiri" w:hAnsi="Amiri" w:eastAsia="Amiri" w:cs="Amiri"/>
          <w:color w:val="111111"/>
          <w:sz w:val="28"/>
          <w:sz w:val="28"/>
          <w:szCs w:val="28"/>
          <w:rtl w:val="true"/>
          <w:lang w:bidi="ar-SA"/>
        </w:rPr>
        <w:t xml:space="preserve">، وإنّما الموجود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بال أقوام يشترطون شروطاً ليست في كتاب اللّه ، فما كان من شرط ليس في كتاب اللّه عزّ وجلّ ، فهو باطل ، </w:t>
      </w:r>
    </w:p>
    <w:p>
      <w:pPr>
        <w:pStyle w:val="BookText"/>
        <w:rPr/>
      </w:pPr>
      <w:r>
        <w:rPr>
          <w:rFonts w:ascii="IRNazanin" w:hAnsi="IRNazanin" w:eastAsia="IRNazanin"/>
          <w:color w:val="111111"/>
          <w:sz w:val="28"/>
          <w:sz w:val="28"/>
          <w:szCs w:val="28"/>
          <w:rtl w:val="true"/>
          <w:lang w:bidi="fa-IR"/>
        </w:rPr>
        <w:t>قضاء اللّه أحقّ ، وشرطه أوثق ، والولاء لمن أعتق</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شرط ليس في كتاب اللّه ، فهو باطل ، والولاء للبائع ليس فيه ، فشرطه باطل لذلك ، لا بما أ نّه شرط مخالف لكتابه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 لولا ضعفها سنداً ، لأمكنت استفادة بطلان الشرط المخالف للسنّة وللحكم الشرعي مطلقاً ،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اللّه أحقّ ، وشرطه 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بمنزلة كبرى كلّية ، يستفاد منها أنّ كلّ شرط يخالف حكم اللّه ، فهو 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الرواية المشتملة على قصّة بريرة 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القوم يشترطون شروطاً ليست في كتاب اللّه ، يبيع أحدهم الرقبة ، ويشترط الولاء ، والولاء لمن أعتق ، وشرط اللّه آكد ، وكلّ شرط خالف كتاب اللّه فهو ردّ</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أولى بما رامه الشيخ الأعظم قدّس سرّه من تلك الرواية ، وإن كان في استفادته منها أيضاً إشكال ؛ لأنّ صدرها يدلّ على أنّ شرط ولاء البائع ، حيث لا يكون في كتاب اللّه ، باطل ، فالبطلان مستند إلى ذلك ، لا إلى مخالفة حكم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كلام مستأنف ، فكأ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الشرط باطل ؛ لأ نّه ليس في كتاب اللّه ، وإنّ الولاء لمن أعتق بحسب حكم اللّه وإن لم يكن في كتابه</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يستفاد منها أنّ شرط اللّه وحكمه ، مقدّم على شروط العباد ، لكنّ السند غير معتمد ، مع إرسالها أيضاً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الروايات المذكورة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كصحيحة محمّد بن قيس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علي علیه السلام في رجل تزوّج امرأة وأصدقها ، واشترطت أنّ بيدها الجماع والطلاق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وولّيت الحقّ من ليس بأهله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فقضى علي علیه السلام أنّ على الرجل النفقة ، وبيده الجماع والطلاق</w:t>
      </w:r>
      <w:r>
        <w:rPr>
          <w:rFonts w:eastAsia="IRNazanin" w:cs="IRNazanin"/>
          <w:color w:val="111111"/>
          <w:sz w:val="28"/>
          <w:szCs w:val="28"/>
          <w:rtl w:val="true"/>
          <w:lang w:bidi="fa-IR"/>
        </w:rPr>
        <w:t>»</w:t>
      </w:r>
      <w:r>
        <w:rPr>
          <w:rStyle w:val="FootnoteAnchor"/>
          <w:rtl w:val="true"/>
        </w:rPr>
        <w:footnoteReference w:id="593"/>
      </w:r>
      <w:r>
        <w:rPr>
          <w:rFonts w:ascii="Amiri" w:hAnsi="Amiri" w:eastAsia="Amiri" w:cs="Amiri"/>
          <w:color w:val="111111"/>
          <w:sz w:val="28"/>
          <w:sz w:val="28"/>
          <w:szCs w:val="28"/>
          <w:rtl w:val="true"/>
          <w:lang w:bidi="ar-SA"/>
        </w:rPr>
        <w:t>، وقريب منها مرسلة ابن فضّال</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وكمرسلة مروان بن مسلم ، عن أبي عبداللّه علیه السلام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رجل جعل أمر امرأته بيدها ؟</w:t>
      </w:r>
    </w:p>
    <w:p>
      <w:pPr>
        <w:pStyle w:val="BookText"/>
        <w:rPr/>
      </w:pPr>
      <w:r>
        <w:rPr>
          <w:rFonts w:ascii="Amiri" w:hAnsi="Amiri" w:eastAsia="Amiri" w:cs="Amiri"/>
          <w:color w:val="111111"/>
          <w:sz w:val="28"/>
          <w:sz w:val="28"/>
          <w:szCs w:val="28"/>
          <w:rtl w:val="true"/>
          <w:lang w:bidi="ar-SA"/>
        </w:rPr>
        <w:t xml:space="preserve">قال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الأمر من ليس أهله ، وخالف السنّة ، ولم يجز النكاح</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بها للمقصود باعتبار التعليل بمخالفة السنّة ، غير وجيه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تكون مقابل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معروفة في عصر </w:t>
      </w:r>
    </w:p>
    <w:p>
      <w:pPr>
        <w:pStyle w:val="BookText"/>
        <w:rPr/>
      </w:pPr>
      <w:r>
        <w:rPr>
          <w:rFonts w:ascii="IRNazanin" w:hAnsi="IRNazanin" w:eastAsia="IRNazanin"/>
          <w:color w:val="111111"/>
          <w:sz w:val="28"/>
          <w:sz w:val="28"/>
          <w:szCs w:val="28"/>
          <w:rtl w:val="true"/>
          <w:lang w:bidi="fa-IR"/>
        </w:rPr>
        <w:t xml:space="preserve">الأئمّة علیهم السلام ، لكنّها يراد بها الحكم الذي لم يذكر إلاّ بلسان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الأحكام المذكورة في الكتاب ، فإطلاق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باعتبار أنّها سنّة اللّه ، لا سنّة النبي صلی الله علیه و آله وسلم المصطلحة ، وحيث إنّ الأحكام المذكورة في تلك الروايات ، كلّها مذكورة في الكتاب المجيد ، كان الحكم على شرط خلافها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 نّه خلاف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أ نّها سنّة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وعليه فمفادها من هذه الجهة ، كمفاد ما دلّت على البطلان لمخالفة الكتاب ، ولهذا تمسّك بحكم الكتاب في رواية اُخرى ، سئل فيها بعين ما سئل في رواية مروان ، وهي رواية إبراهيم بن محرز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أبا جعفر علیه السلام رجل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أمرك بيدك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نّى يكون هذا،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 ليس هذا بشيء</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يمكن الاستدلال بها بنحو آخر ، إمّا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المصطلحة ، بل هي محمولة على المعنى اللغوي ، وهو حكم اللّه وشريعته مطلقاً ، سواء كان مذكوراً في الكتاب ، أو بلسان النبي صلی الله علیه و آله وسلم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يستفاد من تعليله علیه السلام البطلان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الأمر من ليس بأهله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العلّة هي مخالفة حكم اللّه وشريعته مطلقاً ، ولو كان للكتاب خصوصية ، لم يحسن ذلك التعليل </w:t>
      </w:r>
      <w:r>
        <w:rPr>
          <w:rFonts w:eastAsia="IRNazanin" w:cs="IRNazanin"/>
          <w:color w:val="111111"/>
          <w:sz w:val="28"/>
          <w:szCs w:val="28"/>
          <w:rtl w:val="true"/>
          <w:lang w:bidi="fa-IR"/>
        </w:rPr>
        <w:t xml:space="preserve">. </w:t>
      </w:r>
      <w:bookmarkStart w:id="377" w:name="pg15222_162382"/>
    </w:p>
    <w:p>
      <w:pPr>
        <w:pStyle w:val="BookText"/>
        <w:rPr/>
      </w:pPr>
      <w:bookmarkEnd w:id="377"/>
      <w:r>
        <w:rPr>
          <w:rFonts w:ascii="IRNazanin" w:hAnsi="IRNazanin" w:eastAsia="IRNazanin"/>
          <w:color w:val="111111"/>
          <w:sz w:val="28"/>
          <w:sz w:val="28"/>
          <w:szCs w:val="28"/>
          <w:rtl w:val="true"/>
          <w:lang w:bidi="fa-IR"/>
        </w:rPr>
        <w:t xml:space="preserve">ومن هذا البيان ظهر ، إمكان التمسّك لبطلان ما خالف حكم اللّه مطلقاً بموثّقة محمّد بن قيس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تزوّج امرأة ، وشرط لها إن هو تزوّج عليها امرأة ، أو هجرها ، أو اتّخذ عليها سريّة ، فهي طالق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فقضى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شرط اللّه قبل شرطكم </w:t>
      </w:r>
      <w:r>
        <w:rPr>
          <w:rFonts w:eastAsia="Amiri" w:cs="Amiri" w:ascii="Amiri" w:hAnsi="Amiri"/>
          <w:color w:val="111111"/>
          <w:sz w:val="28"/>
          <w:szCs w:val="28"/>
          <w:rtl w:val="true"/>
          <w:lang w:bidi="ar-SA"/>
        </w:rPr>
        <w:t>. . .»</w:t>
      </w:r>
      <w:r>
        <w:rPr>
          <w:rStyle w:val="FootnoteAnchor"/>
          <w:rtl w:val="true"/>
        </w:rPr>
        <w:footnoteReference w:id="598"/>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التعليل بذلك دالّ على أنّ مخالفة حكم اللّه ، هي الموجبة للبطلان ، لا مخالفة خصوص كتابه ، والرواية وإن اشتملت على نحو تقيّة ، لكن الاستدلال ليس على نحو التقيّة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ثابت لمخالفة السنّة ، كما هو ثابت لمخالفة الكتاب ، كما في 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الشرط جائز بين المسلمين ما لم يمنع منه كتاب أو سنّة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3331782_2142443653"/>
      <w:bookmarkStart w:id="379" w:name="_Toc140"/>
      <w:bookmarkEnd w:id="378"/>
      <w:r>
        <w:rPr>
          <w:rtl w:val="true"/>
        </w:rPr>
        <w:t>هل موافقة الكتاب شرط أو مخالفته مانعة؟</w:t>
      </w:r>
      <w:bookmarkEnd w:id="379"/>
    </w:p>
    <w:p>
      <w:pPr>
        <w:pStyle w:val="BookText"/>
        <w:rPr/>
      </w:pPr>
      <w:r>
        <w:rPr>
          <w:rFonts w:ascii="IRNazanin" w:hAnsi="IRNazanin" w:eastAsia="IRNazanin"/>
          <w:color w:val="111111"/>
          <w:sz w:val="28"/>
          <w:sz w:val="28"/>
          <w:szCs w:val="28"/>
          <w:rtl w:val="true"/>
          <w:lang w:bidi="fa-IR"/>
        </w:rPr>
        <w:t xml:space="preserve">ثمّ إنّ مقتضى بعض الروايات ، اعتبار موافقة الشرط للكتاب ، كصحيحة عبداللّه بن سنان ، عن أبي عبداللّه علیه السلام قال سمعته يقول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مخالفاً لكتاب اللّه ، فلا يجوز له ، ولا يجوز على الذي اشترط عليه ، والمسلمون عند شروطهم فيما وافق كتاب اللّه عزّ وجلّ</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وصحيحة الحلبي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سئل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تزوّجت عليك ، أو بتّ عنك ، فأنت طالق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لامرأته شرطاً سوى كتاب اللّه تعالى ، لم يجز ذلك عليه ، ولا له</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ويتفرّع على هذا ، أ نّه لو شرط شرطاً ليس في كتاب اللّه ، كان باطلاً من أجل فقد الموافقة ، ويؤيّد ذلك 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أرادت عائشة أن تشتري بريرة ، فاشترط مواليها عليها ولاءها ، فاشترتها منهم على ذلك الشرط ، فبلغ ذلك رسول اللّه صلی الله علیه و آله وسلم ، فصعد المنبر ، فحمد اللّه ، وأثنى عليه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قوم يشترطون شروطاً ليست في كتاب اللّه ، يبيع أحدكم الرقبة ، ويشترط الولاء ، والولاء لمن أعتق وشرط اللّه آكد ، وكلّ شرط خالف كتاب اللّه فهو ردّ؟</w:t>
      </w:r>
      <w:r>
        <w:rPr>
          <w:rFonts w:eastAsia="IRNazanin" w:cs="IRNazanin"/>
          <w:color w:val="111111"/>
          <w:sz w:val="28"/>
          <w:szCs w:val="28"/>
          <w:rtl w:val="true"/>
          <w:lang w:bidi="fa-IR"/>
        </w:rPr>
        <w:t>!...»</w:t>
      </w:r>
      <w:r>
        <w:rPr>
          <w:rStyle w:val="FootnoteAnchor"/>
          <w:rtl w:val="true"/>
        </w:rPr>
        <w:footnoteReference w:id="602"/>
      </w:r>
      <w:r>
        <w:rPr>
          <w:rFonts w:ascii="Amiri" w:hAnsi="Amiri" w:eastAsia="Amiri" w:cs="Amiri"/>
          <w:color w:val="111111"/>
          <w:sz w:val="28"/>
          <w:sz w:val="28"/>
          <w:szCs w:val="28"/>
          <w:rtl w:val="true"/>
          <w:lang w:bidi="ar-SA"/>
        </w:rPr>
        <w:t>إلى آخرها، وقريب منها ما عن طرق العامّة في القضيّة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ومقتضى بعض الروايات ، أنّ مخالفة الكتاب هي الموجبة للبطلان ، كصحيحة عبداللّه بن سنان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إلاّ كلّ شرط خالف كتاب اللّه عزّ وجلّ ، فلا يجوز</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الأخبار الدالّة على بطلان الشرط المخالف للكتاب ، أنّ المخالفة له مانعة عن صحّة الشرط ، وأنّ البطلان لأجل مزاحمة الكتاب ، لا لاعتبار عدم كونه مخالفاً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 ذلك قوله في صحيحة محمّد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شرط اللّه قبل شرطكم</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شرط اللّه آكد</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قضاء اللّه أحقّ ، وشرطه أوثق</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يدلّ دليل على اشتراط صحّة الشرط بعدم المخالفة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وقع 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 عدم المخالفة من الشروط</w:t>
      </w:r>
      <w:r>
        <w:rPr>
          <w:rStyle w:val="FootnoteAnchor"/>
          <w:rtl w:val="true"/>
        </w:rPr>
        <w:footnoteReference w:id="608"/>
      </w:r>
      <w:r>
        <w:rPr>
          <w:rFonts w:ascii="Amiri" w:hAnsi="Amiri" w:eastAsia="Amiri" w:cs="Amiri"/>
          <w:color w:val="111111"/>
          <w:sz w:val="28"/>
          <w:sz w:val="28"/>
          <w:szCs w:val="28"/>
          <w:rtl w:val="true"/>
          <w:lang w:bidi="ar-SA"/>
        </w:rPr>
        <w:t>، ولم يستند إلى مستند إلاّ دعوى بعض المتأخّرين في غير المقام ؛ بأنّ ما دلّ بظاهره على مانعية الوجود ، لا بدّ من إرجاعه إلى شرطية العدم ، بتخيّل أنّ المانعية غير ممكنة الجعل</w:t>
      </w:r>
      <w:r>
        <w:rPr>
          <w:rStyle w:val="FootnoteAnchor"/>
          <w:rtl w:val="true"/>
        </w:rPr>
        <w:footnoteReference w:id="609"/>
      </w:r>
      <w:r>
        <w:rPr>
          <w:rFonts w:ascii="Amiri" w:hAnsi="Amiri" w:eastAsia="Amiri" w:cs="Amiri"/>
          <w:color w:val="111111"/>
          <w:sz w:val="28"/>
          <w:sz w:val="28"/>
          <w:szCs w:val="28"/>
          <w:rtl w:val="true"/>
          <w:lang w:bidi="ar-SA"/>
        </w:rPr>
        <w:t>، أو أ نّه مع عدم الاشتراط ، لا يعقل عدم الصحّة ، والوجهان غير مرضيّين على ما ثبت في محلّه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وحينئذٍ يدور الأمر بحسب الواقع ، بين شرطية موافقة الكتاب ، أو مانعية مخالفته ، ولا يعقل الجمع بينهما ؛ لأ نّه مع اشتراط الموافقة ، يستند البطلان إلى فقد الشرط ، لا وجود المانع ، مع أنّ جعل المانعية لغو بعد جعل الشرط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الأدلّة في مانعية المخالفة أقوى ، بل ظهور ما يتوهّم دلالتها على شرطية الموافقة 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ابن سنان</w:t>
      </w:r>
      <w:r>
        <w:rPr>
          <w:rStyle w:val="FootnoteAnchor"/>
          <w:rtl w:val="true"/>
        </w:rPr>
        <w:footnoteReference w:id="611"/>
      </w:r>
      <w:r>
        <w:rPr>
          <w:rFonts w:ascii="Amiri" w:hAnsi="Amiri" w:eastAsia="Amiri" w:cs="Amiri"/>
          <w:color w:val="111111"/>
          <w:sz w:val="28"/>
          <w:sz w:val="28"/>
          <w:szCs w:val="28"/>
          <w:rtl w:val="true"/>
          <w:lang w:bidi="ar-SA"/>
        </w:rPr>
        <w:t xml:space="preserve">فلأ نّها مع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صدرها ، وظهور الذيل في بيان الكبرى الكلّية المنطبقة على الصدر ، لا يبقى لها ظهور في اشتراط الموافقة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فيما وافق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 له ، ولا دلالة له على الحصر ، وإنّما يدلّ على أنّ الشرط الموافق للكتاب نافذ ، وهذا لا شبهة فيه ، وأمّا كون نفوذه لوجود الشرط أو لفقد المانع ، فلا دلالة فيه على شيء منها ، ولا سيّما مع التصدير بما ذكر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صحيحة الحلبي فيحتمل أن يكون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سوى كتاب اللّه</w:t>
      </w:r>
      <w:r>
        <w:rPr>
          <w:rFonts w:eastAsia="Amiri" w:cs="Amiri" w:ascii="Amiri" w:hAnsi="Amiri"/>
          <w:color w:val="111111"/>
          <w:sz w:val="28"/>
          <w:szCs w:val="28"/>
          <w:rtl w:val="true"/>
          <w:lang w:bidi="ar-SA"/>
        </w:rPr>
        <w:t>»</w:t>
      </w:r>
      <w:r>
        <w:rPr>
          <w:rStyle w:val="FootnoteAnchor"/>
          <w:rtl w:val="true"/>
        </w:rPr>
        <w:footnoteReference w:id="612"/>
      </w:r>
      <w:r>
        <w:rPr>
          <w:rFonts w:ascii="IRNazanin" w:hAnsi="IRNazanin" w:eastAsia="IRNazanin"/>
          <w:color w:val="111111"/>
          <w:sz w:val="28"/>
          <w:sz w:val="28"/>
          <w:szCs w:val="28"/>
          <w:rtl w:val="true"/>
          <w:lang w:bidi="fa-IR"/>
        </w:rPr>
        <w:t xml:space="preserve">هو مايقابله ويغايره ، ولا سيّما مع ما في السؤال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المخالفة لكتاب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اُشير إليه فيما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مسلم ، 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قضى أمير المؤمنين علیه السلام في امرأة تزوّجها رجل ، وشرط عليها وعلى أهلها إن تزوّج عليها ، أو هجرها ، أو أتى عليها سريّة ، فهي طالق</w:t>
      </w:r>
      <w:r>
        <w:rPr>
          <w:rFonts w:eastAsia="IRNazanin" w:cs="IRNazanin"/>
          <w:color w:val="111111"/>
          <w:sz w:val="28"/>
          <w:szCs w:val="28"/>
          <w:rtl w:val="true"/>
          <w:lang w:bidi="fa-IR"/>
        </w:rPr>
        <w:t>»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شرط اللّه قبل شرطكم ، إن شاء وفى بشرطه ، وإن شاء أمسك </w:t>
      </w:r>
      <w:bookmarkStart w:id="380" w:name="pg15222_162386"/>
    </w:p>
    <w:p>
      <w:pPr>
        <w:pStyle w:val="BookText"/>
        <w:rPr/>
      </w:pPr>
      <w:bookmarkEnd w:id="380"/>
      <w:r>
        <w:rPr>
          <w:rFonts w:ascii="Amiri" w:hAnsi="Amiri" w:eastAsia="Amiri" w:cs="Amiri"/>
          <w:color w:val="111111"/>
          <w:sz w:val="28"/>
          <w:sz w:val="28"/>
          <w:szCs w:val="28"/>
          <w:rtl w:val="true"/>
          <w:lang w:bidi="ar-SA"/>
        </w:rPr>
        <w:t xml:space="preserve">امرأته ، ونكح عليها ، وتسرّى ، وهجرها إن أتت بسبيل ذلك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 لنِّسَاءِ مَثْنَى وَثُلاَثَ</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وَاللاَّتِى تَخَافُونَ نُشُوزَهُنَّ</w:t>
      </w:r>
      <w:r>
        <w:rPr>
          <w:rFonts w:eastAsia="Amiri" w:cs="Amiri" w:ascii="Amiri" w:hAnsi="Amiri"/>
          <w:color w:val="111111"/>
          <w:sz w:val="28"/>
          <w:szCs w:val="28"/>
          <w:rtl w:val="true"/>
          <w:lang w:bidi="ar-SA"/>
        </w:rPr>
        <w:t>(</w:t>
      </w:r>
      <w:r>
        <w:rPr>
          <w:rStyle w:val="FootnoteAnchor"/>
          <w:rtl w:val="true"/>
        </w:rPr>
        <w:footnoteReference w:id="615"/>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ينبغي الإشكال في عدم اشتراط موافقة الكتاب ، بل إمّا المخالفة مانعة كما تقدّم</w:t>
      </w:r>
      <w:r>
        <w:rPr>
          <w:rStyle w:val="FootnoteAnchor"/>
          <w:rtl w:val="true"/>
        </w:rPr>
        <w:footnoteReference w:id="617"/>
      </w:r>
      <w:r>
        <w:rPr>
          <w:rFonts w:ascii="Amiri" w:hAnsi="Amiri" w:eastAsia="Amiri" w:cs="Amiri"/>
          <w:color w:val="111111"/>
          <w:sz w:val="28"/>
          <w:sz w:val="28"/>
          <w:szCs w:val="28"/>
          <w:rtl w:val="true"/>
          <w:lang w:bidi="ar-SA"/>
        </w:rPr>
        <w:t>، أو عدمها شرط ، كما ذكره غير واحد</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3331784_2142443653"/>
      <w:bookmarkStart w:id="382" w:name="_Toc141"/>
      <w:bookmarkEnd w:id="381"/>
      <w:r>
        <w:rPr>
          <w:rtl w:val="true"/>
        </w:rPr>
        <w:t>في التعارض بين صحيحة ابن سنان وموثّقة إسحاق</w:t>
      </w:r>
      <w:bookmarkEnd w:id="38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البدوي ، وقوع التعارض بين صحيحة ابن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كلّ شرط خالف كتاب اللّه</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وبين موثّقة إسحاق بن عمّار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المسلمين عند شروطهم ، إلاّ شرطاً حرّم حلالاً ، أو أحلّ حراماً</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ومختصر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 نّه يحتمل في الصحيحة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 على ما هو الظاهر منها 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المراد ما كتب اللّه على عباده ، على ما ادّعى بعضهم</w:t>
      </w:r>
      <w:r>
        <w:rPr>
          <w:rStyle w:val="FootnoteAnchor"/>
          <w:rtl w:val="true"/>
        </w:rPr>
        <w:footnoteReference w:id="622"/>
      </w:r>
      <w:r>
        <w:rPr>
          <w:rFonts w:ascii="Amiri" w:hAnsi="Amiri" w:eastAsia="Amiri" w:cs="Amiri"/>
          <w:color w:val="111111"/>
          <w:sz w:val="28"/>
          <w:sz w:val="28"/>
          <w:szCs w:val="28"/>
          <w:rtl w:val="true"/>
          <w:lang w:bidi="ar-SA"/>
        </w:rPr>
        <w:t xml:space="preserve">، أو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إلغاء الخصوصية ، ومن مناسبات الحكم والموضوع</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في الموثّقة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التكليفيّين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المراد مطلق المضيّ والممنوعية الأعمّ من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اُريد منهما المعنى الأعمّ ، فلا تعارض بينهما ؛ لتوافقهما في بطلان الشرط المخالف لمطلق حكم اللّه تعالى ، وإن اختلفا من بعض الجهات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 كلّ منهما المعنى الخاصّ ، تكون النسبة بينهما العموم من وجه ، فتتّفقان في الشرط المخالف للأحكام الوضعية الواردة في السنّة فقط ؛ لأ نّه مندرج في المستثنى منه من كلّ منهما ، لعدم كونه من الشرط المخالف لما في </w:t>
      </w:r>
    </w:p>
    <w:p>
      <w:pPr>
        <w:pStyle w:val="BookText"/>
        <w:rPr/>
      </w:pPr>
      <w:r>
        <w:rPr>
          <w:rFonts w:ascii="Amiri" w:hAnsi="Amiri" w:eastAsia="Amiri" w:cs="Amiri"/>
          <w:color w:val="111111"/>
          <w:sz w:val="28"/>
          <w:sz w:val="28"/>
          <w:szCs w:val="28"/>
          <w:rtl w:val="true"/>
          <w:lang w:bidi="ar-SA"/>
        </w:rPr>
        <w:t xml:space="preserve">القرآن ، ولا من المخالف للتكاليف ، فمقتضاهما جميعاً صحّة الشرط المخالف للحكم الوضعي الثابت بالسنّة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وتتعارضان في الشرط المخالف للحكم الوضعي الثابت بالكتاب ، وفي الشرط المخالف للحكم التكليفي الثابت بالسنّة فقط ؛ فإنّ مقتضى الصحيحة البطلان في الأوّل ، والصحّة في الثاني ، ومقتضى الموثّقة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إن قلنا بأنّ أدلّة العلاج جارية في التعارض بالعموم من وجه ، لا بدّ من العمل بها ، وإلاّ فالحكم هو تساقطهما ، والرجوع إلى عموم الكتاب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xml:space="preserve">إن قلنا بأ نّه شامل للشروط الداخلة فيها ، وإلاّ فيرجع إلى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احتمال آخر ، وهو الأخذ بكلتيهما ، واستثناء الشرط المخالف للكتاب ، والشرط المحرّم والمحلّل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حكمان متّفقا المضمون ، ولا تعارض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فمقتضى الصحيحة عدم نفوذ الشرط المخالف للكتاب ، ومقتضى الموثّقة عدم نفوذ الشرط المحرّم ، وعنوان الحصر ليس في الكلام حتّى يقال بالتعارض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دالّ على الحصر بعنوانه ، أو إنّه يفهم من المستثنى منه والمستثنى ، أنّ الشرط نافذ في غير المستثنى من المستثنى منه ، فهو قابل للتقييد ، فكلّ منهما يقيّد بالآخر ، وتصير النتيجة بطلان الشرط في الموردين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من الصحيحة المعنى الخاصّ ، ومن الموثّقة العامّ ، فيحتمل </w:t>
      </w:r>
    </w:p>
    <w:p>
      <w:pPr>
        <w:pStyle w:val="BookText"/>
        <w:rPr/>
      </w:pPr>
      <w:r>
        <w:rPr>
          <w:rFonts w:ascii="Amiri" w:hAnsi="Amiri" w:eastAsia="Amiri" w:cs="Amiri"/>
          <w:color w:val="111111"/>
          <w:sz w:val="28"/>
          <w:sz w:val="28"/>
          <w:szCs w:val="28"/>
          <w:rtl w:val="true"/>
          <w:lang w:bidi="ar-SA"/>
        </w:rPr>
        <w:t xml:space="preserve">تخصيص الثانية بالاُولى ، ويحتمل الأخذ بمضمونهما ؛ لكونهما متوافقتين ، ومنه يظهر حال عكس هذه الصورة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يسهّل الخطب ، أنّ الظاهر ولو بمعونة مناسبات الحكم والموضوع ، وسائر القرائن الواردة في الأخبار والارتكاز العقلائي ، هو المعنى العامّ في كلتيهما ، فلا تعارض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أمّا في الصحيحة فلما مرّ الكلام فيه</w:t>
      </w:r>
      <w:r>
        <w:rPr>
          <w:rStyle w:val="FootnoteAnchor"/>
          <w:rtl w:val="true"/>
        </w:rPr>
        <w:footnoteReference w:id="625"/>
      </w:r>
      <w:r>
        <w:rPr>
          <w:rFonts w:ascii="Amiri" w:hAnsi="Amiri" w:eastAsia="Amiri" w:cs="Amiri"/>
          <w:color w:val="111111"/>
          <w:sz w:val="28"/>
          <w:sz w:val="28"/>
          <w:szCs w:val="28"/>
          <w:rtl w:val="true"/>
          <w:lang w:bidi="ar-SA"/>
        </w:rPr>
        <w:t xml:space="preserve">، وأمّا في الموثّقة فلأ 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اشتراكها مع الصحيحة في بعض القرائن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للحلّ والحرمة فيها بحسب اللغة معنيان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 ، والوضعي ، بل هما بمعنى المنع ومقابله ، وكلّ منهما إذا نسب إلى ما له نفسية كالخمر والخلّ ، يفهم منه أ نّه في نفسه ممنوع ، أو غير ممنوع ، وما هو كذلك هو الحكم التكليفي ، وإذا نسبا إلى عنوان يترتّب عليه الأثر كالبيع ونحوه ، ينتزع منه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الجواز والوجوب ، والأمر والنهي ، فإنّ الأمر أيضاً ليس له معنيان ، بل وضع للبعث والإغراء ، فإذا تعلّق بمثل الصوم ونحوه ، ينتزع منه التكليف ، وإذا تعلّق بمثل الطهارة في الصلاة ، أو بالجزء في المركّب ونحوهما ، ينتزع منه الوضع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ولو بالمناسبات ، يفهم من الحرمة والحلّ ، المنع ومقابله ، من غير فرق بين التكليف والوضع ، فيعمّ الكلام جميع الأحكام الشرعية والوضعية والتكليفية </w:t>
      </w:r>
      <w:r>
        <w:rPr>
          <w:rFonts w:eastAsia="Amiri" w:cs="Amiri" w:ascii="Amiri" w:hAnsi="Amiri"/>
          <w:color w:val="111111"/>
          <w:sz w:val="28"/>
          <w:szCs w:val="28"/>
          <w:rtl w:val="true"/>
          <w:lang w:bidi="ar-SA"/>
        </w:rPr>
        <w:t xml:space="preserve">. </w:t>
      </w:r>
      <w:bookmarkStart w:id="383" w:name="pg15222_162390"/>
    </w:p>
    <w:p>
      <w:pPr>
        <w:pStyle w:val="BookText"/>
        <w:rPr/>
      </w:pPr>
      <w:bookmarkEnd w:id="383"/>
      <w:r>
        <w:rPr>
          <w:rFonts w:ascii="Amiri" w:hAnsi="Amiri" w:eastAsia="Amiri" w:cs="Amiri"/>
          <w:color w:val="111111"/>
          <w:sz w:val="28"/>
          <w:sz w:val="28"/>
          <w:szCs w:val="28"/>
          <w:rtl w:val="true"/>
          <w:lang w:bidi="ar-SA"/>
        </w:rPr>
        <w:t>ولو نوقش فيما ذكرناه ، فلا إشكال في أنّ مقتضى مجموع الروايات</w:t>
      </w:r>
      <w:r>
        <w:rPr>
          <w:rStyle w:val="FootnoteAnchor"/>
          <w:rtl w:val="true"/>
        </w:rPr>
        <w:footnoteReference w:id="626"/>
      </w:r>
      <w:r>
        <w:rPr>
          <w:rFonts w:ascii="Amiri" w:hAnsi="Amiri" w:eastAsia="Amiri" w:cs="Amiri"/>
          <w:color w:val="111111"/>
          <w:sz w:val="28"/>
          <w:sz w:val="28"/>
          <w:szCs w:val="28"/>
          <w:rtl w:val="true"/>
          <w:lang w:bidi="ar-SA"/>
        </w:rPr>
        <w:t xml:space="preserve"> هو ذلك ، فلا إشكال من هذه الناحية </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3331786_2142443653"/>
      <w:bookmarkStart w:id="385" w:name="_Toc142"/>
      <w:bookmarkEnd w:id="384"/>
      <w:r>
        <w:rPr>
          <w:rtl w:val="true"/>
        </w:rPr>
        <w:t>بيان معنى الشرط</w:t>
      </w:r>
      <w:bookmarkEnd w:id="385"/>
    </w:p>
    <w:p>
      <w:pPr>
        <w:pStyle w:val="BookText"/>
        <w:rPr/>
      </w:pPr>
      <w:r>
        <w:rPr>
          <w:rFonts w:ascii="Amiri" w:hAnsi="Amiri" w:eastAsia="Amiri" w:cs="Amiri"/>
          <w:color w:val="111111"/>
          <w:sz w:val="28"/>
          <w:sz w:val="28"/>
          <w:szCs w:val="28"/>
          <w:rtl w:val="true"/>
          <w:lang w:bidi="ar-SA"/>
        </w:rPr>
        <w:t xml:space="preserve">ثمّ إنّه قد مرّ عند الكلام في الشرط الثاني ، شطر من الكلام حول معنى الشرط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ماهية جامعة لجميع المصاديق المتعلّقة بالملتزمات والمشترطات المختلفة ، بل المتباينة أحياناً ، والاختلاف إنّما هو بين المتعلّقات لا بين ما تعلّق بها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فالشرط معنىً وحداني ؛ هو الالتزام في ضمن البيع ونحوه ، أو القرار كذلك ، وهو حقيقة في نفس الالتزام أو القرار ، منفكّاً عن الملتزمات ، وإلاّ لزم الاشتراك اللفظي بنحو بشع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خفاء في أنّ الشرط بمعناه الحقيقي منفكّاً عن المتعلّقات ، لا يكون له عمل حتّى يجب أو يحرم ، وليس له وفاء بذاته إلاّ بلحاظ المتعلّق ، ولا يخالف الكتاب ، ولا يوافقه ، بل تلك المعاني كلّها مربوطة بالملتزمات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القرائن قائمة على أنّ المراد منه في روايات الباب هو الملتزمات ، واستعمل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مجازاً ، وإرادة المعنى الحقيقي والمجازي وإن كانت </w:t>
      </w:r>
    </w:p>
    <w:p>
      <w:pPr>
        <w:pStyle w:val="BookText"/>
        <w:rPr/>
      </w:pPr>
      <w:r>
        <w:rPr>
          <w:rFonts w:ascii="Amiri" w:hAnsi="Amiri" w:eastAsia="Amiri" w:cs="Amiri"/>
          <w:color w:val="111111"/>
          <w:sz w:val="28"/>
          <w:sz w:val="28"/>
          <w:szCs w:val="28"/>
          <w:rtl w:val="true"/>
          <w:lang w:bidi="ar-SA"/>
        </w:rPr>
        <w:t>غير مستحيلة على التحقيق</w:t>
      </w:r>
      <w:r>
        <w:rPr>
          <w:rStyle w:val="FootnoteAnchor"/>
          <w:rtl w:val="true"/>
        </w:rPr>
        <w:footnoteReference w:id="628"/>
      </w:r>
      <w:r>
        <w:rPr>
          <w:rFonts w:ascii="Amiri" w:hAnsi="Amiri" w:eastAsia="Amiri" w:cs="Amiri"/>
          <w:color w:val="111111"/>
          <w:sz w:val="28"/>
          <w:sz w:val="28"/>
          <w:szCs w:val="28"/>
          <w:rtl w:val="true"/>
          <w:lang w:bidi="ar-SA"/>
        </w:rPr>
        <w:t xml:space="preserve">، لكن لا يحمل عليها إلاّ بدليل ،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الملتزم له ، لا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الشيخ الأعظم قدّس سرّه ، أنّ المتّصف بمخالفة الكتاب إمّا يكون نفس المشروط والملتزم ، وإمّا يكون التزامه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استشهد على عدم اختصاص ذلك بالملتزم ، واتّصاف الالتزام أيضاً بالمخالفة ، ببعض الروايات</w:t>
      </w:r>
      <w:r>
        <w:rPr>
          <w:rStyle w:val="FootnoteAnchor"/>
          <w:rtl w:val="true"/>
        </w:rPr>
        <w:footnoteReference w:id="629"/>
      </w:r>
      <w:r>
        <w:rPr>
          <w:rFonts w:ascii="Amiri" w:hAnsi="Amiri" w:eastAsia="Amiri" w:cs="Amiri"/>
          <w:color w:val="111111"/>
          <w:sz w:val="28"/>
          <w:sz w:val="28"/>
          <w:szCs w:val="28"/>
          <w:rtl w:val="true"/>
          <w:lang w:bidi="ar-SA"/>
        </w:rPr>
        <w:t xml:space="preserve">، ومن البعيد ذهابه إلى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من معنىً واحد ، فلعلّ نظره إلى أنّ الروايات على طائفتين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ظاهرة في مخالفة الملتزم ، كصحيحة ابن سنان</w:t>
      </w:r>
      <w:r>
        <w:rPr>
          <w:rStyle w:val="FootnoteAnchor"/>
          <w:rtl w:val="true"/>
        </w:rPr>
        <w:footnoteReference w:id="630"/>
      </w:r>
      <w:r>
        <w:rPr>
          <w:rFonts w:ascii="IRNazanin" w:hAnsi="IRNazanin" w:eastAsia="IRNazanin"/>
          <w:color w:val="111111"/>
          <w:sz w:val="28"/>
          <w:sz w:val="28"/>
          <w:szCs w:val="28"/>
          <w:rtl w:val="true"/>
          <w:lang w:bidi="fa-IR"/>
        </w:rPr>
        <w:t xml:space="preserve">ونحوها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ظاهرة أو صريحة أو كالصريحة في مخالفة نفس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الطائفة الثانية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العيّاشي</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 المتقدّمة الدالّة على كون اشتراط ترك التزوّج والتسرّي مخالفاً للكتاب ، مستشهداً عليه بما دلّ من الكتاب على إباحتها ، كالصريحة في هذا المعنى</w:t>
      </w:r>
      <w:r>
        <w:rPr>
          <w:rStyle w:val="FootnoteAnchor"/>
          <w:rtl w:val="true"/>
        </w:rPr>
        <w:footnoteReference w:id="63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عن إرسال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بقرينة الاستشهاد فيها بالآيات ، </w:t>
      </w:r>
    </w:p>
    <w:p>
      <w:pPr>
        <w:pStyle w:val="BookText"/>
        <w:rPr/>
      </w:pPr>
      <w:r>
        <w:rPr>
          <w:rFonts w:ascii="Amiri" w:hAnsi="Amiri" w:eastAsia="Amiri" w:cs="Amiri"/>
          <w:color w:val="111111"/>
          <w:sz w:val="28"/>
          <w:sz w:val="28"/>
          <w:szCs w:val="28"/>
          <w:rtl w:val="true"/>
          <w:lang w:bidi="ar-SA"/>
        </w:rPr>
        <w:t>كالصريحة في أنّ المراد مخالفة الشرط للحكم الشرعي ، وما هو كذلك هو الملتزم ، لا الالتزام كما مرّ</w:t>
      </w:r>
      <w:r>
        <w:rPr>
          <w:rStyle w:val="FootnoteAnchor"/>
          <w:rtl w:val="true"/>
        </w:rPr>
        <w:footnoteReference w:id="634"/>
      </w:r>
      <w:r>
        <w:rPr>
          <w:rFonts w:ascii="Amiri" w:hAnsi="Amiri" w:eastAsia="Amiri" w:cs="Amiri"/>
          <w:color w:val="111111"/>
          <w:sz w:val="28"/>
          <w:sz w:val="28"/>
          <w:szCs w:val="28"/>
          <w:rtl w:val="true"/>
          <w:lang w:bidi="ar-SA"/>
        </w:rPr>
        <w:t xml:space="preserve">، ولم يذكر في الرواية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يتوهّم منه ما رامه ، فما هو المخالف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 لْأَيَامَى</w:t>
      </w:r>
      <w:r>
        <w:rPr>
          <w:rFonts w:eastAsia="Amiri" w:cs="Amiri" w:ascii="Amiri" w:hAnsi="Amiri"/>
          <w:color w:val="111111"/>
          <w:sz w:val="28"/>
          <w:szCs w:val="28"/>
          <w:rtl w:val="true"/>
          <w:lang w:bidi="ar-SA"/>
        </w:rPr>
        <w:t>(</w:t>
      </w:r>
      <w:r>
        <w:rPr>
          <w:rStyle w:val="FootnoteAnchor"/>
          <w:rtl w:val="true"/>
        </w:rPr>
        <w:footnoteReference w:id="635"/>
      </w:r>
      <w:r>
        <w:rPr>
          <w:rFonts w:ascii="Amiri" w:hAnsi="Amiri" w:eastAsia="Amiri" w:cs="Amiri"/>
          <w:color w:val="111111"/>
          <w:sz w:val="28"/>
          <w:sz w:val="28"/>
          <w:szCs w:val="28"/>
          <w:rtl w:val="true"/>
          <w:lang w:bidi="ar-SA"/>
        </w:rPr>
        <w:t xml:space="preserve">هو الشرط بمعنى الملتزم ، لا نفس الالتزام ، وكذا سائر الفقرات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أنّ لازم ما ذكره رحمه الله علیه ، بطلان جميع الشروط ، سواء كانت متعلّقة بالمباحات أم بغيرها ، إلاّ مثل شرط إتيان الواجب ، أو ترك المحرّم ، وهو كما ترى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رواية إسحاق بن عمّار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قوله علیه السلام في رواية إسحاق بن عمّار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المسلمين عند شروطهم ، إلاّ شرطاً حرّم حلالاً ، أو أحلّ حراماً</w:t>
      </w:r>
      <w:r>
        <w:rPr>
          <w:rFonts w:eastAsia="IRNazanin" w:cs="IRNazanin"/>
          <w:color w:val="111111"/>
          <w:sz w:val="28"/>
          <w:szCs w:val="28"/>
          <w:rtl w:val="true"/>
          <w:lang w:bidi="fa-IR"/>
        </w:rPr>
        <w:t>»</w:t>
      </w:r>
      <w:r>
        <w:rPr>
          <w:rStyle w:val="FootnoteAnchor"/>
          <w:rtl w:val="true"/>
        </w:rPr>
        <w:footnoteReference w:id="636"/>
      </w:r>
      <w:r>
        <w:rPr>
          <w:rFonts w:ascii="Amiri" w:hAnsi="Amiri" w:eastAsia="Amiri" w:cs="Amiri"/>
          <w:color w:val="111111"/>
          <w:sz w:val="28"/>
          <w:sz w:val="28"/>
          <w:szCs w:val="28"/>
          <w:rtl w:val="true"/>
          <w:lang w:bidi="ar-SA"/>
        </w:rPr>
        <w:t>ظاهر بل صريح في فعل الشارط فإنّه الذي يرخّص باشتراطه الحرام الشرعي</w:t>
      </w:r>
      <w:r>
        <w:rPr>
          <w:rStyle w:val="FootnoteAnchor"/>
          <w:rtl w:val="true"/>
        </w:rPr>
        <w:footnoteReference w:id="63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صدر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لامرأته شرطا فليف لها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الملتزم ؛ أي من شرط شيئاً ، وذلك بقرينة تعلّق الشرط به ، وبقرينة الوفاء ؛ فإنّ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الإتيان بالشيء وافياً ، فمعنى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الإتيان بالملتزم وافياً ، ولا إشكال في أنّ الكبرى الكلّية المستشهد بها ، </w:t>
      </w:r>
    </w:p>
    <w:p>
      <w:pPr>
        <w:pStyle w:val="BookText"/>
        <w:rPr/>
      </w:pPr>
      <w:r>
        <w:rPr>
          <w:rFonts w:ascii="Amiri" w:hAnsi="Amiri" w:eastAsia="Amiri" w:cs="Amiri"/>
          <w:color w:val="111111"/>
          <w:sz w:val="28"/>
          <w:sz w:val="28"/>
          <w:szCs w:val="28"/>
          <w:rtl w:val="true"/>
          <w:lang w:bidi="ar-SA"/>
        </w:rPr>
        <w:t xml:space="preserve">لا بدّ وأن تنطبق على الصدر الذي هو الصغرى لها ، وعليه فلا مناص من أن يراد بها الملتزمات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ظهور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المسلمين عند شروطهم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الذي هو كناية عن وجوب العمل بالشرط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 إذ لا معنى لوجوب العمل إلاّ على طبق الملتزم ، فإنّ نفس الالتزام لا عمل له ، مع أنّ التحريم والتحليل في الرواية اُسندا إلى الشرط ، لا الشارط ، فلا محالة يكون بتأوّل ، فيمكن أن يكون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الملتزم ، فإنّ مفاده قد يكون محرّماً ومحلّلاً ، فإنّ الكلام يحلّل ويحرّم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كلّه مع أنّ الجمود على ظاهر الرواية يقتضي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استثناء ما يكون مفاده التحريم والتحليل بعنوانهما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شرطت أن يكون التزويج مثلاً محرّماً عليك ، ونكاح اُخت الزوجة محلّلاً لك ، وأنّ أمر المرأة بيدها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هو شائع بين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نظير ما في بعض الروايات في باب اليمين ، كرواية زرارة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لي عليه سلطان لأوجعت رأسه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أحلّها لك ، فما حرّمها عليك ؟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عليّ حرام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كفّارة ، ولا طلاق</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النَّبِىُّ لِمَ تُحَرِّمُ مَا أَحَلَّ ا للّه‌ُ لَكَ</w:t>
      </w:r>
      <w:r>
        <w:rPr>
          <w:rFonts w:eastAsia="Amiri" w:cs="Amiri" w:ascii="Amiri" w:hAnsi="Amiri"/>
          <w:color w:val="111111"/>
          <w:sz w:val="28"/>
          <w:szCs w:val="28"/>
          <w:rtl w:val="true"/>
          <w:lang w:bidi="ar-SA"/>
        </w:rPr>
        <w:t>)</w:t>
      </w:r>
      <w:r>
        <w:rPr>
          <w:rStyle w:val="FootnoteAnchor"/>
          <w:rtl w:val="true"/>
        </w:rPr>
        <w:footnoteReference w:id="64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حرّمها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مارية القبطية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وأصرح من ذلك كلّه ، المرسل المرويّ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الشرط جائز بين المسلمين ، ما لم يمنع منه كتاب أو سنّة</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الإرسال ، بل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من طرق غيرنا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لا ظهور لها فيما رامه ، فضلاً عن الصراحة والأصرحية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إلى الشرط ، فمعناه أنّ الاشتراط نافذ ما لم يمنع عنه كتاب أو سنّه ؛ بأن يرد نهي عن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لم يكن فيه إشكال ، لكنّه غير مربوط بما نحن بصدده ، بل أمر آخر زائد على ذلك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إلى الشرط بمعنى الملتزم ، فلا بدّ وأن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الملتزم ؛ فإنّ الشرط بما هو شرط مع تجرّده عن المتعلّق لا معنى لنفوذه ، </w:t>
      </w:r>
      <w:bookmarkStart w:id="386" w:name="pg15222_162395"/>
    </w:p>
    <w:p>
      <w:pPr>
        <w:pStyle w:val="BookText"/>
        <w:rPr/>
      </w:pPr>
      <w:bookmarkEnd w:id="386"/>
      <w:r>
        <w:rPr>
          <w:rFonts w:ascii="Amiri" w:hAnsi="Amiri" w:eastAsia="Amiri" w:cs="Amiri"/>
          <w:color w:val="111111"/>
          <w:sz w:val="28"/>
          <w:sz w:val="28"/>
          <w:szCs w:val="28"/>
          <w:rtl w:val="true"/>
          <w:lang w:bidi="ar-SA"/>
        </w:rPr>
        <w:t xml:space="preserve">بل ذلك لأجل لزوم ترتّب الآثار على ما التزم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الروايات إنّما هي بصدد أمر واحد ؛ وهو عدم مخالفة ما التزم به للحكم الشرعي ، وهذا أمر عامّ يشمل التحليل ، والتحريم ، وشرط فعل الحرام ، وترك الواجب ، والأحكام الوضعية ، كجعل الطلاق بيد الزوجة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ورد نهي عن الاشتراط ، كان إرشاداً عرفاً إلى الفساد ، لكنّه مفقود إلاّ على احتمال في مرسلة ابن زهرة </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3331788_2142443653"/>
      <w:bookmarkStart w:id="388" w:name="_Toc143"/>
      <w:bookmarkEnd w:id="387"/>
      <w:r>
        <w:rPr>
          <w:rtl w:val="true"/>
        </w:rPr>
        <w:t>في تشخيص الشرط المخالف للكتاب والسنّة</w:t>
      </w:r>
      <w:bookmarkEnd w:id="388"/>
    </w:p>
    <w:p>
      <w:pPr>
        <w:pStyle w:val="BookText"/>
        <w:rPr/>
      </w:pPr>
      <w:r>
        <w:rPr>
          <w:rFonts w:ascii="Amiri" w:hAnsi="Amiri" w:eastAsia="Amiri" w:cs="Amiri"/>
          <w:color w:val="111111"/>
          <w:sz w:val="28"/>
          <w:sz w:val="28"/>
          <w:szCs w:val="28"/>
          <w:rtl w:val="true"/>
          <w:lang w:bidi="ar-SA"/>
        </w:rPr>
        <w:t xml:space="preserve">ثمّ إنّه لا ينبغي الإشكال ، في أنّ تشخيص المخالفة للكتاب والسنّة وعدمها ، موكول إلى العرف ، كسائر الموضوعات المترتّبة عليها الأحكام الشرعية ، وليست المخالفة ومقابلها ، أمراً مجهولاً عند العقلاء ، حتّى يحتاج إلى البيان وإتعاب النفس في بيان الضابط لهما بما يجعلهما مجهولين بعد وضوحهما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أمّا في موارد الأحكام التكليفية الإلزامية ، فلأ نّه لا شبهة في أنّ شرط فعل الحرام أو ترك الواجب ، مخالف عرفاً للشرع ، كما أنّ ارتكاب الحرام وترك الواجب ، مخالف لحكم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كلّ عالم إلاّ من خالف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وارتكب عالم حراماً أو ترك واجباً ، لا يشكّ أحد من العرف والعقلاء ، في أنّ هذا العالم داخل في المستثنى ؛ لكونه خالف حكمه تعالى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في الشرط ، فلو شرط عليه ترك واجب أو فعل حرام ، لا يشكّ عاقل </w:t>
      </w:r>
    </w:p>
    <w:p>
      <w:pPr>
        <w:pStyle w:val="BookText"/>
        <w:rPr/>
      </w:pPr>
      <w:r>
        <w:rPr>
          <w:rFonts w:ascii="Amiri" w:hAnsi="Amiri" w:eastAsia="Amiri" w:cs="Amiri"/>
          <w:color w:val="111111"/>
          <w:sz w:val="28"/>
          <w:sz w:val="28"/>
          <w:szCs w:val="28"/>
          <w:rtl w:val="true"/>
          <w:lang w:bidi="ar-SA"/>
        </w:rPr>
        <w:t xml:space="preserve">في أ نّه شرط ما خالف حكم اللّه تعالى ؛ فإنّ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منع عن فعله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لزم إتيانه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وأوضح من ذلك ، ما لو شرط حرمة حلال ، كشرط أن تكون الزوجة أو ملك اليمين ، حراماً عليه ، أو ترك القسم بين الأزواج ، حلالاً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الأحكام التكليفية أو الوضعية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معقول ، لا أ نّه غير مشروع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غير معقول ، هو اشتراط أن يكون حكم اللّه تعالى كذا ، وبعبارة اُخرى اشتراط تغييره ، وهو واضح ، ولا يشترط ذلك عاقل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جعل الحرمة بواسطة شرطه لطرفه ، فهو معقول ، بل واقع ، كما في الأحاديث المتقدّمة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حرام</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وكما في جعل الجماع والطلاق بيد الزوجة</w:t>
      </w:r>
      <w:r>
        <w:rPr>
          <w:rStyle w:val="FootnoteAnchor"/>
          <w:rtl w:val="true"/>
        </w:rPr>
        <w:footnoteReference w:id="64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هو واقع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أمر وضعي أو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الأحكام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 وتشخيص ذلك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موارد الأحكام غير الإلزامية ، كالمحلّلات ، والمباحات ، والمستحبّات ، والمكروهات ، فإن اشترط تركها أو فعلها ، فلا شبهة في أ نّه ليس مخالفاً للشرع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إتيانها وتركها ليسا مخالفين له ؛ ضرورة أنّه أجاز الإتيان والترك </w:t>
      </w:r>
    </w:p>
    <w:p>
      <w:pPr>
        <w:pStyle w:val="BookText"/>
        <w:rPr/>
      </w:pPr>
      <w:r>
        <w:rPr>
          <w:rFonts w:ascii="Amiri" w:hAnsi="Amiri" w:eastAsia="Amiri" w:cs="Amiri"/>
          <w:color w:val="111111"/>
          <w:sz w:val="28"/>
          <w:sz w:val="28"/>
          <w:szCs w:val="28"/>
          <w:rtl w:val="true"/>
          <w:lang w:bidi="ar-SA"/>
        </w:rPr>
        <w:t xml:space="preserve">في جميع ذلك ، فالاشتراط اشتراط أمر جائز شرعاً ، وليس في ذلك تحليل حرام ، أو تحريم حلال ، ولا اشتراط أمر مخالف لأحكام اللّه ، وهو واضح لا سترة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اشترط حرمة حلال ومباح ، أو حلّية ما ليس بحلال شرعاً ، فهو مخالف للشرع وباطل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الحال في الوضعيات ، فإنّ شرط كون أمر المرأة بيدها ، أو كون الطلاق كذلك ، مخالف للشرع ، بخلاف شرطه أن لا يطلّق ، أو لا يجامع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شرط الصلاة في وبر ما لا يؤكل ، أو في المكان المغصوب ، مخالف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الموارد التي تشخيصها موكول إلى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من الضابط ، فمع كونه تبعيداً للمسافة ، غير وجيه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بالحكم الذي تعتبر عدم مخالفة المشروط أو الشرط له ، هو ما ثبت على وجه لا يقبل تغيّره بالشرط بتغيّر موضوعه بسبب الاشتراط ، كالأحكام الإلزامية ، فإنّها ثابتة للموضوعات لا مع التجرّد عن الطوارئ ؛ فإنّ الحكم بالمنع عن الفعل مطلق ، لا مقيّد بحيثية تجرّد الموضوع إلاّ عن مثل الضرر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ذلك ، حصول التنافي بين دليلي الحكمين ، إذا فرض ورود حكم آخر من غير جهة الضرر والحرج ، فلا بدّ من الترجيح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غير الإلزامية ، فهي ثابتة لموضوعاتها من حيث نفسها ، ومجرّدة عن ملاحظة عنوان آخر ومتقيّدة بتجرّدها ، فلا محالة لا تتعارض </w:t>
      </w:r>
    </w:p>
    <w:p>
      <w:pPr>
        <w:pStyle w:val="BookText"/>
        <w:rPr/>
      </w:pPr>
      <w:r>
        <w:rPr>
          <w:rFonts w:ascii="Amiri" w:hAnsi="Amiri" w:eastAsia="Amiri" w:cs="Amiri"/>
          <w:color w:val="111111"/>
          <w:sz w:val="28"/>
          <w:sz w:val="28"/>
          <w:szCs w:val="28"/>
          <w:rtl w:val="true"/>
          <w:lang w:bidi="ar-SA"/>
        </w:rPr>
        <w:t>مع الأحكام الثابتة لها لأجل الطوارئ</w:t>
      </w:r>
      <w:r>
        <w:rPr>
          <w:rStyle w:val="FootnoteAnchor"/>
          <w:rtl w:val="true"/>
        </w:rPr>
        <w:footnoteReference w:id="646"/>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موارد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التحقيق أنّ الأحكام الثابتة للعناوين الطارئة على موضوعات الأحكام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كالنذر ، وأخويه ، والشرط ، وإطاعة الوالدين والمولى ، وأشباهها ، حتّى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توجب تغيّر تلك الأحكام الأوّلية في شيء من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لعدم معقولية تجافي الحكم عن موضوعه الذي تعلّق به ، من غير فرق بين كون الواجب في تلك الموارد 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بالنذر وأخويه والشرط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المنذور والمشروط بما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عناوين طارئة زائدة على عنوان ذوات الموضوعات ، ومنطبقة عليها في الخارج الذي هو ليس ظرف ثبوت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فالموضوع الخارجي بعد عروض الطوارئ عليه ، له عنوانان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كونه مصداقاً للأكل ، أو الشرب ، أو الصلاة ، أو 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وعنوان كونه وفاء بالنذر ، وإطاعة للوالد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هو المباح أو المستحبّ أو المكروه أو الواجب أو الحرام ، هي العناوين الأوّلية لموضوعات تلك الأحكام ، ولا تعقل سراية تلك الأحكام إلى الطوارئ ، ولو كانت متّحدة مع عناوين موضوعاتها في الخارج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هو الواجب بالنذر والشرط ونحوهما ، هو العنوان الطارئ المنفكّ عن </w:t>
      </w:r>
    </w:p>
    <w:p>
      <w:pPr>
        <w:pStyle w:val="BookText"/>
        <w:rPr/>
      </w:pPr>
      <w:r>
        <w:rPr>
          <w:rFonts w:ascii="Amiri" w:hAnsi="Amiri" w:eastAsia="Amiri" w:cs="Amiri"/>
          <w:color w:val="111111"/>
          <w:sz w:val="28"/>
          <w:sz w:val="28"/>
          <w:szCs w:val="28"/>
          <w:rtl w:val="true"/>
          <w:lang w:bidi="ar-SA"/>
        </w:rPr>
        <w:t xml:space="preserve">العناوين الأوّلية في ظرف تعلّق الأحكام بها ، ولا تعقل سرايته إلى موضوعات الأحكام الأوّلية ، وذلك من غير فرق بين إطلاق أدلّة الأحكام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أمر المولى بإتيان صلاة الليل ، أو نذر إتيانها ، يجب عليه إتيان الصلاة المستحبّة ، فالواجب إطاعة المولى ، وإطاعته عبارة عن إتيان المستحبّ ، وكذا في سائر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الطهارة قد تجب بالنذر وشبهه</w:t>
      </w:r>
      <w:r>
        <w:rPr>
          <w:rStyle w:val="FootnoteAnchor"/>
          <w:rtl w:val="true"/>
        </w:rPr>
        <w:footnoteReference w:id="647"/>
      </w:r>
      <w:r>
        <w:rPr>
          <w:rFonts w:ascii="Amiri" w:hAnsi="Amiri" w:eastAsia="Amiri" w:cs="Amiri"/>
          <w:color w:val="111111"/>
          <w:sz w:val="28"/>
          <w:sz w:val="28"/>
          <w:szCs w:val="28"/>
          <w:rtl w:val="true"/>
          <w:lang w:bidi="ar-SA"/>
        </w:rPr>
        <w:t xml:space="preserve">ممّا لا أساس له إن اُريد به تغيّر الحكم الاستحبابي ، أو سقوطه وثبوت الحكم الوجوبي للموضوع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ادّعى من أنّ جميع أدلّة المباحات والمستحبّات والمكروهات ، تعلّقت بموضوعاتها مع التقيّد بالتجرّد عن العناوين الطارئة غير وجيه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شيء من أدلّتها ، ما يوهم لحاظ التجرّد والتقيّد به ، كما أ نّه ليس في شيء من أدلّة الواجبات والمحرّمات ، لحاظ السريان ، كما تمور به الألسن موراً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فيما تمّت فيه مقدّمات الإطلاق ، يكون الحكم ثابتاً لموضوعه من دون لحاظ أيّ قيد فيه ، ومعنى الإطلاق أنّ المأخوذ هو تمام الموضوع للحكم ، وليس له جزء أو قيد آخر ، فأدلّة المستحبّات والمكروهات ، كسائر الأدلّة في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قد يكون إهمال في حكم ، أو لا تتمّ في مورده مقدّمات الإطلاق ، ولا فرق في ذلك بينهما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أدلّة المباحات والمستحبّات والمكروهات ، مهملة ، أو مجرّدة ، أو متقيّدة بالتجرّد ، بخلاف أدلّة الواجبات والمحرّمات ، تخريص ، بل قول مخالف للواقع بحسب ظواهر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فرض لأدلّة المباحات والمستحبّات والمكروهات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كأدلّة الواجبات والمحرّمات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شرط تركها أو إتيانها أيضاً مخالفاً للكتاب والسنّة ؛ وذلك لما عرفت من أ نّه مع جواز الفعل والترك ، لا وجه للمخالفة</w:t>
      </w:r>
      <w:r>
        <w:rPr>
          <w:rStyle w:val="FootnoteAnchor"/>
          <w:rtl w:val="true"/>
        </w:rPr>
        <w:footnoteReference w:id="649"/>
      </w:r>
      <w:r>
        <w:rPr>
          <w:rFonts w:ascii="Amiri" w:hAnsi="Amiri" w:eastAsia="Amiri" w:cs="Amiri"/>
          <w:color w:val="111111"/>
          <w:sz w:val="28"/>
          <w:sz w:val="28"/>
          <w:szCs w:val="28"/>
          <w:rtl w:val="true"/>
          <w:lang w:bidi="ar-SA"/>
        </w:rPr>
        <w:t>، ولا يلزم من لزوم العمل بالشرط ، صيرورة المباح أو المستحبّ لازماً ؛ لما تقدّم</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أنّ اللزوم من أحكام الشرط شرعاً وعرفاً ، لا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عدم المخالفة فيها ، والمخالفة في الواجبات والمحرّمات ، هو ما تقدّم</w:t>
      </w:r>
      <w:r>
        <w:rPr>
          <w:rStyle w:val="FootnoteAnchor"/>
          <w:rtl w:val="true"/>
        </w:rPr>
        <w:footnoteReference w:id="651"/>
      </w:r>
      <w:r>
        <w:rPr>
          <w:rFonts w:ascii="IRNazanin" w:hAnsi="IRNazanin" w:eastAsia="IRNazanin"/>
          <w:color w:val="111111"/>
          <w:sz w:val="28"/>
          <w:sz w:val="28"/>
          <w:szCs w:val="28"/>
          <w:rtl w:val="true"/>
          <w:lang w:bidi="fa-IR"/>
        </w:rPr>
        <w:t xml:space="preserve">، لا ما أفاده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لو شرط تحريم مباح أو مستحبّ على صاحبه ، فهو مخالف للحكم الشرعي وباطل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إتيان ما هو مباح ، أو شرط تركه ، وكذا شرط ترك المستحبّ ، وإتيان المكروه ، نافذ وغير مخالف للشرع ولو مع إطلاق أدلّتها </w:t>
      </w:r>
      <w:r>
        <w:rPr>
          <w:rFonts w:eastAsia="Amiri" w:cs="Amiri" w:ascii="Amiri" w:hAnsi="Amiri"/>
          <w:color w:val="111111"/>
          <w:sz w:val="28"/>
          <w:szCs w:val="28"/>
          <w:rtl w:val="true"/>
          <w:lang w:bidi="ar-SA"/>
        </w:rPr>
        <w:t xml:space="preserve">. </w:t>
      </w:r>
      <w:bookmarkStart w:id="389" w:name="pg15222_162401"/>
    </w:p>
    <w:p>
      <w:pPr>
        <w:pStyle w:val="Heading5"/>
        <w:numPr>
          <w:ilvl w:val="4"/>
          <w:numId w:val="1"/>
        </w:numPr>
        <w:rPr/>
      </w:pPr>
      <w:bookmarkStart w:id="390" w:name="__RefHeading___Toc3331790_2142443653"/>
      <w:bookmarkStart w:id="391" w:name="_Toc144"/>
      <w:bookmarkEnd w:id="389"/>
      <w:bookmarkEnd w:id="390"/>
      <w:r>
        <w:rPr>
          <w:rtl w:val="true"/>
        </w:rPr>
        <w:t>جواز اشتراط ترك التزويج والتسرّي على الزوج</w:t>
      </w:r>
      <w:bookmarkEnd w:id="391"/>
    </w:p>
    <w:p>
      <w:pPr>
        <w:pStyle w:val="BookText"/>
        <w:rPr/>
      </w:pPr>
      <w:r>
        <w:rPr>
          <w:rFonts w:ascii="Amiri" w:hAnsi="Amiri" w:eastAsia="Amiri" w:cs="Amiri"/>
          <w:color w:val="111111"/>
          <w:sz w:val="28"/>
          <w:sz w:val="28"/>
          <w:szCs w:val="28"/>
          <w:rtl w:val="true"/>
          <w:lang w:bidi="ar-SA"/>
        </w:rPr>
        <w:t xml:space="preserve">ثمّ إنّ مقتضى ما ذكرناه ، جواز اشتراط ترك التزويج والتسرّي ونحوهما على الزوج ، وأ نّه غير مخالف للشرع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له رواية منصور بن يونس بزرج ، عن عبد صالح علیه السلام ، قال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تزوّج امرأة ، ثمّ طلّقها فبانت منه ، فأراد أن يراجعها ، فأبت عليه إلاّ أن يجعل للّه عليه أن لا يطلّقها ، ولا يتزوّج عليها ، فأعطاها ذلك ، ثمّ بدا له في التزويج بعد ذلك ، فكيف يصنع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بئس ما صنع ، وما كان يدريه ما يقع في قلبه بالليل والنهار ،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فليف للمرأة بشرطها ؛ فإنّ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وإن كان اشتراطها عليه أن ينذر عدم الطلاق والتزويج ، لا اشتراط عدمهما ، ووفاؤه لها بشرطهما يكون بجعل عدمهما نذراً على نفسه ، إلاّ أ نّه لمّا كان المستفاد منها ، أنّ نذرهما صحيح ، ولازمه عدم كون المنذور مخالفاً للكتاب وإلاّ بطل ، يستفاد منها أنّ شرطهما أيضاً غير مخالف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دالّة إمّا ابتداء على صحّة شرطهما ، إن كان المراد شرط عدمهما ، أو بالوسط إن كان المراد شرط النذر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صحّة نذر عدم التزويج عليها ، لأجل كونه موجباً لرضاها ، كما أنّ التزويج موجب لإيذائها ، وهذا المقدار كافٍ في صحّة النذر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يوهم من الروايات خلاف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سنان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نكحت عليك أو تسرّيت فهي طالق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ذلك بشيء ، 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اشترط شرطاً سوى كتاب اللّه فلا يجوز ذلك له ، ولا عليه</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رواية محمّد بن قيس ، إلاّ أنّ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فقضى في ذلك ، أنّ شرط اللّه قبل شرطكم ، فإن شاء وفى لها بما اشترط ، وإن شاء أمسكها ، واتّخذ عليها ، ونكح عليها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الاُولى ومن صدر الثانية ، أنّ الشرط الفقهي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جعل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كونها طالقاً على فرض التزويج والتسرّي ، لا ترك التزويج والتسرّي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في نذر البرّ والزجر ، فلو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لو رزقت ولداً أن اتصدّق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تركت صلاة الليل أن أصوم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المنذور الصدقة والصوم ، ولهذا لو ترك صلاة الليل لم يحنث ، وإنّما هو بترك الصوم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يشترط ترك التسرّي والتزويج ، بل شرط الطلاق على فرضهما ، فقوله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اشترط شرطاً سوى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شرط </w:t>
      </w:r>
    </w:p>
    <w:p>
      <w:pPr>
        <w:pStyle w:val="BookText"/>
        <w:rPr/>
      </w:pPr>
      <w:r>
        <w:rPr>
          <w:rFonts w:ascii="Amiri" w:hAnsi="Amiri" w:eastAsia="Amiri" w:cs="Amiri"/>
          <w:color w:val="111111"/>
          <w:sz w:val="28"/>
          <w:sz w:val="28"/>
          <w:szCs w:val="28"/>
          <w:rtl w:val="true"/>
          <w:lang w:bidi="ar-SA"/>
        </w:rPr>
        <w:t>اللّه قبل شرطكم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صيرورتها مطلّقة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الشرط مخالف لشروط الطلاق ، وهي شروط اللّه ؛ من لزوم كونه عند شاهدي عدل ، وفي الطهر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فالروايتان غير مربوطتين بالمدّعى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وتشهد لما ذكر الروايات الواردة بهذا المضمون ، الدالّة على نفوذ الشرط فيما كان أمراً جائزاً ، كرواية عبدالرحمان بن 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سأل أبا عبداللّه علیه السلام عن</w:t>
      </w:r>
    </w:p>
    <w:p>
      <w:pPr>
        <w:pStyle w:val="BookText"/>
        <w:rPr/>
      </w:pPr>
      <w:r>
        <w:rPr>
          <w:rFonts w:ascii="Amiri" w:hAnsi="Amiri" w:eastAsia="Amiri" w:cs="Amiri"/>
          <w:color w:val="111111"/>
          <w:sz w:val="28"/>
          <w:sz w:val="28"/>
          <w:szCs w:val="28"/>
          <w:rtl w:val="true"/>
          <w:lang w:bidi="ar-SA"/>
        </w:rPr>
        <w:t xml:space="preserve">رجل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على أن اُزوّجك جاريتي هذه ، فإن نكحت عليها أو تسرّيت ، فعليك مائة دينار ، فأعتقه على ذلك ، فنكح وتسرّى ، أعليه مائة دينار ، ويجوز شرطه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شرطه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وقريب منها غيرها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البطلان في تلك الروايات ، إنّما هو لأجل ترتّب الطلاق ، وهو واضح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 ما في ذيل رواية محمّد بن قيس ،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وفى لها بما اشترط ، وإن شاء أمسكها ، واتّخذ عليها ، ونكح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في أنّ الشرط المذكور قابل لأن يفي به وأن لا يفي ، وهو مخالف للصدر ؛ فإنّ ظاهره أنّ الشرط كان من قبيل شرط النتيجة ، وكان ممّا لا يقع بمجرّد الشرط ، فكان باطلاً ، وعليه فلا معنى للوفاء به ، والحمل على شرط عدم التزويج ، مخالف جدّاً للظاهر ، وكيف كان لا تدلّ الروايتان على بطلان شرطهما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رواية العيّاشي</w:t>
      </w:r>
      <w:r>
        <w:rPr>
          <w:rStyle w:val="FootnoteAnchor"/>
          <w:rtl w:val="true"/>
        </w:rPr>
        <w:footnoteReference w:id="657"/>
      </w:r>
      <w:r>
        <w:rPr>
          <w:rFonts w:ascii="Amiri" w:hAnsi="Amiri" w:eastAsia="Amiri" w:cs="Amiri"/>
          <w:color w:val="111111"/>
          <w:sz w:val="28"/>
          <w:sz w:val="28"/>
          <w:szCs w:val="28"/>
          <w:rtl w:val="true"/>
          <w:lang w:bidi="ar-SA"/>
        </w:rPr>
        <w:t xml:space="preserve">فهي موافقة لرواية محمّد بن قيس في المفاد ، إلاّ أنّ فيها التمسّك 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فَانْكِحُوا مَا طَابَ </w:t>
      </w:r>
      <w:r>
        <w:rPr>
          <w:rFonts w:eastAsia="Amiri" w:cs="Amiri" w:ascii="Amiri" w:hAnsi="Amiri"/>
          <w:color w:val="111111"/>
          <w:sz w:val="28"/>
          <w:szCs w:val="28"/>
          <w:rtl w:val="true"/>
          <w:lang w:bidi="ar-SA"/>
        </w:rPr>
        <w:t>. . .(</w:t>
      </w:r>
      <w:r>
        <w:rPr>
          <w:rStyle w:val="FootnoteAnchor"/>
          <w:rtl w:val="true"/>
        </w:rPr>
        <w:footnoteReference w:id="658"/>
      </w:r>
      <w:r>
        <w:rPr>
          <w:rFonts w:ascii="Amiri" w:hAnsi="Amiri" w:eastAsia="Amiri" w:cs="Amiri"/>
          <w:color w:val="111111"/>
          <w:sz w:val="28"/>
          <w:sz w:val="28"/>
          <w:szCs w:val="28"/>
          <w:rtl w:val="true"/>
          <w:lang w:bidi="ar-SA"/>
        </w:rPr>
        <w:t xml:space="preserve">إلى آخره ، وهو موجب للاضطراب في المتن ؛ لعدم التناسب بين الآيات والشرط المذكور ، أي شرط كونها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أنّ ذكر الآيات من العيّاشي اجتهاداً منه ، لا من تتمّة الحديث ، مع أنّ الرواية مرسلة لا يعتمد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حمادة اُخت أبي عبيدة الحذّاء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تزوّج امرأة ، وشرط لها أن لا يتزوّج عليها ، ورضيت أنّ ذلك مهرها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شرط فاسد ، لا يكون النكاح إلاّ على درهم أو درهمين</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غير دالّة على المدّعى ؛ لأنّ الظاهر منها أنّ الفساد لأجل جعل عدم التزويج مهراً ، بل تشعر بصحّة شرط عدم التزويج لولا ذلك ، وإلاّ كان الأنسب الحكم بالفساد ؛ لكون شرط عدمه باطلاً ، سواء جعله مهراً أم لا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ضريساً كانت تحته بنت حمران ، فجعل لها </w:t>
      </w:r>
    </w:p>
    <w:p>
      <w:pPr>
        <w:pStyle w:val="BookText"/>
        <w:rPr/>
      </w:pPr>
      <w:r>
        <w:rPr>
          <w:rFonts w:ascii="Amiri" w:hAnsi="Amiri" w:eastAsia="Amiri" w:cs="Amiri"/>
          <w:color w:val="111111"/>
          <w:sz w:val="28"/>
          <w:sz w:val="28"/>
          <w:szCs w:val="28"/>
          <w:rtl w:val="true"/>
          <w:lang w:bidi="ar-SA"/>
        </w:rPr>
        <w:t xml:space="preserve">أن لا يتزوّج عليها ، ولا يتسرّى أبداً في حياتها ، ولا بعد موتها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فتزوّج وتسرّ ؛ فإنّ ذلك ليس بشيء </w:t>
      </w:r>
      <w:r>
        <w:rPr>
          <w:rFonts w:eastAsia="Amiri" w:cs="Amiri" w:ascii="Amiri" w:hAnsi="Amiri"/>
          <w:color w:val="111111"/>
          <w:sz w:val="28"/>
          <w:szCs w:val="28"/>
          <w:rtl w:val="true"/>
          <w:lang w:bidi="ar-SA"/>
        </w:rPr>
        <w:t>. . . »</w:t>
      </w:r>
      <w:r>
        <w:rPr>
          <w:rStyle w:val="FootnoteAnchor"/>
          <w:rtl w:val="true"/>
        </w:rPr>
        <w:footnoteReference w:id="660"/>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كان ابتدائياً ، لا في ضمن العقد ، وكان البطلان من أجله ، لا من قبل كون ما ذكر مخالفاً للكتاب ، ولا أقلّ من احتماله ، ولا دافع له ، فلا تكون حجّة على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الجزاء الذي جعلاه عليهما ، كأ نّه سفهي غير عقلائي ، ويحتمل أن يكون البطلان لأجله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بحسب الروايات لا إشكال في صحّة الشرط المذكور ، فإن قام الإجماع أو الشهرة المعتمدة على بطلانه ، ولم يحتمل اتّكال المجمعين على الاجتهاد من الروايات ، فلا محيص عن القول بالفساد ، ولا إشكال فيه ؛ لأ نّه تخصيص للكبرى المجعولة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المقتضية لصحّة الشرط المذكور بالإجماع والشهرة المعتمدة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داعي لإتعاب النفس في التوجيه ؛ بأنّ هذا المباح من المباحات التي لا يتغيّر حكمها بالشرط ، فيكون شرط تركه مخالفاً للشرع ، فإنّ إخراجه بالدليل عن الكبرى الكلّية ، كسائر موارد التخصيص في الأحكام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التوجيه المذكور فاسد ؛ لما تقدّم من عدم تغيّر أحكام الموضوعات الثابتة لها بالأدلّة الأوّلية ، بعروض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بها الأحكام الثانوية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 ، كالشرط ، والنذر ، وغيرهما </w:t>
      </w:r>
      <w:r>
        <w:rPr>
          <w:rStyle w:val="FootnoteAnchor"/>
          <w:rtl w:val="true"/>
        </w:rPr>
        <w:footnoteReference w:id="662"/>
      </w:r>
      <w:r>
        <w:rPr>
          <w:rFonts w:ascii="Amiri" w:hAnsi="Amiri" w:eastAsia="Amiri" w:cs="Amiri"/>
          <w:color w:val="111111"/>
          <w:sz w:val="28"/>
          <w:sz w:val="28"/>
          <w:szCs w:val="28"/>
          <w:rtl w:val="true"/>
          <w:lang w:bidi="ar-SA"/>
        </w:rPr>
        <w:t xml:space="preserve">، فالتسرّي والتزويج مباحان بعد الشرط ، كما كانا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حال الموارد التي دلّت الأدلّة الخاصّة فيها على صحّة الشرط الذي كان مخالفاً لظاهر عمومات الكتاب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دلّ دليل على صحّة اشتراط التوريث في المتعة</w:t>
      </w:r>
      <w:r>
        <w:rPr>
          <w:rStyle w:val="FootnoteAnchor"/>
          <w:rtl w:val="true"/>
        </w:rPr>
        <w:footnoteReference w:id="663"/>
      </w:r>
      <w:r>
        <w:rPr>
          <w:rFonts w:ascii="Amiri" w:hAnsi="Amiri" w:eastAsia="Amiri" w:cs="Amiri"/>
          <w:color w:val="111111"/>
          <w:sz w:val="28"/>
          <w:sz w:val="28"/>
          <w:szCs w:val="28"/>
          <w:rtl w:val="true"/>
          <w:lang w:bidi="ar-SA"/>
        </w:rPr>
        <w:t>، أو صحّة اشتراط الضمان في العارية</w:t>
      </w:r>
      <w:r>
        <w:rPr>
          <w:rStyle w:val="FootnoteAnchor"/>
          <w:rtl w:val="true"/>
        </w:rPr>
        <w:footnoteReference w:id="664"/>
      </w:r>
      <w:r>
        <w:rPr>
          <w:rFonts w:ascii="Amiri" w:hAnsi="Amiri" w:eastAsia="Amiri" w:cs="Amiri"/>
          <w:color w:val="111111"/>
          <w:sz w:val="28"/>
          <w:sz w:val="28"/>
          <w:szCs w:val="28"/>
          <w:rtl w:val="true"/>
          <w:lang w:bidi="ar-SA"/>
        </w:rPr>
        <w:t xml:space="preserve">، بعد ما دلّت الأدلّة العامّة على عدم توريثها </w:t>
      </w:r>
      <w:r>
        <w:rPr>
          <w:rStyle w:val="FootnoteAnchor"/>
          <w:rtl w:val="true"/>
        </w:rPr>
        <w:footnoteReference w:id="665"/>
      </w:r>
      <w:r>
        <w:rPr>
          <w:rFonts w:ascii="Amiri" w:hAnsi="Amiri" w:eastAsia="Amiri" w:cs="Amiri"/>
          <w:color w:val="111111"/>
          <w:sz w:val="28"/>
          <w:sz w:val="28"/>
          <w:szCs w:val="28"/>
          <w:rtl w:val="true"/>
          <w:lang w:bidi="ar-SA"/>
        </w:rPr>
        <w:t>، وعدم ضمان العارية</w:t>
      </w:r>
      <w:r>
        <w:rPr>
          <w:rStyle w:val="FootnoteAnchor"/>
          <w:rtl w:val="true"/>
        </w:rPr>
        <w:footnoteReference w:id="666"/>
      </w:r>
      <w:r>
        <w:rPr>
          <w:rFonts w:ascii="Amiri" w:hAnsi="Amiri" w:eastAsia="Amiri" w:cs="Amiri"/>
          <w:color w:val="111111"/>
          <w:sz w:val="28"/>
          <w:sz w:val="28"/>
          <w:szCs w:val="28"/>
          <w:rtl w:val="true"/>
          <w:lang w:bidi="ar-SA"/>
        </w:rPr>
        <w:t xml:space="preserve">، كان اللازم تخصيصها بذلك الدليل الخاصّ ، من غير فرق بينها وبين سائر العمومات والخصوصات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فيكشف التخصيص عن عدم الجدّ في العموم ؛ بالنسبة إلى مورد التخصيص ، ويخرج ذلك المورد عن مخالفة شرطه للكتاب والسنّة ، وهكذا الحكم في الأشباه والنظائر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ذلك تخصيصاً أو تقييداً للشرط المخالف للكتاب ، حتّى يتوهّم إباؤه عن ذلك</w:t>
      </w:r>
      <w:r>
        <w:rPr>
          <w:rStyle w:val="FootnoteAnchor"/>
          <w:rtl w:val="true"/>
        </w:rPr>
        <w:footnoteReference w:id="667"/>
      </w:r>
      <w:r>
        <w:rPr>
          <w:rFonts w:ascii="Amiri" w:hAnsi="Amiri" w:eastAsia="Amiri" w:cs="Amiri"/>
          <w:color w:val="111111"/>
          <w:sz w:val="28"/>
          <w:sz w:val="28"/>
          <w:szCs w:val="28"/>
          <w:rtl w:val="true"/>
          <w:lang w:bidi="ar-SA"/>
        </w:rPr>
        <w:t xml:space="preserve">، بل تخصيص في العمومات الأوّلية ، وإخراج موضوعي عن </w:t>
      </w:r>
    </w:p>
    <w:p>
      <w:pPr>
        <w:pStyle w:val="BookText"/>
        <w:rPr/>
      </w:pPr>
      <w:r>
        <w:rPr>
          <w:rFonts w:ascii="Amiri" w:hAnsi="Amiri" w:eastAsia="Amiri" w:cs="Amiri"/>
          <w:color w:val="111111"/>
          <w:sz w:val="28"/>
          <w:sz w:val="28"/>
          <w:szCs w:val="28"/>
          <w:rtl w:val="true"/>
          <w:lang w:bidi="ar-SA"/>
        </w:rPr>
        <w:t>المستثنى في أدلّة الشروط ، ولا يحتاج إلى تبعيد المسافة ؛ بما أفاده الشيخ الأعظم قدّس سرّه في طرفي المستثنى منه والمستثنى</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لا حاجة إلى توجيهات اُخر ، كالقول في مسألة شرط ترك التسرّي والتزويج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المباحات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اقتضاء لها ؛ أي لا تقتضي موضوعاتها حكماً من الأحكام ، فمثل هذه الإباحة عقلية لا 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مقتضية لها ، وهي على قسمين ؛ لأنّ الاقتضاء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نحو العلّية التامّة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كذلك ، ففي جميع المباحات يصحّ شرط الفعل والترك ، إلاّ في الاقتضائية على وجه العلّية ؛ فإنّ حكمها ممّا لا يتغيّر</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تخريص يوجب سدّ باب العمل بالشروط ، وترك العمل بالكبرى فيها ، إلاّ ما نصّ الشارع على صحّته ، وهو فاسد جدّاً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تغيير الأحكام بالشروط</w:t>
      </w:r>
      <w:r>
        <w:rPr>
          <w:rStyle w:val="FootnoteAnchor"/>
          <w:rtl w:val="true"/>
        </w:rPr>
        <w:footnoteReference w:id="670"/>
      </w:r>
      <w:r>
        <w:rPr>
          <w:rFonts w:ascii="Amiri" w:hAnsi="Amiri" w:eastAsia="Amiri" w:cs="Amiri"/>
          <w:color w:val="111111"/>
          <w:sz w:val="28"/>
          <w:sz w:val="28"/>
          <w:szCs w:val="28"/>
          <w:rtl w:val="true"/>
          <w:lang w:bidi="ar-SA"/>
        </w:rPr>
        <w:t xml:space="preserve">، إلاّ أن يتشبّث بتخريص آخر ؛ وهو أنّ من المباحات ما هو مقتضٍ بنحو العلّية لأن يكون المكلّف مختاراً في تركه وإيجاده تشريعاً ، ففي مثله يكون الشرط مخالفاً للشرع ، وهو كسائر التوجيهات الباطلة غير المحتاج إليها </w:t>
      </w:r>
      <w:r>
        <w:rPr>
          <w:rFonts w:eastAsia="Amiri" w:cs="Amiri" w:ascii="Amiri" w:hAnsi="Amiri"/>
          <w:color w:val="111111"/>
          <w:sz w:val="28"/>
          <w:szCs w:val="28"/>
          <w:rtl w:val="true"/>
          <w:lang w:bidi="ar-SA"/>
        </w:rPr>
        <w:t xml:space="preserve">. </w:t>
      </w:r>
      <w:bookmarkStart w:id="392" w:name="pg15222_162408"/>
    </w:p>
    <w:p>
      <w:pPr>
        <w:pStyle w:val="Heading5"/>
        <w:numPr>
          <w:ilvl w:val="4"/>
          <w:numId w:val="1"/>
        </w:numPr>
        <w:rPr/>
      </w:pPr>
      <w:bookmarkStart w:id="393" w:name="__RefHeading___Toc3331792_2142443653"/>
      <w:bookmarkStart w:id="394" w:name="_Toc145"/>
      <w:bookmarkEnd w:id="392"/>
      <w:bookmarkEnd w:id="393"/>
      <w:r>
        <w:rPr>
          <w:rtl w:val="true"/>
        </w:rPr>
        <w:t>المراد من مخالفة الشرط للكتاب</w:t>
      </w:r>
      <w:bookmarkEnd w:id="394"/>
    </w:p>
    <w:p>
      <w:pPr>
        <w:pStyle w:val="BookText"/>
        <w:rPr/>
      </w:pP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 من المخالفة بالتباين ، أو بالعموم والخصوص ، أو بالإطلاق والتقييد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المخالفة بالنحوين الأخيرين ، خارجة عن محلّ الكلام ، كما يقال</w:t>
      </w:r>
      <w:r>
        <w:rPr>
          <w:rStyle w:val="FootnoteAnchor"/>
          <w:rtl w:val="true"/>
        </w:rPr>
        <w:footnoteReference w:id="671"/>
      </w:r>
      <w:r>
        <w:rPr>
          <w:rFonts w:ascii="Amiri" w:hAnsi="Amiri" w:eastAsia="Amiri" w:cs="Amiri"/>
          <w:color w:val="111111"/>
          <w:sz w:val="28"/>
          <w:sz w:val="28"/>
          <w:szCs w:val="28"/>
          <w:rtl w:val="true"/>
          <w:lang w:bidi="ar-SA"/>
        </w:rPr>
        <w:t xml:space="preserve">في باب الخبرين المتعارضين أو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المخالفة بالعموم والخصوص ، والإطلاق والتقييد ، ليست مخالفة ؛ لمكان الجمع العقلائي بينهما ، فالخبران المختلفان عبارة عمّا يختلفان بنحو التباين ، أو بالعموم من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فاسد ؛ للفرق بين المقامين ، فإنّ محيط التشريع، المتعارف فيه إلقاء الكلّيات أوّلاً ، وذكر المقيّدات والمخصّصات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القوانين الإلهية ، والعرفية المجعولة في المجالس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على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المخالفة الصورية التي يمكن رفعها بالجمع بين الدليلين عرفاً ، وليس المراد أنّ المخالفة بالعموم والخصوص ، لا تكون مخالفة ؛ ضرورة أنّ الموجبة الكلّية نقيض السالبة الجزئية وبالعكس ، هذا حال محيط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باب الشروط الضمنية المخالفة للكتاب أو السنّة ، فلا وجه لتخصيص المخالفة المبحوث عنها فيه بقسم منها ، مع أنّ كلّها مخالفة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مخالفة جلّ الشروط ، من قبيل المخالفة بالعموم والخصوص والإطلاق والتقييد ، فلا إشكال من هذه الناحية </w:t>
      </w:r>
      <w:r>
        <w:rPr>
          <w:rFonts w:eastAsia="Amiri" w:cs="Amiri" w:ascii="Amiri" w:hAnsi="Amiri"/>
          <w:color w:val="111111"/>
          <w:sz w:val="28"/>
          <w:szCs w:val="28"/>
          <w:rtl w:val="true"/>
          <w:lang w:bidi="ar-SA"/>
        </w:rPr>
        <w:t xml:space="preserve">. </w:t>
      </w:r>
      <w:bookmarkStart w:id="395" w:name="pg15222_162409"/>
    </w:p>
    <w:p>
      <w:pPr>
        <w:pStyle w:val="BookText"/>
        <w:rPr/>
      </w:pPr>
      <w:bookmarkEnd w:id="395"/>
      <w:r>
        <w:rPr>
          <w:rFonts w:ascii="Amiri" w:hAnsi="Amiri" w:eastAsia="Amiri" w:cs="Amiri"/>
          <w:color w:val="111111"/>
          <w:sz w:val="28"/>
          <w:sz w:val="28"/>
          <w:szCs w:val="28"/>
          <w:rtl w:val="true"/>
          <w:lang w:bidi="ar-SA"/>
        </w:rPr>
        <w:t xml:space="preserve">كما 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المجيد بظواهره والأحكام الواصلة إلينا من الشارع الصادع بالطرق المعهودة ، لا ما كتب اللّه تعالى على العباد في اللوح المحفوظ ، بناءً على وجود مثلها فيه ، ولم يأن أوان تبليغها إلاّ عند ظهور الحجّة المنتظر ، عليه وعلى آبائه الصلاة والسلام </w:t>
      </w:r>
      <w:r>
        <w:rPr>
          <w:rFonts w:eastAsia="Amiri" w:cs="Amiri" w:ascii="Amiri" w:hAnsi="Amiri"/>
          <w:color w:val="111111"/>
          <w:sz w:val="28"/>
          <w:szCs w:val="28"/>
          <w:rtl w:val="true"/>
          <w:lang w:bidi="ar-SA"/>
        </w:rPr>
        <w:t>.</w:t>
      </w:r>
    </w:p>
    <w:p>
      <w:pPr>
        <w:pStyle w:val="Heading5"/>
        <w:numPr>
          <w:ilvl w:val="4"/>
          <w:numId w:val="1"/>
        </w:numPr>
        <w:rPr/>
      </w:pPr>
      <w:bookmarkStart w:id="396" w:name="__RefHeading___Toc3331794_2142443653"/>
      <w:bookmarkStart w:id="397" w:name="_Toc146"/>
      <w:bookmarkEnd w:id="396"/>
      <w:r>
        <w:rPr>
          <w:rtl w:val="true"/>
        </w:rPr>
        <w:t>التمسّك بالأصل لإثبات عدم المخالفة</w:t>
      </w:r>
      <w:bookmarkEnd w:id="397"/>
    </w:p>
    <w:p>
      <w:pPr>
        <w:pStyle w:val="BookText"/>
        <w:rPr/>
      </w:pPr>
      <w:r>
        <w:rPr>
          <w:rFonts w:ascii="Amiri" w:hAnsi="Amiri" w:eastAsia="Amiri" w:cs="Amiri"/>
          <w:color w:val="111111"/>
          <w:sz w:val="28"/>
          <w:sz w:val="28"/>
          <w:szCs w:val="28"/>
          <w:rtl w:val="true"/>
          <w:lang w:bidi="ar-SA"/>
        </w:rPr>
        <w:t xml:space="preserve">وعلى هذا ، وما ذكرناه في خلال الكلام ، تكون موارد الشكّ في المخالفة قليلة ، مثل ما إذا شكّ في إطلاق دليل ، أو ظهور كلام ، أو كان الدليل مجملاً محتملاً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مثلها نحتاج إلى الرجوع إلى الاُصول ، فلو جرت أصالة عدم مخالفة الشرط الكذائي للكتاب لاُحرز بها قيد الموضوع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672"/>
      </w:r>
      <w:r>
        <w:rPr>
          <w:rFonts w:ascii="Amiri" w:hAnsi="Amiri" w:eastAsia="Amiri" w:cs="Amiri"/>
          <w:color w:val="111111"/>
          <w:sz w:val="28"/>
          <w:sz w:val="28"/>
          <w:szCs w:val="28"/>
          <w:rtl w:val="true"/>
          <w:lang w:bidi="ar-SA"/>
        </w:rPr>
        <w:t xml:space="preserve">، المستفاد من النبوي بعد استثناء الشروط المخالفة ، ولتمّ بذلك موضوع الأثر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تشبّثوا لجريانها بوجوه مخدوشة</w:t>
      </w:r>
      <w:r>
        <w:rPr>
          <w:rStyle w:val="FootnoteAnchor"/>
          <w:rtl w:val="true"/>
        </w:rPr>
        <w:footnoteReference w:id="673"/>
      </w:r>
      <w:r>
        <w:rPr>
          <w:rFonts w:ascii="Amiri" w:hAnsi="Amiri" w:eastAsia="Amiri" w:cs="Amiri"/>
          <w:color w:val="111111"/>
          <w:sz w:val="28"/>
          <w:sz w:val="28"/>
          <w:szCs w:val="28"/>
          <w:rtl w:val="true"/>
          <w:lang w:bidi="ar-SA"/>
        </w:rPr>
        <w:t>، ونحن قد استقصينا البحث عن مثلها في الاُصول في مبحث البراءة</w:t>
      </w:r>
      <w:r>
        <w:rPr>
          <w:rStyle w:val="FootnoteAnchor"/>
          <w:rtl w:val="true"/>
        </w:rPr>
        <w:footnoteReference w:id="674"/>
      </w:r>
      <w:r>
        <w:rPr>
          <w:rFonts w:ascii="IRNazanin" w:hAnsi="IRNazanin" w:eastAsia="IRNazanin"/>
          <w:color w:val="111111"/>
          <w:sz w:val="28"/>
          <w:sz w:val="28"/>
          <w:szCs w:val="28"/>
          <w:rtl w:val="true"/>
          <w:lang w:bidi="fa-IR"/>
        </w:rPr>
        <w:t>والاستصحاب</w:t>
      </w:r>
      <w:r>
        <w:rPr>
          <w:rStyle w:val="FootnoteAnchor"/>
          <w:rtl w:val="true"/>
        </w:rPr>
        <w:footnoteReference w:id="675"/>
      </w:r>
      <w:r>
        <w:rPr>
          <w:rFonts w:ascii="Amiri" w:hAnsi="Amiri" w:eastAsia="Amiri" w:cs="Amiri"/>
          <w:color w:val="111111"/>
          <w:sz w:val="28"/>
          <w:sz w:val="28"/>
          <w:szCs w:val="28"/>
          <w:rtl w:val="true"/>
          <w:lang w:bidi="ar-SA"/>
        </w:rPr>
        <w:t xml:space="preserve">عند البحث عن أصالة </w:t>
      </w:r>
    </w:p>
    <w:p>
      <w:pPr>
        <w:pStyle w:val="BookText"/>
        <w:rPr/>
      </w:pPr>
      <w:r>
        <w:rPr>
          <w:rFonts w:ascii="Amiri" w:hAnsi="Amiri" w:eastAsia="Amiri" w:cs="Amiri"/>
          <w:color w:val="111111"/>
          <w:sz w:val="28"/>
          <w:sz w:val="28"/>
          <w:szCs w:val="28"/>
          <w:rtl w:val="true"/>
          <w:lang w:bidi="ar-SA"/>
        </w:rPr>
        <w:t xml:space="preserve">عدم القابلية وأصالة عدم التذكية ، فلا بدّ لطالب التفصيل من الرجوع إلى ما هناك ، لكن نشير هنا إلى خلاصة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بدواً ، أن يكون المعتبر في مقابل مخالفة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المستثنى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المخالفة بنحو القضيّة السالبة المحصّلة ، سواء كانت المحصّلة المطلقة الصادقة مع سلب الموضوع وسلب المحمول ، أم المحصّلة بسلب الموضوع فقط ، أو بسلب المحمول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عدم المخالفة بنحو الموجبة سالبة المحمول ؛ أي الشرط الذي هو لم يكن مخالفاً للكتاب ، وهذا اعتبار آخر غير اعتبار السلب المحصّل بأقسامه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يكون المعتبر عدم المخالفة على نحو الموجبة المعدولة ؛ أي الشرط غير المخالف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التصوّر في الأقسام المعتبرة في القضايا التي ورد فيها السلب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المقام وأشباهه ؛ ممّا يترتّب الحكم الثبوتي على الموضوع ، كنفوذ الشرط المقابل للشرط المخالف ، فلا يعقل أن يكون الاعتبار على السلب التحصيلي بسلب الموضوع ؛ لعدم تعقّل نفوذ المعدوم ، وعدم تعقّل ثبوت شيء له حتّى الأمر الاعتباري ، بل يؤدّي ذلك إلى التناقض في الجعل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الغضّ عن أنّ السلبيات بسلب الموضوع ، لا واقعية لها ولا تقرّر لها في صفحة الوجود خارجاً ، ولا ذهناً ، ولا يعقل تصوّر المعدوم ولا الإشارة إليه إلاّ بعنوانه وبالحمل الأوّلي ، كما هو المقرّر في محلّه في الإخبار </w:t>
      </w:r>
    </w:p>
    <w:p>
      <w:pPr>
        <w:pStyle w:val="BookText"/>
        <w:rPr/>
      </w:pPr>
      <w:r>
        <w:rPr>
          <w:rFonts w:ascii="Amiri" w:hAnsi="Amiri" w:eastAsia="Amiri" w:cs="Amiri"/>
          <w:color w:val="111111"/>
          <w:sz w:val="28"/>
          <w:sz w:val="28"/>
          <w:szCs w:val="28"/>
          <w:rtl w:val="true"/>
          <w:lang w:bidi="ar-SA"/>
        </w:rPr>
        <w:t xml:space="preserve">عن المعدوم المطلق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لا يخبر عنه</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الحال في بطلان وعدم معقولية السالبة المحصّلة المطلقة ؛ بأن يكون المطلق المنطبق على السلب بنفي الموضوع ، موضوعاً للحكم الثبوتي ؛ لعين ما 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من أقسام المحصّلة ، السلب بنفي المحمول مع حفظ الموضوع ؛ أي الشرط المفروض وجوده مسلوبة عنه المخالفة ، والاعتبار على هذا النحو لا محذور فيه ، كما لا محذور في سائر الأقسام ؛ أي الموجبة السالبة المحمول والمعدولة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تبيّن ذلك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يصحّ اعتباره من الأقسام ، لا يجري الأصل فيه ؛ لعدم الحالة السابقة المتيقّنة فيه ، فكما لا سابقة للشرط غير المخالف ، كذلك الشرط المتّصف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لم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المفروض التحقّق مسلوبة عنه المخالفة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وجريانه فيما لا يصحّ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السلب بسلب الموضوع فقط أو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 لأنّ نفس المستصحب وإن كانت له حالة سابقة متيقّنة أزلية ، إلاّ أ نّه ليس موضوعاً للحكم ، وإجراؤه فيه لإثبات قسيمه أو قسم منه مثبت ، كما يظهر بأدنى تأمّل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بعض التعليقات ممّا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السالبة المحصّلة ، لا تحتاج إلى وجود الموضوع ، بل تصدق مع عدمه ومع عدم المحمول ، فعدم المخالفة أعمّ من </w:t>
      </w:r>
      <w:bookmarkStart w:id="398" w:name="pg15222_162412"/>
    </w:p>
    <w:p>
      <w:pPr>
        <w:pStyle w:val="BookText"/>
        <w:rPr/>
      </w:pPr>
      <w:bookmarkEnd w:id="398"/>
      <w:r>
        <w:rPr>
          <w:rFonts w:ascii="Amiri" w:hAnsi="Amiri" w:eastAsia="Amiri" w:cs="Amiri"/>
          <w:color w:val="111111"/>
          <w:sz w:val="28"/>
          <w:sz w:val="28"/>
          <w:szCs w:val="28"/>
          <w:rtl w:val="true"/>
          <w:lang w:bidi="ar-SA"/>
        </w:rPr>
        <w:t xml:space="preserve">نفي المخالفة مع وجود الطرفين ، ومن نفيها مع عدمهما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لا مجال للإشكال في أصالة عدم المخالفة ، ولا حاجة إلى استصحاب العدم المحمولي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مثبت بالنسبة إلى ثبوت العدم المقابل للوجود الرابط</w:t>
      </w:r>
      <w:r>
        <w:rPr>
          <w:rStyle w:val="FootnoteAnchor"/>
          <w:rtl w:val="true"/>
        </w:rPr>
        <w:footnoteReference w:id="677"/>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ناشئ من عدم التأمّل في أطراف القضيّة ، وإلاّ فاستصحاب العدم الجامع لإثبات قسم منه ، ممّا لا ريب في كونه مثبتاً ، وقد عرفت أنّ الجامع لا يعقل أن يكون موضوعاً للحكم إلاّ باعتبار قسم منه ، وهو السلب بسلب المحمول </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3331796_2142443653"/>
      <w:bookmarkStart w:id="400" w:name="_Toc147"/>
      <w:bookmarkEnd w:id="399"/>
      <w:r>
        <w:rPr>
          <w:rtl w:val="true"/>
        </w:rPr>
        <w:t>تقريب العلاّمة الحائري لأصالة عدم القرشية</w:t>
      </w:r>
      <w:bookmarkEnd w:id="400"/>
    </w:p>
    <w:p>
      <w:pPr>
        <w:pStyle w:val="BookText"/>
        <w:rPr/>
      </w:pPr>
      <w:r>
        <w:rPr>
          <w:rFonts w:ascii="Amiri" w:hAnsi="Amiri" w:eastAsia="Amiri" w:cs="Amiri"/>
          <w:color w:val="111111"/>
          <w:sz w:val="28"/>
          <w:sz w:val="28"/>
          <w:szCs w:val="28"/>
          <w:rtl w:val="true"/>
          <w:lang w:bidi="ar-SA"/>
        </w:rPr>
        <w:t xml:space="preserve">ثمّ إنّ لشيخنا العلاّمة أعلى اللّه مقامه ، تقريباً لأصالة عدم قرشية المرأة ونحوها ؛ وهو أنّ القرشية ونحوها غير لازمة للماهية ؛ فإنّها عارضة لها بواسطة الوجود وفي ظرفه ، فيصحّ أن يشار إلى المرأة الخارجية ويقال مشاراً إلى ماهيتها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لم تكن قرشية قبل تلبّسها بالوجود ، وبعده يشكّ في ثبوتها لها بوسيلته فيستصحب</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 xml:space="preserve">ويجري ذلك في المقام وسائر الموارد المشابهة ، وعليه يدفع إشكال المثبتية ، وكذا إشكال عدم اليقين بالحالة السابقة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وغيرها قبل الوجود ليست بشيء ، ولا يعقل إثبات شيء لها ، ولا سلبه عنها ؛ لأ نّها من الأباطيل التي تخترعها الواهمة ، من غير أن يكون لها تقرّر </w:t>
      </w:r>
      <w:r>
        <w:rPr>
          <w:rFonts w:eastAsia="Amiri" w:cs="Amiri" w:ascii="Amiri" w:hAnsi="Amiri"/>
          <w:color w:val="111111"/>
          <w:sz w:val="28"/>
          <w:szCs w:val="28"/>
          <w:rtl w:val="true"/>
          <w:lang w:bidi="ar-SA"/>
        </w:rPr>
        <w:t xml:space="preserve">. </w:t>
      </w:r>
      <w:bookmarkStart w:id="401" w:name="pg15222_162413"/>
    </w:p>
    <w:p>
      <w:pPr>
        <w:pStyle w:val="BookText"/>
        <w:rPr/>
      </w:pPr>
      <w:bookmarkEnd w:id="401"/>
      <w:r>
        <w:rPr>
          <w:rFonts w:ascii="Amiri" w:hAnsi="Amiri" w:eastAsia="Amiri" w:cs="Amiri"/>
          <w:color w:val="111111"/>
          <w:sz w:val="28"/>
          <w:sz w:val="28"/>
          <w:szCs w:val="28"/>
          <w:rtl w:val="true"/>
          <w:lang w:bidi="ar-SA"/>
        </w:rPr>
        <w:t xml:space="preserve">فما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تقرّر الماهيات ، وعالم الأعيان الثابتة</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لو اُريد به أ نّه تقرّر وثبوت بحسب الواقع للماهيات ، جزئية كانت ، أو كلّية ، قبل وجودها ، ومع سلب كافّة الوجودات الخارجية والذهنية ، فهو بمكان من الفساد ، ومن الواضح أن لا شيئية للمعدومات أمر لا يخفى على العرف العامّ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الإشارة إلى ماهية المرأة حال وجودها ، لا إشكال فيها ؛ فإنّها موجودة بوجودها ، لكن الحكم بأ نّها ماهية قبل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لها الوصف الكذائي ؛ بمعنى سلب الربط مع حفظ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فإنّها قبل الوجود لا شيء ، ومعدوم مطلقاً ، لا يثبت لها شيء ، ولا يسلب عنها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اُريد سلب الوصف عنها مع حفظ نفسها ، وأمّا إن اُريد السلب بسلبها موضوعاً ، فيأتي فيه إشكال المثبتية المتقدّم</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3331798_2142443653"/>
      <w:bookmarkStart w:id="403" w:name="_Toc148"/>
      <w:bookmarkEnd w:id="402"/>
      <w:r>
        <w:rPr>
          <w:rtl w:val="true"/>
        </w:rPr>
        <w:t>كلام الشيخ الأعظم وما يرد عليه</w:t>
      </w:r>
      <w:bookmarkEnd w:id="403"/>
    </w:p>
    <w:p>
      <w:pPr>
        <w:pStyle w:val="BookText"/>
        <w:rPr/>
      </w:pPr>
      <w:r>
        <w:rPr>
          <w:rFonts w:ascii="Amiri" w:hAnsi="Amiri" w:eastAsia="Amiri" w:cs="Amiri"/>
          <w:color w:val="111111"/>
          <w:sz w:val="28"/>
          <w:sz w:val="28"/>
          <w:szCs w:val="28"/>
          <w:rtl w:val="true"/>
          <w:lang w:bidi="ar-SA"/>
        </w:rPr>
        <w:t xml:space="preserve">وأمّا ما أفاده الشيخ الأعظم قدّس سرّه بعد البناء على جريان أصالة عدم المخالفة في صدر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الأصل إلى أصالة عدم ثبوت هذا الحكم على وجه لا يقبل تغيّره بالشرط</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يتّضح هل مراده أنّ الأصل الثاني عين الأوّل ، وأنّ أصالة عدم مخالفة </w:t>
      </w:r>
      <w:bookmarkStart w:id="404" w:name="pg15222_162414"/>
    </w:p>
    <w:p>
      <w:pPr>
        <w:pStyle w:val="BookText"/>
        <w:rPr/>
      </w:pPr>
      <w:bookmarkEnd w:id="404"/>
      <w:r>
        <w:rPr>
          <w:rFonts w:ascii="Amiri" w:hAnsi="Amiri" w:eastAsia="Amiri" w:cs="Amiri"/>
          <w:color w:val="111111"/>
          <w:sz w:val="28"/>
          <w:sz w:val="28"/>
          <w:szCs w:val="28"/>
          <w:rtl w:val="true"/>
          <w:lang w:bidi="ar-SA"/>
        </w:rPr>
        <w:t xml:space="preserve">الشرط للحكم ، عين أصالة عدم ثبوت الحكم على الوجه المذكور ،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ومرجع هذا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 نّه أغمض عن الأصل الأوّل ، وأجرى الثاني ؛ بواسطة إشكال في الأوّل دونه ؟</w:t>
      </w:r>
    </w:p>
    <w:p>
      <w:pPr>
        <w:pStyle w:val="BookText"/>
        <w:rPr/>
      </w:pPr>
      <w:r>
        <w:rPr>
          <w:rFonts w:ascii="Amiri" w:hAnsi="Amiri" w:eastAsia="Amiri" w:cs="Amiri"/>
          <w:color w:val="111111"/>
          <w:sz w:val="28"/>
          <w:sz w:val="28"/>
          <w:szCs w:val="28"/>
          <w:rtl w:val="true"/>
          <w:lang w:bidi="ar-SA"/>
        </w:rPr>
        <w:t xml:space="preserve">فإن كان المراد وحدة الأصلين ، فمن الواضح عدمها ؛ فإنّ وحدة الأصلين لا بدّ وأن تكون بوحدة القضيّة المتيقّنة والمشكوك فيها ، ومن المعلوم عدمها موضوعاً ومحمولاً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الوجه الثاني ؛ لأجل التخلّص عن إشكال عدم المسبوقية باليقين ، والمثبتية ، على ما تقدّم الكلام فيه بالنسبة إلى أصالة عدم المخالفة</w:t>
      </w:r>
      <w:r>
        <w:rPr>
          <w:rStyle w:val="FootnoteAnchor"/>
          <w:rtl w:val="true"/>
        </w:rPr>
        <w:footnoteReference w:id="682"/>
      </w:r>
      <w:r>
        <w:rPr>
          <w:rFonts w:ascii="Amiri" w:hAnsi="Amiri" w:eastAsia="Amiri" w:cs="Amiri"/>
          <w:color w:val="111111"/>
          <w:sz w:val="28"/>
          <w:sz w:val="28"/>
          <w:szCs w:val="28"/>
          <w:rtl w:val="true"/>
          <w:lang w:bidi="ar-SA"/>
        </w:rPr>
        <w:t xml:space="preserve">، فيرد على الثاني عين الإشكال ؛ فإنّ عدم الثبوت بالوجه المذكور ، غير مسبوق باليقين لو اُريد السلب بسلب المحمول ، ومثبت لو اُريد بسلب الموضوع لإثبات سلب المحمول </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3331800_2142443653"/>
      <w:bookmarkStart w:id="406" w:name="_Toc149"/>
      <w:bookmarkEnd w:id="405"/>
      <w:r>
        <w:rPr>
          <w:rtl w:val="true"/>
        </w:rPr>
        <w:t>توجيه المحقّق الأصفهاني ونقده</w:t>
      </w:r>
      <w:bookmarkEnd w:id="406"/>
    </w:p>
    <w:p>
      <w:pPr>
        <w:pStyle w:val="BookText"/>
        <w:rPr/>
      </w:pPr>
      <w:r>
        <w:rPr>
          <w:rFonts w:ascii="Amiri" w:hAnsi="Amiri" w:eastAsia="Amiri" w:cs="Amiri"/>
          <w:color w:val="111111"/>
          <w:sz w:val="28"/>
          <w:sz w:val="28"/>
          <w:szCs w:val="28"/>
          <w:rtl w:val="true"/>
          <w:lang w:bidi="ar-SA"/>
        </w:rPr>
        <w:t xml:space="preserve">وممّا ذكرناه يظهر النظر في التوجيهات التي ارتكبها بعض الأجلّة في تعليقاته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السابق عبارة اُخرى عن اللاحق ، فإنّ نفي كلّ عنوان منتزع عن شيء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مبدأ العنوان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الانتساب المقوّم لعنوانية العنوان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المعنون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ومآل الكلّ إلى أمر واحد ؛ وهو نفي العنوان ، فنفي عنوان المخالف </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المخالفة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الحكم المخالف ؛ أي عدم الحكم الذي لا يتغيّر</w:t>
      </w:r>
      <w:r>
        <w:rPr>
          <w:rStyle w:val="FootnoteAnchor"/>
          <w:rtl w:val="true"/>
        </w:rPr>
        <w:footnoteReference w:id="68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بأنّ مآل الكلّ واحد ، أنّ القضيّة المستصحبة في الكلّ واحدة ، فهو خلاف الضرورة ؛ فإنّ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كون الشرط مخالفاً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ثبوت هذا الحكم على وجه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الحكم الكذائي غير مخالف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الموضوع والمحمول فيها ، والاستصحاب في إحداها غير كافٍ عن الاُخرى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الغرض من جريان الكلّ واحد وهو إثبات صحّة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عدم دفع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عدم ثبوت الحكم الكذائي لا تثبت صحّته ، وكذا أصالة عدم مخالفة الكتاب للشرط ، إلاّ على القول بالأصل المثبت ؛ فإنّ ما ورد في النصّ منطوقاً ومفهوما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الشرط للكتاب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والقضايا المستصحبة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مخالفة الشرط للكتاب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منقّحة لموضوع دليل الشرط إلاّ بالاستلزامات العقلية أو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الضعف في تخلّصه عن الإشكال الذي أوردوه على أصالة عدم مخالفة الكتاب للشرط ؛ بأ نّه مثبت</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 حيث تخلّص عنه بوجهين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المحقّق الخراساني قدّس سرّه ؛ من أنّ المتلازمين المتضايفين ، </w:t>
      </w:r>
    </w:p>
    <w:p>
      <w:pPr>
        <w:pStyle w:val="BookText"/>
        <w:rPr/>
      </w:pPr>
      <w:r>
        <w:rPr>
          <w:rFonts w:ascii="Amiri" w:hAnsi="Amiri" w:eastAsia="Amiri" w:cs="Amiri"/>
          <w:color w:val="111111"/>
          <w:sz w:val="28"/>
          <w:sz w:val="28"/>
          <w:szCs w:val="28"/>
          <w:rtl w:val="true"/>
          <w:lang w:bidi="ar-SA"/>
        </w:rPr>
        <w:t>كالواحد الذي له وجهان عرفاً ، والتعبّد بأحدهما عين التعبّد بالآخر</w:t>
      </w:r>
      <w:r>
        <w:rPr>
          <w:rStyle w:val="FootnoteAnchor"/>
          <w:rtl w:val="true"/>
        </w:rPr>
        <w:footnoteReference w:id="685"/>
      </w:r>
      <w:r>
        <w:rPr>
          <w:rFonts w:ascii="Amiri" w:hAnsi="Amiri" w:eastAsia="Amiri" w:cs="Amiri"/>
          <w:color w:val="111111"/>
          <w:sz w:val="28"/>
          <w:sz w:val="28"/>
          <w:szCs w:val="28"/>
          <w:rtl w:val="true"/>
          <w:lang w:bidi="ar-SA"/>
        </w:rPr>
        <w:t xml:space="preserve">، والمخالفة بين الكتاب والشرط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يرجع محصّله إلى أنّ الموضوع في الشرط المخالف ، مؤلّف من الشرط ، وعدم ثبوت الحكم على وجه لا يتغيّر ، فيحرز بالوجدان والأصل</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الضعف أ نّه يرد 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المدّعى أنّ العرف لا يفهم كثرة عنوان المتلازمين المتضايفين ، بل في نظره الاُبوّة عين البنوّة ، وقضيّة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مخالف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يفرّق بين الأصل والعكس ، ولا بين المتضايفات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ممنوع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البناء على فهم العرف ما ذكر ، يكون الأصل غير مثبت غير وجيهة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 نّه مخالف لظاهر الأدلّة ؛ فإنّ المفهوم من الاستثناء ، الشروط التي لا تخالف ونحو ذلك ، وأين هذا من التركيب الذي ذكره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الإشكال المتقدّم في أصالة عدم ثبوت الحكم الكذائي</w:t>
      </w:r>
      <w:r>
        <w:rPr>
          <w:rStyle w:val="FootnoteAnchor"/>
          <w:rtl w:val="true"/>
        </w:rPr>
        <w:footnoteReference w:id="687"/>
      </w:r>
      <w:r>
        <w:rPr>
          <w:rFonts w:ascii="Amiri" w:hAnsi="Amiri" w:eastAsia="Amiri" w:cs="Amiri"/>
          <w:color w:val="111111"/>
          <w:sz w:val="28"/>
          <w:sz w:val="28"/>
          <w:szCs w:val="28"/>
          <w:rtl w:val="true"/>
          <w:lang w:bidi="ar-SA"/>
        </w:rPr>
        <w:t xml:space="preserve">، لا يندفع بذلك ، كما هو واضح </w:t>
      </w:r>
      <w:r>
        <w:rPr>
          <w:rFonts w:eastAsia="Amiri" w:cs="Amiri" w:ascii="Amiri" w:hAnsi="Amiri"/>
          <w:color w:val="111111"/>
          <w:sz w:val="28"/>
          <w:szCs w:val="28"/>
          <w:rtl w:val="true"/>
          <w:lang w:bidi="ar-SA"/>
        </w:rPr>
        <w:t xml:space="preserve">. </w:t>
      </w:r>
      <w:bookmarkStart w:id="407" w:name="pg15222_162417"/>
    </w:p>
    <w:p>
      <w:pPr>
        <w:pStyle w:val="Heading5"/>
        <w:numPr>
          <w:ilvl w:val="4"/>
          <w:numId w:val="1"/>
        </w:numPr>
        <w:rPr/>
      </w:pPr>
      <w:bookmarkStart w:id="408" w:name="__RefHeading___Toc3331802_2142443653"/>
      <w:bookmarkStart w:id="409" w:name="_Toc150"/>
      <w:bookmarkEnd w:id="407"/>
      <w:bookmarkEnd w:id="408"/>
      <w:r>
        <w:rPr>
          <w:rtl w:val="true"/>
        </w:rPr>
        <w:t>بناء المحقّق الخراساني على أصالة عدم المخالفة لإحراز الموضوع</w:t>
      </w:r>
      <w:bookmarkEnd w:id="409"/>
    </w:p>
    <w:p>
      <w:pPr>
        <w:pStyle w:val="BookText"/>
        <w:rPr/>
      </w:pPr>
      <w:r>
        <w:rPr>
          <w:rFonts w:ascii="Amiri" w:hAnsi="Amiri" w:eastAsia="Amiri" w:cs="Amiri"/>
          <w:color w:val="111111"/>
          <w:sz w:val="28"/>
          <w:sz w:val="28"/>
          <w:szCs w:val="28"/>
          <w:rtl w:val="true"/>
          <w:lang w:bidi="ar-SA"/>
        </w:rPr>
        <w:t xml:space="preserve">ثمّ إنّ المحقّق الخراساني قدّس سرّه ، بنى على أنّ إجراء أصالة عدم تحقّق المخالفة بين الشرط والكتاب ؛ بنحو ليس التامّة والعدم المحمولي ، كافٍ في إحراز موضوع أدلّة الشروط ، من غير احتياج إلى أصالة عدم كون الشرط مخالفاً ؛ فإنّ الخارج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688"/>
      </w:r>
      <w:r>
        <w:rPr>
          <w:rFonts w:ascii="Amiri" w:hAnsi="Amiri" w:eastAsia="Amiri" w:cs="Amiri"/>
          <w:color w:val="111111"/>
          <w:sz w:val="28"/>
          <w:sz w:val="28"/>
          <w:szCs w:val="28"/>
          <w:rtl w:val="true"/>
          <w:lang w:bidi="ar-SA"/>
        </w:rPr>
        <w:t xml:space="preserve">بالاستثناء ، ليس إلاّ عنوان واحد خاصّ ، والباقي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عنوان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 ، ومن العناوين هو العدم المحمولي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تشخيص ما بقي تحت عنوان العامّ ، هو الظهور العرفي للكلام ، ومن الواضح أنّ الاستثناء إنّما هو عن الشروط ، وبعد الاستثناء يعلم أنّ الشروط بحسب الواقع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مخالف ، وفي مقابله ما لم يكن مخالفاً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نفساً وبالوجود المحمولي ، أو عدمها ، فلا يكون في العموم،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بقي بعد الاستثناء ، فدعوى بقاء كلّ عنوان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التسليم ، يرد على الأصل المذكور وكلّ أصل مشابه له ، ما يرد على أصالة عدم كون الشرط مخالفاً بالعدم الربطي ؛ فإنّ العناوين المحمولية والنفسية على قسمين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إضافة له إلى شيء في الخارج ، كالإنسان ، والعالم ، والبياض </w:t>
      </w:r>
      <w:r>
        <w:rPr>
          <w:rFonts w:eastAsia="Amiri" w:cs="Amiri" w:ascii="Amiri" w:hAnsi="Amiri"/>
          <w:color w:val="111111"/>
          <w:sz w:val="28"/>
          <w:szCs w:val="28"/>
          <w:rtl w:val="true"/>
          <w:lang w:bidi="ar-SA"/>
        </w:rPr>
        <w:t xml:space="preserve">. </w:t>
      </w:r>
      <w:bookmarkStart w:id="410" w:name="pg15222_162418"/>
    </w:p>
    <w:p>
      <w:pPr>
        <w:pStyle w:val="BookText"/>
        <w:rPr/>
      </w:pPr>
      <w:bookmarkEnd w:id="410"/>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إضافة ، كمخالفة الشرط للكتاب ، وعدم كون المرأة من قريش ،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وإن كان مسبوقاً بالعدم ، لكنّ المسبوقية إنّما هي بعدم الأطراف والمضاف إليها ؛ ضرورة أ نّه قبل وجود أطراف الإضافة لا تعقل إضافة ، ولا مضاف ، ولا مضاف إليه ، ومثل هذا العدم بعدم الأطراف ، لم يكن موضوعاً للحكم ، وما هو موضوع هو العدم المضاف إلى الشرط والكتاب ، وهو غير مسبوق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الإيراد الوارد على الكون الرابط ، وارد على العناوين المضافة طابق النعل بالنعل ، فما اشتهر بينهم ؛ من عدم الإشكال في 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 إذا كان الحكم مترتّباً عليها </w:t>
      </w:r>
      <w:r>
        <w:rPr>
          <w:rStyle w:val="FootnoteAnchor"/>
          <w:rtl w:val="true"/>
        </w:rPr>
        <w:footnoteReference w:id="690"/>
      </w:r>
      <w:r>
        <w:rPr>
          <w:rFonts w:ascii="Amiri" w:hAnsi="Amiri" w:eastAsia="Amiri" w:cs="Amiri"/>
          <w:color w:val="111111"/>
          <w:sz w:val="28"/>
          <w:sz w:val="28"/>
          <w:szCs w:val="28"/>
          <w:rtl w:val="true"/>
          <w:lang w:bidi="ar-SA"/>
        </w:rPr>
        <w:t xml:space="preserve">، غير متّجه بإطلاقه </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331804_2142443653"/>
      <w:bookmarkStart w:id="412" w:name="_Toc151"/>
      <w:bookmarkEnd w:id="411"/>
      <w:r>
        <w:rPr>
          <w:rtl w:val="true"/>
        </w:rPr>
        <w:t>تفصيل المحقّق النائيني في القيد المأخوذ في موضوع الحكم</w:t>
      </w:r>
      <w:bookmarkEnd w:id="412"/>
    </w:p>
    <w:p>
      <w:pPr>
        <w:pStyle w:val="BookText"/>
        <w:rPr/>
      </w:pPr>
      <w:r>
        <w:rPr>
          <w:rFonts w:ascii="Amiri" w:hAnsi="Amiri" w:eastAsia="Amiri" w:cs="Amiri"/>
          <w:color w:val="111111"/>
          <w:sz w:val="28"/>
          <w:sz w:val="28"/>
          <w:szCs w:val="28"/>
          <w:rtl w:val="true"/>
          <w:lang w:bidi="ar-SA"/>
        </w:rPr>
        <w:t xml:space="preserve">وهاهنا كلام من بعض الأعاظم ، في قبال المحقّق الخراساني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القيد المأخوذ في موضوع الحكم ، بين ما إذا كان من قبيل العرض لموضوعه ، وغير ذلك ممّا كان الموضوع مركّباً من جوهرين ، أو عرضين لموضوعين ، أو لموضوع خارج عن موضوع الحكم ، فبنى على صحّة جريان الأصل ، وإحراز الموضوع به وبالوجدان في الثاني ، دون الأوّل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العدم المحمولي فيه ، مبنيّ على إمكان أخذه بهذا </w:t>
      </w:r>
    </w:p>
    <w:p>
      <w:pPr>
        <w:pStyle w:val="BookText"/>
        <w:rPr/>
      </w:pPr>
      <w:r>
        <w:rPr>
          <w:rFonts w:ascii="Amiri" w:hAnsi="Amiri" w:eastAsia="Amiri" w:cs="Amiri"/>
          <w:color w:val="111111"/>
          <w:sz w:val="28"/>
          <w:sz w:val="28"/>
          <w:szCs w:val="28"/>
          <w:rtl w:val="true"/>
          <w:lang w:bidi="ar-SA"/>
        </w:rPr>
        <w:t xml:space="preserve">اللحاظ في موضوع الدليل ثبوتاً وإثباتاً ، والأقوى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ثبوتاً ؛ فلأنّ المعروض بالنسبة إلى انقسامه إلى هذا العرض ونقيضه ، إمّا مطلق ، أو 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تقيّده بعدم كون العرض بوجوده المحمولي مقارناً له ، مدافعاً لهذا الإطلاق ؛ لأنّ المفروض أنّ المعروض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انقساماته الأوّلية ، الملحوظة قبل انقساماته من حيث الاُمور المقارنة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 غير مقيّد ؛ لا بوجود العرض نعتا له ، ولا بعدمه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مقيّدا به ، فتقييده بعدم وجوده المحمولي 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العالم من حيث انقسامه إلى الفاسق ونقيضه مطلقاً ، فتقيّده بعدم وجود فسقه مقارناً لوجوده ، يدافع الإطلاق ، وإن كان مقيّداً بعدم كونه فاسقاً ، فتقيّده أيضاً بعدم وجود الفسق في زمانه ، تقييد لغو مستهجن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العرض ملحوظاً على وجه النعتية في الإطلاق والتقييد ، ولا تصل النوبة إلى لحاظه عرضاً ومحمولاً ؛ فإنّ انقساماته الطارئة عليه أوّلاً ، مقدّمة على لحاظه باعتبار مقارناته</w:t>
      </w:r>
      <w:r>
        <w:rPr>
          <w:rStyle w:val="FootnoteAnchor"/>
          <w:rtl w:val="true"/>
        </w:rPr>
        <w:footnoteReference w:id="691"/>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موارد للنظر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 أنّ الإطلاق متقوّم باللحاظ ، وهو بمكان من الضعف ، وتكرّر منّا أنّ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جعل الموضوع بلا قيد متعلّقاً </w:t>
      </w:r>
    </w:p>
    <w:p>
      <w:pPr>
        <w:pStyle w:val="BookText"/>
        <w:rPr/>
      </w:pPr>
      <w:r>
        <w:rPr>
          <w:rFonts w:ascii="Amiri" w:hAnsi="Amiri" w:eastAsia="Amiri" w:cs="Amiri"/>
          <w:color w:val="111111"/>
          <w:sz w:val="28"/>
          <w:sz w:val="28"/>
          <w:szCs w:val="28"/>
          <w:rtl w:val="true"/>
          <w:lang w:bidi="ar-SA"/>
        </w:rPr>
        <w:t>للحكم</w:t>
      </w:r>
      <w:r>
        <w:rPr>
          <w:rStyle w:val="FootnoteAnchor"/>
          <w:rtl w:val="true"/>
        </w:rPr>
        <w:footnoteReference w:id="692"/>
      </w:r>
      <w:r>
        <w:rPr>
          <w:rFonts w:ascii="Amiri" w:hAnsi="Amiri" w:eastAsia="Amiri" w:cs="Amiri"/>
          <w:color w:val="111111"/>
          <w:sz w:val="28"/>
          <w:sz w:val="28"/>
          <w:szCs w:val="28"/>
          <w:rtl w:val="true"/>
          <w:lang w:bidi="ar-SA"/>
        </w:rPr>
        <w:t xml:space="preserve">، ومنه يحتجّ على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الإطلاق على فرض كونه لحاظياً ، فهو تابع للحاظ المتكلّم ، فله أن يلاحظ مطلقاً بالنسبة إلى وصف نعتي ، أو عرض محمولي ، أو يقيّد بالنسبة إلى واحد منهما ، وعليه فلا أثر لتقدّم أحدهما على الآخر لو فرضت صحّة التقدّم والتأخّر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الكلام بالإضافة إلى الأوصاف الناعتة ، قابل للتقييد ، وليس التقييد منافياً له بحسب الجدّ ، كما في كلّ مطلق ومقيّد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 أنّ للكلام إطلاقاً بالنسبة إلى الأوصاف الناعتة ، ثمّ ضمّ المتكلّم إلى الموضوع وصفاً محمولياً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جزء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ذلك عن عدم الإطلاق بالنسبة إلى النعتي أيضاً ؛ لامتناع الجمع بين الإطلاق جدّاً فيه والتقييد ،كما أنّ التقييد بالنعتي كاشف عن عدم 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تقييد المطلق ، بين أن يكون القيد وصفاً نعتياً ، أو محمولياً ، سواء كان الإطلاق لحاظياً كما قيل ، أو لا كما هو التحقيق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رحمه الله علیه ، ذكر في مقام الإثبات أمثلة من الأوصاف النعتية ولم يذكر غيرها ، مع أنّ في كلّ ما ذكر ، يمكن التقييد بها أو بالأعراض بوجودها المحمولي ، فكما يصحّ للمتكلّم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يصحّ أن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 العدالة مقارنة له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 أمثاله ونظائره ؛ ممّا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العنوان المحمولي جزء الموضوع </w:t>
      </w:r>
      <w:r>
        <w:rPr>
          <w:rFonts w:eastAsia="Amiri" w:cs="Amiri" w:ascii="Amiri" w:hAnsi="Amiri"/>
          <w:color w:val="111111"/>
          <w:sz w:val="28"/>
          <w:szCs w:val="28"/>
          <w:rtl w:val="true"/>
          <w:lang w:bidi="ar-SA"/>
        </w:rPr>
        <w:t xml:space="preserve">. </w:t>
      </w:r>
      <w:bookmarkStart w:id="413" w:name="pg15222_162421"/>
    </w:p>
    <w:p>
      <w:pPr>
        <w:pStyle w:val="Heading4"/>
        <w:numPr>
          <w:ilvl w:val="3"/>
          <w:numId w:val="1"/>
        </w:numPr>
        <w:rPr/>
      </w:pPr>
      <w:bookmarkStart w:id="414" w:name="__RefHeading___Toc3331806_2142443653"/>
      <w:bookmarkStart w:id="415" w:name="_Toc152"/>
      <w:bookmarkEnd w:id="413"/>
      <w:bookmarkEnd w:id="414"/>
      <w:r>
        <w:rPr>
          <w:rtl w:val="true"/>
        </w:rPr>
        <w:t xml:space="preserve">الخامس </w:t>
      </w:r>
      <w:r>
        <w:rPr>
          <w:rtl w:val="true"/>
        </w:rPr>
        <w:t xml:space="preserve">: </w:t>
      </w:r>
      <w:r>
        <w:rPr>
          <w:rtl w:val="true"/>
        </w:rPr>
        <w:t>أن لا يكون منافياً لمقتضى العقد</w:t>
      </w:r>
      <w:bookmarkEnd w:id="415"/>
    </w:p>
    <w:p>
      <w:pPr>
        <w:pStyle w:val="Heading5"/>
        <w:numPr>
          <w:ilvl w:val="4"/>
          <w:numId w:val="1"/>
        </w:numPr>
        <w:rPr/>
      </w:pPr>
      <w:bookmarkStart w:id="416" w:name="__RefHeading___Toc3331808_2142443653"/>
      <w:bookmarkStart w:id="417" w:name="_Toc153"/>
      <w:bookmarkEnd w:id="416"/>
      <w:r>
        <w:rPr>
          <w:rtl w:val="true"/>
        </w:rPr>
        <w:t>اشارة</w:t>
      </w:r>
      <w:bookmarkEnd w:id="417"/>
    </w:p>
    <w:p>
      <w:pPr>
        <w:pStyle w:val="BookText"/>
        <w:rPr/>
      </w:pPr>
      <w:r>
        <w:rPr>
          <w:rFonts w:ascii="Amiri" w:hAnsi="Amiri" w:eastAsia="Amiri" w:cs="Amiri"/>
          <w:color w:val="111111"/>
          <w:sz w:val="28"/>
          <w:sz w:val="28"/>
          <w:szCs w:val="28"/>
          <w:rtl w:val="true"/>
          <w:lang w:bidi="ar-SA"/>
        </w:rPr>
        <w:t xml:space="preserve">وقد اضطربت كلماتهم في بيان هذا الشرط ، ووقع الخلط في مورد البحث ، وذكروا أمثلة خارجة عن محطّه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البحث عن شروط صحّة الشرط ، إنّما هو بعد الفراغ عن الشروط أو الأسباب التي هي دخيلة في تحقّقه ووجوده ، 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معقولية تعلّق القصد بالعقد والشرط معاً ، والتفصيل في ذلك</w:t>
      </w:r>
      <w:r>
        <w:rPr>
          <w:rStyle w:val="FootnoteAnchor"/>
          <w:rtl w:val="true"/>
        </w:rPr>
        <w:footnoteReference w:id="693"/>
      </w:r>
      <w:r>
        <w:rPr>
          <w:rFonts w:ascii="Amiri" w:hAnsi="Amiri" w:eastAsia="Amiri" w:cs="Amiri"/>
          <w:color w:val="111111"/>
          <w:sz w:val="28"/>
          <w:sz w:val="28"/>
          <w:szCs w:val="28"/>
          <w:rtl w:val="true"/>
          <w:lang w:bidi="ar-SA"/>
        </w:rPr>
        <w:t xml:space="preserve">، أجنبيّ عن مورد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مقتضى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عدم كون الشرط مخالفاً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البحث عن مخالفته لماهية العقد وأركانه ، أو مخالفته للأحكام المترتّبة على ذات العقد ، أو للأحكام المترتّبة على المعقود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بعض الموارد التي سنشير إليها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خارجاً عن محطّ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فالتشقيقات الكثيرة الواقعة في كلام بعض الأجلّة</w:t>
      </w:r>
      <w:r>
        <w:rPr>
          <w:rStyle w:val="FootnoteAnchor"/>
          <w:rtl w:val="true"/>
        </w:rPr>
        <w:footnoteReference w:id="695"/>
      </w:r>
      <w:r>
        <w:rPr>
          <w:rFonts w:ascii="Amiri" w:hAnsi="Amiri" w:eastAsia="Amiri" w:cs="Amiri"/>
          <w:color w:val="111111"/>
          <w:sz w:val="28"/>
          <w:sz w:val="28"/>
          <w:szCs w:val="28"/>
          <w:rtl w:val="true"/>
          <w:lang w:bidi="ar-SA"/>
        </w:rPr>
        <w:t xml:space="preserve">، كالأمثلة التي وقعت مورداً للنقض والإبرام ، جلّها أجنبيّ عن عنوان البحث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لعقد البيع مقوّمات وأركاناً دخيلة في مفهومه ، أو تحقّق ماهيته ، </w:t>
      </w:r>
      <w:bookmarkStart w:id="418" w:name="pg15222_162422"/>
    </w:p>
    <w:p>
      <w:pPr>
        <w:pStyle w:val="BookText"/>
        <w:rPr/>
      </w:pPr>
      <w:bookmarkEnd w:id="418"/>
      <w:r>
        <w:rPr>
          <w:rFonts w:ascii="Amiri" w:hAnsi="Amiri" w:eastAsia="Amiri" w:cs="Amiri"/>
          <w:color w:val="111111"/>
          <w:sz w:val="28"/>
          <w:sz w:val="28"/>
          <w:szCs w:val="28"/>
          <w:rtl w:val="true"/>
          <w:lang w:bidi="ar-SA"/>
        </w:rPr>
        <w:t xml:space="preserve">كالإيجاب ، والقبول بناءً على دخالته أيضا فيه ، وكالقصد ، والجدّ المقابل للهزل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بعد التحقّق أحكام ، كاللزوم ووجوب الوفاء ، ولمتعلّقاته أحكام بعد تماميته ؛ ككون كلّ منهما سلطاناً على ما انتقل إليه ، وتصحّ من كلّ منهما التصرّفات الاعتبارية ، وتجوز سائر التصرّفات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ذلك خارج عن مقتضى العقد ومحطّ عنوان البحث ، وما هو داخل فيه هو ما يقتضيه من النقل الإنشائي ، ويلحق به النقل الحقيقي الاعتباري ، الذي هو مترتّب على الإنشائي </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3331810_2142443653"/>
      <w:bookmarkStart w:id="420" w:name="_Toc154"/>
      <w:bookmarkEnd w:id="419"/>
      <w:r>
        <w:rPr>
          <w:rtl w:val="true"/>
        </w:rPr>
        <w:t>تحديد دائرة الشرط المخالف لمقتضى العقد</w:t>
      </w:r>
      <w:bookmarkEnd w:id="420"/>
    </w:p>
    <w:p>
      <w:pPr>
        <w:pStyle w:val="BookText"/>
        <w:rPr/>
      </w:pPr>
      <w:r>
        <w:rPr>
          <w:rFonts w:ascii="Amiri" w:hAnsi="Amiri" w:eastAsia="Amiri" w:cs="Amiri"/>
          <w:color w:val="111111"/>
          <w:sz w:val="28"/>
          <w:sz w:val="28"/>
          <w:szCs w:val="28"/>
          <w:rtl w:val="true"/>
          <w:lang w:bidi="ar-SA"/>
        </w:rPr>
        <w:t xml:space="preserve">ثمّ إنّه لا بدّ من البحث عن الشروط المخالفة التي قد يتّفق اشتراطها من المتعاملين ولو أحياناً ،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بشرط أن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بشرط أن لا تصير المرأة 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يقع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للبحث عنه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فالشرط المخالف لمقتضى العقد الذي هو قابل للبحث وداخل في عنوانه ، هو مثل شرط أن ينعتق العبد ، وشرط أن يصير المبيع وقفاً ، أو ملكاً لغيره ؛ ممّا قد يتّفق من بعض الناس ، نظير اشتراء من ينعتق عليه قبل أن يصير </w:t>
      </w:r>
    </w:p>
    <w:p>
      <w:pPr>
        <w:pStyle w:val="BookText"/>
        <w:rPr/>
      </w:pPr>
      <w:r>
        <w:rPr>
          <w:rFonts w:ascii="Amiri" w:hAnsi="Amiri" w:eastAsia="Amiri" w:cs="Amiri"/>
          <w:color w:val="111111"/>
          <w:sz w:val="28"/>
          <w:sz w:val="28"/>
          <w:szCs w:val="28"/>
          <w:rtl w:val="true"/>
          <w:lang w:bidi="ar-SA"/>
        </w:rPr>
        <w:t>ملكاً ، كما يحتمل في النصّ</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الشرط مخالف لمقتضى العقد ؛ فإنّ مقتضى مضمون البيع تمليك العين للمشتري ، ومقتضى الشرط عدم ملكيته ، وبطلان الشرط على ذلك واضح ؛ للتنافي بين مضمونيهما ؛ ولا يعقل وقوعهما ، وبطلان الشرط متيقّن بعد البناء على بطلان الشرط الابتدائي ، أو في ضمن العقد الفاسد ، لا لأجل عدم تعقّل تعلّق القصد بهما كما قيل</w:t>
      </w:r>
      <w:r>
        <w:rPr>
          <w:rStyle w:val="FootnoteAnchor"/>
          <w:rtl w:val="true"/>
        </w:rPr>
        <w:footnoteReference w:id="698"/>
      </w:r>
      <w:r>
        <w:rPr>
          <w:rFonts w:ascii="Amiri" w:hAnsi="Amiri" w:eastAsia="Amiri" w:cs="Amiri"/>
          <w:color w:val="111111"/>
          <w:sz w:val="28"/>
          <w:sz w:val="28"/>
          <w:szCs w:val="28"/>
          <w:rtl w:val="true"/>
          <w:lang w:bidi="ar-SA"/>
        </w:rPr>
        <w:t xml:space="preserve">، بل لأجل التنافي بحسب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مع تصوّر الأطراف ، والمعرفة بجميع الجهات ، لا يكون الجدّ فيهما معقولاً ، لكنّه خارج عن عنوان البحث ، كما تقدّم</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الأعظم قدّس سرّه لفساده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مخالفاً للشرع أيضاً </w:t>
      </w:r>
      <w:r>
        <w:rPr>
          <w:rStyle w:val="FootnoteAnchor"/>
          <w:rtl w:val="true"/>
        </w:rPr>
        <w:footnoteReference w:id="700"/>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كذلك ؛ لأنّ مقتضى أدلّة إنفاذ العقود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xml:space="preserve">لزوم البناء على وقوع مضمونها ، سواء كان كناية عنه ، أو لازماً لمفاده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على ذلك داخل في الشرط السابق ، ومن أمثلته ، ولا يكون شرطاً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بمخالفة مقتضى العقد ، ما يرجع إلى التنافي بينه وبين أصل العقد ، أو الملكية التي هي مضمونه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الجمود على عنوان البحث ، تخصيص البطلان بالشرط الذي مضمونه على خلاف مضمون العقد الذي هو مقتضاه ، كالأمثلة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لا يكون بين المضمونين مطابقة مخالفة ، وإنّما التنافي بين الشرط وبين وقوع البيع عرفاً ، أو بينه وبين التمليك كذلك استلزاماً ، كما لو شرط عدم تسليم المبيع مطلقا ؛ فإنّ ذلك وإن لم يكن مخالفاً لمقتضى العقد ، فإنّ مقتضاه ومضمونه ليس إلاّ التبادل بين المالين ، أو تمليك العين بالعوض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لمّا كانت تلك العناوين الاعتبارية ، وسيلة للوصول إلى الأغراض العقلائية ؛ إذ من الواضح أنّ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 ليس بنفسه مطلوباً ومتعلّقاً للأغراض ، بل آلة للوصول إلى المبيع والثمن ؛ ممّا هو المقصود بالذات ، فمع فرض عدم التسلّم والتسليم مطلقاً ، لم يكن إنشاء البيع إلاّ هزلاً ولقلقة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وقوع مثله غفلة عن الواقع ، لا يقع صحيحاً عند العرف ، كما لو باع ما يمتنع تسليمه وتسلّمه إلى الأبد ، فلو شرط عدم التسليم أبداً ، يقع التنافي بين البيع صحّة واعتباراً عقلائياً ، وبين الشرط ، فهو متيقّن البطلان ؛ لما مرّ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لو شرط عدم التصرّف مطلقاً في المبيع ، لا التصرّفات الخارجية ، ولا الاعتبارية ، فإنّ ذلك موجب لسلب اعتبار الملكية ، فإنّ اعتبار أمثالها ، معلول </w:t>
      </w:r>
    </w:p>
    <w:p>
      <w:pPr>
        <w:pStyle w:val="BookText"/>
        <w:rPr/>
      </w:pPr>
      <w:r>
        <w:rPr>
          <w:rFonts w:ascii="Amiri" w:hAnsi="Amiri" w:eastAsia="Amiri" w:cs="Amiri"/>
          <w:color w:val="111111"/>
          <w:sz w:val="28"/>
          <w:sz w:val="28"/>
          <w:szCs w:val="28"/>
          <w:rtl w:val="true"/>
          <w:lang w:bidi="ar-SA"/>
        </w:rPr>
        <w:t xml:space="preserve">للسلطة على التصرّفات ولو في الجملة ، ومع سلبها مطلقاً لا مصحّح لاعتبارها ، فيقع التنافي حينئذٍ بين الشرط ، وبين الملكية المنشأة بالبيع على وجه الاستلزام ، فيقع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شرط عدم الاستمتاعات الجنسية بقول مطلق ، فالظاهر صحّته ؛ لترتّب بعض الأحكام الشرعية والأغراض العقلائية على التزويج ، كالمصاهرة مع بيت شريف شرعاً أو عرفاً ، أو حصول المحرمية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غير ذلك ممّا تتعلّق به الأغراض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إشكال في صحّة شرط ترك بعض التصرّفات الخارجية ، أو الاعتبارية ، كشرط عدم البيع أو الإجارة ، أو شرط البيع من شخص ، أو شرط عدم التسليم فوراً ، أو التسليم بعد زمان ، ونظائرها ممّا لا ينبغي الإشكال في صحّتها ، وعدم مخالفتها لمضمون البيع ، وعدم التنافي بينهما ولو استلزاماً ، وعدم المخالفة للشرع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مخالفاً لدليل السلطنة</w:t>
      </w:r>
      <w:r>
        <w:rPr>
          <w:rStyle w:val="FootnoteAnchor"/>
          <w:rtl w:val="true"/>
        </w:rPr>
        <w:footnoteReference w:id="702"/>
      </w:r>
      <w:r>
        <w:rPr>
          <w:rFonts w:ascii="Amiri" w:hAnsi="Amiri" w:eastAsia="Amiri" w:cs="Amiri"/>
          <w:color w:val="111111"/>
          <w:sz w:val="28"/>
          <w:sz w:val="28"/>
          <w:szCs w:val="28"/>
          <w:rtl w:val="true"/>
          <w:lang w:bidi="ar-SA"/>
        </w:rPr>
        <w:t xml:space="preserve">في غاية الفساد ؛ فإنّ دليلها لا يمنع ما هو من قبيل إعمالها ،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وجلّ الالتزامات العقلائية والشرعية ، توجب تحديداً في قاعدة السلطنة ، فبإعمال القاعدة تخرج العين عن سلطانه في الرهن ونحوه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الإعراض عن الملك ، من شؤون السلطنة عليه ، كما أنّ شرط عدم تصرّف خاصّ في ظرف الملكية ، من قبيل إعمالها في ظرفها </w:t>
      </w:r>
      <w:r>
        <w:rPr>
          <w:rFonts w:eastAsia="Amiri" w:cs="Amiri" w:ascii="Amiri" w:hAnsi="Amiri"/>
          <w:color w:val="111111"/>
          <w:sz w:val="28"/>
          <w:szCs w:val="28"/>
          <w:rtl w:val="true"/>
          <w:lang w:bidi="ar-SA"/>
        </w:rPr>
        <w:t xml:space="preserve">. </w:t>
      </w:r>
      <w:bookmarkStart w:id="421" w:name="pg15222_162426"/>
    </w:p>
    <w:p>
      <w:pPr>
        <w:pStyle w:val="BookText"/>
        <w:rPr/>
      </w:pPr>
      <w:bookmarkEnd w:id="421"/>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أمثالها ، وإنّما الكلام في بعض الأمثلة التي وقعت محلّ الإشكال </w:t>
      </w:r>
      <w:r>
        <w:rPr>
          <w:rFonts w:eastAsia="Amiri" w:cs="Amiri" w:ascii="Amiri" w:hAnsi="Amiri"/>
          <w:color w:val="111111"/>
          <w:sz w:val="28"/>
          <w:szCs w:val="28"/>
          <w:rtl w:val="true"/>
          <w:lang w:bidi="ar-SA"/>
        </w:rPr>
        <w:t>:</w:t>
      </w:r>
    </w:p>
    <w:p>
      <w:pPr>
        <w:pStyle w:val="Heading5"/>
        <w:numPr>
          <w:ilvl w:val="4"/>
          <w:numId w:val="1"/>
        </w:numPr>
        <w:rPr/>
      </w:pPr>
      <w:bookmarkStart w:id="422" w:name="__RefHeading___Toc3331812_2142443653"/>
      <w:bookmarkStart w:id="423" w:name="_Toc155"/>
      <w:bookmarkEnd w:id="422"/>
      <w:r>
        <w:rPr>
          <w:rtl w:val="true"/>
        </w:rPr>
        <w:t>حول صحّة اشتراط الربح لأحد المتعاملين والخسران على الآخر</w:t>
      </w:r>
      <w:bookmarkEnd w:id="42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تعرّضوا له في بيع الحيوان ؛ من الخلاف في جواز الشركة فيه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لنا ، ولا خسران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الشهيد جوازها ، وصحّة الشرط ، وكونه موافقاً للقاعدة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صحيحة رفاعة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رجل شارك في جارية 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ربحنا فيها فلك نصف الربح ، وإن كان وضيعة فليس عليك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بهذا بأساً ، إن طابت نفس صاحب الجارية</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وقريب منها رواية أبي الربيع ، عن أبي عبداللّه علیه السلام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فعمل الشهيد رحمه الله علیه بها ، على ما حكي عنه ، وتعدّى عنها إلى غير موردها ؛ لكون الحكم على القاعدة</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إدريس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حتّى في مورد الرواية ، فلم يعمل بها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المحقّق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بها ، مع التعدّي إلى مطلق الحيوان</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بعضهم بين الاشتراط في الربح والخسران في التجارة ، وبين اشتراط اختلاف الشريكين في النماءات المتّصلة أو المنفصلة ، فذهب إلى البطلان في الأوّل ، دون الثاني</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وفصّل بعضهم بين اشتراط ذلك بعد حصول الربح وصيرورته ملكاً للمالك فصحّحه، وبين الاشتراط قبله فأبطله</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الأقوال والاحتمالات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الإشكال في الصحّة في النماءات ، متّصلة كانت أو منفصلة ، من غير فرق بين كون الاشتراط في ضمن عقد الشركة أو عقد التشريك أو في ضمن عقد آخر ، فلو شرك غيره في حيوان على النصف واشترط عليه أن يكون الثلثان من لبنه أو نتاجه له صحّ ، وكان على وفق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في وجه البطلان 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w:t>
      </w:r>
      <w:r>
        <w:rPr>
          <w:rStyle w:val="FootnoteAnchor"/>
          <w:rtl w:val="true"/>
        </w:rPr>
        <w:footnoteReference w:id="711"/>
      </w:r>
      <w:r>
        <w:rPr>
          <w:rFonts w:ascii="Amiri" w:hAnsi="Amiri" w:eastAsia="Amiri" w:cs="Amiri"/>
          <w:color w:val="111111"/>
          <w:sz w:val="28"/>
          <w:sz w:val="28"/>
          <w:szCs w:val="28"/>
          <w:rtl w:val="true"/>
          <w:lang w:bidi="ar-SA"/>
        </w:rPr>
        <w:t xml:space="preserve">إذ لم يتّضح أ نّه مخالف لأيّ برهان فلسفي يدلّ على امتناع عدم تبعية نماءات الملك له ، بعد وقوعه في الخارج على ما نذكره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للقواعد العقلائية والشرعية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غاية ما تقتضيه القواعد ، تبعية النماء والمنافع للملك لو خلّيا وطبعهما ، دون ما إذا تصرّف المالك بما يوجب الانفكاك ، كبيع الثمار ، وإجارة الأشجار والمساكن ، وعقد المزارعة إذا كان البذر لأحدهما مثلاً ، وعقد المساقاة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ممّا ينفكّ النماء والمنافع فيه عن الأملاك ، فهل الانفكاك في تلك الموارد ، تراه غير معقول ، أو غير عقلائي ، أو غير شرعي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الشرط إذا وقع في عقد الشركة ، يكون مخالفاً لمقتضاه فيبطل</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عقد الشركة ، ليس إلاّ مشاركة المتعاملين في العين ، وأمّا كون نماء الملك لصاحبه ، فليس من مقتضياته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شركتك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مفاده ومقتضاه إلاّ حصول الشركة ، وأمّا ما يترتّب على الأشياء بعدها ، فليس من مقتضياته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وأوهن من الكلّ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الشركة إنّما حصلت بالامتزاج ، وإنّما فائدة العقد هي الإذن في التصرّف في مقام التجارة ، فاشتراط التفاضل ونحوه في ضمنه ، لا يفيد شيئاً ؛ لأ نّه بمثابة الشروط الابتدائية ، حيث لا يرجع إلى خصوصيات الإذن وكيفية العمل ؛ لوضوح أنّ مجرّد اقترانه بالعقد ، لا يوجب صيرورته شرطاً في ضمنه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الشركة قد تحصل بالعقد ، كعقد التشريك الذي أشار إليه </w:t>
      </w:r>
      <w:bookmarkStart w:id="424" w:name="pg15222_162429"/>
    </w:p>
    <w:p>
      <w:pPr>
        <w:pStyle w:val="BookText"/>
        <w:rPr/>
      </w:pPr>
      <w:bookmarkEnd w:id="424"/>
      <w:r>
        <w:rPr>
          <w:rFonts w:ascii="Amiri" w:hAnsi="Amiri" w:eastAsia="Amiri" w:cs="Amiri"/>
          <w:color w:val="111111"/>
          <w:sz w:val="28"/>
          <w:sz w:val="28"/>
          <w:szCs w:val="28"/>
          <w:rtl w:val="true"/>
          <w:lang w:bidi="ar-SA"/>
        </w:rPr>
        <w:t>في صحيحة رفاعة</w:t>
      </w:r>
      <w:r>
        <w:rPr>
          <w:rStyle w:val="FootnoteAnchor"/>
          <w:rtl w:val="true"/>
        </w:rPr>
        <w:footnoteReference w:id="715"/>
      </w:r>
      <w:r>
        <w:rPr>
          <w:rFonts w:ascii="Amiri" w:hAnsi="Amiri" w:eastAsia="Amiri" w:cs="Amiri"/>
          <w:color w:val="111111"/>
          <w:sz w:val="28"/>
          <w:sz w:val="28"/>
          <w:szCs w:val="28"/>
          <w:rtl w:val="true"/>
          <w:lang w:bidi="ar-SA"/>
        </w:rPr>
        <w:t xml:space="preserve">وكعقد الشركة فيما كان للممتزجين تميّز بحسب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كون الشرط في ضمن العقد ، إنّما هو لأجل تحقّق مفهومه لغة وعرفاً ، حيث يكون التزاماً في ضمن بيع ونحوه ، ولا يعتبر في صحّته أن يكون دخيلاً في خصوصيات العوضين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التشكيك في صحّة الشرط في باب المنافع والنماءات ، في غير محلّه </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3331814_2142443653"/>
      <w:bookmarkStart w:id="426" w:name="_Toc156"/>
      <w:bookmarkEnd w:id="425"/>
      <w:r>
        <w:rPr>
          <w:rtl w:val="true"/>
        </w:rPr>
        <w:t>هل يصحّ اشتراط الاختلاف في ربح التجارة؟</w:t>
      </w:r>
      <w:bookmarkEnd w:id="426"/>
    </w:p>
    <w:p>
      <w:pPr>
        <w:pStyle w:val="BookText"/>
        <w:rPr/>
      </w:pPr>
      <w:r>
        <w:rPr>
          <w:rFonts w:ascii="Amiri" w:hAnsi="Amiri" w:eastAsia="Amiri" w:cs="Amiri"/>
          <w:color w:val="111111"/>
          <w:sz w:val="28"/>
          <w:sz w:val="28"/>
          <w:szCs w:val="28"/>
          <w:rtl w:val="true"/>
          <w:lang w:bidi="ar-SA"/>
        </w:rPr>
        <w:t xml:space="preserve">وإنّما الإشكال في شرط الاختلاف في ربح التجارة بالنسبة إلى المال المشترك ، فلو اشتركا بالنصف ، واشترطا كون الربح في التجارة بينهما بنحو التثليث ، أو كون الخسارة على أحدهما ، والربح مشتركاً ، كما في الصحيحة ، فيقع الإشكال بأ نّه غير معقول ؛ لأنّ ماهية البيع هي التمليك بالعوض ، أو التبادل في الملكية ، ولا يعقل مع حفظ عنوان البيع ، أن يدخل الثمن أو بعضه في ملك غير صاحب العوض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 نّه مع ذلك مخالف للقواعد العقلائية في البيع ونحوه ، فإذا وقع الثمن بإزاء العين المشتركة ، فلا محالة يكون بينهما بنسبة ملكهما ، وليس ذلك نظير النماءات ، كما هو ظاهر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ببطلانه ، فليس من جهة أنّ الشرط مخالف لمقتضى عقد الشركة ؛ لما عرفت من أ نّه لا يقتضي إلاّ اشتراكهما في العين ، واشتراك المنفعة ليس من </w:t>
      </w:r>
    </w:p>
    <w:p>
      <w:pPr>
        <w:pStyle w:val="BookText"/>
        <w:rPr/>
      </w:pPr>
      <w:r>
        <w:rPr>
          <w:rFonts w:ascii="Amiri" w:hAnsi="Amiri" w:eastAsia="Amiri" w:cs="Amiri"/>
          <w:color w:val="111111"/>
          <w:sz w:val="28"/>
          <w:sz w:val="28"/>
          <w:szCs w:val="28"/>
          <w:rtl w:val="true"/>
          <w:lang w:bidi="ar-SA"/>
        </w:rPr>
        <w:t>مقتضياته</w:t>
      </w:r>
      <w:r>
        <w:rPr>
          <w:rStyle w:val="FootnoteAnchor"/>
          <w:rtl w:val="true"/>
        </w:rPr>
        <w:footnoteReference w:id="716"/>
      </w:r>
      <w:r>
        <w:rPr>
          <w:rFonts w:ascii="Amiri" w:hAnsi="Amiri" w:eastAsia="Amiri" w:cs="Amiri"/>
          <w:color w:val="111111"/>
          <w:sz w:val="28"/>
          <w:sz w:val="28"/>
          <w:szCs w:val="28"/>
          <w:rtl w:val="true"/>
          <w:lang w:bidi="ar-SA"/>
        </w:rPr>
        <w:t xml:space="preserve">، بل من جهة أ نّه مخالف للعقل وحكم العقلاء ، بل والشرع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دفع الإشكال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ذلك الشرط ، يرجع إلى تفاوت الثمن المجعول ، في مقابل العين المشتركة بالنسبة إلى حصّتي الشريكين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يصحّ منهما أن يبيع كلّ حصّته ، بقيمة غير قيمة حصّة صاحبه ، ويصحّ توكيلهما للغير ؛ بأن يبيع حصّة أحدهما بمائة ، والآخر بمائتين ، فباع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وكالته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بثلاثمائة ، فكان الثمن بإزاء حصّة كلّ غير ما بإزاء الآخر ، من غير أن يكون مخالفاً لشيء من القواعد العقلية أو العقلائية ، كذلك لهما أن يشترطا في عقد الشركة أو غيره ؛ بما يوجب اختلاف الثمن في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من الواضح ، أنّ الربح في التجارة ، وكذا زيادة القيمة ، لا يمتاز عن غيره ، وليس حاله حال منفعة العين وثمرة الشجرة ، فلا بدّ من رجوع شرط اختلاف الربح إلى اختلاف الثمن في البيع ، وهذا من غير فرق بين شرط اختلاف الربح ، أو اختلاف الخسران ، أو كون الربح بينهما ، والخسران على أحدهما ، كما في الصحيحة</w:t>
      </w:r>
      <w:r>
        <w:rPr>
          <w:rStyle w:val="FootnoteAnchor"/>
          <w:rtl w:val="true"/>
        </w:rPr>
        <w:footnoteReference w:id="717"/>
      </w:r>
      <w:r>
        <w:rPr>
          <w:rFonts w:ascii="Amiri" w:hAnsi="Amiri" w:eastAsia="Amiri" w:cs="Amiri"/>
          <w:color w:val="111111"/>
          <w:sz w:val="28"/>
          <w:sz w:val="28"/>
          <w:szCs w:val="28"/>
          <w:rtl w:val="true"/>
          <w:lang w:bidi="ar-SA"/>
        </w:rPr>
        <w:t xml:space="preserve">فلا يكون هذا مخالفاً لشيء من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يقع الإشكال على فرض استغراق الخسارة لتمام إحدى الحصّتين ، كما لو اشتركا بالنصف ، وكان الخسران النصف أو أكثر ، فإنّ لازمه أن لا يقع بإزاء حصّته ثمن ، وهو موجب للبطلان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السليم عن هذا الإشكال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راجع إلى أنّ زيادة </w:t>
      </w:r>
      <w:bookmarkStart w:id="427" w:name="pg15222_162431"/>
    </w:p>
    <w:p>
      <w:pPr>
        <w:pStyle w:val="BookText"/>
        <w:rPr/>
      </w:pPr>
      <w:bookmarkEnd w:id="427"/>
      <w:r>
        <w:rPr>
          <w:rFonts w:ascii="Amiri" w:hAnsi="Amiri" w:eastAsia="Amiri" w:cs="Amiri"/>
          <w:color w:val="111111"/>
          <w:sz w:val="28"/>
          <w:sz w:val="28"/>
          <w:szCs w:val="28"/>
          <w:rtl w:val="true"/>
          <w:lang w:bidi="ar-SA"/>
        </w:rPr>
        <w:t xml:space="preserve">القيمة السوقية الحاصلة للسلعة قبل البيع ، تكون مختصّة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بتمامها أو ببعضها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 أحدهما ، ونقيصة القيمة السوقية بأيّ وجه حصلت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سواء حصلت من قبل نقص حاصل للعين ، أم لأجل قلّة المشتري ،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حصّة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البيع على العين ، يختلف ثمن الحصّتين لا محالة ، ويدفع إشكال استغراق الخسارة لإحدى الحصّتين ، فيقع الشرط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بعد عدم امتياز زيادة القيم عن أصلها ، فلا محالة يرجع الشرط إلى أحد الوجهين بعد كون الشرط عقلائياً ، كما يشهد به وقوعه عند العقلاء ، ولهذا وقع موقع السؤال في الروايات ، كصحيحة رفاعة</w:t>
      </w:r>
      <w:r>
        <w:rPr>
          <w:rStyle w:val="FootnoteAnchor"/>
          <w:rtl w:val="true"/>
        </w:rPr>
        <w:footnoteReference w:id="718"/>
      </w:r>
      <w:r>
        <w:rPr>
          <w:rFonts w:ascii="Amiri" w:hAnsi="Amiri" w:eastAsia="Amiri" w:cs="Amiri"/>
          <w:color w:val="111111"/>
          <w:sz w:val="28"/>
          <w:sz w:val="28"/>
          <w:szCs w:val="28"/>
          <w:rtl w:val="true"/>
          <w:lang w:bidi="ar-SA"/>
        </w:rPr>
        <w:t>ورواية أبي الربيع</w:t>
      </w:r>
      <w:r>
        <w:rPr>
          <w:rStyle w:val="FootnoteAnchor"/>
          <w:rtl w:val="true"/>
        </w:rPr>
        <w:footnoteReference w:id="719"/>
      </w:r>
      <w:r>
        <w:rPr>
          <w:rFonts w:ascii="Amiri" w:hAnsi="Amiri" w:eastAsia="Amiri" w:cs="Amiri"/>
          <w:color w:val="111111"/>
          <w:sz w:val="28"/>
          <w:sz w:val="28"/>
          <w:szCs w:val="28"/>
          <w:rtl w:val="true"/>
          <w:lang w:bidi="ar-SA"/>
        </w:rPr>
        <w:t xml:space="preserve">وغيرهما </w:t>
      </w:r>
      <w:r>
        <w:rPr>
          <w:rStyle w:val="FootnoteAnchor"/>
          <w:rtl w:val="true"/>
        </w:rPr>
        <w:footnoteReference w:id="720"/>
      </w:r>
      <w:r>
        <w:rPr>
          <w:rFonts w:ascii="Amiri" w:hAnsi="Amiri" w:eastAsia="Amiri" w:cs="Amiri"/>
          <w:color w:val="111111"/>
          <w:sz w:val="28"/>
          <w:sz w:val="28"/>
          <w:szCs w:val="28"/>
          <w:rtl w:val="true"/>
          <w:lang w:bidi="ar-SA"/>
        </w:rPr>
        <w:t>، وعلى ذلك ينحلّ الإشكال في باب الصلح ، الوارد نظير ذلك فيه</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 w:name="__RefHeading___Toc3331816_2142443653"/>
      <w:bookmarkStart w:id="429" w:name="_Toc157"/>
      <w:bookmarkEnd w:id="428"/>
      <w:r>
        <w:rPr>
          <w:rtl w:val="true"/>
        </w:rPr>
        <w:t>كيفية دفع الإشكال عن باب المضاربة</w:t>
      </w:r>
      <w:bookmarkEnd w:id="429"/>
    </w:p>
    <w:p>
      <w:pPr>
        <w:pStyle w:val="BookText"/>
        <w:rPr/>
      </w:pPr>
      <w:r>
        <w:rPr>
          <w:rFonts w:ascii="Amiri" w:hAnsi="Amiri" w:eastAsia="Amiri" w:cs="Amiri"/>
          <w:color w:val="111111"/>
          <w:sz w:val="28"/>
          <w:sz w:val="28"/>
          <w:szCs w:val="28"/>
          <w:rtl w:val="true"/>
          <w:lang w:bidi="ar-SA"/>
        </w:rPr>
        <w:t xml:space="preserve">ثمّ إنّه لا إشكال ، في أنّ المراد من قوله في الصحيحة وغيرها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الخسارة ليست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ليست على ماله ، لا على ذمّته ، كما هو ظاهر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يمكن دفع الإشكال عن باب المضاربة بما ذكر ، فلا محيص إلاّ عن الالتزام بأنّ الشركة ، وقعت بعد حصول الربح خارجاً في ملك صاحب المال ، </w:t>
      </w:r>
      <w:bookmarkStart w:id="430" w:name="pg15222_162432"/>
    </w:p>
    <w:p>
      <w:pPr>
        <w:pStyle w:val="BookText"/>
        <w:rPr/>
      </w:pPr>
      <w:bookmarkEnd w:id="430"/>
      <w:r>
        <w:rPr>
          <w:rFonts w:ascii="Amiri" w:hAnsi="Amiri" w:eastAsia="Amiri" w:cs="Amiri"/>
          <w:color w:val="111111"/>
          <w:sz w:val="28"/>
          <w:sz w:val="28"/>
          <w:szCs w:val="28"/>
          <w:rtl w:val="true"/>
          <w:lang w:bidi="ar-SA"/>
        </w:rPr>
        <w:t xml:space="preserve">كما هو 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فإنّه لا يتحقّق إلاّ بعد البيع ، ولازم تأخّر الحكم عن موضوعه ، أن تكون الشركة بينهما بعد تحقّقه وفي الرتبة المتأخّرة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التعبير وإن كان في باب الشركة أيضاً ، لكن قيام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كون المال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هذا الظهور ، بخلاف باب المضاربة ، فإنّ كون المال لصاحب السلعة يؤكّده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ظاهر الفقهاء في المضاربة ذلك أيضاً ، كما يشهد به الاختلاف في أنّ الشركة في الربح عند ظهوره ، أو بعد الإنضاض</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وكيف كان فلا إشكال في باب الشركة ، ويكون الحكم على القاعدة ، كما أفاده الشهيد السعيد رحمه الله علیه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3331818_2142443653"/>
      <w:bookmarkStart w:id="432" w:name="_Toc158"/>
      <w:bookmarkEnd w:id="431"/>
      <w:r>
        <w:rPr>
          <w:rtl w:val="true"/>
        </w:rPr>
        <w:t>حول جواز اشتراط الضمان في الإجارة</w:t>
      </w:r>
      <w:bookmarkEnd w:id="432"/>
    </w:p>
    <w:p>
      <w:pPr>
        <w:pStyle w:val="Heading6"/>
        <w:numPr>
          <w:ilvl w:val="5"/>
          <w:numId w:val="1"/>
        </w:numPr>
        <w:rPr/>
      </w:pPr>
      <w:bookmarkStart w:id="433" w:name="__RefHeading___Toc3331820_2142443653"/>
      <w:bookmarkStart w:id="434" w:name="_Toc159"/>
      <w:bookmarkEnd w:id="433"/>
      <w:r>
        <w:rPr>
          <w:rtl w:val="true"/>
        </w:rPr>
        <w:t>اشارة</w:t>
      </w:r>
      <w:bookmarkEnd w:id="434"/>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بينهم ؛ من عدم جواز اشتراط الضمان في عقد الإجارة ، مستدلّين بأ نّه مخالف لمقتضاه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وبما تقدّم منّا في معنى مقتضى العقد</w:t>
      </w:r>
      <w:r>
        <w:rPr>
          <w:rStyle w:val="FootnoteAnchor"/>
          <w:rtl w:val="true"/>
        </w:rPr>
        <w:footnoteReference w:id="726"/>
      </w:r>
      <w:r>
        <w:rPr>
          <w:rFonts w:ascii="Amiri" w:hAnsi="Amiri" w:eastAsia="Amiri" w:cs="Amiri"/>
          <w:color w:val="111111"/>
          <w:sz w:val="28"/>
          <w:sz w:val="28"/>
          <w:szCs w:val="28"/>
          <w:rtl w:val="true"/>
          <w:lang w:bidi="ar-SA"/>
        </w:rPr>
        <w:t xml:space="preserve">، يظهر عدم كونه مخالفاً له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الإجارة عبارة عن نقل المنفعة مقابل الاُجرة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آجرتك الدار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جعلت لك منفعتها بكذا ، وعلى هذا لا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متعلّق بالعين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إنّها عبارة عن التسليط على العين للانتفاع بها ، لكن لا بمعنى الاستيلاء الخارجي ، بل التسليط الاعتباري ، كما 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إنّها عبارة عن نحو إضافة مجعولة بين المستأجر والعين ، تستتبع ملكية المنفعة ، أو ملكية الانتفاع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نحو إضافة توجب قيام المستأجر مقام المالك ؛ في دخول المنافع تدريجاً 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نّها ملكية للعين من تلك الحيثية أحد الاحتمالات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عقدها عدم الضمان حتّى يكون الشرط مخالفاً لاقتضائه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نقل المنفعة المعدومة ؛ فإنّ المعدوم لا يعقل أن يثبت له أمر ثبوتي ، بل ولا تعقل الإشارة إليه بوجه من الوجوه ، فهو ممّا يساعده نظر </w:t>
      </w:r>
    </w:p>
    <w:p>
      <w:pPr>
        <w:pStyle w:val="BookText"/>
        <w:rPr/>
      </w:pPr>
      <w:r>
        <w:rPr>
          <w:rFonts w:ascii="Amiri" w:hAnsi="Amiri" w:eastAsia="Amiri" w:cs="Amiri"/>
          <w:color w:val="111111"/>
          <w:sz w:val="28"/>
          <w:sz w:val="28"/>
          <w:szCs w:val="28"/>
          <w:rtl w:val="true"/>
          <w:lang w:bidi="ar-SA"/>
        </w:rPr>
        <w:t xml:space="preserve">العرف أيضاً ، والعذر بأ نّه قابل للاعتبار العرفي أو العقلي غير وجيه ؛ فإنّ الوجود الاعتباري غير الحقيقي ، والغرض في نقل المنفعة ، نقل ما هي كذلك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إمّا من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الإجارة نقل للمنفعة الكلّية ، غير القابلة للتطبيق إلاّ على مصداق واحد ؛ أي نقل منفعة هذه الدار في المدّة المعلومة ، وهذا العنوان الكلّي قابل للتملّك ، ولمّا كان قابلاً للتحقّق يعطى بإزائه المال ، كالكلّي في باب</w:t>
      </w:r>
    </w:p>
    <w:p>
      <w:pPr>
        <w:pStyle w:val="BookText"/>
        <w:rPr/>
      </w:pPr>
      <w:r>
        <w:rPr>
          <w:rFonts w:ascii="Amiri" w:hAnsi="Amiri" w:eastAsia="Amiri" w:cs="Amiri"/>
          <w:color w:val="111111"/>
          <w:sz w:val="28"/>
          <w:sz w:val="28"/>
          <w:szCs w:val="28"/>
          <w:rtl w:val="true"/>
          <w:lang w:bidi="ar-SA"/>
        </w:rPr>
        <w:t xml:space="preserve">البيع ، بلا افتراق بينهما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إضافة خاصّة ، أو تسليط على العين للانتفاع بها ، أو إضافة تستتبع دخول المنافع عند وجودها التدريجي في ملكه ، كما هو كذلك في المالك ، وفي إجارة الأعمال أيضاً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البطلان من ناحية مخالفته للشرع ، فهو خارج عن مورد البحث ، لكن نشير إلى ما تقتضيه الأدلّة العامّة والخاصّة هنا إجمالاً ، وأمّا البحث في تشخيص الصغريات فمنوط بأبوابها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بحسب القواعد الكلّية ، مثل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اليد ما أخذت </w:t>
      </w:r>
      <w:r>
        <w:rPr>
          <w:rFonts w:eastAsia="IRNazanin" w:cs="IRNazanin"/>
          <w:color w:val="111111"/>
          <w:sz w:val="28"/>
          <w:szCs w:val="28"/>
          <w:rtl w:val="true"/>
          <w:lang w:bidi="fa-IR"/>
        </w:rPr>
        <w:t>. . .»</w:t>
      </w:r>
      <w:r>
        <w:rPr>
          <w:rStyle w:val="FootnoteAnchor"/>
          <w:rtl w:val="true"/>
        </w:rPr>
        <w:footnoteReference w:id="728"/>
      </w:r>
      <w:r>
        <w:rPr>
          <w:rFonts w:ascii="Amiri" w:hAnsi="Amiri" w:eastAsia="Amiri" w:cs="Amiri"/>
          <w:color w:val="111111"/>
          <w:sz w:val="28"/>
          <w:sz w:val="28"/>
          <w:szCs w:val="28"/>
          <w:rtl w:val="true"/>
          <w:lang w:bidi="ar-SA"/>
        </w:rPr>
        <w:t xml:space="preserve">الذي هو العمدة في الضمان المبحوث عنه ، فغاية ما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منصرف عن الأيدي الأمانية ، مالكية كانت أو شرعية ، وكذا عمّا إذا كان الأخذ بإذن المالك أو الشارع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انصراف الدليل عن مورد ، ليس دليلاً على عدم الثبوت ، بل من قبيل عدم الدليل عليه ، فدليل اليد مقتضٍ للضمان في غير الموارد المنصرف عنها ، وأمّا فيها فلا يدلّ على الضمان ، كما لا يدلّ على عدمه ، فاشتراطه في ضمن العقد لا ينافي القاعدة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بحسب الأدلّة الخاصّة ، فقد دلّت جملة من الروايات على عدم الضمان ، كصحيحة محمّد بن قيس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في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يغرم الرجل إذا استأجر الدابّة ، ما لم يكن يكرهها ، أو يبغها غائلة</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 تكارى دابّة إلى مكان معلوم ، فنفقت الدابّة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جاز الشرط فهو ضامن ، وإن كان دخل وادياً لم يوثقها فهو ضامن ، وإن وقعت في بئر فهو ضامن ؛ لأ نّه لم يستوثق منها</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ونحوهما غيرهما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منها عدم الضمان مع عدم التفريط والإفراط ، ومن المعلوم عدم </w:t>
      </w:r>
      <w:bookmarkStart w:id="435" w:name="pg15222_162436"/>
    </w:p>
    <w:p>
      <w:pPr>
        <w:pStyle w:val="BookText"/>
        <w:rPr/>
      </w:pPr>
      <w:bookmarkEnd w:id="435"/>
      <w:r>
        <w:rPr>
          <w:rFonts w:ascii="Amiri" w:hAnsi="Amiri" w:eastAsia="Amiri" w:cs="Amiri"/>
          <w:color w:val="111111"/>
          <w:sz w:val="28"/>
          <w:sz w:val="28"/>
          <w:szCs w:val="28"/>
          <w:rtl w:val="true"/>
          <w:lang w:bidi="ar-SA"/>
        </w:rPr>
        <w:t xml:space="preserve">الخصوصية في الدابّة ، فاشتراط الضمان مخالف للشرع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تختلف الروايات في بعض الأبواب ؛ ممّا يطول بنا الكلام لو تعرّضنا لها ، والعهدة على أبوابها </w:t>
      </w:r>
      <w:r>
        <w:rPr>
          <w:rFonts w:eastAsia="Amiri" w:cs="Amiri" w:ascii="Amiri" w:hAnsi="Amiri"/>
          <w:color w:val="111111"/>
          <w:sz w:val="28"/>
          <w:szCs w:val="28"/>
          <w:rtl w:val="true"/>
          <w:lang w:bidi="ar-SA"/>
        </w:rPr>
        <w:t>.</w:t>
      </w:r>
    </w:p>
    <w:p>
      <w:pPr>
        <w:pStyle w:val="Heading6"/>
        <w:numPr>
          <w:ilvl w:val="5"/>
          <w:numId w:val="1"/>
        </w:numPr>
        <w:rPr/>
      </w:pPr>
      <w:bookmarkStart w:id="436" w:name="__RefHeading___Toc3331822_2142443653"/>
      <w:bookmarkStart w:id="437" w:name="_Toc160"/>
      <w:bookmarkEnd w:id="436"/>
      <w:r>
        <w:rPr>
          <w:rtl w:val="true"/>
        </w:rPr>
        <w:t>تفصيل المحقّق النائيني بين إجارة الأعيان والإجارة على الأعمال</w:t>
      </w:r>
      <w:bookmarkEnd w:id="437"/>
    </w:p>
    <w:p>
      <w:pPr>
        <w:pStyle w:val="BookText"/>
        <w:rPr/>
      </w:pPr>
      <w:r>
        <w:rPr>
          <w:rFonts w:ascii="Amiri" w:hAnsi="Amiri" w:eastAsia="Amiri" w:cs="Amiri"/>
          <w:color w:val="111111"/>
          <w:sz w:val="28"/>
          <w:sz w:val="28"/>
          <w:szCs w:val="28"/>
          <w:rtl w:val="true"/>
          <w:lang w:bidi="ar-SA"/>
        </w:rPr>
        <w:t xml:space="preserve">وقد يفصّل بين إجارة الأعيان ، والإجارة على الأعمال ؛ بأنّ شرط الضمان باطل في الاُولى دون الثانية ، بدعوى أنّ إجارة الأعيان ، إمّا عبارة عن كون العين تحت يد الانتفاع ، كما هو التحقيق ، أو عبارة عن نقل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استحقاق المستأجر لوضع اليد على العين واضح ؛ لأنّ حقيقة المعقود عليه ، متقوّمة بوضع اليد على العين ، بل هي هو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 استحقاقها وملكيتها وضع اليد عليها عقلاً ، فاشتراط ضمانها مخالف للشرع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الإجارة على الأعمال ؛ ممّا تقع عليها يد المؤجر ، ولا استحقاق له على وضع اليد عليها ؛ لجواز استيفاء العمل مع كون العين في يد مالكها ، فلا تكون يد المؤجر عليها بحقّ يلزمه العقد بوجه ، فلا بأس باشتراط كونها مضمونة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والرهن كإجارة الأعيان ، وأمّا الوكالة والوديعة ، فعدم جواز الاشتراط فيهما ؛ لأجل كونهما استنابة عن المالك ، فجعل يدهما بمنزلة يده ينافي ضمانه ؛ لإرجاعه إلى ضمان نفسه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العارية ، فلا مانع من اشتراط الضمان فيها ؛ لعدم دخولها في إحدى الكبريات ، من كون تصرّف المستعير عن حقّ مالكي ، أو استنابة ، أو كونه </w:t>
      </w:r>
    </w:p>
    <w:p>
      <w:pPr>
        <w:pStyle w:val="BookText"/>
        <w:rPr/>
      </w:pPr>
      <w:r>
        <w:rPr>
          <w:rFonts w:ascii="Amiri" w:hAnsi="Amiri" w:eastAsia="Amiri" w:cs="Amiri"/>
          <w:color w:val="111111"/>
          <w:sz w:val="28"/>
          <w:sz w:val="28"/>
          <w:szCs w:val="28"/>
          <w:rtl w:val="true"/>
          <w:lang w:bidi="ar-SA"/>
        </w:rPr>
        <w:t>مصلحة المالك ، أو إحساناً عليه ، بل مجرّد تحليل وإباحة ، وهذا غير مقتضٍ لعدم الضمان بوجه</w:t>
      </w:r>
      <w:r>
        <w:rPr>
          <w:rStyle w:val="FootnoteAnchor"/>
          <w:rtl w:val="true"/>
        </w:rPr>
        <w:footnoteReference w:id="732"/>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محالّ للنظر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كون الإجارة عبارة عن كون العين تحت يد الانتفاع ، الظاهر منه ومن بعده ، أنّ المراد كونها تحت يده خارجاً ، في غاية الضعف ، بل لا أظنّ التزام أحد به ، بل ولا نفسه لو توجّه إلى تواليه الفاسدة ؛ من عدم إيجاب عقد الإجارة على هذا لشيء ، ومن عدم كون الأعيان المستأجرة بالعقود مستأجرة ، وهذا من وضوح البطلان بمكان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 نّه أرجع كلام المحقّق والعلاّمة رحمهما اللّه إلى ما أفاد</w:t>
      </w:r>
      <w:r>
        <w:rPr>
          <w:rStyle w:val="FootnoteAnchor"/>
          <w:rtl w:val="true"/>
        </w:rPr>
        <w:footnoteReference w:id="733"/>
      </w:r>
      <w:r>
        <w:rPr>
          <w:rFonts w:ascii="Amiri" w:hAnsi="Amiri" w:eastAsia="Amiri" w:cs="Amiri"/>
          <w:color w:val="111111"/>
          <w:sz w:val="28"/>
          <w:sz w:val="28"/>
          <w:szCs w:val="28"/>
          <w:rtl w:val="true"/>
          <w:lang w:bidi="ar-SA"/>
        </w:rPr>
        <w:t xml:space="preserve">؛ لقولهما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نّها عقد ثمرته تمليك المنافع</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التعريف في طرف النقيض لكلامه ؛ فإنّ صريح هذا أنّ العقد الذي ثمرته نقل المنافع إجارة ، ولازمه أنّ كون العين تحت يد المستأجر ، غير مربوط بها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الدلالة الالتزامية على كون العين تحت يده ، بناءً على أنّ الإجارة عبارة عن نقل المنافع ، في غير محلّها ؛ لجواز كون العين تحت يد مالكها مع استيفاء المستأجر منافعها ، فلو آجر الدابّة التي تحت يده ، ومكّن المستأجر من الانتفاع بها ، من غير أن يسلّمها إليه ، صحّت الإجارة حتّى على </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عبارة عن التسليط على العين للانتفاع بها ؛ لأنّ المراد ليس التسليط الخارجي ، بل الاعتباري منه ، ويرجع إلى أ نّه مسلّط اعتباراً على العين من هذه الجهة خاصّة ، ولا تجوز مزاحمته في الاستيفاء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لو سلّمنا كون الإجارة كذلك ، وأنّ يد المستأجر على العين يد استحقاق ، لكن لم يدلّ دليل على عدم الضمان ، وأنّ اليد الكذائية تقتضي عدمه ، بل غاية ما في الباب عدم الدليل على الضمان ، ولم يحكم به لذلك ، فلا ينافي ذلك الاشتراط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في الوكالة والوديعة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الضمان ؛ لأجل كون يد الوكيل والودعي ، بمنزلة يد صاحب المال ، وإنّ لازمه تضمين الشخص لماله غير وجيه ، وإن قال به غيره أيضاً </w:t>
      </w:r>
      <w:r>
        <w:rPr>
          <w:rStyle w:val="FootnoteAnchor"/>
          <w:rtl w:val="true"/>
        </w:rPr>
        <w:footnoteReference w:id="735"/>
      </w:r>
      <w:r>
        <w:rPr>
          <w:rFonts w:ascii="Amiri" w:hAnsi="Amiri" w:eastAsia="Amiri" w:cs="Amiri"/>
          <w:color w:val="111111"/>
          <w:sz w:val="28"/>
          <w:sz w:val="28"/>
          <w:szCs w:val="28"/>
          <w:rtl w:val="true"/>
          <w:lang w:bidi="ar-SA"/>
        </w:rPr>
        <w:t xml:space="preserve">؛ لأنّ اعتبار الوكالة والوديعة ، ينافي التنزيل المذكور ؛ فإنّ الوكالة عبارة عن إيكال الأمر إلى غيره ، أو استنابته في ذلك ، وكذا الوديعة استنابة في الحفظ ، وهذا الاعتبار ينافي التنزيل ، فالنائب غير المنوب عنه ، وفعله غير فعله في الواقع وفي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اشتهر بينهم في باب النيابة عن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بمنزلته</w:t>
      </w:r>
      <w:r>
        <w:rPr>
          <w:rStyle w:val="FootnoteAnchor"/>
          <w:rtl w:val="true"/>
        </w:rPr>
        <w:footnoteReference w:id="736"/>
      </w:r>
      <w:r>
        <w:rPr>
          <w:rFonts w:ascii="Amiri" w:hAnsi="Amiri" w:eastAsia="Amiri" w:cs="Amiri"/>
          <w:color w:val="111111"/>
          <w:sz w:val="28"/>
          <w:sz w:val="28"/>
          <w:szCs w:val="28"/>
          <w:rtl w:val="true"/>
          <w:lang w:bidi="ar-SA"/>
        </w:rPr>
        <w:t xml:space="preserve">فاسد مستلزم لفاسد لم يلتزموا به ، ولو سلّم التنزيل ، فلا دليل على التنزيل من جميع الجهات ، حتّى ينافي الضمان بالشرط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في العارية بصحّة الشرط ؛ لأجل ما ذكره</w:t>
      </w:r>
      <w:r>
        <w:rPr>
          <w:rStyle w:val="FootnoteAnchor"/>
          <w:rtl w:val="true"/>
        </w:rPr>
        <w:footnoteReference w:id="737"/>
      </w:r>
      <w:r>
        <w:rPr>
          <w:rFonts w:ascii="Amiri" w:hAnsi="Amiri" w:eastAsia="Amiri" w:cs="Amiri"/>
          <w:color w:val="111111"/>
          <w:sz w:val="28"/>
          <w:sz w:val="28"/>
          <w:szCs w:val="28"/>
          <w:rtl w:val="true"/>
          <w:lang w:bidi="ar-SA"/>
        </w:rPr>
        <w:t xml:space="preserve">، غير وجيه ؛ لأنّ </w:t>
      </w:r>
      <w:bookmarkStart w:id="438" w:name="pg15222_162439"/>
    </w:p>
    <w:p>
      <w:pPr>
        <w:pStyle w:val="BookText"/>
        <w:rPr/>
      </w:pPr>
      <w:bookmarkEnd w:id="438"/>
      <w:r>
        <w:rPr>
          <w:rFonts w:ascii="Amiri" w:hAnsi="Amiri" w:eastAsia="Amiri" w:cs="Amiri"/>
          <w:color w:val="111111"/>
          <w:sz w:val="28"/>
          <w:sz w:val="28"/>
          <w:szCs w:val="28"/>
          <w:rtl w:val="true"/>
          <w:lang w:bidi="ar-SA"/>
        </w:rPr>
        <w:t>صحّة الشرط فيها إنّما هي بدليل خاصّ ، لولاه لقلنا بالبطلان ؛ لإطلاق بعض الأخبار بأنّ المستعير لا يغرم</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ببطلان الشرط في بعض ما تقدّم ، وبصحّته في بعض ، إنّما هو لأدلّة خاصّة ، لا لتلك الاعتبارات غير الوجيهة ، والبحث عنها موكول إلى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ينبغي الإشكال ، في أنّ شرط عدم إخراج الزوجة عن بلدها مثلاً ، وشرط التوارث في المتعة ، ليسا مخالفين لمقتضى العقد ، كما أشرنا إليه</w:t>
      </w:r>
      <w:r>
        <w:rPr>
          <w:rStyle w:val="FootnoteAnchor"/>
          <w:rtl w:val="true"/>
        </w:rPr>
        <w:footnoteReference w:id="739"/>
      </w:r>
      <w:r>
        <w:rPr>
          <w:rFonts w:ascii="Amiri" w:hAnsi="Amiri" w:eastAsia="Amiri" w:cs="Amiri"/>
          <w:color w:val="111111"/>
          <w:sz w:val="28"/>
          <w:sz w:val="28"/>
          <w:szCs w:val="28"/>
          <w:rtl w:val="true"/>
          <w:lang w:bidi="ar-SA"/>
        </w:rPr>
        <w:t xml:space="preserve">، فلا مانع منه من هذه الجهة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البطلان من جهة الشرع ، فمن متفرّعات الشرط السابق ، وإن كان الأقوى في شرط عدم الإخراج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التوارث ، فهي معركة الآراء ، واختلفت فيها الأدلّة ، وتحتاج إلى بسط الكلام فيها ، ولها محلّ آخر </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3331824_2142443653"/>
      <w:bookmarkStart w:id="440" w:name="_Toc161"/>
      <w:bookmarkEnd w:id="439"/>
      <w:r>
        <w:rPr>
          <w:rtl w:val="true"/>
        </w:rPr>
        <w:t>حكم الشكّ في مخالفة الشرط لمقتضى العقد</w:t>
      </w:r>
      <w:bookmarkEnd w:id="440"/>
    </w:p>
    <w:p>
      <w:pPr>
        <w:pStyle w:val="BookText"/>
        <w:rPr/>
      </w:pPr>
      <w:r>
        <w:rPr>
          <w:rFonts w:ascii="Amiri" w:hAnsi="Amiri" w:eastAsia="Amiri" w:cs="Amiri"/>
          <w:color w:val="111111"/>
          <w:sz w:val="28"/>
          <w:sz w:val="28"/>
          <w:szCs w:val="28"/>
          <w:rtl w:val="true"/>
          <w:lang w:bidi="ar-SA"/>
        </w:rPr>
        <w:t>ثمّ إذا شكّ في شرط أ نّه مخالف لمقتضى العقد ، فلا أصل هنا يحرز به عدم المخالفة ، كما هو ظاهر وتقدّم نظيره</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كان المقتضى أمراً غير دخيل في ماهية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ما يدّعى أنّه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قبيل مقتضيات العقود ، نظير تسلّط الرجل على الزوجة في الإسكان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وأغمضنا عمّا تقدّم ، لأمكن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عند الشكّ يرجع إلى عموم دليل نفوذ الشرط ، لو كان المخصّص اللبّي ، لم يخصّص الدليل بعنوان واحد ، كعنوان مخالفة المقتضى ، وإلاّ لما صحّ التمسّك بالعامّ في الشبهة المصداقية لدليل المخصّص ولو كان لبّياً ، كما هو المحقّق في محلّه</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441" w:name="pg15222_162441"/>
    </w:p>
    <w:p>
      <w:pPr>
        <w:pStyle w:val="Heading4"/>
        <w:numPr>
          <w:ilvl w:val="3"/>
          <w:numId w:val="1"/>
        </w:numPr>
        <w:rPr/>
      </w:pPr>
      <w:bookmarkStart w:id="442" w:name="__RefHeading___Toc3331826_2142443653"/>
      <w:bookmarkStart w:id="443" w:name="_Toc162"/>
      <w:bookmarkEnd w:id="441"/>
      <w:bookmarkEnd w:id="442"/>
      <w:r>
        <w:rPr>
          <w:rtl w:val="true"/>
        </w:rPr>
        <w:t xml:space="preserve">السادس </w:t>
      </w:r>
      <w:r>
        <w:rPr>
          <w:rtl w:val="true"/>
        </w:rPr>
        <w:t xml:space="preserve">: </w:t>
      </w:r>
      <w:r>
        <w:rPr>
          <w:rtl w:val="true"/>
        </w:rPr>
        <w:t>أن لا يكون مجهولاً جهالة توجب الغرر في البيع</w:t>
      </w:r>
      <w:bookmarkEnd w:id="443"/>
    </w:p>
    <w:p>
      <w:pPr>
        <w:pStyle w:val="BookText"/>
        <w:rPr/>
      </w:pPr>
      <w:r>
        <w:rPr>
          <w:rFonts w:ascii="Amiri" w:hAnsi="Amiri" w:eastAsia="Amiri" w:cs="Amiri"/>
          <w:color w:val="111111"/>
          <w:sz w:val="28"/>
          <w:sz w:val="28"/>
          <w:szCs w:val="28"/>
          <w:rtl w:val="true"/>
          <w:lang w:bidi="ar-SA"/>
        </w:rPr>
        <w:t>كما في كلمات كثير من الأعيان</w:t>
      </w:r>
      <w:r>
        <w:rPr>
          <w:rStyle w:val="FootnoteAnchor"/>
          <w:rtl w:val="true"/>
        </w:rPr>
        <w:footnoteReference w:id="742"/>
      </w:r>
      <w:r>
        <w:rPr>
          <w:rFonts w:ascii="Amiri" w:hAnsi="Amiri" w:eastAsia="Amiri" w:cs="Amiri"/>
          <w:color w:val="111111"/>
          <w:sz w:val="28"/>
          <w:sz w:val="28"/>
          <w:szCs w:val="28"/>
          <w:rtl w:val="true"/>
          <w:lang w:bidi="ar-SA"/>
        </w:rPr>
        <w:t xml:space="preserve">، وفي عدّ هذا الشرط من الشروط المستقلّة إشكال ؛ أمّا على هذا التعبير وما يشبهه ، فلأ نّه يرجع إلى بطلانه لأجل بطلان البيع ، ولازمه عدم كونه في ضمن العقد الصحيح ، وهو شرط آخر غير شرط الجهالة في الشرط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اُسقط عنه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إيجاب الغرر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هو عدم الجهالة فيه، فإن استدلّ عليه بحديث النهي عن الغرر ونحوه ممّا يرجع إلى النهي الشرعي، فيندرج في الشرط المخالف للكتاب ؛ ضرورة أ نّه مع النهي عن الغرر ، يكون الشرط الغرري مخالفاً له ، وعليه فلا يكون شرط عدم الجهالة شرطاً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الشرط المجهول ؛ من أجل أ نّه غير عقلائي ، لكان البطلان لأجل اعتبار العقلائية فيه ، كما أشرنا إليه سابقاً </w:t>
      </w:r>
      <w:r>
        <w:rPr>
          <w:rStyle w:val="FootnoteAnchor"/>
          <w:rtl w:val="true"/>
        </w:rPr>
        <w:footnoteReference w:id="743"/>
      </w:r>
      <w:r>
        <w:rPr>
          <w:rFonts w:ascii="Amiri" w:hAnsi="Amiri" w:eastAsia="Amiri" w:cs="Amiri"/>
          <w:color w:val="111111"/>
          <w:sz w:val="28"/>
          <w:sz w:val="28"/>
          <w:szCs w:val="28"/>
          <w:rtl w:val="true"/>
          <w:lang w:bidi="ar-SA"/>
        </w:rPr>
        <w:t xml:space="preserve">، وهو شرط آخر بعنوان آخر ، يندرج فيه ما ذكر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شرط في مقابل سائر الشروط ، لا بدّ له من فرضه جامعاً لسائر الشروط ؛ من كونه عقلائياً ، وكونه في ضمن العقد الصحيح ، وعدم إيجابه </w:t>
      </w:r>
    </w:p>
    <w:p>
      <w:pPr>
        <w:pStyle w:val="BookText"/>
        <w:rPr/>
      </w:pPr>
      <w:r>
        <w:rPr>
          <w:rFonts w:ascii="Amiri" w:hAnsi="Amiri" w:eastAsia="Amiri" w:cs="Amiri"/>
          <w:color w:val="111111"/>
          <w:sz w:val="28"/>
          <w:sz w:val="28"/>
          <w:szCs w:val="28"/>
          <w:rtl w:val="true"/>
          <w:lang w:bidi="ar-SA"/>
        </w:rPr>
        <w:t xml:space="preserve">لفساده حتّى يفسد لذلك ، وعدم مخالفته للشرع ، ولا لمقتضى العقد ، ثمّ إقامة الدليل عليه ، ومن الواضح عدم الدليل عليه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نظر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الضابط أن يؤدّي إلى جهالة الثمن أو المثمن</w:t>
      </w:r>
      <w:r>
        <w:rPr>
          <w:rStyle w:val="FootnoteAnchor"/>
          <w:rtl w:val="true"/>
        </w:rPr>
        <w:footnoteReference w:id="744"/>
      </w:r>
      <w:r>
        <w:rPr>
          <w:rFonts w:ascii="Amiri" w:hAnsi="Amiri" w:eastAsia="Amiri" w:cs="Amiri"/>
          <w:color w:val="111111"/>
          <w:sz w:val="28"/>
          <w:sz w:val="28"/>
          <w:szCs w:val="28"/>
          <w:rtl w:val="true"/>
          <w:lang w:bidi="ar-SA"/>
        </w:rPr>
        <w:t xml:space="preserve">، إلى أ نّه ليس شرطاً مستقلاًّ ، وأ نّه لا يعتبر عدم الجهالة فيه إذا لم يؤدّ إلى جهالتهما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 الغضّ عمّا ذكرناه ، يمكن الاستدلال على اعتباره بحديث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النبي صلی الله علیه و آله وسلم عن الغرر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استناد العلماء إليه</w:t>
      </w:r>
      <w:r>
        <w:rPr>
          <w:rStyle w:val="FootnoteAnchor"/>
          <w:rtl w:val="true"/>
        </w:rPr>
        <w:footnoteReference w:id="745"/>
      </w:r>
      <w:r>
        <w:rPr>
          <w:rFonts w:ascii="Amiri" w:hAnsi="Amiri" w:eastAsia="Amiri" w:cs="Amiri"/>
          <w:color w:val="111111"/>
          <w:sz w:val="28"/>
          <w:sz w:val="28"/>
          <w:szCs w:val="28"/>
          <w:rtl w:val="true"/>
          <w:lang w:bidi="ar-SA"/>
        </w:rPr>
        <w:t xml:space="preserve">في غير محلّه ؛ فإنّ شيخ الطائفة قدّس سرّه استند إليه مراراً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كباب الضمان والشركة</w:t>
      </w:r>
      <w:r>
        <w:rPr>
          <w:rStyle w:val="FootnoteAnchor"/>
          <w:rtl w:val="true"/>
        </w:rPr>
        <w:footnoteReference w:id="746"/>
      </w:r>
      <w:r>
        <w:rPr>
          <w:rFonts w:ascii="Amiri" w:hAnsi="Amiri" w:eastAsia="Amiri" w:cs="Amiri"/>
          <w:color w:val="111111"/>
          <w:sz w:val="28"/>
          <w:sz w:val="28"/>
          <w:szCs w:val="28"/>
          <w:rtl w:val="true"/>
          <w:lang w:bidi="ar-SA"/>
        </w:rPr>
        <w:t xml:space="preserve">، وكذا ابن زهرة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 xml:space="preserve">وقال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الفقهاء استندوا إليه في غير البيع من سائر الأبواب</w:t>
      </w:r>
      <w:r>
        <w:rPr>
          <w:rStyle w:val="FootnoteAnchor"/>
          <w:rtl w:val="true"/>
        </w:rPr>
        <w:footnoteReference w:id="748"/>
      </w:r>
      <w:r>
        <w:rPr>
          <w:rFonts w:ascii="Amiri" w:hAnsi="Amiri" w:eastAsia="Amiri" w:cs="Amiri"/>
          <w:color w:val="111111"/>
          <w:sz w:val="28"/>
          <w:sz w:val="28"/>
          <w:szCs w:val="28"/>
          <w:rtl w:val="true"/>
          <w:lang w:bidi="ar-SA"/>
        </w:rPr>
        <w:t xml:space="preserve">، فتأمّل ، نعم كفاية ذلك في جبر السند محلّ كلام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ويمكن الاستدلال عليه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النبي صلی الله علیه و آله وسلم عن بيع الغرر</w:t>
      </w:r>
      <w:r>
        <w:rPr>
          <w:rFonts w:eastAsia="IRNazanin" w:cs="IRNazanin"/>
          <w:color w:val="111111"/>
          <w:sz w:val="28"/>
          <w:szCs w:val="28"/>
          <w:rtl w:val="true"/>
          <w:lang w:bidi="fa-IR"/>
        </w:rPr>
        <w:t>»</w:t>
      </w:r>
      <w:r>
        <w:rPr>
          <w:rStyle w:val="FootnoteAnchor"/>
          <w:rtl w:val="true"/>
        </w:rPr>
        <w:footnoteReference w:id="749"/>
      </w:r>
      <w:r>
        <w:rPr>
          <w:rFonts w:ascii="Amiri" w:hAnsi="Amiri" w:eastAsia="Amiri" w:cs="Amiri"/>
          <w:color w:val="111111"/>
          <w:sz w:val="28"/>
          <w:sz w:val="28"/>
          <w:szCs w:val="28"/>
          <w:rtl w:val="true"/>
          <w:lang w:bidi="ar-SA"/>
        </w:rPr>
        <w:t xml:space="preserve">بدعوى إلغاء الخصوصية عن البيع ، وأنّ ذكر البيع من باب المثال ، فيجري في الإجارة وسائر المعاملات والقرارات ؛ إذ من البعيد أن يكون لخصوص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دخالة في اعتباره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الحديث ليس مرسلاً كما قيل</w:t>
      </w:r>
      <w:r>
        <w:rPr>
          <w:rStyle w:val="FootnoteAnchor"/>
          <w:rtl w:val="true"/>
        </w:rPr>
        <w:footnoteReference w:id="750"/>
      </w:r>
      <w:r>
        <w:rPr>
          <w:rFonts w:ascii="Amiri" w:hAnsi="Amiri" w:eastAsia="Amiri" w:cs="Amiri"/>
          <w:color w:val="111111"/>
          <w:sz w:val="28"/>
          <w:sz w:val="28"/>
          <w:szCs w:val="28"/>
          <w:rtl w:val="true"/>
          <w:lang w:bidi="ar-SA"/>
        </w:rPr>
        <w:t xml:space="preserve">، بل رواه مسنداً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آداب التجارة</w:t>
      </w:r>
      <w:r>
        <w:rPr>
          <w:rStyle w:val="FootnoteAnchor"/>
          <w:rtl w:val="true"/>
        </w:rPr>
        <w:footnoteReference w:id="751"/>
      </w:r>
      <w:r>
        <w:rPr>
          <w:rFonts w:ascii="IRNazanin" w:hAnsi="IRNazanin" w:eastAsia="IRNazanin"/>
          <w:color w:val="111111"/>
          <w:sz w:val="28"/>
          <w:sz w:val="28"/>
          <w:szCs w:val="28"/>
          <w:rtl w:val="true"/>
          <w:lang w:bidi="fa-IR"/>
        </w:rPr>
        <w:t xml:space="preserve">، ورواه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صحيفة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الخدشة في دلالتهما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المحتمل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 كما هي أحد معانيه ، كما تقدّم الكلام في محلّه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فهم علماء العامّة والخاصّة من الحديث المعنى المعروف عندهم ، مع كونهم من أهل اللسان ، كافٍ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الانصراف عن المعاملات غير المستقلّة ، كتوابع البيع ونحوه ، ومنها الشروط التابعة</w:t>
      </w:r>
      <w:r>
        <w:rPr>
          <w:rStyle w:val="FootnoteAnchor"/>
          <w:rtl w:val="true"/>
        </w:rPr>
        <w:footnoteReference w:id="754"/>
      </w:r>
      <w:r>
        <w:rPr>
          <w:rFonts w:ascii="Amiri" w:hAnsi="Amiri" w:eastAsia="Amiri" w:cs="Amiri"/>
          <w:color w:val="111111"/>
          <w:sz w:val="28"/>
          <w:sz w:val="28"/>
          <w:szCs w:val="28"/>
          <w:rtl w:val="true"/>
          <w:lang w:bidi="ar-SA"/>
        </w:rPr>
        <w:t xml:space="preserve">، ففي غير محلّها ؛ فإنّ الشرط وإن كان في ضمن البيع ونحوه، لكن ليست تبعيته نحو تبعية مفتاح البيت ونحوه، بل هو قرار بين الطرفين مستقلّ في معنى القرار ، وإن كان في ضمن قرار آخر ، فلا معنى للانصراف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 فالمسألة محلّ إشكال فيما لا ترجع الجهالة فيه إلى جهالة الثمن أو المثمن ، ولا سيّما مع تظافر هذا القيد في كلماتهم ممّا يدلّ على عدم الاعتبار إذا لم يؤدّ إلى ذلك </w:t>
      </w:r>
      <w:r>
        <w:rPr>
          <w:rFonts w:eastAsia="Amiri" w:cs="Amiri" w:ascii="Amiri" w:hAnsi="Amiri"/>
          <w:color w:val="111111"/>
          <w:sz w:val="28"/>
          <w:szCs w:val="28"/>
          <w:rtl w:val="true"/>
          <w:lang w:bidi="ar-SA"/>
        </w:rPr>
        <w:t xml:space="preserve">. </w:t>
      </w:r>
      <w:bookmarkStart w:id="444" w:name="pg15222_162444"/>
    </w:p>
    <w:p>
      <w:pPr>
        <w:pStyle w:val="Heading4"/>
        <w:numPr>
          <w:ilvl w:val="3"/>
          <w:numId w:val="1"/>
        </w:numPr>
        <w:rPr/>
      </w:pPr>
      <w:bookmarkStart w:id="445" w:name="__RefHeading___Toc3331828_2142443653"/>
      <w:bookmarkStart w:id="446" w:name="_Toc163"/>
      <w:bookmarkEnd w:id="444"/>
      <w:bookmarkEnd w:id="445"/>
      <w:r>
        <w:rPr>
          <w:rtl w:val="true"/>
        </w:rPr>
        <w:t xml:space="preserve">السابع </w:t>
      </w:r>
      <w:r>
        <w:rPr>
          <w:rtl w:val="true"/>
        </w:rPr>
        <w:t xml:space="preserve">: </w:t>
      </w:r>
      <w:r>
        <w:rPr>
          <w:rtl w:val="true"/>
        </w:rPr>
        <w:t>أن لا يكون مستلزماً لمحال</w:t>
      </w:r>
      <w:bookmarkEnd w:id="446"/>
    </w:p>
    <w:p>
      <w:pPr>
        <w:pStyle w:val="BookText"/>
        <w:rPr/>
      </w:pPr>
      <w:r>
        <w:rPr>
          <w:rFonts w:ascii="Amiri" w:hAnsi="Amiri" w:eastAsia="Amiri" w:cs="Amiri"/>
          <w:color w:val="111111"/>
          <w:sz w:val="28"/>
          <w:sz w:val="28"/>
          <w:szCs w:val="28"/>
          <w:rtl w:val="true"/>
          <w:lang w:bidi="ar-SA"/>
        </w:rPr>
        <w:t xml:space="preserve">وفي كون هذا الشرط أيضاً مستقلاًّ في قبال سائر الشروط إشكال ؛ إذ من المعلوم أنّ نفس الشرط بالمعنى المصدري ، لا يستلزم المحال بوجه ، وإنّما يستلزمه لأجل المتعلّقات والملتزمات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لو كان الشرط شرط فعل يكون محالاً ، فمع التفات الشارط لا يعقل القصد الجدّي به ، فإمكانه دخيل في تحقّقه ، لا في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قصده جدّاً لغفلة ونحوها ، كان بطلانه لأجل عدم القدرة على إيجاده ، وعدم عقلائيته أيضاً ، فيرجع إلى شرط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شرط نتيجة ، فإن كان الامتناع لأجل كونه ممّا له سبب خاصّ شرعي كالطلاق ، فاشتراطه مخالف للشرع ، وغير مقدور أيضاً ، ويرجع إلى فقدان شرط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ممّا له سبب خاصّ عقلائي ، لا يوجد إلاّ به ، ولعلّ النكاح كذلك ، فإنّ له مراسم خاصّة في كلّ الملل والنحل ، فالتسبيب إليه بالشرط غير عقلائي ، وغير مقدور ، وعلى أيّ تقدير لا يكون هذا شرطاً على 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مثّل به العلاّمة قدّس سرّه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شيئاً بشرط أن يبيعه إيّاه لم يصحّ ، سواء اتّحد الثمن قدراً وجنساً ووصفاً ، أو لا ، وإلاّ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الدور ؛ لأنّ بيعه له يتوقّف على ملكيته له ، المتوقّفة على بيعه ، فيدور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لو شرط أن يبيعه على غيره ، فإنّه يصحّ عندنا ؛ حيث لا منافاة فيه للكتاب والسنّة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التزموه من الدور آتٍ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 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ظاهر ؛ لجواز أن يكون جارياً على حدّ التوكيل ، أو عقد الفضولي ، بخلاف ما لو اشترط البيع على البائع</w:t>
      </w:r>
      <w:r>
        <w:rPr>
          <w:rStyle w:val="FootnoteAnchor"/>
          <w:rtl w:val="true"/>
        </w:rPr>
        <w:footnoteReference w:id="75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غير الشرط الفقهي المبحوث عنه ، بل بمعنى الشرط الاُصولي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كون الشرط الشرط الاُصولي ، لا يتمّ مدّعاه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المبادلة الإنشائية ، أو التمليك بعوض إنشاء ، ولهذا يكون بيع الفضولي بيعاً حقيقة ، وإن لم يترتّب عليه أثر إلاّ بعد 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بيعه يتوقّف على ملكيته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ظاهره ، فهو غير وجيه جدّاً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الإنشائي الذي هو تمام ماهيته ، لا يتوقّف على الملكية ، وإلاّ لزم بطلان بيع الفضولي ، وعدم إمكان لحوق الإجازة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بيعه على صاحبه ، يتوقّف على أن لا يكون هو مالكاً ، وإلاّ امتنع الانتقال إليه ؛ لكونه تحصيلاً للحاصل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سوء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وجيه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الإنشائي ، لا يلزم منه ذلك ، فلا مانع عقلاً من بيع الشيء من صاحبه ؛ ليترتّب عليه الأثر فيما يأتي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امتناع في كون شيء واحد ، ملكاً حقيقة لشخص ، وإنشاء لشخص آخر كالفضولي ، كذلك لا امتناع في أن يكون لشخص واحد حقيقة وإنشاء </w:t>
      </w:r>
    </w:p>
    <w:p>
      <w:pPr>
        <w:pStyle w:val="BookText"/>
        <w:rPr/>
      </w:pPr>
      <w:r>
        <w:rPr>
          <w:rFonts w:ascii="Amiri" w:hAnsi="Amiri" w:eastAsia="Amiri" w:cs="Amiri"/>
          <w:color w:val="111111"/>
          <w:sz w:val="28"/>
          <w:sz w:val="28"/>
          <w:szCs w:val="28"/>
          <w:rtl w:val="true"/>
          <w:lang w:bidi="ar-SA"/>
        </w:rPr>
        <w:t xml:space="preserve">باعتبارين ، فلا يتوقّف بيعه منه على عدم ملكيته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بيعه منه ولو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عقلائي ، فعدم الصحّة لأجل ذلك ، لكن هو مانع آخر غير ما ادّعي من الاستحالة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صدر عبارته هو الدور المستحيل ، وظاهر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إبداء الفرق بين بيعه منه ، وبين بيعه من غيره ؛ بأ نّه يجري فيه التوكيل والفضولي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عدم العقلائية ، لا الامتناع العقلي ، وفي العبارة اضطراب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سهل بعد وضوح المطلب ، واندفاع إشكاله حتّى على فرض كون الشرط اُصولياً ، فضلاً عن كونه التزاماً في التزام ؛ إذ لا موضوع عليه لإشكاله رأساً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التوجيه بوجه مخالف لظاهر كلامه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دفع الإشكال عنه ، بل مع ورود إشكال آخر عليه ، لا يقصر وضوحه عن الإشكال الوارد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لا داعي إليه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عن الشهيد 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هذا الشرط باطل لا للدور ، بل لعدم القصد إلى البيع</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إشكال في إمكان تحقّق القصد ، مع اختلاف الثمن قدراً ، أو جنساً ، بل ومع اتّحادهما والاختلاف زماناً ، كأن يشترط بيعه منه بعد سنة ، أو لو أراد بيعه لا يبيعه إلاّ منه ، بل قد يتحقّق القصد مع الاتّحاد في جميع ما ذكر ؛ لبعض أغراض خارجية عقلائية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البطلان لأجل عدم عقلائيته غير وجيهة </w:t>
      </w:r>
      <w:r>
        <w:rPr>
          <w:rFonts w:eastAsia="Amiri" w:cs="Amiri" w:ascii="Amiri" w:hAnsi="Amiri"/>
          <w:color w:val="111111"/>
          <w:sz w:val="28"/>
          <w:szCs w:val="28"/>
          <w:rtl w:val="true"/>
          <w:lang w:bidi="ar-SA"/>
        </w:rPr>
        <w:t xml:space="preserve">. </w:t>
      </w:r>
      <w:bookmarkStart w:id="447" w:name="pg15222_162447"/>
    </w:p>
    <w:p>
      <w:pPr>
        <w:pStyle w:val="Heading4"/>
        <w:numPr>
          <w:ilvl w:val="3"/>
          <w:numId w:val="1"/>
        </w:numPr>
        <w:rPr/>
      </w:pPr>
      <w:bookmarkStart w:id="448" w:name="__RefHeading___Toc3331830_2142443653"/>
      <w:bookmarkStart w:id="449" w:name="_Toc164"/>
      <w:bookmarkEnd w:id="447"/>
      <w:bookmarkEnd w:id="448"/>
      <w:r>
        <w:rPr>
          <w:rtl w:val="true"/>
        </w:rPr>
        <w:t xml:space="preserve">الثامن </w:t>
      </w:r>
      <w:r>
        <w:rPr>
          <w:rtl w:val="true"/>
        </w:rPr>
        <w:t xml:space="preserve">: </w:t>
      </w:r>
      <w:r>
        <w:rPr>
          <w:rtl w:val="true"/>
        </w:rPr>
        <w:t>أن يلتزما به في ضمن العقد</w:t>
      </w:r>
      <w:bookmarkEnd w:id="449"/>
    </w:p>
    <w:p>
      <w:pPr>
        <w:pStyle w:val="Heading5"/>
        <w:numPr>
          <w:ilvl w:val="4"/>
          <w:numId w:val="1"/>
        </w:numPr>
        <w:rPr/>
      </w:pPr>
      <w:bookmarkStart w:id="450" w:name="__RefHeading___Toc3331832_2142443653"/>
      <w:bookmarkStart w:id="451" w:name="_Toc165"/>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وفي كون هذا الشرط من شروط الصحّة إشكال ؛ لأنّه مبنيّ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على الشروط الابتدائية ؛ إذ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الأظهر لغة وعرفاً ، على ما تقدّم تفصيله في بيع المعاطاة</w:t>
      </w:r>
      <w:r>
        <w:rPr>
          <w:rStyle w:val="FootnoteAnchor"/>
          <w:rtl w:val="true"/>
        </w:rPr>
        <w:footnoteReference w:id="7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دخيلاً في صدق عنوانه ، وقد مرّ أنّ التعرّض لشروط صحّة الشيء ، لا بدّ وأن يكون بعد الفراغ عن شروط التحقّق وصدق العنوان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دليل على تقييد عموم دليل الشرط ؛ بكونه في ضمن العقد ، وهو مفقود ، إلاّ دعوى بعضهم الإجماع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كلمات الأكثر ، عدم لزوم الشرط غير المذكور في متن العقد ، ثمّ نقل حكاية الإجماع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عن بعض الأجلّة</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 كلماتهم في باب البيع والنكاح ، يكشف عن صدق ذلك المحكيّ</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bookmarkStart w:id="452" w:name="pg15222_162448"/>
    </w:p>
    <w:p>
      <w:pPr>
        <w:pStyle w:val="BookText"/>
        <w:rPr/>
      </w:pPr>
      <w:bookmarkEnd w:id="452"/>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الشهرة المعتمدة ، أو الإجماع في هذه المسألة ، محلّ إشكال بل منع ؛ لقوّة احتمال كون مبنى فتوى الكثير أو الأكثر على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الالتزام الابتدائي ، فيخرج عن أدلّة الشروط موضوعاً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بنينا على صدقه ، لا محيص عن الأخذ بعموم الدليل ، فالشرط المذكور لا يكون من شروط الصحّة ، بل يدور أمره بين دخالته في الصدق ، وعدم اشتراطه رأساً </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3331834_2142443653"/>
      <w:bookmarkStart w:id="454" w:name="_Toc166"/>
      <w:bookmarkEnd w:id="453"/>
      <w:r>
        <w:rPr>
          <w:rtl w:val="true"/>
        </w:rPr>
        <w:t>وجوب العمل بالشروط الابتدائية</w:t>
      </w:r>
      <w:bookmarkEnd w:id="454"/>
    </w:p>
    <w:p>
      <w:pPr>
        <w:pStyle w:val="BookText"/>
        <w:rPr/>
      </w:pPr>
      <w:r>
        <w:rPr>
          <w:rFonts w:ascii="IRNazanin" w:hAnsi="IRNazanin" w:eastAsia="IRNazanin"/>
          <w:color w:val="111111"/>
          <w:sz w:val="28"/>
          <w:sz w:val="28"/>
          <w:szCs w:val="28"/>
          <w:rtl w:val="true"/>
          <w:lang w:bidi="fa-IR"/>
        </w:rPr>
        <w:t xml:space="preserve">ثمّ إنّه قد سبق منّا في المعاطاة ، أ نّه على فرض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الالتزامات الابتدائية ، يمكن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العمل بها ؛ بدعوى إلغاء الخصوصية عن الشروط الضمنية ، بمناسبات مغروسة في ذهن العرف ، وأنّ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يفهم منه عرفاً أنّ ما هو ملاك الوجوب ، هو قرار المؤمنين ، وأ نّهم عند قراراتهم وملتزماتهم ، من غير دخالة لخصوصية الشرط ؛ أي الالتزام في الالتزام ، أو القرار في القرار في ذلك</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للقرار في ضمن المعاملة آثار ، كثبوت الخيار عند تخلّفه ، وأنّ فساده يوجب فسادها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bookmarkStart w:id="455" w:name="pg15222_162449"/>
    </w:p>
    <w:p>
      <w:pPr>
        <w:pStyle w:val="Heading5"/>
        <w:numPr>
          <w:ilvl w:val="4"/>
          <w:numId w:val="1"/>
        </w:numPr>
        <w:rPr/>
      </w:pPr>
      <w:bookmarkStart w:id="456" w:name="__RefHeading___Toc3331836_2142443653"/>
      <w:bookmarkStart w:id="457" w:name="_Toc167"/>
      <w:bookmarkEnd w:id="455"/>
      <w:bookmarkEnd w:id="456"/>
      <w:r>
        <w:rPr>
          <w:rtl w:val="true"/>
        </w:rPr>
        <w:t>هل يجب العمل بالشرط المتواطأ عليه قبل العقد؟</w:t>
      </w:r>
      <w:bookmarkEnd w:id="457"/>
    </w:p>
    <w:p>
      <w:pPr>
        <w:pStyle w:val="BookText"/>
        <w:rPr/>
      </w:pPr>
      <w:r>
        <w:rPr>
          <w:rFonts w:ascii="Amiri" w:hAnsi="Amiri" w:eastAsia="Amiri" w:cs="Amiri"/>
          <w:color w:val="111111"/>
          <w:sz w:val="28"/>
          <w:sz w:val="28"/>
          <w:szCs w:val="28"/>
          <w:rtl w:val="true"/>
          <w:lang w:bidi="ar-SA"/>
        </w:rPr>
        <w:t>فلو وقع العقد مع تواطئهما قبله على الشرط ، فهل هو كالمذكور فيه في وجوب العمل وسائر الآثار ، فتكون منزلة الشرط ، منزلة الأوصاف والقيود في المبيع ، حيث يقع العقد عرفاً على المتقيّد مع قيام القرينة ، ومنها التواطؤ قبله ، وإيقاع العقد مبنيّاً عليه ، أم لا ؟</w:t>
      </w:r>
    </w:p>
    <w:p>
      <w:pPr>
        <w:pStyle w:val="BookText"/>
        <w:rPr/>
      </w:pPr>
      <w:r>
        <w:rPr>
          <w:rFonts w:ascii="Amiri" w:hAnsi="Amiri" w:eastAsia="Amiri" w:cs="Amiri"/>
          <w:color w:val="111111"/>
          <w:sz w:val="28"/>
          <w:sz w:val="28"/>
          <w:szCs w:val="28"/>
          <w:rtl w:val="true"/>
          <w:lang w:bidi="ar-SA"/>
        </w:rPr>
        <w:t xml:space="preserve">يمكن أن يكون الشرط بحسب التصوّر ، راجعاً إلى القيد مطلقاً ، من غير فرق بين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كشرط كون الحنطة كذا ، ومن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كشرط الخياطة ونحوها ، نظير ما قيل في الواجب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الشرط يرجع إلى القيد في المادّة</w:t>
      </w:r>
      <w:r>
        <w:rPr>
          <w:rStyle w:val="FootnoteAnchor"/>
          <w:rtl w:val="true"/>
        </w:rPr>
        <w:footnoteReference w:id="764"/>
      </w:r>
      <w:r>
        <w:rPr>
          <w:rFonts w:ascii="Amiri" w:hAnsi="Amiri" w:eastAsia="Amiri" w:cs="Amiri"/>
          <w:color w:val="111111"/>
          <w:sz w:val="28"/>
          <w:sz w:val="28"/>
          <w:szCs w:val="28"/>
          <w:rtl w:val="true"/>
          <w:lang w:bidi="ar-SA"/>
        </w:rPr>
        <w:t xml:space="preserve">، وإن كان بين الشرط في المقام وما هناك 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في خصوص الشروط المربوطة بالأوصاف وخصوصيات المبيع ، أو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الشرط وبين سائر القيود ؛ في أنّ التواطؤ عليها وإيقاع العقد مبنيّاً عليها ، كافٍ في وقوعه على المقيّد بالقرينة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لازم هذا الاحتمال ، رفض خيار تخلّف الشرط مطلقاً ، أو في خصوص اشتراط الأوصاف ونحوها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أمّا في بيع الكلّي ؛ فلأنّ كلّ قيد يلحق بعنوان كلّي ، يوجب لا محالة مخالفته لعنوان فاقد له ، أو واجد لغيره ، 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قيّد بقيد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تخالف مصاديقه مصاديق الحنطة الحمراء مثلاً ، والحنطة الحمراء </w:t>
      </w:r>
    </w:p>
    <w:p>
      <w:pPr>
        <w:pStyle w:val="BookText"/>
        <w:rPr/>
      </w:pPr>
      <w:r>
        <w:rPr>
          <w:rFonts w:ascii="Amiri" w:hAnsi="Amiri" w:eastAsia="Amiri" w:cs="Amiri"/>
          <w:color w:val="111111"/>
          <w:sz w:val="28"/>
          <w:sz w:val="28"/>
          <w:szCs w:val="28"/>
          <w:rtl w:val="true"/>
          <w:lang w:bidi="ar-SA"/>
        </w:rPr>
        <w:t xml:space="preserve">تخالف عنواناً ومصداقاً البيضاء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وقع البيع على الحمراء ، وأدّى البيضاء ، لم يؤدّ ما وقع عليه العقد ، ويجب عليه أداء ما هو المصداق ، ولا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خيار تخلّف الشرط ، أو تخلّف الوصف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الأعيان الخارجية ؛ فلأ نّه يرجع إلى خيار تخلّف القيد أو الوصف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خيار تخلّف الشرط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مضافاً إلى أنّ إرجاع الشروط إلى القيود ، أمر مخالف للعرف والعقل ، فلو بدّل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قيودهم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لكان مبتذلاً مستهجناً ، فلا وجه لهذا الاحتمال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قد ذكرنا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الشروط في الواجب المشروط إلى قيود المادّة ، غير صحيح ، بل غير معقول في بعض الشروط</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هذا القبيل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الالتزام قيد للعوض ؛ فإنّ التقييد بالالتزام المطلق ، لا معنى له ، وبالالتزام الخاصّ المتقيّد بالملتزم ، يلزم منه ما يلزم في الفرض المتقدّم ، بل الإرجاع إليه مقطوع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يرجع إلى الالتزام الذي هو قيد للعقد ، فالعقد بلا شرط مطلق ، ومعه مقيّد بذلك الالتزام ، فعلى فرض كونه كذلك ،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التواطؤ عليه في وقوعه ضمن العقد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المراد من أنّ الشرط التزام في التزام ، أو التزام في بيع ونحوه ، وإلاّ </w:t>
      </w:r>
    </w:p>
    <w:p>
      <w:pPr>
        <w:pStyle w:val="BookText"/>
        <w:rPr/>
      </w:pPr>
      <w:r>
        <w:rPr>
          <w:rFonts w:ascii="Amiri" w:hAnsi="Amiri" w:eastAsia="Amiri" w:cs="Amiri"/>
          <w:color w:val="111111"/>
          <w:sz w:val="28"/>
          <w:sz w:val="28"/>
          <w:szCs w:val="28"/>
          <w:rtl w:val="true"/>
          <w:lang w:bidi="ar-SA"/>
        </w:rPr>
        <w:t xml:space="preserve">فلو وقع الشرط في خلال الإيجاب والقبول ، من غير ارتباط وتقيّد للعقد به ، يكون شرطاً ابتدائياً ، لا يوجب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ماهية البيع مثلاً ليست إلاّ مبادلة مال بمال ، أو تمليك عين بعوض ، من غير أن يكون للالتزام وراء ذلك ، عين ولا أثر في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يكون الالتزام بالعمل على طبقها ، من الأحكام العقلائية لها ، وهو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من العقد الذي يتقيّد بالشرط ، إمّا نفس التبديل والإيقاع ، أو المنشأ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التقييد ؛ لأنّ الإيجاد لا يقبل التقييد ، سواء في التكوين أو التشريع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فالمبادلة الإنشائية إن كانت متقيّدة بوجود الشرط ، يلزم أن لا تقع إلاّ بعد وجوده ، وهو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متقيّدة بالالتزام المطلق ، فهو حاصل لا تخلّف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متقيّدة بالالتزام الخاصّ بما هو كذلك ، فإن كان متقيّداً بحال العقد ، فهو حاصل ، ولا وجود بقائي له ، وإن كان مطلقاً ، يلزم منه عدم المبادلة عند عدم الالتزام ورجوعه عنه ، لا خيار التخلّف ، والاحتمالات كلّها 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عبارة عن قرار مستقلّ في قراريته ، مقابل قرار البيع ، لكن يعتبر في تحقّق عنوانه وتحقّقه أن يقع في ضمن العقد ؛ من غير تقييد مطلقاً ، لا للعوضين ، ولا للإنشاء ، ولا المنشأ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فالارتباط بينهما غالباً ؛ لأجل دخالته في الرغبة وازدياد الثمن به ، وإن </w:t>
      </w:r>
    </w:p>
    <w:p>
      <w:pPr>
        <w:pStyle w:val="BookText"/>
        <w:rPr/>
      </w:pPr>
      <w:r>
        <w:rPr>
          <w:rFonts w:ascii="Amiri" w:hAnsi="Amiri" w:eastAsia="Amiri" w:cs="Amiri"/>
          <w:color w:val="111111"/>
          <w:sz w:val="28"/>
          <w:sz w:val="28"/>
          <w:szCs w:val="28"/>
          <w:rtl w:val="true"/>
          <w:lang w:bidi="ar-SA"/>
        </w:rPr>
        <w:t xml:space="preserve">لم يكن ذلك دائمياً ، فإنّه قد يقع البيع لمجرّد تحقّق الشرط في ضمنه ، من غير أن يكون في أصل البيع غرض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باع ريحانة بفلس ، وشرط عليه شرطاً ، صحّ البيع والشرط بلا إشكال ، مع أنّ الغرض هو إيقاع الشرط ، ويكون إيقاع البيع تبعاً في الغرض ، وإن كان الشرط تبعاً في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فالشروط التي تقع في عقد النكاح ، لا توجب زيادة في الطرفين ، ولا تحسب مهراً لو كان بلا مهر ، ولا تزاد على المهر أيضاً ، مع أ نّها صحيحة لا يوجب تخلّفها الخيار ، بل توجب التكليف فقط ، فلا تقييد في الركنين ، ولا في المهر ، ولا في العقد والعهد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يكون التواطؤ قبل العقد ، موجباً لوقوع الشرط في ضمنه ؛ فإنّه من قبيل الإنشائيات المستقلّة في عالمها ، ولا يعقل إنشاء تبع إنشاء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الألفاظ الدالّة على الشروط في ضمن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العرف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تشهد بأ نّها مرتبطة بالعقد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بكذا على أن تخيط لي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أنّ ذلك الارتباط بينهما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ارتباط بينهما ، أو تقييد مطلقاً ، فلا يتّجه خيار التخلّف بوجه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حاولت الأخذ بهذا الظهور ، يلزم أن يكون العقد مشروطاً بالعمل الخارجي ، وأن لا يتحقّق البيع والنقل إلاّ بعد العمل بالشرط ، وهو كما ترى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ما هو الظاهر ، بطل البيع للتعليق </w:t>
      </w:r>
      <w:r>
        <w:rPr>
          <w:rFonts w:eastAsia="Amiri" w:cs="Amiri" w:ascii="Amiri" w:hAnsi="Amiri"/>
          <w:color w:val="111111"/>
          <w:sz w:val="28"/>
          <w:szCs w:val="28"/>
          <w:rtl w:val="true"/>
          <w:lang w:bidi="ar-SA"/>
        </w:rPr>
        <w:t xml:space="preserve">. </w:t>
      </w:r>
      <w:bookmarkStart w:id="458" w:name="pg15222_162453"/>
    </w:p>
    <w:p>
      <w:pPr>
        <w:pStyle w:val="BookText"/>
        <w:rPr/>
      </w:pPr>
      <w:bookmarkEnd w:id="458"/>
      <w:r>
        <w:rPr>
          <w:rFonts w:ascii="Amiri" w:hAnsi="Amiri" w:eastAsia="Amiri" w:cs="Amiri"/>
          <w:color w:val="111111"/>
          <w:sz w:val="28"/>
          <w:sz w:val="28"/>
          <w:szCs w:val="28"/>
          <w:rtl w:val="true"/>
          <w:lang w:bidi="ar-SA"/>
        </w:rPr>
        <w:t xml:space="preserve">وعلى فرض صحّته ، يكون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لحصوله وتحقّقه ، لا واقعاً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قضيّة خيار التخلّف ، فهي عقلائية منوطة بتخلّف ما له دخالة في القيم والأغراض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فالشروط أو القيود التي هي دخيلة فيها ، إن لم تذكر في ضمن العقد ، لا توجب شيئاً ، وتكون من قبيل تخلّف الدواعي ، وأمّا مع ذكرها قيداً ، أو وصفاً ، أو شرطاً ، فيكون تخلّفها موجباً لخيار تخلّف الوصف أو الشرط </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3331838_2142443653"/>
      <w:bookmarkStart w:id="460" w:name="_Toc168"/>
      <w:bookmarkEnd w:id="459"/>
      <w:r>
        <w:rPr>
          <w:rtl w:val="true"/>
        </w:rPr>
        <w:t>حول كلام الشيخ الأعظم في المقام</w:t>
      </w:r>
      <w:bookmarkEnd w:id="460"/>
    </w:p>
    <w:p>
      <w:pPr>
        <w:pStyle w:val="BookText"/>
        <w:rPr/>
      </w:pPr>
      <w:r>
        <w:rPr>
          <w:rFonts w:ascii="Amiri" w:hAnsi="Amiri" w:eastAsia="Amiri" w:cs="Amiri"/>
          <w:color w:val="111111"/>
          <w:sz w:val="28"/>
          <w:sz w:val="28"/>
          <w:szCs w:val="28"/>
          <w:rtl w:val="true"/>
          <w:lang w:bidi="ar-SA"/>
        </w:rPr>
        <w:t xml:space="preserve">ثمّ إنّ ما ذكره الشيخ الأعظم قدّس سرّه في ذيل كلامه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وجهاً آخر لا يخلو من وجه ؛ وهو بطلان العقد الواقع على الشرط ؛ لأنّ الشرط من أركان العقد المشروط ، بل عرفت أ نّه كالجزء من أحد العوضين ، فيجب ذكره في الإيجاب والقبول ، كأجزاء العوضين</w:t>
      </w:r>
      <w:r>
        <w:rPr>
          <w:rStyle w:val="FootnoteAnchor"/>
          <w:rtl w:val="true"/>
        </w:rPr>
        <w:footnoteReference w:id="76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يتوهّم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الوجه هاهنا في غير محلّه ؛ لأنّ الكلام هنا في بطلان الشرط ، لا في بطلان العقد بفساد شرطه ، فالواجب ذكره في المسألة الآتية</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الكلام في المسألة الآتية ؛ في فساد العقد بفساد الشرط ، بعد الفراغ عن فساده ، وفي المقام في فساد الشرط وإن كان ذلك لعدم ذكره في ضمن </w:t>
      </w:r>
    </w:p>
    <w:p>
      <w:pPr>
        <w:pStyle w:val="BookText"/>
        <w:rPr/>
      </w:pPr>
      <w:r>
        <w:rPr>
          <w:rFonts w:ascii="Amiri" w:hAnsi="Amiri" w:eastAsia="Amiri" w:cs="Amiri"/>
          <w:color w:val="111111"/>
          <w:sz w:val="28"/>
          <w:sz w:val="28"/>
          <w:szCs w:val="28"/>
          <w:rtl w:val="true"/>
          <w:lang w:bidi="ar-SA"/>
        </w:rPr>
        <w:t xml:space="preserve">العقد ، أو لذكره في ضمن عقد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فالاستدلال هاهنا لفساد العقد بعدم ذكر الشرط فيه ، مقدّمة لفساد الشرط ؛ لاعتبار كونه في ضمن العقد الصحيح ، عكس المسألة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يوجّه الاستدلال ؛ بأنّ التواطؤ قبل العقد ، إنّما يكون قرينة على الاندراج في العقد ، إذا كانت القرينية عقلائية ، والتواطؤ على ثمن أو مبيع ، وإيقاع العقد مبنيّاً عليهما ، إنّما يكون قرينة عند العقلاء ، إذا لم يذكر أصل الثمن</w:t>
      </w:r>
    </w:p>
    <w:p>
      <w:pPr>
        <w:pStyle w:val="BookText"/>
        <w:rPr/>
      </w:pPr>
      <w:r>
        <w:rPr>
          <w:rFonts w:ascii="Amiri" w:hAnsi="Amiri" w:eastAsia="Amiri" w:cs="Amiri"/>
          <w:color w:val="111111"/>
          <w:sz w:val="28"/>
          <w:sz w:val="28"/>
          <w:szCs w:val="28"/>
          <w:rtl w:val="true"/>
          <w:lang w:bidi="ar-SA"/>
        </w:rPr>
        <w:t xml:space="preserve">أو المبيع ، بأن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ثمنه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ذكر بعض الثمن أو المثمن ، لانهدم بذكر بعضهما القرينية العقلائية للتواطؤ ، فلو تواطئا على أنّ الثمن ألف دينار وألف درهم ، فقال اتّكالاً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ذلك التواطؤ عليه ، كما لو قال بعد التواطؤ على الألف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الجزء أو ما هو كالجزء يهدم القرينية ، بخلاف ما لو ترك الكلّ أو المقيّد ، هذا غاية تقريبه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الشرط كالجزء ممنوع ، فالاستدلال مبنيّ على مبنىً غير وجيه ، والتحقيق ما تقدّم </w:t>
      </w:r>
      <w:r>
        <w:rPr>
          <w:rFonts w:eastAsia="Amiri" w:cs="Amiri" w:ascii="Amiri" w:hAnsi="Amiri"/>
          <w:color w:val="111111"/>
          <w:sz w:val="28"/>
          <w:szCs w:val="28"/>
          <w:rtl w:val="true"/>
          <w:lang w:bidi="ar-SA"/>
        </w:rPr>
        <w:t xml:space="preserve">. </w:t>
      </w:r>
      <w:bookmarkStart w:id="461" w:name="pg15222_162455"/>
    </w:p>
    <w:p>
      <w:pPr>
        <w:pStyle w:val="Heading4"/>
        <w:numPr>
          <w:ilvl w:val="3"/>
          <w:numId w:val="1"/>
        </w:numPr>
        <w:rPr/>
      </w:pPr>
      <w:bookmarkStart w:id="462" w:name="__RefHeading___Toc3331840_2142443653"/>
      <w:bookmarkStart w:id="463" w:name="_Toc169"/>
      <w:bookmarkEnd w:id="461"/>
      <w:bookmarkEnd w:id="462"/>
      <w:r>
        <w:rPr>
          <w:rtl w:val="true"/>
        </w:rPr>
        <w:t xml:space="preserve">التاسع </w:t>
      </w:r>
      <w:r>
        <w:rPr>
          <w:rtl w:val="true"/>
        </w:rPr>
        <w:t xml:space="preserve">: </w:t>
      </w:r>
      <w:r>
        <w:rPr>
          <w:rtl w:val="true"/>
        </w:rPr>
        <w:t>التنجيز</w:t>
      </w:r>
      <w:bookmarkEnd w:id="463"/>
    </w:p>
    <w:p>
      <w:pPr>
        <w:pStyle w:val="BookText"/>
        <w:rPr/>
      </w:pPr>
      <w:r>
        <w:rPr>
          <w:rFonts w:ascii="Amiri" w:hAnsi="Amiri" w:eastAsia="Amiri" w:cs="Amiri"/>
          <w:color w:val="111111"/>
          <w:sz w:val="28"/>
          <w:sz w:val="28"/>
          <w:szCs w:val="28"/>
          <w:rtl w:val="true"/>
          <w:lang w:bidi="ar-SA"/>
        </w:rPr>
        <w:t>وهو ممّا قد يقال باعتباره في الشرط</w:t>
      </w:r>
      <w:r>
        <w:rPr>
          <w:rStyle w:val="FootnoteAnchor"/>
          <w:rtl w:val="true"/>
        </w:rPr>
        <w:footnoteReference w:id="768"/>
      </w:r>
      <w:r>
        <w:rPr>
          <w:rFonts w:ascii="Amiri" w:hAnsi="Amiri" w:eastAsia="Amiri" w:cs="Amiri"/>
          <w:color w:val="111111"/>
          <w:sz w:val="28"/>
          <w:sz w:val="28"/>
          <w:szCs w:val="28"/>
          <w:rtl w:val="true"/>
          <w:lang w:bidi="ar-SA"/>
        </w:rPr>
        <w:t>، كما قيل باعتباره في العقود</w:t>
      </w:r>
      <w:r>
        <w:rPr>
          <w:rStyle w:val="FootnoteAnchor"/>
          <w:rtl w:val="true"/>
        </w:rPr>
        <w:footnoteReference w:id="769"/>
      </w:r>
      <w:r>
        <w:rPr>
          <w:rFonts w:ascii="Amiri" w:hAnsi="Amiri" w:eastAsia="Amiri" w:cs="Amiri"/>
          <w:color w:val="111111"/>
          <w:sz w:val="28"/>
          <w:sz w:val="28"/>
          <w:szCs w:val="28"/>
          <w:rtl w:val="true"/>
          <w:lang w:bidi="ar-SA"/>
        </w:rPr>
        <w:t xml:space="preserve">، أو البيع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قد يراد به الإطلاق مقابل الاشتراط ، كأن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إذا جاء رأس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بكذا على أن تخيط لي ثوباً إذا طلعت الشمس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يراد به التنجيز مقابل التعليق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رأس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على أن تخيط لي ثوبي رأس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معنييه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العقلية والعقلائية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في محلّه مع الجواب عنه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الشيخ الأعظم قدّس سرّه ، فكلامه</w:t>
      </w:r>
      <w:r>
        <w:rPr>
          <w:rStyle w:val="FootnoteAnchor"/>
          <w:rtl w:val="true"/>
        </w:rPr>
        <w:footnoteReference w:id="771"/>
      </w:r>
      <w:r>
        <w:rPr>
          <w:rFonts w:ascii="Amiri" w:hAnsi="Amiri" w:eastAsia="Amiri" w:cs="Amiri"/>
          <w:color w:val="111111"/>
          <w:sz w:val="28"/>
          <w:sz w:val="28"/>
          <w:szCs w:val="28"/>
          <w:rtl w:val="true"/>
          <w:lang w:bidi="ar-SA"/>
        </w:rPr>
        <w:t xml:space="preserve">مبنيّ على الوجه الأوّل ؛ أي الاشتراط والإطلاق ، ومبنى الاستدلال سراية التعليق في الشرط إلى التعليق في العقد ، فيبطل العقد ، ويبطل ببطلانه الشرط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الاستدلال أيضاً نظير ما مرّ في ذيل المسألة السابقة</w:t>
      </w:r>
      <w:r>
        <w:rPr>
          <w:rStyle w:val="FootnoteAnchor"/>
          <w:rtl w:val="true"/>
        </w:rPr>
        <w:footnoteReference w:id="772"/>
      </w:r>
      <w:r>
        <w:rPr>
          <w:rFonts w:ascii="Amiri" w:hAnsi="Amiri" w:eastAsia="Amiri" w:cs="Amiri"/>
          <w:color w:val="111111"/>
          <w:sz w:val="28"/>
          <w:sz w:val="28"/>
          <w:szCs w:val="28"/>
          <w:rtl w:val="true"/>
          <w:lang w:bidi="ar-SA"/>
        </w:rPr>
        <w:t xml:space="preserve">، فكان المفروض عنده عدم بطلان التعليق في الشرط ؛ لعدم الدليل عقلاً ونقلاً عليه ، لكنّه لمّا كان </w:t>
      </w:r>
    </w:p>
    <w:p>
      <w:pPr>
        <w:pStyle w:val="BookText"/>
        <w:rPr/>
      </w:pPr>
      <w:r>
        <w:rPr>
          <w:rFonts w:ascii="Amiri" w:hAnsi="Amiri" w:eastAsia="Amiri" w:cs="Amiri"/>
          <w:color w:val="111111"/>
          <w:sz w:val="28"/>
          <w:sz w:val="28"/>
          <w:szCs w:val="28"/>
          <w:rtl w:val="true"/>
          <w:lang w:bidi="ar-SA"/>
        </w:rPr>
        <w:t xml:space="preserve">يوجب التعليق في البيع ، وهو ممّا قام الإجماع على بطلانه ، فلا محالة يوجب بطلان الشرط أيضاً بالواسطة ؛ لاعتبار كونه في ضمن العقد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التعليق إنّما هو في الشرط فقط ، وإنّما يرجع التعليق إلى البيع ، لو كان الشرط مطلقاً بلا اشتراط ، وهو ممنوع</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على أن تخيط إذا جاء رأس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الشرط إلى البيع ، لا بدّ وأن تكون الخياطة مطلقة ، وإن كانت الخياطة مشروطة ، يكون البيع مطلقاً غير مشروط ؛ لعدم إمكان رجوع الشرط إليهما ، والمفروض أنّ الشرط للخياطة ، فلا يعقل مع ذلك اشتراط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موافق للتحقيق ، كما أ نّه موافق لما ذكرنا في الشرط ؛ من أنّه ليس من قيود البيع</w:t>
      </w:r>
      <w:r>
        <w:rPr>
          <w:rStyle w:val="FootnoteAnchor"/>
          <w:rtl w:val="true"/>
        </w:rPr>
        <w:footnoteReference w:id="774"/>
      </w:r>
      <w:r>
        <w:rPr>
          <w:rFonts w:ascii="Amiri" w:hAnsi="Amiri" w:eastAsia="Amiri" w:cs="Amiri"/>
          <w:color w:val="111111"/>
          <w:sz w:val="28"/>
          <w:sz w:val="28"/>
          <w:szCs w:val="28"/>
          <w:rtl w:val="true"/>
          <w:lang w:bidi="ar-SA"/>
        </w:rPr>
        <w:t>، وإن كان مخالفاً لما ذهب إليه في الشروط ؛ من رجوعها إلى الموادّ أو المتعلّقات على ما قيل</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في تعليقات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أنّ الشرط راجع إلى متعلّق الشرط ، لا إلى نفسه</w:t>
      </w:r>
      <w:r>
        <w:rPr>
          <w:rStyle w:val="FootnoteAnchor"/>
          <w:rtl w:val="true"/>
        </w:rPr>
        <w:footnoteReference w:id="776"/>
      </w:r>
      <w:r>
        <w:rPr>
          <w:rFonts w:ascii="Amiri" w:hAnsi="Amiri" w:eastAsia="Amiri" w:cs="Amiri"/>
          <w:color w:val="111111"/>
          <w:sz w:val="28"/>
          <w:sz w:val="28"/>
          <w:szCs w:val="28"/>
          <w:rtl w:val="true"/>
          <w:lang w:bidi="ar-SA"/>
        </w:rPr>
        <w:t xml:space="preserve">مخالف لظاهر كلامه ، لو لم نقل لصريحه ، فراجع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اعتبار التنجيز في الشرط عقلاً ولا نقلاً ، بكلا معنييه المشار إليهما </w:t>
      </w:r>
      <w:r>
        <w:rPr>
          <w:rFonts w:eastAsia="Amiri" w:cs="Amiri" w:ascii="Amiri" w:hAnsi="Amiri"/>
          <w:color w:val="111111"/>
          <w:sz w:val="28"/>
          <w:szCs w:val="28"/>
          <w:rtl w:val="true"/>
          <w:lang w:bidi="ar-SA"/>
        </w:rPr>
        <w:t xml:space="preserve">. </w:t>
      </w:r>
      <w:bookmarkStart w:id="464" w:name="pg15222_162457"/>
    </w:p>
    <w:p>
      <w:pPr>
        <w:pStyle w:val="Heading3"/>
        <w:numPr>
          <w:ilvl w:val="2"/>
          <w:numId w:val="1"/>
        </w:numPr>
        <w:rPr/>
      </w:pPr>
      <w:bookmarkStart w:id="465" w:name="__RefHeading___Toc3331842_2142443653"/>
      <w:bookmarkStart w:id="466" w:name="_Toc170"/>
      <w:bookmarkEnd w:id="464"/>
      <w:bookmarkEnd w:id="465"/>
      <w:r>
        <w:rPr>
          <w:rtl w:val="true"/>
        </w:rPr>
        <w:t>مسألة في الشرط الصحيح وحكمه</w:t>
      </w:r>
      <w:bookmarkEnd w:id="466"/>
    </w:p>
    <w:p>
      <w:pPr>
        <w:pStyle w:val="Heading4"/>
        <w:numPr>
          <w:ilvl w:val="3"/>
          <w:numId w:val="1"/>
        </w:numPr>
        <w:rPr/>
      </w:pPr>
      <w:bookmarkStart w:id="467" w:name="__RefHeading___Toc3331844_2142443653"/>
      <w:bookmarkStart w:id="468" w:name="_Toc171"/>
      <w:bookmarkEnd w:id="467"/>
      <w:r>
        <w:rPr>
          <w:rtl w:val="true"/>
        </w:rPr>
        <w:t>أقسام الشروط من شرط الفعل وشرط النتيجة وشرط الوصف</w:t>
      </w:r>
      <w:bookmarkEnd w:id="468"/>
    </w:p>
    <w:p>
      <w:pPr>
        <w:pStyle w:val="BookText"/>
        <w:rPr/>
      </w:pPr>
      <w:r>
        <w:rPr>
          <w:rFonts w:ascii="IRNazanin" w:hAnsi="IRNazanin" w:eastAsia="IRNazanin"/>
          <w:color w:val="111111"/>
          <w:sz w:val="28"/>
          <w:sz w:val="28"/>
          <w:szCs w:val="28"/>
          <w:rtl w:val="true"/>
          <w:lang w:bidi="fa-IR"/>
        </w:rPr>
        <w:t>أقسام الشروط</w:t>
      </w:r>
    </w:p>
    <w:p>
      <w:pPr>
        <w:pStyle w:val="BookText"/>
        <w:rPr/>
      </w:pPr>
      <w:r>
        <w:rPr>
          <w:rFonts w:ascii="Amiri" w:hAnsi="Amiri" w:eastAsia="Amiri" w:cs="Amiri"/>
          <w:color w:val="111111"/>
          <w:sz w:val="28"/>
          <w:sz w:val="28"/>
          <w:szCs w:val="28"/>
          <w:rtl w:val="true"/>
          <w:lang w:bidi="ar-SA"/>
        </w:rPr>
        <w:t xml:space="preserve">قد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الشارع الأقدس ، لا اصطلاح له في الموضوعات العرفية المتعلّقة للأحكام</w:t>
      </w:r>
      <w:r>
        <w:rPr>
          <w:rStyle w:val="FootnoteAnchor"/>
          <w:rtl w:val="true"/>
        </w:rPr>
        <w:footnoteReference w:id="777"/>
      </w:r>
      <w:r>
        <w:rPr>
          <w:rFonts w:ascii="Amiri" w:hAnsi="Amiri" w:eastAsia="Amiri" w:cs="Amiri"/>
          <w:color w:val="111111"/>
          <w:sz w:val="28"/>
          <w:sz w:val="28"/>
          <w:szCs w:val="28"/>
          <w:rtl w:val="true"/>
          <w:lang w:bidi="ar-SA"/>
        </w:rPr>
        <w:t xml:space="preserve">، ومنها الشرط ، فإنّه معنى عرفي ، وموضوع عقلائي ، متداول بين العقلاء في معاملاتهم ، وجميع أقسام الشروط عقلائية شائعة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في ذلك الشرط المتعلّق بالأفعال كشرط الخياطة والصبغ ، ومنه الشرط المتعلّق بتسليم عين خارجية على صفة كذائية إذا كانت مقدورة ، وإيقاع صفة في المبيع الشخصي فيما إذا كانت مقدورة ، ومنه الشرط المتعلّق بالموضوع الكلّي كاشتراط كون المبيع من صنف خاصّ أو على صفة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والشرط المتعلّق بالنتائج كشرط كون شيء ملكاً له وشرط الانعتاق ونحوهما ، فإنّه أيضاً عقلائي متداول بينهم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وشرط وصف في العين الشخصية المتعلّقة بها المعاملة كشرط كون الحنطة الخارجية المشتراة من محلّ خاصّ أو من صنف خاصّ ، وشرط كون البطّيخ الخارجي حلواً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ممّا يتداول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اختلاف أحكام تلك الشروط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شرط الفعل ، لزوم الوفاء به ، والعمل على طبقه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شرط النتيجة العمل على طبقه ؛ بمعنى ترتيب آثارها ، كما أنّ أثره حصول النتائج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شرط الوصف خيار التخلّف عند فقدانه ، وهذا أيضاً أثر مطلوب ، ولأجله كان اشتراطه متعارفاً 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تعليقات بعض أهل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العقلي فيه ، وإرجاعه إلى الوصف</w:t>
      </w:r>
      <w:r>
        <w:rPr>
          <w:rStyle w:val="FootnoteAnchor"/>
          <w:rtl w:val="true"/>
        </w:rPr>
        <w:footnoteReference w:id="778"/>
      </w:r>
      <w:r>
        <w:rPr>
          <w:rFonts w:ascii="Amiri" w:hAnsi="Amiri" w:eastAsia="Amiri" w:cs="Amiri"/>
          <w:color w:val="111111"/>
          <w:sz w:val="28"/>
          <w:sz w:val="28"/>
          <w:szCs w:val="28"/>
          <w:rtl w:val="true"/>
          <w:lang w:bidi="ar-SA"/>
        </w:rPr>
        <w:t xml:space="preserve">ناشئ من عدم الالتفات إلى ما في الأسواق العقلائية ، ومن توهّم كون الشرط التزاماً بعمل ، أو تعهّداً بشيء ، مع أ نّه أوسع من ذلك ؛ إذ هو قرار خاصّ في البيع ونحوه ، والالتزام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Style w:val="FootnoteAnchor"/>
          <w:rtl w:val="true"/>
        </w:rPr>
        <w:footnoteReference w:id="779"/>
      </w:r>
      <w:r>
        <w:rPr>
          <w:rFonts w:ascii="Amiri" w:hAnsi="Amiri" w:eastAsia="Amiri" w:cs="Amiri"/>
          <w:color w:val="111111"/>
          <w:sz w:val="28"/>
          <w:sz w:val="28"/>
          <w:szCs w:val="28"/>
          <w:rtl w:val="true"/>
          <w:lang w:bidi="ar-SA"/>
        </w:rPr>
        <w:t xml:space="preserve">، ليس المراد منه إلاّ القرار ، لا ما وقع في كلمات الفقهاء أحياناً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في لزوم التبعية للشروط العقلائية ، لا نحتاج إلى ورود دليل شرعي عليه ، بل ما لم يرد ردع من الشارع الأعظم ، لا بدّ من العمل على طبقها ، والالتزام بها على طبق الالتزامات العقلائية ؛ لأ نّه مع عدم الردع في تلك الاُمور </w:t>
      </w:r>
      <w:bookmarkStart w:id="469" w:name="pg15222_162459"/>
    </w:p>
    <w:p>
      <w:pPr>
        <w:pStyle w:val="BookText"/>
        <w:rPr/>
      </w:pPr>
      <w:bookmarkEnd w:id="469"/>
      <w:r>
        <w:rPr>
          <w:rFonts w:ascii="Amiri" w:hAnsi="Amiri" w:eastAsia="Amiri" w:cs="Amiri"/>
          <w:color w:val="111111"/>
          <w:sz w:val="28"/>
          <w:sz w:val="28"/>
          <w:szCs w:val="28"/>
          <w:rtl w:val="true"/>
          <w:lang w:bidi="ar-SA"/>
        </w:rPr>
        <w:t xml:space="preserve">الرائجة ، نستكشف رضا الشارع بها ؛ وأنّ حكمه موافق لحكمهم ، كما في الأمثال والنظائر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فرضنا أنّ الأدلّة الشرعية لم تشمل بعض تلك الشروط الرائجة ، لا يضرّ ذلك بلزوم اتّباع العرف ، ما لم يستفد منها تصرّف وردع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3331846_2142443653"/>
      <w:bookmarkStart w:id="471" w:name="_Toc172"/>
      <w:bookmarkEnd w:id="470"/>
      <w:r>
        <w:rPr>
          <w:rtl w:val="true"/>
        </w:rPr>
        <w:t xml:space="preserve">دلالة حديث </w:t>
      </w:r>
      <w:r>
        <w:rPr>
          <w:rtl w:val="true"/>
        </w:rPr>
        <w:t>«</w:t>
      </w:r>
      <w:r>
        <w:rPr>
          <w:rtl w:val="true"/>
        </w:rPr>
        <w:t>المؤمنون</w:t>
      </w:r>
      <w:r>
        <w:rPr>
          <w:rtl w:val="true"/>
        </w:rPr>
        <w:t xml:space="preserve">...» </w:t>
      </w:r>
      <w:r>
        <w:rPr>
          <w:rtl w:val="true"/>
        </w:rPr>
        <w:t>على وجوب الالتزام بالشرط</w:t>
      </w:r>
      <w:bookmarkEnd w:id="471"/>
    </w:p>
    <w:p>
      <w:pPr>
        <w:pStyle w:val="BookText"/>
        <w:rPr/>
      </w:pPr>
      <w:r>
        <w:rPr>
          <w:rFonts w:ascii="IRNazanin" w:hAnsi="IRNazanin" w:eastAsia="IRNazanin"/>
          <w:color w:val="111111"/>
          <w:sz w:val="28"/>
          <w:sz w:val="28"/>
          <w:szCs w:val="28"/>
          <w:rtl w:val="true"/>
          <w:lang w:bidi="fa-IR"/>
        </w:rPr>
        <w:t xml:space="preserve">هذا مع أنّه لا قصور في أدلّة الشروط عن شمول جميع الأقسام المتقدّمة ؛ فإنّ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80"/>
      </w:r>
      <w:r>
        <w:rPr>
          <w:rFonts w:ascii="Amiri" w:hAnsi="Amiri" w:eastAsia="Amiri" w:cs="Amiri"/>
          <w:color w:val="111111"/>
          <w:sz w:val="28"/>
          <w:sz w:val="28"/>
          <w:szCs w:val="28"/>
          <w:rtl w:val="true"/>
          <w:lang w:bidi="ar-SA"/>
        </w:rPr>
        <w:t xml:space="preserve">مع الغضّ عن الاستثناء والصدر والذيل في الروايات ، 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بمعناه الحقيقي ؛ أي نفس القرار بالمعنى المصدري ، أو بمعنى الملتزمات التي يكون استعماله فيها معروفاً مشهوراً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الجملة الخبرية في مقام إنشاء الحكم والتشريع ، لا الإخبار عن الواقع المحفوظ ؛ فإنّه مخالف للواقع ، فإنّ كثيراً من المؤمنين والمسلمين ، لا يعملون بشروطهم ، ولا يلازمونها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أ نّه ينبغي أن يكون المؤمن كذلك ، أو أنّ المؤمن من كان كذا ، ومن لم يكن عاملاً فليس بمؤمن ، كما ترى ، ولا سيّما مع معهودية لزوم العمل بالشروط لدى العرف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إشكال في أنّ الجملة في مقام التشريع ، بل الجمل الخبرية المفيدة للبعث والزجر ، أبلغ في الإفادة من الأوامر والنواهي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يكون الظاهر المتفاهم منه على الاحتمالين ، أنّ المؤمن ملازم لشرطه لا ينفكّ منه ؛ أي لا بدّ له أن يكون ملازماً له غير منفكّ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والملازمة له مختلفة أثراً وحكماً بحسب الموارد ؛ فملازمة شرط الفعل وعدم الانفكاك عنه ، العمل على طبقه والوفاء به وفياً ، فمن شرط ولم يعمل به ، لم يكن عند شرطه ، بل انفكّ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لم يعتن بشرط النتيجة ، ولم يلتزم بترتيب آثارها ، لم يكن عند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شرط الوصف ، ولم يعتنِ به عند تخلّفه من الالتزام بالخيار ، والتسليم لقبول سلعته ، لم يكن عند شرطه ، وانفكّ عنه ، وهذا من غير فرق بين الاحتمالين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مختصّ بشرط العمل ، أو أ نّه يعمّ شرط النتيجة أيضاً ، ولا يشمل شرط الوصف</w:t>
      </w:r>
      <w:r>
        <w:rPr>
          <w:rStyle w:val="FootnoteAnchor"/>
          <w:rtl w:val="true"/>
        </w:rPr>
        <w:footnoteReference w:id="781"/>
      </w:r>
      <w:r>
        <w:rPr>
          <w:rFonts w:ascii="Amiri" w:hAnsi="Amiri" w:eastAsia="Amiri" w:cs="Amiri"/>
          <w:color w:val="111111"/>
          <w:sz w:val="28"/>
          <w:sz w:val="28"/>
          <w:szCs w:val="28"/>
          <w:rtl w:val="true"/>
          <w:lang w:bidi="ar-SA"/>
        </w:rPr>
        <w:t>فقد حمل الجملة على غير ظاهرها ؛ فإنّه ليس</w:t>
      </w:r>
    </w:p>
    <w:p>
      <w:pPr>
        <w:pStyle w:val="BookText"/>
        <w:rPr/>
      </w:pPr>
      <w:r>
        <w:rPr>
          <w:rFonts w:ascii="Amiri" w:hAnsi="Amiri" w:eastAsia="Amiri" w:cs="Amiri"/>
          <w:color w:val="111111"/>
          <w:sz w:val="28"/>
          <w:sz w:val="28"/>
          <w:szCs w:val="28"/>
          <w:rtl w:val="true"/>
          <w:lang w:bidi="ar-SA"/>
        </w:rPr>
        <w:t xml:space="preserve">فيها ما يوجب اختصاصها بالعمل ، وليس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بوجه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قلنا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من أنّ المراد منه وجوب العمل</w:t>
      </w:r>
      <w:r>
        <w:rPr>
          <w:rStyle w:val="FootnoteAnchor"/>
          <w:rtl w:val="true"/>
        </w:rPr>
        <w:footnoteReference w:id="783"/>
      </w:r>
      <w:r>
        <w:rPr>
          <w:rFonts w:ascii="Amiri" w:hAnsi="Amiri" w:eastAsia="Amiri" w:cs="Amiri"/>
          <w:color w:val="111111"/>
          <w:sz w:val="28"/>
          <w:sz w:val="28"/>
          <w:szCs w:val="28"/>
          <w:rtl w:val="true"/>
          <w:lang w:bidi="ar-SA"/>
        </w:rPr>
        <w:t xml:space="preserve">، إنّما كان لمكان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فيه ، وأمّا في المقام فليس عنوانه مأخوذا فيه ، ولا مستفاداً منه ، فلا مانع من الحمل على لزوم الالتزام بنفس الشرط ، أو بالملتزم ، ولا يفرّق بينهما في النتيجة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الجمع المضاف الشامل لجميع أقسام الشروط العقلائية محكم ، إلاّ أن يدلّ دليل على التخصيص ، أو تقوم قرينة على الاختصاص ، كالاستثناء الوارد في نفس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ورد في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الوفاء بما شرط لامرأته ، مستدلاًّ عليه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فليتمّ للمرأة شرطها ؛ فإنّ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785"/>
      </w:r>
      <w:r>
        <w:rPr>
          <w:rFonts w:ascii="Amiri" w:hAnsi="Amiri" w:eastAsia="Amiri" w:cs="Amiri"/>
          <w:color w:val="111111"/>
          <w:sz w:val="28"/>
          <w:sz w:val="28"/>
          <w:szCs w:val="28"/>
          <w:rtl w:val="true"/>
          <w:lang w:bidi="ar-SA"/>
        </w:rPr>
        <w:t xml:space="preserve">فلا يكون قرينة على أنّ المراد بالكبرى وجوب الوفاء بالشرط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في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الشرط</w:t>
      </w:r>
      <w:r>
        <w:rPr>
          <w:rFonts w:eastAsia="Amiri" w:cs="Amiri" w:ascii="Amiri" w:hAnsi="Amiri"/>
          <w:color w:val="111111"/>
          <w:sz w:val="28"/>
          <w:szCs w:val="28"/>
          <w:rtl w:val="true"/>
          <w:lang w:bidi="ar-SA"/>
        </w:rPr>
        <w:t>»</w:t>
      </w:r>
      <w:r>
        <w:rPr>
          <w:rStyle w:val="FootnoteAnchor"/>
          <w:rtl w:val="true"/>
        </w:rPr>
        <w:footnoteReference w:id="786"/>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r>
        <w:rPr>
          <w:rStyle w:val="FootnoteAnchor"/>
          <w:rtl w:val="true"/>
        </w:rPr>
        <w:footnoteReference w:id="787"/>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باطل مع مخالفته للكتاب</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إلى الكتاب</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لا يكون قرينة على إرادة الحكم الوضعي منها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790"/>
      </w:r>
      <w:r>
        <w:rPr>
          <w:rFonts w:ascii="Amiri" w:hAnsi="Amiri" w:eastAsia="Amiri" w:cs="Amiri"/>
          <w:color w:val="111111"/>
          <w:sz w:val="28"/>
          <w:sz w:val="28"/>
          <w:szCs w:val="28"/>
          <w:rtl w:val="true"/>
          <w:lang w:bidi="ar-SA"/>
        </w:rPr>
        <w:t xml:space="preserve">لا يكون مفاده الأوّلي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لزوم كون المؤمنين عند شروطهم ؛ ضرورة أنّ الجمل الإخبارية التي تستعمل في مقام إفادة الحكم ، لا تستعمل في الإنشاء ، لكن يستفاد منها البعث أو الزجر أو الإلزام ، بوجه أبلغ ، وتكون الجملة الإنشائية المصطادة منها ، غير مخالفة لها إلاّ في الإخبار والإنشاء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الأمر بالإعادة ، يصطاد منه أعد صلاتك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مقام الإلزام والإنشاء ، يصطاد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فليكونوا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فليلتزموا بشروطهم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ونحوهما ، فوجوب الوفاء بها وجوازها ، وصحّتها ونفوذها ، كلّها خارجة عن مفاده الظاهري ، وإن كانت مستفادة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فتمسّك الأئمّة بقوله صلی الله علیه و آله وسلم لوجوب الوفاء تارة ، وللجواز واللا جواز والبطلان المقابل للصحّة اُخرى صحيح ؛ لأ نّها كلّها مستفادة منه ، ولكن ليس شيء منها مفاده المطابقي ، بل تستفاد منه بالملازمة الظاهرة كما تقدّم بيانه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فالعموم الشمولي لا بدّ وأن يؤخذ به ، وهو يشمل جميع الأقسام المتقدّمة ، ولا قرينة على صرفه عن بعضها بوجه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شكّ في واحد منها ؛ بأ نّه هل هو مخالف للكتاب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شرط وصف ؛ لاحتمال أنّ شرط الوصف مطلقاً أو الوصف الكذائي ، مخالف له ، أم شرط نتيجة ؛ لاحتمال أنّ الغايات مطلقاً أو غاية خاصّة ، لها سبب خاصّ شرعاً ، أم شرط فعل ؛ لاحتمال أنّ شرط الفعل الكذائي ، مخالف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مخالفة </w:t>
      </w:r>
    </w:p>
    <w:p>
      <w:pPr>
        <w:pStyle w:val="BookText"/>
        <w:rPr/>
      </w:pPr>
      <w:r>
        <w:rPr>
          <w:rFonts w:ascii="Amiri" w:hAnsi="Amiri" w:eastAsia="Amiri" w:cs="Amiri"/>
          <w:color w:val="111111"/>
          <w:sz w:val="28"/>
          <w:sz w:val="28"/>
          <w:szCs w:val="28"/>
          <w:rtl w:val="true"/>
          <w:lang w:bidi="ar-SA"/>
        </w:rPr>
        <w:t xml:space="preserve">شيء منها لظاهر الكتاب والسنّة التي بأيدينا ، كان منشأ الشكّ لا محالة ، احتمال مخالفتها للأحكام الواقعية التي لم تصل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لكونها مخزونة عند وليّ الأمر ، عليه آلاف التحيّات ، وهو مأمور بتبليغها حال ظهوره وبسط يده ، عجّل اللّه تعالى فرجه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لضياع بعض الكتب أو بعض الأحاديث ؛ من الكتب التي بأيدينا ، في تلك المدّة الطويلة مع الحوادث الواقعة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فينسدّ إذن باب التمسّك بأدلّة الشروط مطلقاً ، ولا يختصّ الإشكال بشروط النتائج ، والاُصول التي تمسّكوا بها ، أو يمكن أن يتمسّك بها لإحراز موضوع دليل الشرط ، مخدوشة وغير جارية ، كما تقدّم الكلام في بعض</w:t>
      </w:r>
      <w:r>
        <w:rPr>
          <w:rStyle w:val="FootnoteAnchor"/>
          <w:rtl w:val="true"/>
        </w:rPr>
        <w:footnoteReference w:id="792"/>
      </w:r>
      <w:r>
        <w:rPr>
          <w:rFonts w:ascii="Amiri" w:hAnsi="Amiri" w:eastAsia="Amiri" w:cs="Amiri"/>
          <w:color w:val="111111"/>
          <w:sz w:val="28"/>
          <w:sz w:val="28"/>
          <w:szCs w:val="28"/>
          <w:rtl w:val="true"/>
          <w:lang w:bidi="ar-SA"/>
        </w:rPr>
        <w:t xml:space="preserve">، ويلحق به غيره ؛ لاشتراك الجميع في 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يسهّل الخطب ، أنّ احتمال المخالفة للأحكام غير الواصلة ، لا يعتنى به ، ولا يمنع عن الأخذ بإطلاق الأدلّة وعمومها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أمّا في الأحكام المخزونة ؛ 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إنشائية ، لم يأن أوان تبليغها وفعليتها ، ومخالفتها اليقينية أيضا لا مانع لها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احتمال الضياع ، مع كونه موهوماً لا يعتني به العقلاء ، وخلاف الاُصول العقلائية في الاحتجاجات ، وفي مقابل الحجج القائمة ، ولا سيّما في المورد ؛ ممّا يعلم كمال اهتمام أصحابنا من عصر النبوّة ، إلى أعصار الأئمّة علیهم السلام وما بعدها ، على ضبطها وحفظها ، ممّا يوجب الاطمئنان بعدم الضياع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فلأنّ تلك الاُمور العقلائية الشائعة بينهم ، المتداولة في أسواقهم صباحاً ومساء ، لو تصرّف الشارع الأقدس فيها ، وسلك في الأسباب العقلائية والشروط المتداولة في النتائج وغيرها ، غير ما سلكه العقلاء ، لصار شائعاً في الأعصار والأمصار ؛ لأنّ التصرّف في السوق وقلبه إلى غير ما لدى العقلاء ، أمر لا يعقل خفاؤه على المسلمين ، فضلاً عن علمائهم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لم يكن دليل على ذلك ، وكان التشريع غير متعرّض لأسباب المعاملات ولا نفسها ، إلاّ ما وصل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احتمال التصرّف في سبب ، أو في فعل من الأفعال ، أو وصف من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احتمال كون ما احتمل ضياعه متكفّلاً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الاحتمال في الشبهة غير المحصورة ؛ ممّا قلنا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طرف منها ، قامت الأمارة العقلائية على عدم الشوب فيه ، وإنّ الاعتناء به يعدّ من الوسوسة ، والخروج عن الاستقامة الفكرية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في العلم الإجمالي ، فما ظنّك بالاحتمال الموهوم في الموهوم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في نفوذ الشرط ، عند عدم الدليل في الكتاب والسنّة على المنع منه ، من غير فرق بين النتائج وغيرها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قدّس سرّه ، قاس شرط النتيجة بنذر النتيجة</w:t>
      </w:r>
      <w:r>
        <w:rPr>
          <w:rStyle w:val="FootnoteAnchor"/>
          <w:rtl w:val="true"/>
        </w:rPr>
        <w:footnoteReference w:id="794"/>
      </w:r>
      <w:r>
        <w:rPr>
          <w:rFonts w:ascii="Amiri" w:hAnsi="Amiri" w:eastAsia="Amiri" w:cs="Amiri"/>
          <w:color w:val="111111"/>
          <w:sz w:val="28"/>
          <w:sz w:val="28"/>
          <w:szCs w:val="28"/>
          <w:rtl w:val="true"/>
          <w:lang w:bidi="ar-SA"/>
        </w:rPr>
        <w:t xml:space="preserve">، فكأ نّه أراد تقريب الصحّة في الشرط بذلك </w:t>
      </w:r>
      <w:r>
        <w:rPr>
          <w:rFonts w:eastAsia="Amiri" w:cs="Amiri" w:ascii="Amiri" w:hAnsi="Amiri"/>
          <w:color w:val="111111"/>
          <w:sz w:val="28"/>
          <w:szCs w:val="28"/>
          <w:rtl w:val="true"/>
          <w:lang w:bidi="ar-SA"/>
        </w:rPr>
        <w:t xml:space="preserve">. </w:t>
      </w:r>
      <w:bookmarkStart w:id="472" w:name="pg15222_162465"/>
    </w:p>
    <w:p>
      <w:pPr>
        <w:pStyle w:val="BookText"/>
        <w:rPr/>
      </w:pPr>
      <w:bookmarkEnd w:id="472"/>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صحّة شرط النتيجة عند العقلاء ؛ فإنّه قرار خاصّ كسائر القرارات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النذر ، فلا ينبغي الإشكال في بطلانه ، إذا تعلّق بالنتائج ؛ على نحو ما في المقام من شرط النتيجة ، فإنّ اعتبار النذر هو العهدة للّه تعالى ، فلا معنى محصّل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أن يكون هذا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معنى محصّل للنذر إلاّ ما تعلّق بالأفعال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النذر تخالف تعلّقه بالنتائج ، إلاّ فيما يرجع إلى اللّه ، كنذر الحجّ أو الصلاة ، إن لم يرجع ذلك إلى نذر العمل ، بخلاف ماهية الشرط ، فتدّبر جيّداً </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3331848_2142443653"/>
      <w:bookmarkStart w:id="474" w:name="_Toc173"/>
      <w:bookmarkEnd w:id="473"/>
      <w:r>
        <w:rPr>
          <w:rtl w:val="true"/>
        </w:rPr>
        <w:t>في إمكان إيقاع عنوان من عناوين المعاملات بالشرط</w:t>
      </w:r>
      <w:bookmarkEnd w:id="474"/>
    </w:p>
    <w:p>
      <w:pPr>
        <w:pStyle w:val="BookText"/>
        <w:rPr/>
      </w:pPr>
      <w:r>
        <w:rPr>
          <w:rFonts w:ascii="Amiri" w:hAnsi="Amiri" w:eastAsia="Amiri" w:cs="Amiri"/>
          <w:color w:val="111111"/>
          <w:sz w:val="28"/>
          <w:sz w:val="28"/>
          <w:szCs w:val="28"/>
          <w:rtl w:val="true"/>
          <w:lang w:bidi="ar-SA"/>
        </w:rPr>
        <w:t>ثمّ إنّه هل يمكن إيقاع عنوان من عناوين المعاملات بالشرط ، كما يمكن اشتراط نتائجها ؛ بحيث يوجد بالشرط عنوان المعاملة كالبيع ، ويترتّب عليه آثاره ؟</w:t>
      </w:r>
    </w:p>
    <w:p>
      <w:pPr>
        <w:pStyle w:val="BookText"/>
        <w:rPr/>
      </w:pP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عناوين المعاملات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يمكن حصوله بالشرط ؛ وهو كلّ عنوان لا يصحّ جعله ابتداء ومستقلاًّ ، بل كان ممّا ينتزع بعد إنشاء المعاملة ، كالبيع ، والإجارة ، ونحوهما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يصحّ جعل عنوان المبيعية والثمنية ، ابتداء للمبيع والثمن ، بل كان عنوان المبيعية لهذا ، والثمنية لذاك ، ينتزع بعد إنشاء المعاملة منه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مبيع ، وذاك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يصحّ إيجاد مثله بالشرط ، وعليه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اشترطت </w:t>
      </w:r>
    </w:p>
    <w:p>
      <w:pPr>
        <w:pStyle w:val="BookText"/>
        <w:rPr/>
      </w:pPr>
      <w:r>
        <w:rPr>
          <w:rFonts w:ascii="Amiri" w:hAnsi="Amiri" w:eastAsia="Amiri" w:cs="Amiri"/>
          <w:color w:val="111111"/>
          <w:sz w:val="28"/>
          <w:sz w:val="28"/>
          <w:szCs w:val="28"/>
          <w:rtl w:val="true"/>
          <w:lang w:bidi="ar-SA"/>
        </w:rPr>
        <w:t>أن يكون هذا مبيعاً ، وذاك 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 لا يفيد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يمكن حصوله به ، وهو كلّ عنوان يصحّ جعله ابتداءً ، ويترتّب الأثر عليه عرفاً بعد تمامية شروطه ، كالوكالة ، والوديعة ، والعارية ، والرهن ، والقرض ، والشركة ، فضلاً عن الوصاية والولاية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فيستقلّ ما ذكر بالجعل ، يصحّ جعله بالاشتراط أيضاً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على أن تكون وكيلي في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 يتحقّق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يكون هذا 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 فلا يشكّ العرف في أمثال ذلك ؛ في تحقّق العناوين المذكورة بالشرط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تعليقات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بأنّ المقابل لا يحصل بالمقابل ، والماهية بشرط لا لا تحصل بالماهية بشرط شيء</w:t>
      </w:r>
      <w:r>
        <w:rPr>
          <w:rStyle w:val="FootnoteAnchor"/>
          <w:rtl w:val="true"/>
        </w:rPr>
        <w:footnoteReference w:id="795"/>
      </w:r>
      <w:r>
        <w:rPr>
          <w:rFonts w:ascii="Amiri" w:hAnsi="Amiri" w:eastAsia="Amiri" w:cs="Amiri"/>
          <w:color w:val="111111"/>
          <w:sz w:val="28"/>
          <w:sz w:val="28"/>
          <w:szCs w:val="28"/>
          <w:rtl w:val="true"/>
          <w:lang w:bidi="ar-SA"/>
        </w:rPr>
        <w:t xml:space="preserve">ناشئ من عدم التوجّه إلى الاُمور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ما ذكرنا في 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تحقّق العنوان الموضوع للأثر بالاشتراط ، فهل يصحّ شرط كون هذا بدل هذا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بهذا على أن تكون هذه العين لك بذاك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يتحقّق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آثاره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صحّة هذا الشرط ، وتحقّق المبادلة به ، وأمّا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فيتوقّف على أن تكون ماهية البيع مجرّد مبادلة مال بمال ، من غير دخالة شيء </w:t>
      </w:r>
      <w:bookmarkStart w:id="475" w:name="pg15222_162467"/>
    </w:p>
    <w:p>
      <w:pPr>
        <w:pStyle w:val="BookText"/>
        <w:rPr/>
      </w:pPr>
      <w:bookmarkEnd w:id="475"/>
      <w:r>
        <w:rPr>
          <w:rFonts w:ascii="Amiri" w:hAnsi="Amiri" w:eastAsia="Amiri" w:cs="Amiri"/>
          <w:color w:val="111111"/>
          <w:sz w:val="28"/>
          <w:sz w:val="28"/>
          <w:szCs w:val="28"/>
          <w:rtl w:val="true"/>
          <w:lang w:bidi="ar-SA"/>
        </w:rPr>
        <w:t xml:space="preserve">آخر فيها ، وهو محلّ إشكال ؛ لأنّ المبادلة قد تحصل بأسباب اُخر غير البيع ، وليس شيء منها بيعاً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الإجارة والصلح وأشباههما ، فهي عناوين خاصّة غير نفس النتائج ، وليست منتزعة منها ، ولا يساعد العرف على حصول العناوين بما ذكر من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النتيجة قاصداً به حصول العنوان ، فهل يبطل الشرط مع عدم حصوله ، أو يصحّ الشرط ؟</w:t>
      </w:r>
    </w:p>
    <w:p>
      <w:pPr>
        <w:pStyle w:val="BookText"/>
        <w:rPr/>
      </w:pPr>
      <w:r>
        <w:rPr>
          <w:rFonts w:ascii="Amiri" w:hAnsi="Amiri" w:eastAsia="Amiri" w:cs="Amiri"/>
          <w:color w:val="111111"/>
          <w:sz w:val="28"/>
          <w:sz w:val="28"/>
          <w:szCs w:val="28"/>
          <w:rtl w:val="true"/>
          <w:lang w:bidi="ar-SA"/>
        </w:rPr>
        <w:t>الظاهر صحّته ، ولا يضرّ بها عدم حصول العنوان ، إلاّ أن يكون على نحو التقييد ، فما في بعض التعليقات من البطلان</w:t>
      </w:r>
      <w:r>
        <w:rPr>
          <w:rStyle w:val="FootnoteAnchor"/>
          <w:rtl w:val="true"/>
        </w:rPr>
        <w:footnoteReference w:id="796"/>
      </w:r>
      <w:r>
        <w:rPr>
          <w:rFonts w:ascii="Amiri" w:hAnsi="Amiri" w:eastAsia="Amiri" w:cs="Amiri"/>
          <w:color w:val="111111"/>
          <w:sz w:val="28"/>
          <w:sz w:val="28"/>
          <w:szCs w:val="28"/>
          <w:rtl w:val="true"/>
          <w:lang w:bidi="ar-SA"/>
        </w:rPr>
        <w:t xml:space="preserve">، ليس وجيهاً بإطلاقه </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3331850_2142443653"/>
      <w:bookmarkStart w:id="477" w:name="_Toc174"/>
      <w:bookmarkEnd w:id="476"/>
      <w:r>
        <w:rPr>
          <w:rtl w:val="true"/>
        </w:rPr>
        <w:t>في وجوب الوفاء بشرط الفعل</w:t>
      </w:r>
      <w:bookmarkEnd w:id="477"/>
    </w:p>
    <w:p>
      <w:pPr>
        <w:pStyle w:val="BookText"/>
        <w:rPr/>
      </w:pPr>
      <w:r>
        <w:rPr>
          <w:rFonts w:ascii="Amiri" w:hAnsi="Amiri" w:eastAsia="Amiri" w:cs="Amiri"/>
          <w:color w:val="111111"/>
          <w:sz w:val="28"/>
          <w:sz w:val="28"/>
          <w:szCs w:val="28"/>
          <w:rtl w:val="true"/>
          <w:lang w:bidi="ar-SA"/>
        </w:rPr>
        <w:t>ثمّ إنّه ظهر ممّا قدّمناه في مفاد دليل الشرط</w:t>
      </w:r>
      <w:r>
        <w:rPr>
          <w:rStyle w:val="FootnoteAnchor"/>
          <w:rtl w:val="true"/>
        </w:rPr>
        <w:footnoteReference w:id="797"/>
      </w:r>
      <w:r>
        <w:rPr>
          <w:rFonts w:ascii="Amiri" w:hAnsi="Amiri" w:eastAsia="Amiri" w:cs="Amiri"/>
          <w:color w:val="111111"/>
          <w:sz w:val="28"/>
          <w:sz w:val="28"/>
          <w:szCs w:val="28"/>
          <w:rtl w:val="true"/>
          <w:lang w:bidi="ar-SA"/>
        </w:rPr>
        <w:t xml:space="preserve">، أنّ الظاهر منه وجوب العمل به فيما كان متعلّقاً بالعمل ، ولا سيّما وأنّ لزوم العمل بالشرط عقلائي ، ولا يحمل العقلاء ما ورد من الشارع إلاّ على ما هو المعهود عندهم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قيل أو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دلالته على الوجوب ؛ إمّا لأنّ الجملة خبرية لا إنشائية</w:t>
      </w:r>
      <w:r>
        <w:rPr>
          <w:rStyle w:val="FootnoteAnchor"/>
          <w:rtl w:val="true"/>
        </w:rPr>
        <w:footnoteReference w:id="798"/>
      </w:r>
      <w:r>
        <w:rPr>
          <w:rFonts w:ascii="Amiri" w:hAnsi="Amiri" w:eastAsia="Amiri" w:cs="Amiri"/>
          <w:color w:val="111111"/>
          <w:sz w:val="28"/>
          <w:sz w:val="28"/>
          <w:szCs w:val="28"/>
          <w:rtl w:val="true"/>
          <w:lang w:bidi="ar-SA"/>
        </w:rPr>
        <w:t>، أو لأنّ الجمل الخبرية ولو في مقام الإنشاء ، لا تدلّ على الوجوب</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أنّ القرينة قائمة على أنّ الحكم من الأخلاقيات ؛ وهي كون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الوجه لاختصاصه بهم</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لاحتمال كونه كناية عن الصحّة والنفوذ ، أو اللزوم الوضعي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لأنّ ا لحمل على ا لحكم ا لإلزامي ، موجب للتخصيص ا لكثير المستهجن</w:t>
      </w:r>
      <w:r>
        <w:rPr>
          <w:rStyle w:val="FootnoteAnchor"/>
          <w:rtl w:val="true"/>
        </w:rPr>
        <w:footnoteReference w:id="802"/>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ممّا يدفعه الظهور العقلائي فيما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على الخبرية يوجب الكذب ، وخلاف الواقع في المستثنى والمستثنى منه ؛ ضرورة أنّ المخالفة لهما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 الإخبارية أبلغ في إفادة الوجوب من الأوامر ، كما قرّر في محلّه</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وقرينية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ممنوعة ، بل هي قرينة على شدّة الاهتمام وقوّة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والكناية عن الصحّة أو اللزوم ، خلاف الظاهر جدّاً ؛ فإنّ الظاهر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انفكاك المؤمن عن شرطه ، فإذا كان في مقام الإنشاء ، لا يفهم منه إلاّ لزوم ذلك ، وهو معنى الوجوب في شروط العمل ، وجعل هذا كناية عن الصحّة والوضع ، يحتاج إلى التكلّف والحمل على خلاف الظاهر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لزوم تخصيص الأكثر باطلة ؛ فإنّ ما هو من شروط صحّة الشرط ، </w:t>
      </w:r>
    </w:p>
    <w:p>
      <w:pPr>
        <w:pStyle w:val="BookText"/>
        <w:rPr/>
      </w:pPr>
      <w:r>
        <w:rPr>
          <w:rFonts w:ascii="Amiri" w:hAnsi="Amiri" w:eastAsia="Amiri" w:cs="Amiri"/>
          <w:color w:val="111111"/>
          <w:sz w:val="28"/>
          <w:sz w:val="28"/>
          <w:szCs w:val="28"/>
          <w:rtl w:val="true"/>
          <w:lang w:bidi="ar-SA"/>
        </w:rPr>
        <w:t xml:space="preserve">لا يفرّق فيه بين الحمل على الوجوب أو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الشرط الباطل ليس مشمولاً للدليل ، ولا سيّما بعض الشروط ، والشروط في ضمن العقود 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كونها واجبة العمل ما دام لم يفسخ العقد ، وإن كان له رفع موضوعها بالفسخ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تعادل الشروط في العقود اللازمة كالبيع ونحوه ، بل هي أكثر بما لا يقاس بها غيرها ، والميزان في التخصيص المستهجن إخراج أكثر الأفراد وإبقاء النادر ، وليس الميزان أنواع المعاملات ، كما قرّرنا في محلّه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ربّما يستدلّ للوجوب ، بقوله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 إلاّ من عصى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 المراد عصيان اللّه بعدم العمل بالشرط</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مشكل ؛ لأنّ الظاهر منه عصيان اللّه باشتراطه ؛ بأن يشترط على الغير إتيان محرّم ، أو ترك واجب ، كما تشهد به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المسلمون عند شروطهم ، إلاّ شرطاً فيه معصية</w:t>
      </w:r>
      <w:r>
        <w:rPr>
          <w:rFonts w:eastAsia="Amiri" w:cs="Amiri" w:ascii="Amiri" w:hAnsi="Amiri"/>
          <w:color w:val="111111"/>
          <w:sz w:val="28"/>
          <w:szCs w:val="28"/>
          <w:rtl w:val="true"/>
          <w:lang w:bidi="ar-SA"/>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والحمل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 نّه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حمل الاستثناء على الانقطاع ، وإلاّ لا يستقيم إلاّ أن تكون الجملة إخبارية ، فيكون المراد أنّ كلّ مؤمن يعمل بشرطه إلاّ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لا يتمّ المقصود </w:t>
      </w:r>
      <w:r>
        <w:rPr>
          <w:rFonts w:eastAsia="Amiri" w:cs="Amiri" w:ascii="Amiri" w:hAnsi="Amiri"/>
          <w:color w:val="111111"/>
          <w:sz w:val="28"/>
          <w:szCs w:val="28"/>
          <w:rtl w:val="true"/>
          <w:lang w:bidi="ar-SA"/>
        </w:rPr>
        <w:t xml:space="preserve">. </w:t>
      </w:r>
      <w:bookmarkStart w:id="478" w:name="pg15222_162470"/>
    </w:p>
    <w:p>
      <w:pPr>
        <w:pStyle w:val="BookText"/>
        <w:rPr/>
      </w:pPr>
      <w:bookmarkEnd w:id="478"/>
      <w:r>
        <w:rPr>
          <w:rFonts w:ascii="Amiri" w:hAnsi="Amiri" w:eastAsia="Amiri" w:cs="Amiri"/>
          <w:color w:val="111111"/>
          <w:sz w:val="28"/>
          <w:sz w:val="28"/>
          <w:szCs w:val="28"/>
          <w:rtl w:val="true"/>
          <w:lang w:bidi="ar-SA"/>
        </w:rPr>
        <w:t>نعم ، يدلّ على الوجوب العلوي المتقدّم</w:t>
      </w:r>
      <w:r>
        <w:rPr>
          <w:rStyle w:val="FootnoteAnchor"/>
          <w:rtl w:val="true"/>
        </w:rPr>
        <w:footnoteReference w:id="8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لامرأته شرطاً فليف لها به ؛ فإنّ المسلمين عند شروطهم</w:t>
      </w:r>
      <w:r>
        <w:rPr>
          <w:rFonts w:eastAsia="Amiri" w:cs="Amiri" w:ascii="Amiri" w:hAnsi="Amiri"/>
          <w:color w:val="111111"/>
          <w:sz w:val="28"/>
          <w:szCs w:val="28"/>
          <w:rtl w:val="true"/>
          <w:lang w:bidi="ar-SA"/>
        </w:rPr>
        <w:t>»</w:t>
      </w:r>
      <w:r>
        <w:rPr>
          <w:rStyle w:val="FootnoteAnchor"/>
          <w:rtl w:val="true"/>
        </w:rPr>
        <w:footnoteReference w:id="808"/>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Heading4"/>
        <w:numPr>
          <w:ilvl w:val="3"/>
          <w:numId w:val="1"/>
        </w:numPr>
        <w:rPr/>
      </w:pPr>
      <w:bookmarkStart w:id="479" w:name="__RefHeading___Toc3331852_2142443653"/>
      <w:bookmarkStart w:id="480" w:name="_Toc175"/>
      <w:bookmarkEnd w:id="479"/>
      <w:r>
        <w:rPr>
          <w:rtl w:val="true"/>
        </w:rPr>
        <w:t>عدم تعلّق الوجوب الشرعي بعنوان الشرط</w:t>
      </w:r>
      <w:bookmarkEnd w:id="480"/>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الوجوب المستفاد من دليل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وجوب شرعي 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10"/>
      </w:r>
      <w:r>
        <w:rPr>
          <w:rFonts w:ascii="IRNazanin" w:hAnsi="IRNazanin" w:eastAsia="IRNazanin"/>
          <w:color w:val="111111"/>
          <w:sz w:val="28"/>
          <w:sz w:val="28"/>
          <w:szCs w:val="28"/>
          <w:rtl w:val="true"/>
          <w:lang w:bidi="fa-IR"/>
        </w:rPr>
        <w:t xml:space="preserve">، من تعلّق الوجوب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ولازم ذلك مخالفة تكليفين إذا لم يعمل بالشرط ، ولم يف بالعقد ، بل مخالفة تكاليف عديدة إذا لم يعمل بالشرط ؛ من ترك العمل بالشرط ، وترك العمل بالعقد المتضمّن للشرط ، أو العقد بناءً على أنّ الشرط أيضاً عقد ، وحبس حقّ الغير ، والظلم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والتحقيق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الشروط في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 xml:space="preserve">عبارة عن الملتزمات بالحمل الشائع ، كالخياطة ، والكتابة ، ونحوهما ؛ بأن يكون متعلّق الوجوب نفس تلك العناوين ، ووجوب ردّ حقّ الغير </w:t>
      </w:r>
    </w:p>
    <w:p>
      <w:pPr>
        <w:pStyle w:val="BookText"/>
        <w:rPr/>
      </w:pPr>
      <w:r>
        <w:rPr>
          <w:rFonts w:ascii="Amiri" w:hAnsi="Amiri" w:eastAsia="Amiri" w:cs="Amiri"/>
          <w:color w:val="111111"/>
          <w:sz w:val="28"/>
          <w:sz w:val="28"/>
          <w:szCs w:val="28"/>
          <w:rtl w:val="true"/>
          <w:lang w:bidi="ar-SA"/>
        </w:rPr>
        <w:t xml:space="preserve">أيضاً ، راجعاً إلى وجوب الخياطة والكتابة بعنوانهما ، فلا يعقل تعلّق حكمين ولو متماثلين بعنوان واحد ، بل لا بدّ من رفع اليد عن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الشروط هي المعاني المصدرية ؛ أي نفس القرار ، أو هي الملتزمات بعنوان الملتزم الانتزاعي ، فلا مانع عقلاً من تعلّق تكاليف متعدّدة بالعناوين كذلك ، وإن انطبقت في الخارج على موضوع واحد ، كوجوب إكرام العالم ، ووجوب إكرام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وجوبان متعلّقان بعنوانين منطبقين على موضوع واحد ، وتوهّم التأكّد عند الاجتماع</w:t>
      </w:r>
      <w:r>
        <w:rPr>
          <w:rStyle w:val="FootnoteAnchor"/>
          <w:rtl w:val="true"/>
        </w:rPr>
        <w:footnoteReference w:id="812"/>
      </w:r>
      <w:r>
        <w:rPr>
          <w:rFonts w:ascii="Amiri" w:hAnsi="Amiri" w:eastAsia="Amiri" w:cs="Amiri"/>
          <w:color w:val="111111"/>
          <w:sz w:val="28"/>
          <w:sz w:val="28"/>
          <w:szCs w:val="28"/>
          <w:rtl w:val="true"/>
          <w:lang w:bidi="ar-SA"/>
        </w:rPr>
        <w:t>فاسد جدّاً ، كما حقّق في محلّه</w:t>
      </w:r>
      <w:r>
        <w:rPr>
          <w:rStyle w:val="FootnoteAnchor"/>
          <w:rtl w:val="true"/>
        </w:rPr>
        <w:footnoteReference w:id="813"/>
      </w:r>
      <w:r>
        <w:rPr>
          <w:rFonts w:ascii="Amiri" w:hAnsi="Amiri" w:eastAsia="Amiri" w:cs="Amiri"/>
          <w:color w:val="111111"/>
          <w:sz w:val="28"/>
          <w:sz w:val="28"/>
          <w:szCs w:val="28"/>
          <w:rtl w:val="true"/>
          <w:lang w:bidi="ar-SA"/>
        </w:rPr>
        <w:t xml:space="preserve">، فلا مانع عقلاً من وجوب الوفاء بالعقد وبالشرط ، ووجوب ردّ مال الغير أو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فرق بين العناوين النفسية ، كالعالم ، والهاشمي ، والعناوين الآلية التوصّلية ، كالعقد ، والشرط ، ونحوهما ؛ ممّا هي وصلة إلى اُمور اُخر ، فإنّ في تلك العناوين ، لا ينقدح في أذهان العقلاء ، أنّ الوجوب متعلّق بنفسها بل الظاهر منها عرفاً ، أنّ ما هو واجب هو ردّ مال الغير ، وأداء حقّه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يستفاد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وجوب العمل على طبقه ؛ بمعنى وجوب الخياطة والكتابة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والوجوبات المتعدّدة حسب العناوين المتعدّدة إلى ما شاء اللّه ، أمر ينبو عنه الذهن السليم ، وما هو عند العرف ليس إلاّ المطالبة بنتيجة الشرط ؛ لأجل تعلّقه بالعمل ، لا وجوب موافقة القرار بما هو كذلك ، فالوجوب في أمثاله ، ناشئ من </w:t>
      </w:r>
      <w:bookmarkStart w:id="481" w:name="pg15222_162472"/>
    </w:p>
    <w:p>
      <w:pPr>
        <w:pStyle w:val="BookText"/>
        <w:rPr/>
      </w:pPr>
      <w:bookmarkEnd w:id="481"/>
      <w:r>
        <w:rPr>
          <w:rFonts w:ascii="Amiri" w:hAnsi="Amiri" w:eastAsia="Amiri" w:cs="Amiri"/>
          <w:color w:val="111111"/>
          <w:sz w:val="28"/>
          <w:sz w:val="28"/>
          <w:szCs w:val="28"/>
          <w:rtl w:val="true"/>
          <w:lang w:bidi="ar-SA"/>
        </w:rPr>
        <w:t xml:space="preserve">الحقّ الثابت للغير ، بناءً على ثبوته كما هو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تعلّقه بتلك العناوين التوصّلية ، فهو وجوب لا يترتّب عليه أثر من الإثابة والعقاب ، نظير الوجوب المقدّمي </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3331854_2142443653"/>
      <w:bookmarkStart w:id="483" w:name="_Toc176"/>
      <w:bookmarkEnd w:id="482"/>
      <w:r>
        <w:rPr>
          <w:rtl w:val="true"/>
        </w:rPr>
        <w:t>الاشتراط موجب لثبوت الحقّ</w:t>
      </w:r>
      <w:bookmarkEnd w:id="483"/>
    </w:p>
    <w:p>
      <w:pPr>
        <w:pStyle w:val="BookText"/>
        <w:rPr/>
      </w:pPr>
      <w:r>
        <w:rPr>
          <w:rFonts w:ascii="IRNazanin" w:hAnsi="IRNazanin" w:eastAsia="IRNazanin"/>
          <w:color w:val="111111"/>
          <w:sz w:val="28"/>
          <w:sz w:val="28"/>
          <w:szCs w:val="28"/>
          <w:rtl w:val="true"/>
          <w:lang w:bidi="fa-IR"/>
        </w:rPr>
        <w:t xml:space="preserve">ثمّ إنّه لا إشكال في ثبوت الحقّ ، واستحقاق المشروط له على المشروط عليه العمل بشرطه ، لا لدلالة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ذلك ؛ لأنّ كون المؤمن عند شرطه ، لا يلازم كون الشرط على عهدته ، أو حقّاً ثابتاً عليه ، ولا لكون شرط العمل نظير الإجارة ؛ فإنّ القياس مع الفارق ، واعتبار الإجارة يخالف اعتبار الشرط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لأنّ الاستحقاق وثبوت الحقّ ، أمر عقلائي في الشروط العقلائية ، والشارع الأقدس لم يأت فيها بأمر مخالف لما في أيدي العقلاء ، وإن تصرّف فيها ببعض التصرّفات ، وقضيّة جواز مطالبة المشروط عليه بالعمل بشرطه ، بل وجواز إلزامه عليه ، وصحّة إسقاط حقّه وتأجيله ، كلّها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ويستفاد من دليل الشرط نفوذ ما لديهم من الشروط وأحكامها ، من غير فرق بين شرط عمل له ، أو لأجنبيّ ، فلو شرط إعطاء شيء لأجنبيّ أو عمل له ، كان له حقّ المطالبة والإسقاط ؛ إذ هو المشروط له ، دون الأجنبيّ ؛ لعدم انفكاك الشرط عن الأغراض العقلائية ، والأجنبيّ أجنبيّ وإن كان نفع الشرط يعود إليه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كان الشرط يعود نفعه إلى المشروط عليه بوجه ؛ كأن شرط الأب على </w:t>
      </w:r>
      <w:bookmarkStart w:id="484" w:name="pg15222_162473"/>
    </w:p>
    <w:p>
      <w:pPr>
        <w:pStyle w:val="BookText"/>
        <w:rPr/>
      </w:pPr>
      <w:bookmarkEnd w:id="484"/>
      <w:r>
        <w:rPr>
          <w:rFonts w:ascii="Amiri" w:hAnsi="Amiri" w:eastAsia="Amiri" w:cs="Amiri"/>
          <w:color w:val="111111"/>
          <w:sz w:val="28"/>
          <w:sz w:val="28"/>
          <w:szCs w:val="28"/>
          <w:rtl w:val="true"/>
          <w:lang w:bidi="ar-SA"/>
        </w:rPr>
        <w:t xml:space="preserve">ابنه إتيان فريضة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متساهلاً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الأب مشروطاً له ، وله المطالبة والإسقاط ، ومع عدم الإتيان الخيار </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3331856_2142443653"/>
      <w:bookmarkStart w:id="486" w:name="_Toc177"/>
      <w:bookmarkEnd w:id="485"/>
      <w:r>
        <w:rPr>
          <w:rtl w:val="true"/>
        </w:rPr>
        <w:t>تخيير المشروط له بين الإجبار والفسخ</w:t>
      </w:r>
      <w:bookmarkEnd w:id="486"/>
    </w:p>
    <w:p>
      <w:pPr>
        <w:pStyle w:val="BookText"/>
        <w:rPr/>
      </w:pPr>
      <w:r>
        <w:rPr>
          <w:rFonts w:ascii="Amiri" w:hAnsi="Amiri" w:eastAsia="Amiri" w:cs="Amiri"/>
          <w:color w:val="111111"/>
          <w:sz w:val="28"/>
          <w:sz w:val="28"/>
          <w:szCs w:val="28"/>
          <w:rtl w:val="true"/>
          <w:lang w:bidi="ar-SA"/>
        </w:rPr>
        <w:t xml:space="preserve">ثمّ إنّه لا ينبغي الإشكال ، في أنّ المشروط له مخيّر بين الإجبار والفسخ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مقتضى حقّه ، ولا إشكال في أنّ الحقّ مطلق ؛ لا اشتراط فيه ولا تقييد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مع التخلّف ، يثبت خيار التخلّف عند العقلاء ، من دون توقّف على التعذّر ، فبمجرّد التخلّف عن الشرط ، يثبت الخيار العقلائي ؛ لتخلّفه عن القرار والشرط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إمكان الجمع بين حقّ الإجبار وحقّ الخيار</w:t>
      </w:r>
      <w:r>
        <w:rPr>
          <w:rStyle w:val="FootnoteAnchor"/>
          <w:rtl w:val="true"/>
        </w:rPr>
        <w:footnoteReference w:id="814"/>
      </w:r>
      <w:r>
        <w:rPr>
          <w:rFonts w:ascii="Amiri" w:hAnsi="Amiri" w:eastAsia="Amiri" w:cs="Amiri"/>
          <w:color w:val="111111"/>
          <w:sz w:val="28"/>
          <w:sz w:val="28"/>
          <w:szCs w:val="28"/>
          <w:rtl w:val="true"/>
          <w:lang w:bidi="ar-SA"/>
        </w:rPr>
        <w:t xml:space="preserve">ناشئ من توهّم كون الخيار مترتّباً على تعذّر الشرط ، وهو فاسد ، يظهر وجهه من الرجوع إلى بناء العقلاء ، ولا دليل معتدّ به على الخيار إلاّ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دليل نفي الضرر</w:t>
      </w:r>
      <w:r>
        <w:rPr>
          <w:rStyle w:val="FootnoteAnchor"/>
          <w:rtl w:val="true"/>
        </w:rPr>
        <w:footnoteReference w:id="815"/>
      </w:r>
      <w:r>
        <w:rPr>
          <w:rFonts w:ascii="Amiri" w:hAnsi="Amiri" w:eastAsia="Amiri" w:cs="Amiri"/>
          <w:color w:val="111111"/>
          <w:sz w:val="28"/>
          <w:sz w:val="28"/>
          <w:szCs w:val="28"/>
          <w:rtl w:val="true"/>
          <w:lang w:bidi="ar-SA"/>
        </w:rPr>
        <w:t>فقد مرّ مراراً ما فيه</w:t>
      </w:r>
      <w:r>
        <w:rPr>
          <w:rStyle w:val="FootnoteAnchor"/>
          <w:rtl w:val="true"/>
        </w:rPr>
        <w:footnoteReference w:id="816"/>
      </w:r>
      <w:r>
        <w:rPr>
          <w:rFonts w:ascii="Amiri" w:hAnsi="Amiri" w:eastAsia="Amiri" w:cs="Amiri"/>
          <w:color w:val="111111"/>
          <w:sz w:val="28"/>
          <w:sz w:val="28"/>
          <w:szCs w:val="28"/>
          <w:rtl w:val="true"/>
          <w:lang w:bidi="ar-SA"/>
        </w:rPr>
        <w:t xml:space="preserve">، مع أ نّه مع الغضّ عن الإشكال فيه ، لا يثبت الخيار بالمعنى المعهود ، والإجماع التعبّدي غير ثابت ، بعد كون القضيّة عقلائية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التشبّث لإثباته بما في بعض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تقيّد الالتزام أو الملتزم ، أو </w:t>
      </w:r>
      <w:bookmarkStart w:id="487" w:name="pg15222_162474"/>
    </w:p>
    <w:p>
      <w:pPr>
        <w:pStyle w:val="BookText"/>
        <w:rPr/>
      </w:pPr>
      <w:bookmarkEnd w:id="487"/>
      <w:r>
        <w:rPr>
          <w:rFonts w:ascii="Amiri" w:hAnsi="Amiri" w:eastAsia="Amiri" w:cs="Amiri"/>
          <w:color w:val="111111"/>
          <w:sz w:val="28"/>
          <w:sz w:val="28"/>
          <w:szCs w:val="28"/>
          <w:rtl w:val="true"/>
          <w:lang w:bidi="ar-SA"/>
        </w:rPr>
        <w:t>وحدة العقد حقيقةً</w:t>
      </w:r>
      <w:r>
        <w:rPr>
          <w:rStyle w:val="FootnoteAnchor"/>
          <w:rtl w:val="true"/>
        </w:rPr>
        <w:footnoteReference w:id="817"/>
      </w:r>
      <w:r>
        <w:rPr>
          <w:rFonts w:ascii="Amiri" w:hAnsi="Amiri" w:eastAsia="Amiri" w:cs="Amiri"/>
          <w:color w:val="111111"/>
          <w:sz w:val="28"/>
          <w:sz w:val="28"/>
          <w:szCs w:val="28"/>
          <w:rtl w:val="true"/>
          <w:lang w:bidi="ar-SA"/>
        </w:rPr>
        <w:t xml:space="preserve">تكلّف لا ينبغي أن يصغى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 مستنداً للخيار مع التمكّن من الإجبار</w:t>
      </w:r>
      <w:r>
        <w:rPr>
          <w:rStyle w:val="FootnoteAnchor"/>
          <w:rtl w:val="true"/>
        </w:rPr>
        <w:footnoteReference w:id="818"/>
      </w:r>
      <w:r>
        <w:rPr>
          <w:rFonts w:ascii="Amiri" w:hAnsi="Amiri" w:eastAsia="Amiri" w:cs="Amiri"/>
          <w:color w:val="111111"/>
          <w:sz w:val="28"/>
          <w:sz w:val="28"/>
          <w:szCs w:val="28"/>
          <w:rtl w:val="true"/>
          <w:lang w:bidi="ar-SA"/>
        </w:rPr>
        <w:t xml:space="preserve">، منظور فيه ؛ لما عرفت من المستند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الإجبار المذكور هاهنا وفي أمثال ذلك ، من الحسبيات المربوطة بالحاكم الشرعي مع بسط يده ، فليس لصاحب الحقّ حبس الطرف أو زجره ؛ لكي يوفي حقّه ، وإن كانت له المطالبة ولو بالشدّة والخشونة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عدم بسط يده ، فالأمر راجع إلى عدول المؤمنين ، ومع التعذّر فله إلزامه ، وله الرجوع إلى حكّام الجور لإحقاق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استفادة جواز الإلزام بأيّ نحو من أدلّة الدفاع عن المال</w:t>
      </w:r>
      <w:r>
        <w:rPr>
          <w:rStyle w:val="FootnoteAnchor"/>
          <w:rtl w:val="true"/>
        </w:rPr>
        <w:footnoteReference w:id="819"/>
      </w:r>
      <w:r>
        <w:rPr>
          <w:rFonts w:ascii="IRNazanin" w:hAnsi="IRNazanin" w:eastAsia="IRNazanin"/>
          <w:color w:val="111111"/>
          <w:sz w:val="28"/>
          <w:sz w:val="28"/>
          <w:szCs w:val="28"/>
          <w:rtl w:val="true"/>
          <w:lang w:bidi="fa-IR"/>
        </w:rPr>
        <w:t xml:space="preserve">ومن مثل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دون مظلمته فهو شهيد</w:t>
      </w:r>
      <w:r>
        <w:rPr>
          <w:rFonts w:eastAsia="IRNazanin" w:cs="IRNazanin"/>
          <w:color w:val="111111"/>
          <w:sz w:val="28"/>
          <w:szCs w:val="28"/>
          <w:rtl w:val="true"/>
          <w:lang w:bidi="fa-IR"/>
        </w:rPr>
        <w:t>»</w:t>
      </w:r>
      <w:r>
        <w:rPr>
          <w:rStyle w:val="FootnoteAnchor"/>
          <w:rtl w:val="true"/>
        </w:rPr>
        <w:footnoteReference w:id="820"/>
      </w:r>
      <w:r>
        <w:rPr>
          <w:rFonts w:ascii="Amiri" w:hAnsi="Amiri" w:eastAsia="Amiri" w:cs="Amiri"/>
          <w:color w:val="111111"/>
          <w:sz w:val="28"/>
          <w:sz w:val="28"/>
          <w:szCs w:val="28"/>
          <w:rtl w:val="true"/>
          <w:lang w:bidi="ar-SA"/>
        </w:rPr>
        <w:t xml:space="preserve">في غير محلّه ، بعد ما لم يكن ذلك على القواعد ، ولم يكن مصداقاً للدفاع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عقلائي ، بل كان ممّا</w:t>
      </w:r>
    </w:p>
    <w:p>
      <w:pPr>
        <w:pStyle w:val="BookText"/>
        <w:rPr/>
      </w:pPr>
      <w:r>
        <w:rPr>
          <w:rFonts w:ascii="Amiri" w:hAnsi="Amiri" w:eastAsia="Amiri" w:cs="Amiri"/>
          <w:color w:val="111111"/>
          <w:sz w:val="28"/>
          <w:sz w:val="28"/>
          <w:szCs w:val="28"/>
          <w:rtl w:val="true"/>
          <w:lang w:bidi="ar-SA"/>
        </w:rPr>
        <w:t xml:space="preserve">يستفاد لزومه أو جوازه من الأدلّة الشرعية </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3331858_2142443653"/>
      <w:bookmarkStart w:id="489" w:name="_Toc178"/>
      <w:bookmarkEnd w:id="488"/>
      <w:r>
        <w:rPr>
          <w:rtl w:val="true"/>
        </w:rPr>
        <w:t>ثبوت الإلزام حتّى في العقود الجائزة</w:t>
      </w:r>
      <w:bookmarkEnd w:id="489"/>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جواز الإلزام ووجوب العمل ، من أحكام الشروط مطلقاً ، سواء كانت في ضمن العقد اللازم أو الجائز ، بناءً على ما تقدّم ؛ من أنّ الشرط مستقلّ في </w:t>
      </w:r>
      <w:bookmarkStart w:id="490" w:name="pg15222_162475"/>
    </w:p>
    <w:p>
      <w:pPr>
        <w:pStyle w:val="BookText"/>
        <w:rPr/>
      </w:pPr>
      <w:bookmarkEnd w:id="490"/>
      <w:r>
        <w:rPr>
          <w:rFonts w:ascii="Amiri" w:hAnsi="Amiri" w:eastAsia="Amiri" w:cs="Amiri"/>
          <w:color w:val="111111"/>
          <w:sz w:val="28"/>
          <w:sz w:val="28"/>
          <w:szCs w:val="28"/>
          <w:rtl w:val="true"/>
          <w:lang w:bidi="ar-SA"/>
        </w:rPr>
        <w:t>الجعل وإن وقع في ضمن العقد</w:t>
      </w:r>
      <w:r>
        <w:rPr>
          <w:rStyle w:val="FootnoteAnchor"/>
          <w:rtl w:val="true"/>
        </w:rPr>
        <w:footnoteReference w:id="821"/>
      </w:r>
      <w:r>
        <w:rPr>
          <w:rFonts w:ascii="Amiri" w:hAnsi="Amiri" w:eastAsia="Amiri" w:cs="Amiri"/>
          <w:color w:val="111111"/>
          <w:sz w:val="28"/>
          <w:sz w:val="28"/>
          <w:szCs w:val="28"/>
          <w:rtl w:val="true"/>
          <w:lang w:bidi="ar-SA"/>
        </w:rPr>
        <w:t xml:space="preserve">، فهو واجب العمل حتّى ولو كان في ضمن العقد الجائز ، غاية الأمر أنّ للطرف حلّ العقد ، وبه ينتفي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الشروط قيود للعقود ، أو للمعقود عليه</w:t>
      </w:r>
      <w:r>
        <w:rPr>
          <w:rStyle w:val="FootnoteAnchor"/>
          <w:rtl w:val="true"/>
        </w:rPr>
        <w:footnoteReference w:id="822"/>
      </w:r>
      <w:r>
        <w:rPr>
          <w:rFonts w:ascii="Amiri" w:hAnsi="Amiri" w:eastAsia="Amiri" w:cs="Amiri"/>
          <w:color w:val="111111"/>
          <w:sz w:val="28"/>
          <w:sz w:val="28"/>
          <w:szCs w:val="28"/>
          <w:rtl w:val="true"/>
          <w:lang w:bidi="ar-SA"/>
        </w:rPr>
        <w:t>، أو أنّ المعاملة المشتملة على الشرط ، ليست إلاّ معاملة واحدة خاصّة ، كما قيل</w:t>
      </w:r>
      <w:r>
        <w:rPr>
          <w:rStyle w:val="FootnoteAnchor"/>
          <w:rtl w:val="true"/>
        </w:rPr>
        <w:footnoteReference w:id="823"/>
      </w:r>
      <w:r>
        <w:rPr>
          <w:rFonts w:ascii="Amiri" w:hAnsi="Amiri" w:eastAsia="Amiri" w:cs="Amiri"/>
          <w:color w:val="111111"/>
          <w:sz w:val="28"/>
          <w:sz w:val="28"/>
          <w:szCs w:val="28"/>
          <w:rtl w:val="true"/>
          <w:lang w:bidi="ar-SA"/>
        </w:rPr>
        <w:t xml:space="preserve">، فيشكل الوجوب في الشروط في العقود الجائزة ؛ فإنّ الشرط يكون تبعاً له في الجواز واللزوم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وقع من بعض السادة ؛ من الجمع بين الوجوب ما دام العقد باقياً ، وبين وحدة المعاملة</w:t>
      </w:r>
      <w:r>
        <w:rPr>
          <w:rStyle w:val="FootnoteAnchor"/>
          <w:rtl w:val="true"/>
        </w:rPr>
        <w:footnoteReference w:id="824"/>
      </w:r>
      <w:r>
        <w:rPr>
          <w:rFonts w:ascii="Amiri" w:hAnsi="Amiri" w:eastAsia="Amiri" w:cs="Amiri"/>
          <w:color w:val="111111"/>
          <w:sz w:val="28"/>
          <w:sz w:val="28"/>
          <w:szCs w:val="28"/>
          <w:rtl w:val="true"/>
          <w:lang w:bidi="ar-SA"/>
        </w:rPr>
        <w:t xml:space="preserve">كأ نّه في غير محلّه ، هذا بالنسبة إلى حكم الشرط </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3331860_2142443653"/>
      <w:bookmarkStart w:id="492" w:name="_Toc179"/>
      <w:bookmarkEnd w:id="491"/>
      <w:r>
        <w:rPr>
          <w:rtl w:val="true"/>
        </w:rPr>
        <w:t>ثبوت الخيار إن كان للشرط دخالة في القيم</w:t>
      </w:r>
      <w:bookmarkEnd w:id="492"/>
    </w:p>
    <w:p>
      <w:pPr>
        <w:pStyle w:val="BookText"/>
        <w:rPr/>
      </w:pPr>
      <w:r>
        <w:rPr>
          <w:rFonts w:ascii="Amiri" w:hAnsi="Amiri" w:eastAsia="Amiri" w:cs="Amiri"/>
          <w:color w:val="111111"/>
          <w:sz w:val="28"/>
          <w:sz w:val="28"/>
          <w:szCs w:val="28"/>
          <w:rtl w:val="true"/>
          <w:lang w:bidi="ar-SA"/>
        </w:rPr>
        <w:t>وأمّا التخلّف الموجب للخيار ، فهو إنّما يثبت ، فيما إذا كان للشرط نحو دخالة في القيم والأغراض بحسب اللبّ ، وإن لم يكن قيداً بوجه من الوجوه ، كما تقدّم الكلام فيه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 كما إذا أراد الاشتراط لا المعاملة ، وإنّما أوقع المعاملة ؛ لأجل تحقّق الشرط والتخلّص عن كونه ابتدائياً ، كما لو صالحه على </w:t>
      </w:r>
      <w:bookmarkStart w:id="493" w:name="pg15222_162476"/>
    </w:p>
    <w:p>
      <w:pPr>
        <w:pStyle w:val="BookText"/>
        <w:rPr/>
      </w:pPr>
      <w:bookmarkEnd w:id="493"/>
      <w:r>
        <w:rPr>
          <w:rFonts w:ascii="Amiri" w:hAnsi="Amiri" w:eastAsia="Amiri" w:cs="Amiri"/>
          <w:color w:val="111111"/>
          <w:sz w:val="28"/>
          <w:sz w:val="28"/>
          <w:szCs w:val="28"/>
          <w:rtl w:val="true"/>
          <w:lang w:bidi="ar-SA"/>
        </w:rPr>
        <w:t xml:space="preserve">جوز بلوز ، وشرط في ضمنه ما هو المقصود ، فله إلزامه ؛ للحقّ الثابت له بالشرط ، ولكن لا خيار له لو تخلّف ؛ لعدم ما هو المناط فيه عند العقلاء ، بل ولا تأتي فيه الوجوه الاُخر المتشبّث بها للخيار ، فتدبّر </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3331862_2142443653"/>
      <w:bookmarkStart w:id="495" w:name="_Toc180"/>
      <w:bookmarkEnd w:id="494"/>
      <w:r>
        <w:rPr>
          <w:rtl w:val="true"/>
        </w:rPr>
        <w:t>الشروط التي يجوز للحاكم الإجبار عليها وغيرها</w:t>
      </w:r>
      <w:bookmarkEnd w:id="495"/>
    </w:p>
    <w:p>
      <w:pPr>
        <w:pStyle w:val="Heading5"/>
        <w:numPr>
          <w:ilvl w:val="4"/>
          <w:numId w:val="1"/>
        </w:numPr>
        <w:rPr/>
      </w:pPr>
      <w:bookmarkStart w:id="496" w:name="__RefHeading___Toc3331864_2142443653"/>
      <w:bookmarkStart w:id="497" w:name="_Toc181"/>
      <w:bookmarkEnd w:id="496"/>
      <w:r>
        <w:rPr>
          <w:rtl w:val="true"/>
        </w:rPr>
        <w:t>اشارة</w:t>
      </w:r>
      <w:bookmarkEnd w:id="497"/>
    </w:p>
    <w:p>
      <w:pPr>
        <w:pStyle w:val="BookText"/>
        <w:rPr/>
      </w:pPr>
      <w:r>
        <w:rPr>
          <w:rFonts w:ascii="Amiri" w:hAnsi="Amiri" w:eastAsia="Amiri" w:cs="Amiri"/>
          <w:color w:val="111111"/>
          <w:sz w:val="28"/>
          <w:sz w:val="28"/>
          <w:szCs w:val="28"/>
          <w:rtl w:val="true"/>
          <w:lang w:bidi="ar-SA"/>
        </w:rPr>
        <w:t xml:space="preserve">ثمّ إنّ 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له حقّ الإجبار بالرجوع إلى الحاكم المنصوب لأمثال ذلك ، لا إشكال فيه في مثل الشروط التي لا تحتاج إلى إنشاء وقصد وتقرّب ، مثل خياطة الثوب وصبغه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يحتاج إلى الإنشاء كالمعاملات ونحوها ، فمع استنكافه عنها ، هل يجبره الحاكم على إيقاعها ، ويسقط اعتبار الرضا والاختيار ؛ لكون الإكراه بحقّ ، نظير إكراه المحتكر على بيع ما احتكره ، ومع تعذّر ذلك يقوم الحاكم مقامه في الإنشاء والإيقاع لولايته على الممتنع ، أو يقوم الحاكم مقامه في إيقاعه ابتداء ؟ لكلّ 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ولايته على الشخص العاقل الحاضر ، كما صدر من بعض الأعاظم قدّس سرّه </w:t>
      </w:r>
      <w:r>
        <w:rPr>
          <w:rStyle w:val="FootnoteAnchor"/>
          <w:rtl w:val="true"/>
        </w:rPr>
        <w:footnoteReference w:id="826"/>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يحتاج في تحقّقه إلى قصد التقرّب ، مع كون ذات العمل قابلاً للإلزام ، كالصدقة على الفقراء ، فإنّها إعطاء بقصد القربة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بإلزامه بالإعطاء ، ويقوم الحاكم مقامه في قصد التقرّب ، كالإجبار على إعطاء الزكاة والخمس </w:t>
      </w:r>
      <w:r>
        <w:rPr>
          <w:rFonts w:eastAsia="Amiri" w:cs="Amiri" w:ascii="Amiri" w:hAnsi="Amiri"/>
          <w:color w:val="111111"/>
          <w:sz w:val="28"/>
          <w:szCs w:val="28"/>
          <w:rtl w:val="true"/>
          <w:lang w:bidi="ar-SA"/>
        </w:rPr>
        <w:t xml:space="preserve">. </w:t>
      </w:r>
      <w:bookmarkStart w:id="498" w:name="pg15222_162477"/>
    </w:p>
    <w:p>
      <w:pPr>
        <w:pStyle w:val="BookText"/>
        <w:rPr/>
      </w:pPr>
      <w:bookmarkEnd w:id="498"/>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الحاكم مقامه في الإعطاء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بعض الشروط التي يتقوّم تحقّق ماهيتها بالقصد ؛ بحيث لا يصدق عليها العنوان بدونه ، كالصوم والصلاة ، حيث إنّ الصوم ليس مجرّد ترك المفطرات للّه ، بل عنوان لا يحصل إلاّ بالقصد ، ولا يمكن إلزامه بإيجاده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الصلاة ، ليست مجرّد القراءة والانحناء إلى حدّ الركوع ، ووضع الجبهة على الأرض ، بل تتقوّم بالقصد ، فلو أتى بالقراءة لكونها قرآناً ، وقصد القربة ، ووضع جبهته على الأرض للّه ، لا بعنوان الصلاة ، وكذا أتى بصورة سائر الأجزاء بلا قصد العنوان ، لا تتحقّق الماهية ، حتّى على القول بالأعمّ في عناوين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مثلها لا يعقل الإلزام والإجبار ؛ لعدم إمكان إلزامه على القصد ، وقيام الحاكم مقامه غير معقول ؛ لعدم تحقّق العنوان بقصد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استنكف عن العمل في مثل تلك الشروط ، يجبره الحاكم على استئجار شخص لإتيانها ، أو يأخذ منه قيمة العمل ، ويستأجر غيره ، إلاّ أن يكون الشرط مقيّداً بالمباشرة ، فيتعذّر حينئذٍ ، لكن عليه اُجرة العمل ، فيأخذها منه ، ويردّها</w:t>
      </w:r>
    </w:p>
    <w:p>
      <w:pPr>
        <w:pStyle w:val="BookText"/>
        <w:rPr/>
      </w:pPr>
      <w:r>
        <w:rPr>
          <w:rFonts w:ascii="IRNazanin" w:hAnsi="IRNazanin" w:eastAsia="IRNazanin"/>
          <w:color w:val="111111"/>
          <w:sz w:val="28"/>
          <w:sz w:val="28"/>
          <w:szCs w:val="28"/>
          <w:rtl w:val="true"/>
          <w:lang w:bidi="fa-IR"/>
        </w:rPr>
        <w:t xml:space="preserve">إلى المشروط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الشروط التي لها مالية ، وللمشروط له حقّ متعلّق به ، يجبر الحاكم المشروط عليه على إيجاده ، ومع عدم الإمكان يجبره على إعطاء خسارته ، فلو شرط خياطة ثوب خاصّ فأتلفه ، تؤخذ منه قيمة الثوب والخياطة ، أو قيمة الثوب المخيط ، وكذا الحال في نظائره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9" w:name="__RefHeading___Toc3331866_2142443653"/>
      <w:bookmarkStart w:id="500" w:name="_Toc182"/>
      <w:bookmarkEnd w:id="499"/>
      <w:r>
        <w:rPr>
          <w:rtl w:val="true"/>
        </w:rPr>
        <w:t>بقي اُمور</w:t>
      </w:r>
      <w:r>
        <w:rPr>
          <w:rtl w:val="true"/>
        </w:rPr>
        <w:t>:</w:t>
      </w:r>
      <w:bookmarkStart w:id="501" w:name="pg15222_162478"/>
      <w:bookmarkEnd w:id="500"/>
    </w:p>
    <w:p>
      <w:pPr>
        <w:pStyle w:val="Heading5"/>
        <w:numPr>
          <w:ilvl w:val="4"/>
          <w:numId w:val="1"/>
        </w:numPr>
        <w:rPr/>
      </w:pPr>
      <w:bookmarkStart w:id="502" w:name="__RefHeading___Toc3331868_2142443653"/>
      <w:bookmarkStart w:id="503" w:name="_Toc183"/>
      <w:bookmarkEnd w:id="501"/>
      <w:bookmarkEnd w:id="502"/>
      <w:r>
        <w:rPr>
          <w:rtl w:val="true"/>
        </w:rPr>
        <w:t>الأمر الأوّل في حكم الشرط المتعذّر</w:t>
      </w:r>
      <w:bookmarkEnd w:id="503"/>
    </w:p>
    <w:p>
      <w:pPr>
        <w:pStyle w:val="BookText"/>
        <w:rPr/>
      </w:pPr>
      <w:r>
        <w:rPr>
          <w:rFonts w:ascii="Amiri" w:hAnsi="Amiri" w:eastAsia="Amiri" w:cs="Amiri"/>
          <w:color w:val="111111"/>
          <w:sz w:val="28"/>
          <w:sz w:val="28"/>
          <w:szCs w:val="28"/>
          <w:rtl w:val="true"/>
          <w:lang w:bidi="ar-SA"/>
        </w:rPr>
        <w:t xml:space="preserve">لو تعذّر الشرط ، فإمّا يكون التعذّر حال العقد ، كأن شرط الوصف وكان فاقداً له ، أو شرط النتيجة ولم تتحقّق لمحذور ، ككون العين معدومة ، أو موقوفة ، أو شرط الفعل المتعذّر لعدم القدرة عليه ، أو لفقد المورد ، أو يكون طارئاً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الشرط باطل ، ولا يترتّب عليه الخيار ، أو يترتّب ولو كان الشرط باطلاً ، أو الشرط صحيح ، وله الخيار ؟</w:t>
      </w:r>
    </w:p>
    <w:p>
      <w:pPr>
        <w:pStyle w:val="BookText"/>
        <w:rPr/>
      </w:pPr>
      <w:r>
        <w:rPr>
          <w:rFonts w:ascii="Amiri" w:hAnsi="Amiri" w:eastAsia="Amiri" w:cs="Amiri"/>
          <w:color w:val="111111"/>
          <w:sz w:val="28"/>
          <w:sz w:val="28"/>
          <w:szCs w:val="28"/>
          <w:rtl w:val="true"/>
          <w:lang w:bidi="ar-SA"/>
        </w:rPr>
        <w:t>وجوه سيأتي التعرّض لها عند الكلام في أنّ الشرط الفاسد ، موجب للخيار أم لا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الشرط صحيح ؛ يترتّب عليه الخيار ، من غير فرق بين 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شرط الوصف ؛ فلأ نّه لا أثر له إلاّ ترتّب الخيار عند فقده ، وهذا الأثر مترتّب عليه عند العقلاء بمجرّد فقد الوصف ، فلا وجه لفساده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شرط النتيجة ؛ فلأنّ له أثرين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 فمع التعذّر لا يترتّب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الخيار إذا تعذّر ، وهذا مترتّب عليه عند العقلاء بمجرّد عدم تحقّق النتيجة ، ومع ترتّب مثل هذا الأثر عليه لا يقع باطلاً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الخيار في هذين القسمين ، إنّما يترتّب على مجرّد تعذّر الشرط ، </w:t>
      </w:r>
    </w:p>
    <w:p>
      <w:pPr>
        <w:pStyle w:val="BookText"/>
        <w:rPr/>
      </w:pPr>
      <w:r>
        <w:rPr>
          <w:rFonts w:ascii="Amiri" w:hAnsi="Amiri" w:eastAsia="Amiri" w:cs="Amiri"/>
          <w:color w:val="111111"/>
          <w:sz w:val="28"/>
          <w:sz w:val="28"/>
          <w:szCs w:val="28"/>
          <w:rtl w:val="true"/>
          <w:lang w:bidi="ar-SA"/>
        </w:rPr>
        <w:t xml:space="preserve">الذي هو فقدان الوصف ، وعدم إمكان النقل ، فلا معنى في مثله لبطلان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شرط الفعل ، فلما قد تقدّم الكلام فيه في شروط صحّة الشرط مستقصىً</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ونقول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لم يترتّب على تخلّف الشرط اختياراً ، بل رتّب على مطلق التخلّف ، فلو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متعذّرا ، كان له الخيار لتخلّف الشرط ولو بلا اختيار منه ، كما لو ترك العمل بالشرط لكره أو اضطرار أو نحو ذلك ، ومع وجود الأثر له لا يقع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لم يرتّب على ترك الشرط الواجب</w:t>
      </w:r>
      <w:r>
        <w:rPr>
          <w:rStyle w:val="FootnoteAnchor"/>
          <w:rtl w:val="true"/>
        </w:rPr>
        <w:footnoteReference w:id="829"/>
      </w:r>
      <w:r>
        <w:rPr>
          <w:rFonts w:ascii="Amiri" w:hAnsi="Amiri" w:eastAsia="Amiri" w:cs="Amiri"/>
          <w:color w:val="111111"/>
          <w:sz w:val="28"/>
          <w:sz w:val="28"/>
          <w:szCs w:val="28"/>
          <w:rtl w:val="true"/>
          <w:lang w:bidi="ar-SA"/>
        </w:rPr>
        <w:t xml:space="preserve">،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القدرة لم يكن الشرط واجب العمل على مسلك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سلكنا في محلّه ؛ من أنّ التكاليف عامّة وشاملة للقادر والعاجز ، كما هي عامّة للعالم والجاهل ، ولا تنحلّ إلى خطابات حسب أفراد المكلّفين ، فراجع محالّه</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ترتّب الخيار على تخلّف الشرط الواجب ، يثبت له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قيل بترتّبه على تخلّفه من غير عذر ، فلا خيار ، لكنّه في كمال السقوط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إذا كان مترتّباً على الشرط الصحيح ، فتصحيحه بهذا الخيار </w:t>
      </w:r>
      <w:bookmarkStart w:id="504" w:name="pg15222_162480"/>
    </w:p>
    <w:p>
      <w:pPr>
        <w:pStyle w:val="BookText"/>
        <w:rPr/>
      </w:pPr>
      <w:bookmarkEnd w:id="504"/>
      <w:r>
        <w:rPr>
          <w:rFonts w:ascii="Amiri" w:hAnsi="Amiri" w:eastAsia="Amiri" w:cs="Amiri"/>
          <w:color w:val="111111"/>
          <w:sz w:val="28"/>
          <w:sz w:val="28"/>
          <w:szCs w:val="28"/>
          <w:rtl w:val="true"/>
          <w:lang w:bidi="ar-SA"/>
        </w:rPr>
        <w:t xml:space="preserve">دوري في غير محلّه ؛ لأنّ أمثال المورد ، لا تكون من الدور المصطلح المستحيل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الخيار ثابت في الشرط الصحيح ، ولو من ناحية هذا الخيار وبلحاظه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وأن يكون الشرط عقلائياً ، ويكفي فيه أن يترتّب عليه الخيار ، فلا دور ، كما أنّ شرط الخيار صحيح ، مع أنّ فيه أيضاً 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حال الخيار </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3331870_2142443653"/>
      <w:bookmarkStart w:id="506" w:name="_Toc184"/>
      <w:bookmarkEnd w:id="505"/>
      <w:r>
        <w:rPr>
          <w:rtl w:val="true"/>
        </w:rPr>
        <w:t>عدم ثبوت الأرش عند تعذّر الشرط</w:t>
      </w:r>
      <w:bookmarkEnd w:id="506"/>
    </w:p>
    <w:p>
      <w:pPr>
        <w:pStyle w:val="BookText"/>
        <w:rPr/>
      </w:pPr>
      <w:r>
        <w:rPr>
          <w:rFonts w:ascii="Amiri" w:hAnsi="Amiri" w:eastAsia="Amiri" w:cs="Amiri"/>
          <w:color w:val="111111"/>
          <w:sz w:val="28"/>
          <w:sz w:val="28"/>
          <w:szCs w:val="28"/>
          <w:rtl w:val="true"/>
          <w:lang w:bidi="ar-SA"/>
        </w:rPr>
        <w:t xml:space="preserve">وأمّا الأرش ، فالظاهر عدم ثبوته فيما إذا كان الفعل متعذّراً ؛ لأجل عدم القدرة عليه ، كما لو شرط عليه خياطة ثوب موجود ، ولم يكن قادراً عليها ، أو شرط إعطاء عين موجودة كان عاجزاً عن إعطائها ، فإنّ الظاهر في هذا القسم ، الرجوع إلى العوض إن كان الشرط مالياً ؛ فإنّ الشرط في الماليات ، يثبت به حقّ مالي على الطرف ، والحكم الوضعي لا يتوقّف على القدرة ، فللشارط حقّ خياطة هذا الثوب ، وإعطاء ذلك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تعذّره ، يرجع إلى العوض في مثل شرط الخياطة ؛ أي العمل الذي له مالية ، وإلى قيمة حقّه ؛ فيما إذا تعلّق الشرط بإعطاء ما له قيمة ، وكان موجوداً ، ولكن تعذّر تسليمه ؛ فإنّ للحقّ في مثله قيمة يصحّ الرجوع إليها ، فلا مورد للأرش في أمثال الفرض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غيره من سائر الشروط ، ومنها شرط فعل لا يعتبر فيه الحقّ عقلاً ، أو عند العقلاء ، كما لو شرط إعطاء عين كانت معدومة ، أو خياطة ثوب كذلك ، فهل </w:t>
      </w:r>
    </w:p>
    <w:p>
      <w:pPr>
        <w:pStyle w:val="BookText"/>
        <w:rPr/>
      </w:pPr>
      <w:r>
        <w:rPr>
          <w:rFonts w:ascii="Amiri" w:hAnsi="Amiri" w:eastAsia="Amiri" w:cs="Amiri"/>
          <w:color w:val="111111"/>
          <w:sz w:val="28"/>
          <w:sz w:val="28"/>
          <w:szCs w:val="28"/>
          <w:rtl w:val="true"/>
          <w:lang w:bidi="ar-SA"/>
        </w:rPr>
        <w:t>يثبت فيها الأرش ، أم ليس له إلاّ الخيار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 الأرش ، وأ نّه على القاعدة ؛ بدعوى أنّ الشرط وإن لم يقع بإزائه العوض في مقام الإنشاء ، إلاّ أ نّه يقابل به في عالم اللبّ ؛ فإنّ له قسطاً من الثمن ، ومقتضى هذه المقابلة ، جواز الفسخ ، وجواز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أن يكون مال واحد ، مقابلاً بشيئين في عالمين طوليين ، وإنّما المحال كونه مقابلاً بشيئين في عرض واحد</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فإنّه إن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المقابلة في عالم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تقع معاوضة في عالم اللبّ ، ومعاوضة اُخرى في عالم الظاهر ، فهو بمكان من الضعف ؛ ضرورة أ نّه لا يرجع شيء من المعاملات العقلائية إلى معاملتين ومعاوضتين ، فلا معاوضة إلاّ الإنشائية الظاهرية ، وفيها لم يقع الشرط مقابلاً بشيء من الثمن ، كما اعترف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لازمه الرجوع بما قابله ، لا الأرش ، والعذر بأنّ الأرش لأجل وقوع المعاملة ظاهرا وفي عالم الإنشاء ، بين العين وتمام الثمن</w:t>
      </w:r>
      <w:r>
        <w:rPr>
          <w:rStyle w:val="FootnoteAnchor"/>
          <w:rtl w:val="true"/>
        </w:rPr>
        <w:footnoteReference w:id="832"/>
      </w:r>
      <w:r>
        <w:rPr>
          <w:rFonts w:ascii="Amiri" w:hAnsi="Amiri" w:eastAsia="Amiri" w:cs="Amiri"/>
          <w:color w:val="111111"/>
          <w:sz w:val="28"/>
          <w:sz w:val="28"/>
          <w:szCs w:val="28"/>
          <w:rtl w:val="true"/>
          <w:lang w:bidi="ar-SA"/>
        </w:rPr>
        <w:t xml:space="preserve">، يهدم أساس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 نّه يتمّ على فرض المقابلة اللبّية ، فلا أثر لها في باب المعاملات المتقوّمة بالإنشاء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القيم في الأعيان ، تختلف بحسب الشروط ، وأنّ لها دخالة في ازدياد القيم ونقصانها ، كما هو المراد من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للشرط قسط من الثمن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مسلّم ، لكن لا ينتج ما هو المقصود ؛ من إثبات كون الأرش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يبعد القول بالأرش في بعض الصور بحسب الحكم العقلائي ، كما قلنا في خيار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عقلائي</w:t>
      </w:r>
      <w:r>
        <w:rPr>
          <w:rStyle w:val="FootnoteAnchor"/>
          <w:rtl w:val="true"/>
        </w:rPr>
        <w:footnoteReference w:id="833"/>
      </w:r>
      <w:r>
        <w:rPr>
          <w:rFonts w:ascii="Amiri" w:hAnsi="Amiri" w:eastAsia="Amiri" w:cs="Amiri"/>
          <w:color w:val="111111"/>
          <w:sz w:val="28"/>
          <w:sz w:val="28"/>
          <w:szCs w:val="28"/>
          <w:rtl w:val="true"/>
          <w:lang w:bidi="ar-SA"/>
        </w:rPr>
        <w:t xml:space="preserve">، لكن عند تعذّر الردّ ، لا في عرض حقّ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أيضاً ، لو فرض التعذّر فيما هو موجود ، فالظاهر ثبوت الأرش ، وأمّا مع عدم الموجودية ، فلا دليل على ثبوته ، ولا على حقّ المطالبة بقيمة الشرط أو الحقّ ، كما لو شرط إعطاء عين كانت معدومة ، أو خياطة ثوب كان معدوماً ؛ لعدم تعلّق الحقّ بالمعدوم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كان موجوداً ، ولكن كان العمل فيه متعذّراً ؛ فإنّ له حقّ المطالبة بالقيمة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الأرش هاهنا كما في خيار العيب ، ثابت مع تعذّر الردّ ، بل لا دليل على ثبوته لو كان له الفسخ ، وأخذ العوض قيمة أو مثلاً ؛ لعدم ثبوت الحكم العقلائي في غير ما تقدّم ، وعدم دليل آخر عليه ، وما قيل في المقام ، لا يرجع إلى محصّل معتمد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 يظهر الحال في التعذّر الطارئ ؛ بالنسبة إلى حقّ المطالبة والأرش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صحّة الشرط هاهنا أوجه ، إلاّ فيما إذا شرط النتيجة أو الفعل في زمان متأخّر ، وكان متعذّراً فيه ، فإنّ الكلام في مثله هو الكلام في التعذّر الأصلي </w:t>
      </w:r>
      <w:r>
        <w:rPr>
          <w:rFonts w:eastAsia="Amiri" w:cs="Amiri" w:ascii="Amiri" w:hAnsi="Amiri"/>
          <w:color w:val="111111"/>
          <w:sz w:val="28"/>
          <w:szCs w:val="28"/>
          <w:rtl w:val="true"/>
          <w:lang w:bidi="ar-SA"/>
        </w:rPr>
        <w:t xml:space="preserve">. </w:t>
      </w:r>
      <w:bookmarkStart w:id="507" w:name="pg15222_162483"/>
    </w:p>
    <w:p>
      <w:pPr>
        <w:pStyle w:val="BookText"/>
        <w:rPr/>
      </w:pPr>
      <w:bookmarkEnd w:id="507"/>
      <w:r>
        <w:rPr>
          <w:rFonts w:ascii="Amiri" w:hAnsi="Amiri" w:eastAsia="Amiri" w:cs="Amiri"/>
          <w:color w:val="111111"/>
          <w:sz w:val="28"/>
          <w:sz w:val="28"/>
          <w:szCs w:val="28"/>
          <w:rtl w:val="true"/>
          <w:lang w:bidi="ar-SA"/>
        </w:rPr>
        <w:t xml:space="preserve">فالأقوى صحّة الشرط في جميع الفروض ، وثبوت الخيار بتخلّفه ، وثبوت الأرش مع تعذّر الردّ </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3331872_2142443653"/>
      <w:bookmarkStart w:id="509" w:name="_Toc185"/>
      <w:bookmarkEnd w:id="508"/>
      <w:r>
        <w:rPr>
          <w:rtl w:val="true"/>
        </w:rPr>
        <w:t xml:space="preserve">الأمر الثاني </w:t>
      </w:r>
      <w:r>
        <w:rPr>
          <w:rtl w:val="true"/>
        </w:rPr>
        <w:t xml:space="preserve">: </w:t>
      </w:r>
      <w:r>
        <w:rPr>
          <w:rtl w:val="true"/>
        </w:rPr>
        <w:t>حكم تعذّر الشرط مع خروج العين عن سلطنة المشروط عليه</w:t>
      </w:r>
      <w:bookmarkEnd w:id="509"/>
    </w:p>
    <w:p>
      <w:pPr>
        <w:pStyle w:val="Heading6"/>
        <w:numPr>
          <w:ilvl w:val="5"/>
          <w:numId w:val="1"/>
        </w:numPr>
        <w:rPr/>
      </w:pPr>
      <w:bookmarkStart w:id="510" w:name="__RefHeading___Toc3331874_2142443653"/>
      <w:bookmarkStart w:id="511" w:name="_Toc186"/>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الأمر الثاني حكم تعذّر الشرط مع خروج العين عن سلطنة المشروط عليه</w:t>
      </w:r>
    </w:p>
    <w:p>
      <w:pPr>
        <w:pStyle w:val="Heading6"/>
        <w:numPr>
          <w:ilvl w:val="5"/>
          <w:numId w:val="1"/>
        </w:numPr>
        <w:rPr/>
      </w:pPr>
      <w:bookmarkStart w:id="512" w:name="__RefHeading___Toc3331876_2142443653"/>
      <w:bookmarkStart w:id="513" w:name="_Toc187"/>
      <w:bookmarkEnd w:id="512"/>
      <w:r>
        <w:rPr>
          <w:rtl w:val="true"/>
        </w:rPr>
        <w:t>أنحاء خروج العين عن سلطنة المشروط عليه</w:t>
      </w:r>
      <w:bookmarkEnd w:id="513"/>
    </w:p>
    <w:p>
      <w:pPr>
        <w:pStyle w:val="BookText"/>
        <w:rPr/>
      </w:pPr>
      <w:r>
        <w:rPr>
          <w:rFonts w:ascii="Amiri" w:hAnsi="Amiri" w:eastAsia="Amiri" w:cs="Amiri"/>
          <w:color w:val="111111"/>
          <w:sz w:val="28"/>
          <w:sz w:val="28"/>
          <w:szCs w:val="28"/>
          <w:rtl w:val="true"/>
          <w:lang w:bidi="ar-SA"/>
        </w:rPr>
        <w:t xml:space="preserve">لو تعذّر الشرط ، فإمّا أن تكون العين تالفة حقيقة ، أو تالفة عرفاً ، والمراد بالتالف العرفي ، ما لا يعتبره العرف ملكاً لأحد ، كما لو غرق في البحر ؛ بحيث لم يمكن إخراجه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خارجة عن سلطة البائع ، كما لو غصبت أو غرقت ، ولكن كانت بحيث يرجى عودها إلى سلطته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تكون خارجة عن سلطته بنقل لازم ، أو رهن ، أو بنقل جائز </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331878_2142443653"/>
      <w:bookmarkStart w:id="515" w:name="_Toc188"/>
      <w:bookmarkEnd w:id="514"/>
      <w:r>
        <w:rPr>
          <w:rtl w:val="true"/>
        </w:rPr>
        <w:t>ثبوت الخيار مع خروج العين بالتلف</w:t>
      </w:r>
      <w:bookmarkEnd w:id="515"/>
    </w:p>
    <w:p>
      <w:pPr>
        <w:pStyle w:val="BookText"/>
        <w:rPr/>
      </w:pPr>
      <w:r>
        <w:rPr>
          <w:rFonts w:ascii="Amiri" w:hAnsi="Amiri" w:eastAsia="Amiri" w:cs="Amiri"/>
          <w:color w:val="111111"/>
          <w:sz w:val="28"/>
          <w:sz w:val="28"/>
          <w:szCs w:val="28"/>
          <w:rtl w:val="true"/>
          <w:lang w:bidi="ar-SA"/>
        </w:rPr>
        <w:t xml:space="preserve">فقد يستشكل في التلف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بامتناع ثبوت الخيار عقلاً ؛ لأ نّه حقّ متعلّق بالعين أو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ثبوته واضح ؛ لأنّ المعدوم لا يعقل أن يكون موضوعاً لشيء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التعلّق بالمعدوم ؛ فإنّ العقد إضافة بين العوضين ، ومع معدوميتهما أو معدومية أحدهما ينعدم ، فلا يعقل تعلّق الحقّ به حال العدم ، ولأنّ </w:t>
      </w:r>
    </w:p>
    <w:p>
      <w:pPr>
        <w:pStyle w:val="BookText"/>
        <w:rPr/>
      </w:pPr>
      <w:r>
        <w:rPr>
          <w:rFonts w:ascii="Amiri" w:hAnsi="Amiri" w:eastAsia="Amiri" w:cs="Amiri"/>
          <w:color w:val="111111"/>
          <w:sz w:val="28"/>
          <w:sz w:val="28"/>
          <w:szCs w:val="28"/>
          <w:rtl w:val="true"/>
          <w:lang w:bidi="ar-SA"/>
        </w:rPr>
        <w:t xml:space="preserve">الفسخ استرجاع العين ، أو حلّ العقد وإرجاع كلّ عوض إلى صاحبه الأوّل ، ولا يعقل تحقّق ذلك في المعدوم ، هذا في التلف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التلف العرفي الموجب لسقوط اعتبار الملكية مطلقاً ، فلا يصحّ ثبوت الخيار معه أيضاً ؛ لعدم إمكان استرجاع العين في الملكية ، ولا الفسخ الذي حقيقته حلّ العقد وإرجاع العوضين إلى ملك صاحبهما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إشكال ثبوتي عامّ لمطلق الخيارات ، وقد تخلّصوا عنه بما ليس بمرضيّ ؛ وهو أنّ العقد إذا تعلّق بعين شخصية ، فقد تعلّق بشخصيتها وماليتها ، والخيار متعلّق بالعقد ، وعند فسخه ترجع العين بشخصيتها وماليتها إن كانت موجودة ، وإلاّ فبماليتها ؛ إذ العين التالفة وإن كانت معدومة بشخصيتها ، لكن ماليتها موجودة ، والفسخ يتعلّق بها ، ويرجعها بماليتها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نظير ما قيل في قاعدة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اليد إذا وقعت على عين ، وقعت على شخصيتها ، ونوعيتها ، وماليتها ، فتكون مضمونة بتمام المراتب والجهات ، ومع تلفها شخصاً يبقى ضمان النوعية والمالية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خيار الغبن وفي بعض المباحث الاُخر ، ما يرد عليه في المقيس</w:t>
      </w:r>
      <w:r>
        <w:rPr>
          <w:rStyle w:val="FootnoteAnchor"/>
          <w:rtl w:val="true"/>
        </w:rPr>
        <w:footnoteReference w:id="837"/>
      </w:r>
      <w:r>
        <w:rPr>
          <w:rFonts w:ascii="Amiri" w:hAnsi="Amiri" w:eastAsia="Amiri" w:cs="Amiri"/>
          <w:color w:val="111111"/>
          <w:sz w:val="28"/>
          <w:sz w:val="28"/>
          <w:szCs w:val="28"/>
          <w:rtl w:val="true"/>
          <w:lang w:bidi="ar-SA"/>
        </w:rPr>
        <w:t>والمقيس عليه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وقوع العقد على الشيء بجهاته المتحقّقة فيه ؛ بحيث تكون عقوداً متعدّدة ، أو منحلاًّ إليها ، بل ليس إلاّ عقد واحد ومتعلّق واحد غير منحلّ ، ولا سيّما بالنسبة إلى الصفات والإضافات ، حقيقية كانت أو اعتبارية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تقدّم فيما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الانحلال بالنسبة إلى الأجزاء أيضاً </w:t>
      </w:r>
      <w:r>
        <w:rPr>
          <w:rStyle w:val="FootnoteAnchor"/>
          <w:rtl w:val="true"/>
        </w:rPr>
        <w:footnoteReference w:id="839"/>
      </w:r>
      <w:r>
        <w:rPr>
          <w:rFonts w:ascii="Amiri" w:hAnsi="Amiri" w:eastAsia="Amiri" w:cs="Amiri"/>
          <w:color w:val="111111"/>
          <w:sz w:val="28"/>
          <w:sz w:val="28"/>
          <w:szCs w:val="28"/>
          <w:rtl w:val="true"/>
          <w:lang w:bidi="ar-SA"/>
        </w:rPr>
        <w:t xml:space="preserve">، وعلى فرض صحّته فيها ، فلا يصحّ في غيرها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متعلّق بواحد شخصي له صفات ، وإضافات ، ومالية ، والكثرة له ، لا للعقد ، ولا لمتعلّقه بما هو متعلّقه ، وانتقال الأوصاف وغيرها تبعي ، لا أ نّه مفاد القرار والعقد ، فبقاء العقد باعتبار المالية ، وتصحيح الفسخ باعتبار إرجاع العين بماليتها ، ممّا لا يرجع إلى محصّل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فرض التسليم لا ينتج ؛ لأنّ ماهية الشيء وسائر أوصافه وإضافاته ، قائمة به ، وتنعدم بانعدامه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تعلّق بالمالية المطلقة ولو في غير المعقود عليه ، وهو ممّا لا يصحّ التفوّه به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عبارة عن المبادلة الإنشائية ، وهي التي تقع تحت الإنشاء ، وتكون مقدورة للمنشئ ، ومتحقّقة في الفضولي وعقد المكره وأمّا النقل الواقعي فهو من الاعتبارات العقلائية ، ولا يعقل تعلّق الإنشاء به ، وكذا الحال في جميع العقود والإيقاعات ، ومنها الفسخ ، وهو متعلّق بالعقد الناقل إنشاء ، ويحلّ العقد الإنشائي </w:t>
      </w:r>
      <w:r>
        <w:rPr>
          <w:rFonts w:eastAsia="Amiri" w:cs="Amiri" w:ascii="Amiri" w:hAnsi="Amiri"/>
          <w:color w:val="111111"/>
          <w:sz w:val="28"/>
          <w:szCs w:val="28"/>
          <w:rtl w:val="true"/>
          <w:lang w:bidi="ar-SA"/>
        </w:rPr>
        <w:t xml:space="preserve">. </w:t>
      </w:r>
      <w:bookmarkStart w:id="516" w:name="pg15222_162486"/>
    </w:p>
    <w:p>
      <w:pPr>
        <w:pStyle w:val="BookText"/>
        <w:rPr/>
      </w:pPr>
      <w:bookmarkEnd w:id="516"/>
      <w:r>
        <w:rPr>
          <w:rFonts w:ascii="Amiri" w:hAnsi="Amiri" w:eastAsia="Amiri" w:cs="Amiri"/>
          <w:color w:val="111111"/>
          <w:sz w:val="28"/>
          <w:sz w:val="28"/>
          <w:szCs w:val="28"/>
          <w:rtl w:val="true"/>
          <w:lang w:bidi="ar-SA"/>
        </w:rPr>
        <w:t xml:space="preserve">وهذا العقد الإنشائي بما أ نّه متعلّق بالعوضين حال وجودهما ، يكون باقياً اعتباراً ، وليس تابعاً في بقائه لبقاء العوضين ؛ فإنّه ليس من الصفات الخارجية التابعة وجوداً وبقاء للأعيان ، بل له بقاء اعتباري تابع لاعتباره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الوجود الاعتباري باقٍ عرفاً حتّى مع تلف العوضين ؛ إذ لا يكون القرار امتداده بامتداد العين زماناً ، ولا تابعاً في البقاء للعوضين ، بل هو نحو اعتبار من الإنشاء والجعل حال وجود العوضين ، وباقٍ في الاعتبار إلى ما شاء اللّه ، من غير دخالة للحالات الطارئة المتأخّرة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والفسخ حلّ للعقد الإنشائي ، وبعد الفسخ إن كان العوض موجوداً ، يحكم العقلاء بردّه إلى صاحبه ، ومع عدمه بردّ المثل أو القيمة عوضاً عنه وغرامة ، من غير أن يؤثّر الفسخ في ردّهما ابتداءً ، وقد تقدّم الكلام مستقصىً في خيار الغبن فراجع</w:t>
      </w:r>
      <w:r>
        <w:rPr>
          <w:rStyle w:val="FootnoteAnchor"/>
          <w:rtl w:val="true"/>
        </w:rPr>
        <w:footnoteReference w:id="840"/>
      </w:r>
      <w:r>
        <w:rPr>
          <w:rFonts w:ascii="Amiri" w:hAnsi="Amiri" w:eastAsia="Amiri" w:cs="Amiri"/>
          <w:color w:val="111111"/>
          <w:sz w:val="28"/>
          <w:sz w:val="28"/>
          <w:szCs w:val="28"/>
          <w:rtl w:val="true"/>
          <w:lang w:bidi="ar-SA"/>
        </w:rPr>
        <w:t xml:space="preserve">، هذا في التلف حقيقةً أو عرفاً </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3331880_2142443653"/>
      <w:bookmarkStart w:id="518" w:name="_Toc189"/>
      <w:bookmarkEnd w:id="517"/>
      <w:r>
        <w:rPr>
          <w:rtl w:val="true"/>
        </w:rPr>
        <w:t>في ثبوت الخيار مع خروج العين بغصب ونحوه</w:t>
      </w:r>
      <w:bookmarkEnd w:id="518"/>
    </w:p>
    <w:p>
      <w:pPr>
        <w:pStyle w:val="BookText"/>
        <w:rPr/>
      </w:pPr>
      <w:r>
        <w:rPr>
          <w:rFonts w:ascii="Amiri" w:hAnsi="Amiri" w:eastAsia="Amiri" w:cs="Amiri"/>
          <w:color w:val="111111"/>
          <w:sz w:val="28"/>
          <w:sz w:val="28"/>
          <w:szCs w:val="28"/>
          <w:rtl w:val="true"/>
          <w:lang w:bidi="ar-SA"/>
        </w:rPr>
        <w:t xml:space="preserve">وأمّا ما خرج عن سلطانه بغصب أو غرق ، مع رجاء العود ، أو العلم به ، فلا إشكال في ثبوت الخيار ، فمع الفسخ ترجع العين إلى ملكه ، وله مطالبة بدل الحيلولة إلى حصول المبدل ، وله الرجوع إلى الغاصب وأخذ ماله مع الإمكان ، كما أنّ له إخراج ماله من البحر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تلحق به العين المرهونة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الفسخ موجب لرجوع العين إلى </w:t>
      </w:r>
      <w:bookmarkStart w:id="519" w:name="pg15222_162487"/>
    </w:p>
    <w:p>
      <w:pPr>
        <w:pStyle w:val="BookText"/>
        <w:rPr/>
      </w:pPr>
      <w:bookmarkEnd w:id="519"/>
      <w:r>
        <w:rPr>
          <w:rFonts w:ascii="Amiri" w:hAnsi="Amiri" w:eastAsia="Amiri" w:cs="Amiri"/>
          <w:color w:val="111111"/>
          <w:sz w:val="28"/>
          <w:sz w:val="28"/>
          <w:szCs w:val="28"/>
          <w:rtl w:val="true"/>
          <w:lang w:bidi="ar-SA"/>
        </w:rPr>
        <w:t>الفاسخ ، فإن رضي بأن يكون الرهن باقياً على ماله فهو ، وإلاّ رجع إلى بدل الحيلولة إلى فكّ الرهن ؟</w:t>
      </w:r>
    </w:p>
    <w:p>
      <w:pPr>
        <w:pStyle w:val="BookText"/>
        <w:rPr/>
      </w:pPr>
      <w:r>
        <w:rPr>
          <w:rFonts w:ascii="Amiri" w:hAnsi="Amiri" w:eastAsia="Amiri" w:cs="Amiri"/>
          <w:color w:val="111111"/>
          <w:sz w:val="28"/>
          <w:sz w:val="28"/>
          <w:szCs w:val="28"/>
          <w:rtl w:val="true"/>
          <w:lang w:bidi="ar-SA"/>
        </w:rPr>
        <w:t xml:space="preserve">وقد يحتمل بطلان الرهن ؛ لمضادّته مع رجوع العين إلى غير الراهن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تحتمل صحّة الرهن ، والرجوع إلى البدل ، كما في مورد التلف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جميع الصور المتقدّمة ، لا ينبغي الإشكال في ثبوت الخيار لتخلّف الشرط ، واحتمال سقوطه ، والرجوع إلى الأرش ساقط ؛ لأنّ سبب الخيار موجود ، ولا دليل على ثبوت الأرش مع إمكان الفسخ والرجوع إلى البدل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وجه للتخيير بين الفسخ والأرش ؛ فإنّ الأرش إنّما يكون عقلائياً ، فيما إذا لم يمكن الردّ ، فلا يثبت مع إمكان الردّ ، كما في خيار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وجه لسقوط الخيار والرجوع إلى الأرش ،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الخيار لأجل تقييد الالتزام ، أو نحو ذلك</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3331882_2142443653"/>
      <w:bookmarkStart w:id="521" w:name="_Toc190"/>
      <w:bookmarkEnd w:id="520"/>
      <w:r>
        <w:rPr>
          <w:rtl w:val="true"/>
        </w:rPr>
        <w:t>في ثبوت الخيار مع خروج العين بالنقل</w:t>
      </w:r>
      <w:bookmarkEnd w:id="521"/>
    </w:p>
    <w:p>
      <w:pPr>
        <w:pStyle w:val="BookText"/>
        <w:rPr/>
      </w:pPr>
      <w:r>
        <w:rPr>
          <w:rFonts w:ascii="Amiri" w:hAnsi="Amiri" w:eastAsia="Amiri" w:cs="Amiri"/>
          <w:color w:val="111111"/>
          <w:sz w:val="28"/>
          <w:sz w:val="28"/>
          <w:szCs w:val="28"/>
          <w:rtl w:val="true"/>
          <w:lang w:bidi="ar-SA"/>
        </w:rPr>
        <w:t xml:space="preserve">ولو خرجت العين بعقد لازم أو جائز ، فإن كان النقل قبل تعذّر الشرط وتحقّق الخيار ، فلا إشكال في صحّته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متعلّق بالعين ، أو بالعقد ؛ لكون الملك قبل تعلّقه طلقاً ، والسلطنة مطلقة تامّة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مبادئ الخيار لمّا كانت موجودة ، فلا محالة يكون العقد متزلزلاً ، فيأتي احتمال البطلان وسائر الاحتمالات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الخيار المنفصل عن العقد مع حصول مبادئه من حال العقد كالخيار المتّصل</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مبادئ الخيار ، لا توجب تزلزل العقد ، بل ما هو الموجب نفس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لا يعقل أن يكون من مبادئ الخيار ؛ فإنّ مبدئيته بلا واسطة لا معنى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الوسط بأن يكون مبدأ لتخلّفه ، لا يعقل كما هو واضح ؛ لامتناع مبدئية الشيء لعدمه ، أو لتخلّفه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وبمعنى الدخالة البعيدة لثبوته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الشرط لما تحقّق التخلّف ، ولولا ذلك لما تحقّق الخيار ، فمضافاً إلى بطلان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 لا يختصّ بالشرط ، بل يكون العقد أيضاً دخيلاً بهذا المعنى ؛ إذ لولاه لما تحقّق الشرط ، ولا التخلّف ، ولا الخيار ، فيسقط التفصيل بين خيار التفليس وخيار الشرط ، كما قال به القائل ؛ بدعوى عدم تحقّق المبادئ في الأوّل ، دون الثاني</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النقل بعد التعذّر ، فهل يقع صحيحاً أو باطلاً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يرجع بعد الفسخ إلى البدل ، أو ينفسخ العقد الثاني بفسخه العقد الأوّل من الأصل ، أو من الحين ، أو له فسخه ، أو إلزامه على الفسخ في العقد الجائز ، وعلى الشراء مع إمكانه في اللازم ؟ </w:t>
      </w:r>
    </w:p>
    <w:p>
      <w:pPr>
        <w:pStyle w:val="BookText"/>
        <w:rPr/>
      </w:pPr>
      <w:r>
        <w:rPr>
          <w:rFonts w:ascii="Amiri" w:hAnsi="Amiri" w:eastAsia="Amiri" w:cs="Amiri"/>
          <w:color w:val="111111"/>
          <w:sz w:val="28"/>
          <w:sz w:val="28"/>
          <w:szCs w:val="28"/>
          <w:rtl w:val="true"/>
          <w:lang w:bidi="ar-SA"/>
        </w:rPr>
        <w:t xml:space="preserve">وجوه أقواها الصحّة والرجوع إلى البدل مطلقاً ؛ لضعف سائر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البطلان فيمكن أن يوجّه ؛ بأنّ الحقّ لو تعلّق بالعين ، كان مقتضاه بطلان نقلها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تعلّق بالعقد ، فماهية الفسخ لمّا كانت مقابل ماهية العقد ، فلا محالة تكون بمعنى إرجاع العوضين إلى الحالة الاُولى ، وعليه فيكون لحقّ الخيار نحو تعلّق بالعوضين ، ومعه يكون التصرّف المنافي له باطلاً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مع تسليمه لا ينتج البطلان ، بل مع تسليم كون الحقّ متعلّقاً بالعين ، لا يمنع عن صحّة النقل ، ولا يقع باطلاً ؛ وذلك لعدم التنافي بين الحقّ المذكور والنقل ، لما أشرنا إليه مراراً ؛ من أنّ البيع مثلاً هو النقل الإنشائي والمبادلة الإيقاعية الإنشائية ، وأمّا ترتّب الأثر وهو النقل الاعتباري الحقيقي فلا يعقل إنشاؤه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والفسخ حلّ لهذا العقد الإنشائي ، وإرجاع العوضين إنشاء ، كما في عقد الفضولي ، وإقالته على القول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فكما لا منافاة بين كون العين ملكاً حقيقياً لشخص ، وملكاً إنشائياً لآخر كما في الفضولي ، لا منافاة بين رجوع العين بالفسخ إلى ملك صاحبها إنشاء ، مع بقائها في ملك المشتري الثاني حقيقة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فالتصرّفات الاعتبارية والحقيقية ، لا تنافي حقّ الخيار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متعلّق بالعين ، أو بالعقد ؛ فإنّ معنى تعلّق الحقّ بالعين ، أنّ له استرجاعها إنشاء </w:t>
      </w:r>
    </w:p>
    <w:p>
      <w:pPr>
        <w:pStyle w:val="BookText"/>
        <w:rPr/>
      </w:pPr>
      <w:r>
        <w:rPr>
          <w:rFonts w:ascii="Amiri" w:hAnsi="Amiri" w:eastAsia="Amiri" w:cs="Amiri"/>
          <w:color w:val="111111"/>
          <w:sz w:val="28"/>
          <w:sz w:val="28"/>
          <w:szCs w:val="28"/>
          <w:rtl w:val="true"/>
          <w:lang w:bidi="ar-SA"/>
        </w:rPr>
        <w:t xml:space="preserve">لا حقيقة ؛ لامتناع الاسترجاع الحقيقي المتقوّم باعتبار العقلاء ، والاسترجاع الإنشائي لا ينافي ملكية الغير حقيقة ، كما لا ينافي معدومية العين على ما أشرنا إليه آنفاً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فسخ العقد ، وأرجع العوضين إنشاء ، وصار الفسخ موضوعاً للحكم العقلائي ، يحكم بالبدل مع نقل العين ، وعدم كونها في ملك المشتري ، فتدبّر فيه ، فإنّه حقيق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جميع الاحتمالات والوجوه المتوهّمة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بعضها إشكالاً عقلياً ؛ وهو انفساخ العقد الثاني ، فإنّ ذلك إمّا أن يكون بلا سبب ،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بسبب هو غير فسخ العقد الأوّل ، وهو 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السبب هو الفسخ ، فإن رجع ذلك إلى أنّ الفسخ لهذا فسخ لذلك ، فهو محال ؛ لعدم تعلّقه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أنّ ذلك يوجب انفساخه ، ورجوع العين إلى المشتري ، ومنه إلى ذي الخيار ، فهو محال بإنشاء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الحقيقة ، يرجع ذلك إلى عدم تأثير الفسخ في العقد الأوّل إلاّ بعد تأثيره في العقد الثاني ، ورجوع العين إلى ملك الطرف ليحقّق عنوان الفسخ ، وهذا محال في محال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التأثير في الفسخ والانفساخ عرضاً ، لا يصحّح تحقّق ماهية </w:t>
      </w:r>
      <w:bookmarkStart w:id="522" w:name="pg15222_162491"/>
    </w:p>
    <w:p>
      <w:pPr>
        <w:pStyle w:val="BookText"/>
        <w:rPr/>
      </w:pPr>
      <w:bookmarkEnd w:id="522"/>
      <w:r>
        <w:rPr>
          <w:rFonts w:ascii="Amiri" w:hAnsi="Amiri" w:eastAsia="Amiri" w:cs="Amiri"/>
          <w:color w:val="111111"/>
          <w:sz w:val="28"/>
          <w:sz w:val="28"/>
          <w:szCs w:val="28"/>
          <w:rtl w:val="true"/>
          <w:lang w:bidi="ar-SA"/>
        </w:rPr>
        <w:t xml:space="preserve">الفسخ ؛ لأنّ النقل معلول الانفساخ ، وفي رتبة الانفساخ ، تكون العين ملكاً للمشتري الثاني </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3331884_2142443653"/>
      <w:bookmarkStart w:id="524" w:name="_Toc191"/>
      <w:bookmarkEnd w:id="523"/>
      <w:r>
        <w:rPr>
          <w:rtl w:val="true"/>
        </w:rPr>
        <w:t xml:space="preserve">الأمر الثالث </w:t>
      </w:r>
      <w:r>
        <w:rPr>
          <w:rtl w:val="true"/>
        </w:rPr>
        <w:t xml:space="preserve">: </w:t>
      </w:r>
      <w:r>
        <w:rPr>
          <w:rtl w:val="true"/>
        </w:rPr>
        <w:t>فيما لو كان تصرّف المشروط عليه المخرج للعين منافياً للشرط</w:t>
      </w:r>
      <w:bookmarkEnd w:id="524"/>
    </w:p>
    <w:p>
      <w:pPr>
        <w:pStyle w:val="BookText"/>
        <w:rPr/>
      </w:pPr>
      <w:r>
        <w:rPr>
          <w:rFonts w:ascii="Amiri" w:hAnsi="Amiri" w:eastAsia="Amiri" w:cs="Amiri"/>
          <w:color w:val="111111"/>
          <w:sz w:val="28"/>
          <w:sz w:val="28"/>
          <w:szCs w:val="28"/>
          <w:rtl w:val="true"/>
          <w:lang w:bidi="ar-SA"/>
        </w:rPr>
        <w:t xml:space="preserve">لو تصرّف المشروط عليه في متعلّق الشرط ؛ بما ينافي الوفاء به من التصرّفات الاعتبارية ، كبيع ما اشترط عليه وقفه ، أو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يقع باطلاً مطلقاً ، ولا تصحّحه الإجازة ، عقداً كان أو إيقاعاً ، أو يصحّ كذلك من غير حاجة إلى الإجازة ، أو يصحّ مع الإجازة مطلقاً عقداً كان أو إيقاعاً ، أو يصحّ فيما إذا كان عقداً ، ويبطل فيما إذا كان إيقاعاً ، كالعتق ، والوقف بناءً على كونه إيقاعاً ؟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البطلان اُمور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التصرّف الاعتباري ، متعلّقاً للنهي ، بناءً على أنّ الأمر بالوفاء بالشرط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الوقف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النهي عن سائر التصرّفات المضادّة كالبيع ، ومقتضى النهي عنه بطلانه ؛ إمّا لكونه إرشاداً إلى البطلان ولو كان مثل هذا النهي التبعي ، أو للتنافي بين النهي الفعلي والإنفاذ</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بطلان أصل المدّعى على ما قرّر في محلّه</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دليل </w:t>
      </w:r>
    </w:p>
    <w:p>
      <w:pPr>
        <w:pStyle w:val="BookText"/>
        <w:rPr/>
      </w:pPr>
      <w:r>
        <w:rPr>
          <w:rFonts w:ascii="Amiri" w:hAnsi="Amiri" w:eastAsia="Amiri" w:cs="Amiri"/>
          <w:color w:val="111111"/>
          <w:sz w:val="28"/>
          <w:sz w:val="28"/>
          <w:szCs w:val="28"/>
          <w:rtl w:val="true"/>
          <w:lang w:bidi="ar-SA"/>
        </w:rPr>
        <w:t xml:space="preserve">الشرط ، لا يعقل أن يثبت الأمر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ممّا يتعلّق بها الشرط ؛ لأنّ موضوع الوجوب فيه ، هو الوفاء بالشرط ، ولا يعقل تجاوز التكليف عن عنوان إلى آخر ، ولا من عنوان إلى مصاديق 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إطاعة الوالد ، ما هو متعلّق الأمر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 به الوالد كخياطة الثوب ، لا يعقل أن يكون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عنه ومرآةً له ، ولا لمصاديقه الذاتية ، ولا الأمر المتعلّق بها ، متعلّقاً بعنوان آخر أو مصاديقه ، وهكذا الحال في جميع العناوين الأوّلية والثانوية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فبدليل الشرط ، لا يعقل إثبات وجوب ما تعلّق به الشرط ، ولا وجوب مصاديقه ، بل الواجب هو الشرط بعنوانه ومصاديقه الذاتية ؛ أي الملتزمات بعنوان الملتزم ، لا بعنوان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بدليله ، وما هو مضادّ له منهيّ عنه ، بناءً على اقتضاء الأمر للنهي عن الضدّ ، وحيث إنّ البيع مثلاً مضادّ للوفاء الواجب ، فهو منهيّ عنه بعنوانه ، وهو إرشاد إلى الفساد ، أو منافٍ لدليل الإنفاذ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المسألة هو مقدّمية الضدّ لضدّه ، وقد حرّر في مقامه ؛ أنّ وجوب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يتوقّف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التحقيق على فرض الوجوب</w:t>
      </w:r>
      <w:r>
        <w:rPr>
          <w:rStyle w:val="FootnoteAnchor"/>
          <w:rtl w:val="true"/>
        </w:rPr>
        <w:footnoteReference w:id="848"/>
      </w:r>
      <w:r>
        <w:rPr>
          <w:rFonts w:ascii="Amiri" w:hAnsi="Amiri" w:eastAsia="Amiri" w:cs="Amiri"/>
          <w:color w:val="111111"/>
          <w:sz w:val="28"/>
          <w:sz w:val="28"/>
          <w:szCs w:val="28"/>
          <w:rtl w:val="true"/>
          <w:lang w:bidi="ar-SA"/>
        </w:rPr>
        <w:t xml:space="preserve">، والوجوب المتعلّق بالعناوين المذكورة ، لا يعقل تجاوزه عنها إلى عنوان آخر كعنوان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تركها </w:t>
      </w:r>
    </w:p>
    <w:p>
      <w:pPr>
        <w:pStyle w:val="BookText"/>
        <w:rPr/>
      </w:pPr>
      <w:r>
        <w:rPr>
          <w:rFonts w:ascii="Amiri" w:hAnsi="Amiri" w:eastAsia="Amiri" w:cs="Amiri"/>
          <w:color w:val="111111"/>
          <w:sz w:val="28"/>
          <w:sz w:val="28"/>
          <w:szCs w:val="28"/>
          <w:rtl w:val="true"/>
          <w:lang w:bidi="ar-SA"/>
        </w:rPr>
        <w:t xml:space="preserve">بعنوانها ، فلا ينتج المطلوب ؛ وهو أنّ النهي المتعلّق بعنوان المعاملة ، إرشاد إلى البطلان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كونه إرشاداً في مثل المقام باطل ، والحرمة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مستلزمة للصحّة ؛ لأ نّه مع البطلان يخرج عن نطاق القدرة ، وكيف كان لا إشكال في بطلان هذا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للمشروط له حقّاً ولو كان متعلّقاً بالعمل ، كالبيع والعتق ، والمعاملة المخالفة موجبة لتضييع حقّه ، فتقع باطلة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العمل بالشرط واجب ، وإنفاذ البيع ونحوه المخالف للشرط ، موجب لتعذّره الاختياري ، ولا يعقل إنفاذ ما يوجب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نفس إيجاب العمل بالشرط ، يوجب تحديد سلطنة المشروط عليه ، وقصرها في فعل الشرط ، وعليه فلا تصحّ المعاملات والإيقاعات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 جميع ما ذكر ؛ فإنّ لزوم تضييع حقّه ، لا يوجب البطلان وضعاً ، بعد استجماع شروط الصحّة ، وغاية ما في الباب حرمة التضييع ، وهي لا توجب حرمة المعاملة ، وعلى فرضها لا توجب البطلان إن لم تكن دالّة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استلزام الصحّة للمعصية ، وتوهّم عدم صحّة إنفاذ ما يوجبها ، فيندفع بأنّ القواعد الكلّية الشرعية ، لا يعقل أن تلاحظ فيها المزاحمات ، أو المعارضات ، أو اللوازم ، أو الملازمات ، وليس لإنفاذ خصوص ما يوجب المعصية ، دليل خاصّ به ، ولا مانع من صحّة معاملة محرّمة ، فضلاً عمّا يستلزمها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تحديد التكليف دائرة السلطنة ، والتعجيز عن المعاملة شرعاً ، </w:t>
      </w:r>
    </w:p>
    <w:p>
      <w:pPr>
        <w:pStyle w:val="BookText"/>
        <w:rPr/>
      </w:pPr>
      <w:r>
        <w:rPr>
          <w:rFonts w:ascii="Amiri" w:hAnsi="Amiri" w:eastAsia="Amiri" w:cs="Amiri"/>
          <w:color w:val="111111"/>
          <w:sz w:val="28"/>
          <w:sz w:val="28"/>
          <w:szCs w:val="28"/>
          <w:rtl w:val="true"/>
          <w:lang w:bidi="ar-SA"/>
        </w:rPr>
        <w:t xml:space="preserve">فلا يرجع إلى محصّل ، ولا دليل على هذا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متعلّقة للحقّ ، كما أنّ العمل بالشرط متعلّق له ؛ فإنّ اشتراط بيعها ، يوجب تعلّق حقّ المشروط له بها ؛ بأن يحفظها ، وينقلها إليه ، والتصرّف في متعلّق حقّ الغير باطل</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في المقام ، إنّما هو من قبل الشرط ليس إلاّ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شرط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يتعلّق بنفس العين ، بل المتعلّق فعل مضاف إليها ، كبيعها ، أو وقفها ، فإذا لم يتعلّق الشرط بها ، لم ينتزع منه الحقّ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بضرب من المجاز والتأوّل ، لا على نحو الحقيقة ، ومجرّد إضافة ما تعلّق به الحقّ إلى غيره ، لا توجب حقّاً بالنسبة إليه ، كما أنّ الخيار حقّ متعلّق بالعقد المضاف إلى العوض ، ولا حقّ بالنسبة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أن تكون العين متعلّقة لهذا الحقّ المتعلّق بالفعل المضاف إليها ؛ لاختلاف الرتبة بينهما ، والموضوع المركّب المتعلّق للحقّ ، لا بدّ فيه من نحو وحدة بين أجزائه ، ولا يعقل ذلك في الطوليات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 الشكّ في تعلّق الحقّ ، فلا مانع في المقام من التمسّك بالأصل ، فالتحقيق صحّة العقود والإيقاعات ، من غير حاجة إلى الإجازة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بثبوت حقّ للمشروط له ، فمقتضى القاعدة الصحّة مع إجازته ؛ لأنّ المفروض تحقّق عنوان المعاملة الإنشائية التي هي تمام ماهية المعاملة ، كما هو الحال في عقد الفضولي، والمكره، ونحوهما، واستجماعها لجميع شروط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المانع عن تأثيرها ، وصيرورتها موضوعاً لحكم العقلاء والشارع للنقل الاعتباري الحقيقي ، هو تعلّق حقّ المشروط له ، ومع إجازته يرتفع المنع ، ويتحقّق النقل والصحّة الفعلية ، فيترتّب عليها سقوط حقّه لرفع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مقتضى القاعدة في الأشباه والنظائر ، فلو باع الراهن العين المرهونة ، لم يقع صحيحاً فعلياً إلاّ بعد رفع المنع ؛ بالفكّ ، أو بالإجازة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في عدم صحّة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نّها لتحقّق الانتساب إلى المجيز ، وفي المقام لا معنى له ، وليس للمشروط له إلاّ إسقاط حقّه ، لا إجازة البيع</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ما حقّق في محلّه ؛ من أنّ الإجازة في الفضولي ، لا توجب الانتساب ، بل هي مضادّة له</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الإجازة في المقام ، توجب رفع المانع عن التأثير والصحّة ، كما أنّ إذن صاحب الحقّ يوجبه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الثاني ليس له حتّى يجيزه ، والإجازة لا تفيد ، كما أنّ إسقاط حقّه لا يفيد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إذا لم يؤثّر في الحين ، فلا دليل على تأثيره فيما بعد ، وصيرورته صحيحاً فعلياً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ما لا يخفى ؛ فإنّ عقد المكره والفضولي أيضاً كذلك ، وقضيّة انقلاب العنوان في الفضولي والانتساب إليه ، لا ترجع إلى محصّل معتدّ به ، والحلّ أنّ </w:t>
      </w:r>
      <w:bookmarkStart w:id="525" w:name="pg15222_162496"/>
    </w:p>
    <w:p>
      <w:pPr>
        <w:pStyle w:val="BookText"/>
        <w:rPr/>
      </w:pPr>
      <w:bookmarkEnd w:id="525"/>
      <w:r>
        <w:rPr>
          <w:rFonts w:ascii="Amiri" w:hAnsi="Amiri" w:eastAsia="Amiri" w:cs="Amiri"/>
          <w:color w:val="111111"/>
          <w:sz w:val="28"/>
          <w:sz w:val="28"/>
          <w:szCs w:val="28"/>
          <w:rtl w:val="true"/>
          <w:lang w:bidi="ar-SA"/>
        </w:rPr>
        <w:t xml:space="preserve">المانع إذا ارتفع ، يقع صحيحاً بعد استجماع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يمكن التفصيل بين العقود والإيقاعات ؛ بما قيل في الفضولي</w:t>
      </w:r>
      <w:r>
        <w:rPr>
          <w:rStyle w:val="FootnoteAnchor"/>
          <w:rtl w:val="true"/>
        </w:rPr>
        <w:footnoteReference w:id="854"/>
      </w:r>
      <w:r>
        <w:rPr>
          <w:rFonts w:ascii="Amiri" w:hAnsi="Amiri" w:eastAsia="Amiri" w:cs="Amiri"/>
          <w:color w:val="111111"/>
          <w:sz w:val="28"/>
          <w:sz w:val="28"/>
          <w:szCs w:val="28"/>
          <w:rtl w:val="true"/>
          <w:lang w:bidi="ar-SA"/>
        </w:rPr>
        <w:t>، وقد قرّبنا في محلّه صحّة الفضولي في الإيقاع على القواعد</w:t>
      </w:r>
      <w:r>
        <w:rPr>
          <w:rStyle w:val="FootnoteAnchor"/>
          <w:rtl w:val="true"/>
        </w:rPr>
        <w:footnoteReference w:id="855"/>
      </w:r>
      <w:r>
        <w:rPr>
          <w:rFonts w:ascii="IRNazanin" w:hAnsi="IRNazanin" w:eastAsia="IRNazanin"/>
          <w:color w:val="111111"/>
          <w:sz w:val="28"/>
          <w:sz w:val="28"/>
          <w:szCs w:val="28"/>
          <w:rtl w:val="true"/>
          <w:lang w:bidi="fa-IR"/>
        </w:rPr>
        <w:t xml:space="preserve">، والأمر سهل </w:t>
      </w:r>
      <w:r>
        <w:rPr>
          <w:rFonts w:eastAsia="IRNazanin" w:cs="IRNazanin"/>
          <w:color w:val="111111"/>
          <w:sz w:val="28"/>
          <w:szCs w:val="28"/>
          <w:rtl w:val="true"/>
          <w:lang w:bidi="fa-IR"/>
        </w:rPr>
        <w:t>.</w:t>
      </w:r>
    </w:p>
    <w:p>
      <w:pPr>
        <w:pStyle w:val="Heading5"/>
        <w:numPr>
          <w:ilvl w:val="4"/>
          <w:numId w:val="1"/>
        </w:numPr>
        <w:rPr/>
      </w:pPr>
      <w:bookmarkStart w:id="526" w:name="__RefHeading___Toc3331886_2142443653"/>
      <w:bookmarkStart w:id="527" w:name="_Toc192"/>
      <w:bookmarkEnd w:id="526"/>
      <w:r>
        <w:rPr>
          <w:rtl w:val="true"/>
        </w:rPr>
        <w:t xml:space="preserve">الأمر الرابع </w:t>
      </w:r>
      <w:r>
        <w:rPr>
          <w:rtl w:val="true"/>
        </w:rPr>
        <w:t xml:space="preserve">: </w:t>
      </w:r>
      <w:r>
        <w:rPr>
          <w:rtl w:val="true"/>
        </w:rPr>
        <w:t>في أنّ للمشروط له إسقاط حقّه</w:t>
      </w:r>
      <w:bookmarkEnd w:id="527"/>
    </w:p>
    <w:p>
      <w:pPr>
        <w:pStyle w:val="BookText"/>
        <w:rPr/>
      </w:pPr>
      <w:r>
        <w:rPr>
          <w:rFonts w:ascii="Amiri" w:hAnsi="Amiri" w:eastAsia="Amiri" w:cs="Amiri"/>
          <w:color w:val="111111"/>
          <w:sz w:val="28"/>
          <w:sz w:val="28"/>
          <w:szCs w:val="28"/>
          <w:rtl w:val="true"/>
          <w:lang w:bidi="ar-SA"/>
        </w:rPr>
        <w:t xml:space="preserve">للمشروط له إسقاط حقّه الآتي من قبل الشرط ؛ فيما يقبل الإسقاط ، كشرط الفعل ، فلو شرط عليه البيع أو العتق ، كان له عليه حقّ أن يبيعه ، وله إسقاط هذا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شرط النتيجة ، فلا معنى لإسقاط الحقّ فيه ، كما أنّ الأمر كذلك في شرط الصفة ، فإسقاط الحقّ منحصر في شرط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الشروط المالية كالخياطة ، وغيرها كالبيع والعتق ؛ لأنّ للمشروط له حقّاً على الفعل في الفرضين ، وله إسقاطه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الشروط المالية موجبة لاشتغال الذمّة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اشترط عليه إعطاء عشرة دنانير ، أو خياطة الثوب ، اشتغلت ذمّته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أيضاً إسقاط الإعطاء والعمل ؛ لأ نّهما متعلّقان للشرط ، وله حقّ العمل ، وإنّما ينتزع الاشتغال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فله إسقاط حقّه ، فيسقطان من ذمّته تبعاً ، كما تشتغل بهما تبعاً ، وله إبراء ذمّته عمّا اشتغلت به ، فيسقط الحقّ استلزاماً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يكون له إلغاء الشرط ، فيسقط الحقّ ، وتبرأ الذمّة ؛ فإنّ الشرط قرار ثابت للمشروط له ، ولا سلطان للمشروط عليه بالنسبة إليه ، فللمشروط له في جميع الموارد إلغاء شرطه ، وحلّ قراره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للمتبايعين ، الإقالة وحلّ قرارهما بحسب الحكم العقلائي ؛ لأنّ القرار بينهما لا يتجاوزهما ، فكما لهما عقده لهما حلّه ، وكما أنّ زمام الشرط لو كان بيدهما كان لهما حلّه ، كذلك للمشروط له حلّه وإلغاؤه ؛ لأنّ زمامه بيده عرفاً ، لا بيد المشروط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شرط الفعل مطلقاً ، له حلّ الشرط ، وله إسقاط الحقّ الثابت به ، من غير فرق بين المتعلّقات ، وله إبراؤه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المتعلّق بالماليات ، موجب للاشتغال</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صحّة الإسقاط إلاّ في الشروط غير المالية</w:t>
      </w:r>
      <w:r>
        <w:rPr>
          <w:rStyle w:val="FootnoteAnchor"/>
          <w:rtl w:val="true"/>
        </w:rPr>
        <w:footnoteReference w:id="857"/>
      </w:r>
      <w:r>
        <w:rPr>
          <w:rFonts w:ascii="IRNazanin" w:hAnsi="IRNazanin" w:eastAsia="IRNazanin"/>
          <w:color w:val="111111"/>
          <w:sz w:val="28"/>
          <w:sz w:val="28"/>
          <w:szCs w:val="28"/>
          <w:rtl w:val="true"/>
          <w:lang w:bidi="fa-IR"/>
        </w:rPr>
        <w:t xml:space="preserve">ساقط حتّى على القول بالاشتغال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إلغاء الشرط وحلّه ، يظهر الحال في شرط النتيجة ، إذا لم يتّصل حصولها بالعقد ، كما لو شرط نقل الملك في زمان متأخّر ، أو شرط الوصف كذلك ، فيجوز له إلغاء الشرط وحلّه ، ولازمه عدم النقل وعدم الخيار للتخلّف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ما نقل عن غير واحد من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استثناء ما كان حقّاً لغير المشروط له كالعتق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السقوط بإسقاطه ؛ لاجتماع الحقوق فيه ، وليس للمشروط له إسقاط حقّهما ، فلا يسقط بإسقاطه</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حقّ لغير المشروط له ؛ فإنّ الحقّ إنّما يثبت له ، لأجل قراره مع المشروط عليه ، فالشرط والقرار بينهما مثبت للحقّ ، ولا قرار بين المشروط عليه وبين اللّه تعالى ، ولا بينه وبين الأجنبيّ المنتفع بالشرط ، ومجرّد الانتفاع لا يوجب ثبوت الحقّ ، كما لو شرط عليه علف الدابّة ، ورعي الماشية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لا إشكال في أنّ للمشروط له إسقاط حقّه وشرطه ، وثبوت الحقّ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وجوداً وبقاءً لحقّه ، فإذا أسقط حقّ عتقه ، فلا يبقى حقّ لأحد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عدم سقوط حقّه بالإسقاط ؛ لاستلزامه تضييع حقّ الغير فاسد جدّاً ، كاحتمال تبعيتهما له وجوداً لا بقاءً </w:t>
      </w:r>
      <w:r>
        <w:rPr>
          <w:rFonts w:eastAsia="Amiri" w:cs="Amiri" w:ascii="Amiri" w:hAnsi="Amiri"/>
          <w:color w:val="111111"/>
          <w:sz w:val="28"/>
          <w:szCs w:val="28"/>
          <w:rtl w:val="true"/>
          <w:lang w:bidi="ar-SA"/>
        </w:rPr>
        <w:t xml:space="preserve">. </w:t>
      </w:r>
      <w:bookmarkStart w:id="528" w:name="pg15222_162499"/>
    </w:p>
    <w:p>
      <w:pPr>
        <w:pStyle w:val="Heading5"/>
        <w:numPr>
          <w:ilvl w:val="4"/>
          <w:numId w:val="1"/>
        </w:numPr>
        <w:rPr/>
      </w:pPr>
      <w:bookmarkStart w:id="529" w:name="__RefHeading___Toc3331888_2142443653"/>
      <w:bookmarkStart w:id="530" w:name="_Toc193"/>
      <w:bookmarkEnd w:id="528"/>
      <w:bookmarkEnd w:id="529"/>
      <w:r>
        <w:rPr>
          <w:rtl w:val="true"/>
        </w:rPr>
        <w:t xml:space="preserve">الأمر الخامس </w:t>
      </w:r>
      <w:r>
        <w:rPr>
          <w:rtl w:val="true"/>
        </w:rPr>
        <w:t xml:space="preserve">: </w:t>
      </w:r>
      <w:r>
        <w:rPr>
          <w:rtl w:val="true"/>
        </w:rPr>
        <w:t>في عدم تقسيط الثمن على الشرط</w:t>
      </w:r>
      <w:bookmarkEnd w:id="530"/>
    </w:p>
    <w:p>
      <w:pPr>
        <w:pStyle w:val="Heading6"/>
        <w:numPr>
          <w:ilvl w:val="5"/>
          <w:numId w:val="1"/>
        </w:numPr>
        <w:rPr/>
      </w:pPr>
      <w:bookmarkStart w:id="531" w:name="__RefHeading___Toc3331890_2142443653"/>
      <w:bookmarkStart w:id="532" w:name="_Toc194"/>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يقابل بالثمن ، ولا يقسّط عليه مع التخلّف بحسب القاعدة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الشرط المتضمّن لجزء من المبيع المركّب ، كما لو شرط كون المبيع كذا مقداراً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الثوب أو الأرض على أن يكون كذا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الصبرة على أن تكون كذا صاعاً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المتضمّن لجزء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كان أم منفصلاً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يقسّط عليه الثمن ، فالقاعدة مخصّصة بالنسبة إلى مثله ، سواء كان من الكمّ المتّصل ، أم المنفصل ، وسواء كان مختلف الأجزاء ، أو متّفقها ، وسواء تبيّن النقص ، أم الزيادة ، ففي جميع الأقسام الثمانية يقسّط الثمن</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فرض المسألة فيما إذا كان الشرط في مورد البحث ، كسائر الشروط في جميع الخصوصيات ، إلاّ في المتعلّق ، حتّى يصحّ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بالاستثناء عن القاعدة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تراد به الشرطية إلاّ صورة</w:t>
      </w:r>
      <w:r>
        <w:rPr>
          <w:rStyle w:val="FootnoteAnchor"/>
          <w:rtl w:val="true"/>
        </w:rPr>
        <w:footnoteReference w:id="861"/>
      </w:r>
      <w:r>
        <w:rPr>
          <w:rFonts w:ascii="IRNazanin" w:hAnsi="IRNazanin" w:eastAsia="IRNazanin"/>
          <w:color w:val="111111"/>
          <w:sz w:val="28"/>
          <w:sz w:val="28"/>
          <w:szCs w:val="28"/>
          <w:rtl w:val="true"/>
          <w:lang w:bidi="fa-IR"/>
        </w:rPr>
        <w:t>خارج عن محطّ البحث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بين هذا الشرط وسائر الشروط في عدم التقسيط ؛ وذلك لأنّ البيع مع هذا الشرط ، متضمّن لقرارين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هذا الشخص الموجود بعشرة دنانير مثلاً ، وهذا يتمّ إنشاؤه بقول البائع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الصبرة بعشرة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 هذه الأرض 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أن يكون المبيع كذا مقداراً ، فتمام ماهية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تمليك الشيء بالعوض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متحقّقة إنشاء به ، قبل إنشاء الشرط الذي هو أيضاً يتحقّق بإنشاء الموجب ، والقبولُ المنضمّ إلى إنشاء البيع يوجب ترتّب الأثر عليه ، كما أنّ القبول اللاحق بالشرط يوجب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إيجابان وقبولان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إنشاء البيع المتضمّن لمقابلة المبيع الخاصّ بتمام الثمن ، وإنشاء الشرط الذي هو قرار آخر غير قرار البيع إيجاباً وقبولاً ، ومقتضى البيع مبادلة المبيع الخارجي في المورد بتمامه بالثمن المذكور بتمامه ؛ بحيث لو بدا للمنشئ عدم الشرط وتركه ، وقبل المشتري إيجابه صحّ ، ويقابل المبيع بتمام الثمن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فالقائل بالتقسيط ، لو رجع قوله إلى أنّ البيع موجب له مع الغضّ عن الشرط ، فهو خلاف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 إلى أنّ الشرط يوجب انقلاب البيع عمّا هو عليه ، فهو محال بالضرورة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رجع إلى أنّ البيع الملحق به الشرط المذكور ، موجب للتقسيط ، فإن اُريد به إنشاء المقابلة بين الثمن والمثمن مع هذا الجزء ، أو باستثنائه ، فهو خلاف المفروض ، وخلاف ما في الواقع ؛ من أنّ البيع الذي هو إنشاء مستقلّ ، يتحقّق </w:t>
      </w:r>
    </w:p>
    <w:p>
      <w:pPr>
        <w:pStyle w:val="BookText"/>
        <w:rPr/>
      </w:pPr>
      <w:r>
        <w:rPr>
          <w:rFonts w:ascii="IRNazanin" w:hAnsi="IRNazanin" w:eastAsia="IRNazanin"/>
          <w:color w:val="111111"/>
          <w:sz w:val="28"/>
          <w:sz w:val="28"/>
          <w:szCs w:val="28"/>
          <w:rtl w:val="true"/>
          <w:lang w:bidi="fa-IR"/>
        </w:rPr>
        <w:t xml:space="preserve">قبل تحقّق إنشاء الشرط ، وأنّ الشرط إنشاء مستقلّ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عدم المقابلة في البيع يقسّط الثمن ، فهو غير معقول ، فالقول بالتقسيط ، لا يرجع إلى محصّل وأمر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العرف كذلك</w:t>
      </w:r>
      <w:r>
        <w:rPr>
          <w:rStyle w:val="FootnoteAnchor"/>
          <w:rtl w:val="true"/>
        </w:rPr>
        <w:footnoteReference w:id="862"/>
      </w:r>
      <w:r>
        <w:rPr>
          <w:rFonts w:ascii="Amiri" w:hAnsi="Amiri" w:eastAsia="Amiri" w:cs="Amiri"/>
          <w:color w:val="111111"/>
          <w:sz w:val="28"/>
          <w:sz w:val="28"/>
          <w:szCs w:val="28"/>
          <w:rtl w:val="true"/>
          <w:lang w:bidi="ar-SA"/>
        </w:rPr>
        <w:t xml:space="preserve">فاسد ؛ لأ نّه إن رجع إلى أنّ العرف لا يميّز بين البيع والشرط في ضمنه ، فهو كما ترى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رجع إلى أ نّهم يميّزون كلاًّ منهما عن الآخر ، ويعرفون أنّ البيع مبادلة بين الموجود الخاصّ وتمام الثمن ، وأنّ الشرط أمر زائد عنه ، له إنشاء خاصّ ، ومنشأ خاصّ ، ومع ذلك يحكمون جزافاً بذلك ، فهو أفسد ، فلا ينبغي الإشكال في عدم التقسيط ، وعدم لحوق الشرط حكم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جزء المبيع إذا اُخذ بنحو الاشتراط ، لا يخرج عن كونه جزءاً ملحوظاً كسائر الأجزاء مقابلاً بالثمن ، حيث لا فرق في الغرض المعاملي النوعي المتعلّق باشتراء ذات الأجزاء ، بين جزء منها ، وجزء آخر ، بعد وضوح أنّ المبيع ، ليس هو الجسم الطبيعي مع قطع النظر عن التعيّن ، الموجب لصيرورته جسماً تعليمياً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 لا غرض نوعاً في شراء الجسم التعليمي المطلق الملحوظ فيه تعيّن ما ، فليس تعيّن الجسم أمراً زائداً على الغرض النوعي ، حتّى يؤخذ بنحو الاشتراط الذي هو شأن التابع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وصف الكمّية بخصوصية مقتضية للتقسيط وإن اُخذ بنحو </w:t>
      </w:r>
    </w:p>
    <w:p>
      <w:pPr>
        <w:pStyle w:val="BookText"/>
        <w:rPr/>
      </w:pPr>
      <w:r>
        <w:rPr>
          <w:rFonts w:ascii="Amiri" w:hAnsi="Amiri" w:eastAsia="Amiri" w:cs="Amiri"/>
          <w:color w:val="111111"/>
          <w:sz w:val="28"/>
          <w:sz w:val="28"/>
          <w:szCs w:val="28"/>
          <w:rtl w:val="true"/>
          <w:lang w:bidi="ar-SA"/>
        </w:rPr>
        <w:t xml:space="preserve">الاشتراط ، فيكون نظير ما إذا أشار إلى ما في الدار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هذين العبدين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أنّه واحد ، ولا إشكال هناك في التقسيط ، لا أنّ المبيع هو ما في الدار ، والاثنينية وصف</w:t>
      </w:r>
      <w:r>
        <w:rPr>
          <w:rStyle w:val="FootnoteAnchor"/>
          <w:rtl w:val="true"/>
        </w:rPr>
        <w:footnoteReference w:id="86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لم يزد شيئاً على المدّعى إلاّ اقترانه ببعض الاصطلاحات الأجنبيّة عن المعاملات العقلائية ؛ ضرورة أنّ البيع إذا تعلّق بالعين الشخصية الموجودة ، فأشار البائع إليها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المقابلة إلاّ بين الموجود الخارجي كائناً ما كان ، وبين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الموجود الخاصّ ، متعلّق للغرض المعاملي في إنشاء البيع ، لا يزيد منه شيء ، ولا ينقص ، ويكون الشرط أمراً زائداً في ضمن البيع ، ويكون الغرض في الاشتراط أ نّه لو خالف الواقع لم يلزمه البيع ، وكان له الخيار في فسخه إن أراده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جزء وجزء في الغرض المعاملي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متعلّق بالزائد أو الناقص من الشخص الخارجي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عن محطّ البحث ، وإرجاع الشرط إلى الأمر الصوري ، كما هو الظاهر من كلامه وإن احترز عنه في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الواقع الرائج في البيع والشرط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في الغرض اللبّي لا فرق بينهما ، فهو لا يفيد ؛ لأنّ الأغراض لا توجب تغيير المعاملات عمّا هي عليها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مقايسته الشرط في ضمن البيع ، بالبيع في قوله مشيراً إلى ما في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يقع إلاّ بالنسبة إلى واحد منهما ؛ فإنّها مقايسة مع الفارق الواضح ، ضرورة أنّ أحد المشار إليهما في المثال مفقود ، مع وقوع البيع عليهما ، ومقتضى ذلك البطلان بالنسبة إلى المفقود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المقام ؛ فإنّ البيع واقع على المشار إليه الموجود ، والشرط قرار زائد تخلّف عن الواقع ، فليس فيه إلاّ الخيار ، فأيّ تناسب بين البيع الواقع على أمر خاصّ والشرط الزائد عليه ، وبين البيع الواقع على الشيئين المفقود أحدهما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تكلّف ، وأتعب نفسه الشريفة ، ولم يأت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إمكان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الخاصّ الخارجي المشهود ، الذي لا تكون فيه زيادة ونقيصة ، إذا شرط فيه أن يكون كذا مقداراً ، ليس المقدار إلاّ الكمّ الذي هو عرض كسائر الأعراض ، لا المتكمّم ، فلا يقسّط عليه الثمن حتّى مع الغضّ عمّا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الوجه المتقدّم لعدم التقسيط ، مشترك بين الأقسام الأربعة أو الثمانية ، ويختصّ ما إذا تبيّنت الزيادة بوجه آخر ؛ وهو أنّ في البيع الواقع على الخاصّ الخارجي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وقوعه على الزائد ، وببقاء ذلك في ملك البائع ، لا يخلو 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 البيع على المقدار المشخّص المعيّن ، وبقاء مقدار مشخّص معيّن على ملك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بوقوعه على الكلّي في المعيّن ، أو على الجزء المشاع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والاحتمال الأوّل واضح الفساد ، ويتلوه الاحتمالان الآخران ؛ لأنّه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إنشاء البيع على الخاصّ المشخّص الموجود ، لم يكن إلاّ صورياً ، ويراد به الكلّي في المعيّن ، أو الجزء المشاع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خلاف </w:t>
      </w:r>
      <w:bookmarkStart w:id="533" w:name="pg15222_162504"/>
    </w:p>
    <w:p>
      <w:pPr>
        <w:pStyle w:val="BookText"/>
        <w:rPr/>
      </w:pPr>
      <w:bookmarkEnd w:id="533"/>
      <w:r>
        <w:rPr>
          <w:rFonts w:ascii="IRNazanin" w:hAnsi="IRNazanin" w:eastAsia="IRNazanin"/>
          <w:color w:val="111111"/>
          <w:sz w:val="28"/>
          <w:sz w:val="28"/>
          <w:szCs w:val="28"/>
          <w:rtl w:val="true"/>
          <w:lang w:bidi="fa-IR"/>
        </w:rPr>
        <w:t xml:space="preserve">الواقع والوجدان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عن محطّ البحث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يوجب انقلاب الخاصّ إلى الكلّي في المعيّن أو المشاع ، فهو أفسد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مع وقوع البيع على الخاصّ الموجود ، وبقاء الشرط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أمراً خارجاً زائداً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العقلاء بالانقلاب بلا سبب ، فهو أفسد من سابقه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العقلاء يرتّبون عليه حكم الكلّي أو الإشاعة تعبّداً ، فهو يتلو السابق في الفساد ، وعليه فلو فرض تسليم التقسيط في النقيصة ، لم يمكن موافقته في تبيّن الزيادة ، فلا تغفل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تبيّن الزيادة ، لا يوجب الخيار إلاّ إذا كان المقدار بحدّه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زائداً ، ولا ناقصاً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الشرط ، والشروط في ذلك مختلفة ، فقد يستفاد من الشرط التحديد في الطرفين ، كما لو اشترى خفّاً ، وشرط أن يكون كذا قياساً ، وقد لا يستفاد ذلك ، كما في الصبرة ، والأرض ، ونحوهما </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3331892_2142443653"/>
      <w:bookmarkStart w:id="535" w:name="_Toc195"/>
      <w:bookmarkEnd w:id="534"/>
      <w:r>
        <w:rPr>
          <w:rtl w:val="true"/>
        </w:rPr>
        <w:t>في الاستدلال للتقسيط برواية عمر بن حنظلة</w:t>
      </w:r>
      <w:bookmarkEnd w:id="535"/>
    </w:p>
    <w:p>
      <w:p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 نّه ربّما يستدلّ للتقسيط برواية عمر بن حنظلة</w:t>
      </w:r>
      <w:r>
        <w:rPr>
          <w:rStyle w:val="FootnoteAnchor"/>
          <w:rtl w:val="true"/>
        </w:rPr>
        <w:footnoteReference w:id="864"/>
      </w:r>
      <w:r>
        <w:rPr>
          <w:rFonts w:ascii="IRNazanin" w:hAnsi="IRNazanin" w:eastAsia="IRNazanin"/>
          <w:color w:val="111111"/>
          <w:sz w:val="28"/>
          <w:sz w:val="28"/>
          <w:szCs w:val="28"/>
          <w:rtl w:val="true"/>
          <w:lang w:bidi="fa-IR"/>
        </w:rPr>
        <w:t>، عن</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باع أرضاً على أ نّها عشرة أجربة ، فاشترى المشتري ذلك منه بحدوده ، ونقد الثمن ، ووقع صفقة البيع ، وافترقا ، فلمّا مسح الأرض إذا هي خمسة أجربة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استرجع فضل ماله وأخذ الأرض ، وإن شاء ردّ البيع ، وأخذ ماله كلّه ، إلاّ أن يكون له إلى جنب تلك الأرض أيضاً أرضون فليؤخذ ، ويكون البيع لازماً له ، وعليه الوفاء بتمام البيع ، فإن لم يكن له في ذلك المكان غير الذي باع ، فإن شاء المشتري أخذ الأرض ، واسترجع فضل ماله ، وإن شاء ردّ الأرض ، وأخذ المال كلّه</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الاستناد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سنداً </w:t>
      </w:r>
      <w:r>
        <w:rPr>
          <w:rStyle w:val="FootnoteAnchor"/>
          <w:rtl w:val="true"/>
        </w:rPr>
        <w:footnoteReference w:id="866"/>
      </w:r>
      <w:r>
        <w:rPr>
          <w:rFonts w:ascii="Amiri" w:hAnsi="Amiri" w:eastAsia="Amiri" w:cs="Amiri"/>
          <w:color w:val="111111"/>
          <w:sz w:val="28"/>
          <w:sz w:val="28"/>
          <w:szCs w:val="28"/>
          <w:rtl w:val="true"/>
          <w:lang w:bidi="ar-SA"/>
        </w:rPr>
        <w:t xml:space="preserve">، وعدم الجابر ، ومجرّد عمل الشيخ والحلّي لو صحّ ، لا يعدّ جابراً </w:t>
      </w:r>
      <w:r>
        <w:rPr>
          <w:rStyle w:val="FootnoteAnchor"/>
          <w:rtl w:val="true"/>
        </w:rPr>
        <w:footnoteReference w:id="867"/>
      </w:r>
      <w:r>
        <w:rPr>
          <w:rFonts w:ascii="Amiri" w:hAnsi="Amiri" w:eastAsia="Amiri" w:cs="Amiri"/>
          <w:color w:val="111111"/>
          <w:sz w:val="28"/>
          <w:sz w:val="28"/>
          <w:szCs w:val="28"/>
          <w:rtl w:val="true"/>
          <w:lang w:bidi="ar-SA"/>
        </w:rPr>
        <w:t xml:space="preserve">، ومع كونها خلاف القواعد صدراً وذيلاً ، ولا سيّما الحكم بتعيّن أخذ النقص فيما إذا كان له إلى جنب الأرض أرضون ، ممّا لا يمكن الالتزام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الإشكال ، بل هو ممنوع بلا إشكال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تأويلها وحملها على الكلّي في المعيّن ، وإن كان خلاف ظاهرها ؛ لاحتمال وقوع اشتباه فيها ، أو ردّ علمها إلى الناقل </w:t>
      </w:r>
      <w:r>
        <w:rPr>
          <w:rFonts w:eastAsia="Amiri" w:cs="Amiri" w:ascii="Amiri" w:hAnsi="Amiri"/>
          <w:color w:val="111111"/>
          <w:sz w:val="28"/>
          <w:szCs w:val="28"/>
          <w:rtl w:val="true"/>
          <w:lang w:bidi="ar-SA"/>
        </w:rPr>
        <w:t xml:space="preserve">. </w:t>
      </w:r>
      <w:bookmarkStart w:id="536" w:name="pg15222_162506"/>
    </w:p>
    <w:p>
      <w:pPr>
        <w:pStyle w:val="Heading3"/>
        <w:numPr>
          <w:ilvl w:val="2"/>
          <w:numId w:val="1"/>
        </w:numPr>
        <w:rPr/>
      </w:pPr>
      <w:bookmarkStart w:id="537" w:name="__RefHeading___Toc3331894_2142443653"/>
      <w:bookmarkStart w:id="538" w:name="_Toc196"/>
      <w:bookmarkEnd w:id="536"/>
      <w:bookmarkEnd w:id="537"/>
      <w:r>
        <w:rPr>
          <w:rtl w:val="true"/>
        </w:rPr>
        <w:t>القول في حكم الشرط الفاسد</w:t>
      </w:r>
      <w:bookmarkEnd w:id="538"/>
    </w:p>
    <w:p>
      <w:pPr>
        <w:pStyle w:val="Heading4"/>
        <w:numPr>
          <w:ilvl w:val="3"/>
          <w:numId w:val="1"/>
        </w:numPr>
        <w:rPr/>
      </w:pPr>
      <w:bookmarkStart w:id="539" w:name="__RefHeading___Toc3331896_2142443653"/>
      <w:bookmarkStart w:id="540" w:name="_Toc197"/>
      <w:bookmarkEnd w:id="539"/>
      <w:r>
        <w:rPr>
          <w:rtl w:val="true"/>
        </w:rPr>
        <w:t xml:space="preserve">وفيه اُمور </w:t>
      </w:r>
      <w:r>
        <w:rPr>
          <w:rtl w:val="true"/>
        </w:rPr>
        <w:t>:</w:t>
      </w:r>
      <w:bookmarkEnd w:id="540"/>
    </w:p>
    <w:p>
      <w:pPr>
        <w:pStyle w:val="Heading5"/>
        <w:numPr>
          <w:ilvl w:val="4"/>
          <w:numId w:val="1"/>
        </w:numPr>
        <w:rPr/>
      </w:pPr>
      <w:bookmarkStart w:id="541" w:name="__RefHeading___Toc3331898_2142443653"/>
      <w:bookmarkStart w:id="542" w:name="_Toc198"/>
      <w:bookmarkEnd w:id="541"/>
      <w:r>
        <w:rPr>
          <w:rtl w:val="true"/>
        </w:rPr>
        <w:t xml:space="preserve">الأوّل </w:t>
      </w:r>
      <w:r>
        <w:rPr>
          <w:rtl w:val="true"/>
        </w:rPr>
        <w:t xml:space="preserve">: </w:t>
      </w:r>
      <w:r>
        <w:rPr>
          <w:rtl w:val="true"/>
        </w:rPr>
        <w:t>حول سراية فساد الشرط إلى العقد حسب القواعد</w:t>
      </w:r>
      <w:bookmarkEnd w:id="542"/>
    </w:p>
    <w:p>
      <w:pPr>
        <w:pStyle w:val="BookText"/>
        <w:rPr/>
      </w:pPr>
      <w:r>
        <w:rPr>
          <w:rFonts w:ascii="IRNazanin" w:hAnsi="IRNazanin" w:eastAsia="IRNazanin"/>
          <w:color w:val="111111"/>
          <w:sz w:val="28"/>
          <w:sz w:val="28"/>
          <w:szCs w:val="28"/>
          <w:rtl w:val="true"/>
          <w:lang w:bidi="fa-IR"/>
        </w:rPr>
        <w:t>هل الشرط الفاسد ، موجب لفساد العقد حسب القواعد أم لا ؟</w:t>
      </w:r>
    </w:p>
    <w:p>
      <w:pPr>
        <w:pStyle w:val="BookText"/>
        <w:rPr/>
      </w:pPr>
      <w:r>
        <w:rPr>
          <w:rFonts w:ascii="Amiri" w:hAnsi="Amiri" w:eastAsia="Amiri" w:cs="Amiri"/>
          <w:color w:val="111111"/>
          <w:sz w:val="28"/>
          <w:sz w:val="28"/>
          <w:szCs w:val="28"/>
          <w:rtl w:val="true"/>
          <w:lang w:bidi="ar-SA"/>
        </w:rPr>
        <w:t xml:space="preserve">لا إشكال في أنّ محطّ البحث ، ما إذا تحقّق العقد والشرط ، واُنشئ كلّ منهما جدّاً ، فالعقد أو الشرط الذي لم يتعلّق به القصد ، وكان مجرّد صورة إنشاء ، خارج موضوعاً ، سواء كان ذلك لأجل عدم إمكان القصد إلى المتنافيين ، كما إذا كان الشرط مخالفاً لمقتضاه مع الالتفات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لأجل لزوم الاستحالة ، كما قيل في بعض الفروض</w:t>
      </w:r>
      <w:r>
        <w:rPr>
          <w:rStyle w:val="FootnoteAnchor"/>
          <w:rtl w:val="true"/>
        </w:rPr>
        <w:footnoteReference w:id="868"/>
      </w:r>
      <w:r>
        <w:rPr>
          <w:rFonts w:ascii="Amiri" w:hAnsi="Amiri" w:eastAsia="Amiri" w:cs="Amiri"/>
          <w:color w:val="111111"/>
          <w:sz w:val="28"/>
          <w:sz w:val="28"/>
          <w:szCs w:val="28"/>
          <w:rtl w:val="true"/>
          <w:lang w:bidi="ar-SA"/>
        </w:rPr>
        <w:t xml:space="preserve">، أو لكونه غير عقلائي ؛ بوجه يؤدّي إلى اللعب والعبث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محلّ البحث ، ما إذا لم يكن في البين ، موجب لفساد العقد ، سوى فساد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ممحّض في فساد العقد بفساد الشرط من حيث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مرّ منّا مراراً في ماهية العقد</w:t>
      </w:r>
      <w:r>
        <w:rPr>
          <w:rStyle w:val="FootnoteAnchor"/>
          <w:rtl w:val="true"/>
        </w:rPr>
        <w:footnoteReference w:id="869"/>
      </w:r>
      <w:r>
        <w:rPr>
          <w:rFonts w:ascii="Amiri" w:hAnsi="Amiri" w:eastAsia="Amiri" w:cs="Amiri"/>
          <w:color w:val="111111"/>
          <w:sz w:val="28"/>
          <w:sz w:val="28"/>
          <w:szCs w:val="28"/>
          <w:rtl w:val="true"/>
          <w:lang w:bidi="ar-SA"/>
        </w:rPr>
        <w:t xml:space="preserve">والشرط الذي في ضمنه ، هو عدم مفسديته حسب القواعد ؛ لأنّ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 ماهيته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اُنشئ بإيجاب البائع قبل إيجاب الشرط ، وفي هذا الظرف يكون تمام الثمن ، مقابل تمام المبيع بلا شبهة ، ولا يحتمل التقسيط وإن كان الشرط دخيلاً في القيم ، ككثير من الأوصاف والإضافات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بالبطلان من ناحية تقسيط الثمن ، ولزوم الغرر والجهالة</w:t>
      </w:r>
      <w:r>
        <w:rPr>
          <w:rStyle w:val="FootnoteAnchor"/>
          <w:rtl w:val="true"/>
        </w:rPr>
        <w:footnoteReference w:id="870"/>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فرض التقسيط أيضاً ، لا تلزم الجهالة ؛ لأنّ المناط في العلم الرافع لها ، هو حال العقد ، وهو حاصل بالنسبة إلى المبيع المشروط والثمن ، ولا يعتبر العلم بمقدار القسط في شيء من المعاملات التي يقسّط فيها الثمن على الأجزاء ، فلو باع ألف حصّة بسبعين مثلاً ، صحّ ولو لم يعلم مقدار قسط كلّ حصّة ، وهو واضح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لا يرتبط في مقام الإنشاء بالعقد نفسه ، ولا بالثمن أو المثمن</w:t>
      </w:r>
      <w:r>
        <w:rPr>
          <w:rStyle w:val="FootnoteAnchor"/>
          <w:rtl w:val="true"/>
        </w:rPr>
        <w:footnoteReference w:id="871"/>
      </w:r>
      <w:r>
        <w:rPr>
          <w:rFonts w:ascii="Amiri" w:hAnsi="Amiri" w:eastAsia="Amiri" w:cs="Amiri"/>
          <w:color w:val="111111"/>
          <w:sz w:val="28"/>
          <w:sz w:val="28"/>
          <w:szCs w:val="28"/>
          <w:rtl w:val="true"/>
          <w:lang w:bidi="ar-SA"/>
        </w:rPr>
        <w:t xml:space="preserve">؛ لعدم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وجداناً وعرفاً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إنشاء البيع المتعقّب بالشرط وغيره ؛ في تعلّق الجعل بلا قيد بالعوضين بلا قيد ، وأنّ الشرط الذي له إنشاء </w:t>
      </w:r>
    </w:p>
    <w:p>
      <w:pPr>
        <w:pStyle w:val="BookText"/>
        <w:rPr/>
      </w:pPr>
      <w:r>
        <w:rPr>
          <w:rFonts w:ascii="Amiri" w:hAnsi="Amiri" w:eastAsia="Amiri" w:cs="Amiri"/>
          <w:color w:val="111111"/>
          <w:sz w:val="28"/>
          <w:sz w:val="28"/>
          <w:szCs w:val="28"/>
          <w:rtl w:val="true"/>
          <w:lang w:bidi="ar-SA"/>
        </w:rPr>
        <w:t xml:space="preserve">خاصّ به مستقلّ في الجعل والإرادة ، لا يوجب تقييداً في الإنشاء ، ولا المنشأ ، ولا العوضين بالوجدان ، وإن كان له بحسب الأغراض اللبّية نحو ارتباط به ، لأجله يوجب اختلاف القيم ، ويترتّب عليه خيار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 لم يرتّب على تخلّف الأغراض مع عدم الاشتراط أو التوصيف ، ولا على الاشتراط مع عدم الربط اللبّي الدخيل في الأغراض ، وإنّما رتّب على الاشتراط مع الربط المشار إليه ، لكنّه لا يوجب التقييد في البيع ، ولا في العوضين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فيندفع الاستدلال الآخر ؛ وهو أنّ التراضي إنّما وقع ، على العقد الواقع على النحو الخاصّ ، فإذا فقدت الخصوصية ، لم يبق التراضي ؛ لانتفاء المقيّد بانتفاء قيده ، وارتفاع الجنس مع ارتفاع فصله ، فلا بدّ للصحّة من تراضٍ آخر جديد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التراضي الحاصل في البيع اللازم 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التراضي بمعاوضة المثمن بالثمن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متقيّداً بشيء ، فدعوى أنّ العقد وقع على النحو الخاصّ ، الراجعة إلى أنّ خصوصية الشرط دخيلة في وقوعه ، ممنوعة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أنّه لولا الشرط المذكور ، لما أوقع العقد نوعاً ، لكنّه غير الوقوع على النحو الخاصّ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فالعقد وقع على الثمن والمثمن بلا تقييد ، كالعقود التي لا شرط فيها بحسب </w:t>
      </w:r>
    </w:p>
    <w:p>
      <w:pPr>
        <w:pStyle w:val="BookText"/>
        <w:rPr/>
      </w:pPr>
      <w:r>
        <w:rPr>
          <w:rFonts w:ascii="Amiri" w:hAnsi="Amiri" w:eastAsia="Amiri" w:cs="Amiri"/>
          <w:color w:val="111111"/>
          <w:sz w:val="28"/>
          <w:sz w:val="28"/>
          <w:szCs w:val="28"/>
          <w:rtl w:val="true"/>
          <w:lang w:bidi="ar-SA"/>
        </w:rPr>
        <w:t xml:space="preserve">الوجدان والعرف ، والشرط قرار مستقلّ في مقام الجعل والقرار ، لا يرتبط في ظرفه بشيء ، ولا يقيّد ما وقع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حال الشرط ، حال القيد المتّصل بالمبيع قبل تمام الإنشاء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الفرس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الثوب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الإنشاء البيعي بتمام جهاته ، تمّ قبل الشرط ، بلا توقّف على شيء ، والإنشاء الشرطي إنشاء جديد وقرار مستقلّ ، وإن كان بينهما نحو ربط في عالم اللبّ ، ممّا لا دخل له بمقام الإنشاء والتراضي المعتبر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والربط اللبّي في المقام وغيره ، من الأغراض التي لا توجب شيئاً ولا تقييداً في اللفظ ومقام الإنشاء ، وإذا أظهرها المنشئ بصورة الوصف أو الشرط ، يوجب ذلك الخيار عند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والعرف والوجدان ، يشهدان بالاختلاف الجوهري بين الأوصاف اللاحقة بالعوضين ، وبين الشروط المذكورة في خلال البيع ، بعد ما تمّ الإنشاء البيعي ؛ بإيجاب البائع ، وقبل لحوق 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يشهدان بالاختلاف الواقعي بين تقييد نفس الإنشاء أو تعليقه ، وبين الشروط المذكورة في ضمنه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وقع على النحو الخاصّ ، وحديث الجنس والفصل ، وانتفاء المقيّد بانتفاء القيد</w:t>
      </w:r>
      <w:r>
        <w:rPr>
          <w:rStyle w:val="FootnoteAnchor"/>
          <w:rtl w:val="true"/>
        </w:rPr>
        <w:footnoteReference w:id="874"/>
      </w:r>
      <w:r>
        <w:rPr>
          <w:rFonts w:ascii="Amiri" w:hAnsi="Amiri" w:eastAsia="Amiri" w:cs="Amiri"/>
          <w:color w:val="111111"/>
          <w:sz w:val="28"/>
          <w:sz w:val="28"/>
          <w:szCs w:val="28"/>
          <w:rtl w:val="true"/>
          <w:lang w:bidi="ar-SA"/>
        </w:rPr>
        <w:t xml:space="preserve">كلّها في غير محلّها ، وناشئة عن الخلط بين الربط اللبّي الذي يكون بمنزلة الأغراض ، وبين التقييد في مقام الظاهر والإنشاء ، وكذا </w:t>
      </w:r>
    </w:p>
    <w:p>
      <w:pPr>
        <w:pStyle w:val="BookText"/>
        <w:rPr/>
      </w:pPr>
      <w:r>
        <w:rPr>
          <w:rFonts w:ascii="Amiri" w:hAnsi="Amiri" w:eastAsia="Amiri" w:cs="Amiri"/>
          <w:color w:val="111111"/>
          <w:sz w:val="28"/>
          <w:sz w:val="28"/>
          <w:szCs w:val="28"/>
          <w:rtl w:val="true"/>
          <w:lang w:bidi="ar-SA"/>
        </w:rPr>
        <w:t xml:space="preserve">بين طيب النفس والرضا الواقعيين غير المربوطين بالرضا المعاملي ، وبين ما هو المعتبر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 لا يحتاج إلى التشبّثات ، بل التعسّفات الواقعة في كلام الأعلام ، المبتنية على أنّ الشروط أوصاف وقيود للمبيع أو للبيع ، ممّا لا تبتني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بتعدّد المطلوب في الشروط ، والفرق بين القيود ؛ بأنّ بعضها موجب لانتفاء المطلوب بانتفائه ، وبعضها يوجب انتفاء المطلوب الأعلى فقط ، كما هو المحتمل أو الظاهر من كلام الشيخ الأعظم قدّس سرّه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وجّهه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القرينة العرفية في هذا القسم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التي لا تكون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على أنّ المنشأ بالصيغة ، طلب الواجِد إن كان ، وإلاّ طلب الفاقد ، وهكذا الحال في البيع</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ما لا يخفى ؛ ضرورة أ نّه لا يعقل أن يكون الطلب الواحد أو الإنشاء الواحد ، طلباً أو إنشاء لشيئين طوليين على فرضي الوجدان والفقدان ، ولا منحلاًّ إليهما ، بل لو فرض إنشاء البيع كذلك ، كان باطلاً ، نظير البيع بثمنين على فرضين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تعدّد المطلوب أيضاً ، لا يصحّح ما يرام</w:t>
      </w:r>
      <w:r>
        <w:rPr>
          <w:rStyle w:val="FootnoteAnchor"/>
          <w:rtl w:val="true"/>
        </w:rPr>
        <w:footnoteReference w:id="877"/>
      </w:r>
      <w:r>
        <w:rPr>
          <w:rFonts w:ascii="Amiri" w:hAnsi="Amiri" w:eastAsia="Amiri" w:cs="Amiri"/>
          <w:color w:val="111111"/>
          <w:sz w:val="28"/>
          <w:sz w:val="28"/>
          <w:szCs w:val="28"/>
          <w:rtl w:val="true"/>
          <w:lang w:bidi="ar-SA"/>
        </w:rPr>
        <w:t xml:space="preserve">؛ فإنّه إن اُريد به أنّ الإنشاء الواحد متعلّق بشيئين على نحو تعدّد المطلوب ، فهو باطل كما ذكر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يكشف بالقرينة ، أنّ مطلوبه واقعاً متعدّد ، فهو لا يفيد في </w:t>
      </w:r>
    </w:p>
    <w:p>
      <w:pPr>
        <w:pStyle w:val="BookText"/>
        <w:rPr/>
      </w:pPr>
      <w:r>
        <w:rPr>
          <w:rFonts w:ascii="Amiri" w:hAnsi="Amiri" w:eastAsia="Amiri" w:cs="Amiri"/>
          <w:color w:val="111111"/>
          <w:sz w:val="28"/>
          <w:sz w:val="28"/>
          <w:szCs w:val="28"/>
          <w:rtl w:val="true"/>
          <w:lang w:bidi="ar-SA"/>
        </w:rPr>
        <w:t xml:space="preserve">مثل البيع الذي لا يتحقّق إلاّ بالإنشاء والجعل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علم بوجه أنّ للمولى مطلوباً إلزامياً ، يحكم العقل بلزوم إتيانه ، من غير حاجة إلى الأمر ، وأمّا المعاملات فتحتاج في تحقّقها إلى الإنشاء ، والمطلوبية الواقعية لا أثر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على المتقيّد ، ينحلّ إلى إنشاءين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مجال له في المقام ؛ فإنّ البيع على العين المتقيّدة بقيد ، لو انحلّ إلى البيع على الذات وعلى القيد ، لزم بيع القيد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محصّل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انحلّ إلى الذات وإلى الذات المتقيّدة ، حتّى يكون البيع على الذات متعدّداً ، ونقلها مرّتين ، كان أفسد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يظهر بطلان قياس المقام ببيع شيئين ، مثل ما يملك وما لا يملك ، أو ما يملكه البائع وما لا يملكه</w:t>
      </w:r>
      <w:r>
        <w:rPr>
          <w:rStyle w:val="FootnoteAnchor"/>
          <w:rtl w:val="true"/>
        </w:rPr>
        <w:footnoteReference w:id="878"/>
      </w:r>
      <w:r>
        <w:rPr>
          <w:rFonts w:ascii="Amiri" w:hAnsi="Amiri" w:eastAsia="Amiri" w:cs="Amiri"/>
          <w:color w:val="111111"/>
          <w:sz w:val="28"/>
          <w:sz w:val="28"/>
          <w:szCs w:val="28"/>
          <w:rtl w:val="true"/>
          <w:lang w:bidi="ar-SA"/>
        </w:rPr>
        <w:t xml:space="preserve">، فإنّ الصحّة في مثله على القواعد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بالانحلال إلى بيعين عرفاً أم لا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مع وحدته ، نقل السلعتين إنشاء ، فلو تمّ شرط التأثير في أحدهما يعتبره العقلاء ، ويتحقّق النقل الاعتباري الواقعي العقلائي فيه ، دون ما لم يتمّ فيه شرطه ، وأمّا في المقام فلا يتأتّى ما ذكر ، كما لا يخفى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كلام آخر ؛ وهو أ نّه لو بنينا على تقييد المبيع بالشرط ، فلا بدّ من التفصيل بين كونه من الأعيان الخارجية ، أو من الكلّيات ؛ فإنّ الشرط الموجب للتقييد ، لا يزيد عن التوصيف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إشكال في أنّ البيع المتعلّق بالعين الموجودة الموصوفة بوصف ، مع فقد الوصف ، صحيح مع ثبوت خيار تخلّف الوصف فيه ؛ لأنّ الإنشاء تعلّق بالخارج الموجود ، ولا يوجب التوصيف تعدّده ، وفقد الوصف لا يوجب عدم تعلّقه بالموجود ، فلا محالة يقع صحيحاً خيارياً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بيع الكلّي الموصوف ، فإنّ كلّ قيد يلحق بعنوان كلّي ، يوجب تعدّد العنوان ، وتخالف العنوانين ، والعنوان الموصوف بوصف يخالف فاقده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دعوى تعلّقه بعنوانين في حالين ، أو انحلاله إليهما ، ففي الشخصيات ليست الصحّة لأجل تعدّد المطلوب ، أو الانحلال ، فلا تغفل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في مثل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العقدي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المعاطاة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يشتمل على التبادل بين العوضين ، وهو البيع المشترك بين العقدي والمعاطاتي ، وعلى تبادل الالتزام بين المتعاقدين ، وهو مختصّ بالعقدي</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فمع بطلان الشرط أو تخلّفه ، يكون البيع صحيحاً لا موجب لبطلانه ، وخيارياً لأجل عدم الالتزام في هذا الظرف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المعاطاتي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جائزاً مع فرق بينهما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يرجع إلى أساس عند الوجدان وفي سوق العقلاء ، الذي هو الميزان في تشخيص ماهية المبادلات ، فإنّه لا أثر ولا عين عند العرف لهذا الالتزام الزائد على أصل المبادلة </w:t>
      </w:r>
      <w:r>
        <w:rPr>
          <w:rFonts w:eastAsia="Amiri" w:cs="Amiri" w:ascii="Amiri" w:hAnsi="Amiri"/>
          <w:color w:val="111111"/>
          <w:sz w:val="28"/>
          <w:szCs w:val="28"/>
          <w:rtl w:val="true"/>
          <w:lang w:bidi="ar-SA"/>
        </w:rPr>
        <w:t xml:space="preserve">. </w:t>
      </w:r>
      <w:bookmarkStart w:id="543" w:name="pg15222_162513"/>
    </w:p>
    <w:p>
      <w:pPr>
        <w:pStyle w:val="BookText"/>
        <w:rPr/>
      </w:pPr>
      <w:bookmarkEnd w:id="543"/>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لا يدلّ إلاّ على إنشاء النقل والتبادل ، كما أنّ الفعل في المعاطاة كذلك ولا فرق عرفاً بين البيع باللفظ والفعل ، ولا يزيد أحدهما على الآخر ، فاللفظ قائم مقام الفعل أو العكس ، وليس ما وراء التبادل شيء ؛ لا في اللفظ ، ولا في اللبّ ، إلاّ ما هو دخيل من مبادئ تحقّقه </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3331900_2142443653"/>
      <w:bookmarkStart w:id="545" w:name="_Toc199"/>
      <w:bookmarkEnd w:id="544"/>
      <w:r>
        <w:rPr>
          <w:rtl w:val="true"/>
        </w:rPr>
        <w:t xml:space="preserve">الثاني </w:t>
      </w:r>
      <w:r>
        <w:rPr>
          <w:rtl w:val="true"/>
        </w:rPr>
        <w:t xml:space="preserve">: </w:t>
      </w:r>
      <w:r>
        <w:rPr>
          <w:rtl w:val="true"/>
        </w:rPr>
        <w:t>في الاستدلال بالروايات على إفساد الشرط الفاسد</w:t>
      </w:r>
      <w:bookmarkEnd w:id="545"/>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الخروج عن القاعدة ، على فرض كون عدم إفساد الشرط الفاسد على القواعد</w:t>
      </w:r>
      <w:r>
        <w:rPr>
          <w:rStyle w:val="FootnoteAnchor"/>
          <w:rtl w:val="true"/>
        </w:rPr>
        <w:footnoteReference w:id="881"/>
      </w:r>
      <w:r>
        <w:rPr>
          <w:rFonts w:ascii="Amiri" w:hAnsi="Amiri" w:eastAsia="Amiri" w:cs="Amiri"/>
          <w:color w:val="111111"/>
          <w:sz w:val="28"/>
          <w:sz w:val="28"/>
          <w:szCs w:val="28"/>
          <w:rtl w:val="true"/>
          <w:lang w:bidi="ar-SA"/>
        </w:rPr>
        <w:t xml:space="preserve">؛ وذلك للروايات الخاصّة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عبدالملك بن عتبة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موسى علیه السلام ، عن الرجل أبتاع منه طعاماً ، أو أبتاع منه متاعاً ، على أن ليس عليّ منه وضيعة ، هل يستقيم هذا ، وكيف يستقيم وجه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عن البيع المشتمل على الشرط الفاسد ،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فساده ، ولا موجب له إلاّ فساد شرطه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فيها احتمالين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ما ذكر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الأرجح ، أن يكون السؤال عن الشرط ، وأنّ هذا الشرط يستقيم أم لا، فعلى فرض كون الكلام إرشاداً إلى البطلان، لا يدلّ إلاّ على بطلان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لأحد أن يقول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السكوت عن البيع صحّته ، وإلاّ كان عليه البيان في مقام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تساوي الاحتمالين ، لا يصحّ الاحتجاج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المورد خارج عن محطّ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 نّه شرط مجهول ، وجهالته تسري إلى نفس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 نّه شرط محال ؛ فإنّ شرط كون الخسارة واقعة في ملك غير صاحب السلعة ، محال</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سراية الجهالة في مثل المورد إلى نفس البيع ، إلاّ على المبنى الفاسد ؛ من التقييد في المبيع ، ومنع كون الشرط هذا الأمر غير العقلائي ، بل الشرط هو جبران الوضيعة ، لا وقوعها في ملك غير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تسليم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 ، وإلاّ فيسقط الاستدلال من رأسه ، ولو رجع السؤال إلى أصل البيع المتضمّن للشرط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الحسين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يجيئني الرجل ، فيطلب العينة ، فأشتري له المتاع مرابحة ، ثمّ أبيعه إيّاه ، ثمّ أشتريه منه مكاني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بالخيار ؛ إن شاء باع ، وإن شاء لم يبع ، وكنت أنت بالخيار ؛ إن شئت اشتريت ، وإن شئت لم تشتر ، فلا بأس</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المسجد يزعمون أنّ هذا فاسد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به بعد أشهر صلح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تقديم وتأخير ، فلا بأس</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سلب الاختيار إنّما هو بالشرط ، وفساد المعاملة لا وجه له إلاّ فساد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الدلالة على البطلان ، وكونه لسلب الاختيار بواسطة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وقوع الشرط في البيع الأوّل ، حتّى جعله غير مختار في الثاني ، وأنّ ذلك صار موجباً لبطلان الثاني لا الأوّل ، فهي تدلّ على عدم فساد البيع بالشرط في ضمنه على فرض بطلانه، فتدلّ على خلاف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احتمال أن يكون التعبير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المتعارف ، وأ نّه مع وقوع البيع اختياراً وبلا إكراه يصحّ ،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علي بن جعفر ، عن أخيه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باع ثوباً بعشرة دراهم ، ثمّ اشتراه بخمسة دراهم ، أيحلّ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 إلاّ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إلى أجل ، ثمّ اشتراه بخمسة دراهم بنقد</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تدلّ على البأس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منع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البطلان ، بل الظاهر منه الصحّة مع المرجوحية ، فتدلّ على خلاف المقصود ، كما أ نّه لو اُريدت منه الحرمة الشرعية ، كان لازمها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أنّ هذا النحو من المعاملة مع الاشتراط المذكور ، إنّما وقع حسب التعارف ؛ للتخلّص عن الربا ، فالشارط يريد أكل الربا على وجه مشروع بزعمه ، كما هو متعارف عند آكلها المتشرّع ؛ بتخيّل أ نّه مع تغيير العنوان ، يخرج الموضوع عن أكل الربا ، فيبيع شيئاً بمبلغ إلى أجل ، ويشتري منه نقداً بأقلّ منه ، حسب ما يتراضيان به في مقدار الربا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البطلان أ نّه لا جدّ لهما في المعاملة واقعاً ، وعلى فرض الجدّ ، يكون البطلان والحرمة لما قرّرنا في محلّه ؛ من بطلان المعاملة التي يقصد بها التخلّص عن الربا وحرمتها </w:t>
      </w:r>
      <w:r>
        <w:rPr>
          <w:rStyle w:val="FootnoteAnchor"/>
          <w:rtl w:val="true"/>
        </w:rPr>
        <w:footnoteReference w:id="887"/>
      </w:r>
      <w:r>
        <w:rPr>
          <w:rFonts w:ascii="Amiri" w:hAnsi="Amiri" w:eastAsia="Amiri" w:cs="Amiri"/>
          <w:color w:val="111111"/>
          <w:sz w:val="28"/>
          <w:sz w:val="28"/>
          <w:szCs w:val="28"/>
          <w:rtl w:val="true"/>
          <w:lang w:bidi="ar-SA"/>
        </w:rPr>
        <w:t xml:space="preserve">، وكيف كان لا تدلّ الروايات على المقصود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روايات تدلّ على الصحّة في الأبواب المتفرّقة ، لا داعي لنقلها بعد كون الصحّة على القاعدة ، كالروايات الواردة في باب النكاح</w:t>
      </w:r>
      <w:r>
        <w:rPr>
          <w:rStyle w:val="FootnoteAnchor"/>
          <w:rtl w:val="true"/>
        </w:rPr>
        <w:footnoteReference w:id="888"/>
      </w:r>
      <w:r>
        <w:rPr>
          <w:rFonts w:ascii="Amiri" w:hAnsi="Amiri" w:eastAsia="Amiri" w:cs="Amiri"/>
          <w:color w:val="111111"/>
          <w:sz w:val="28"/>
          <w:sz w:val="28"/>
          <w:szCs w:val="28"/>
          <w:rtl w:val="true"/>
          <w:lang w:bidi="ar-SA"/>
        </w:rPr>
        <w:t>والصحيحة الواردة في قضيّة اشتراء عائشة</w:t>
      </w:r>
      <w:r>
        <w:rPr>
          <w:rStyle w:val="FootnoteAnchor"/>
          <w:rtl w:val="true"/>
        </w:rPr>
        <w:footnoteReference w:id="889"/>
      </w:r>
      <w:r>
        <w:rPr>
          <w:rFonts w:ascii="Amiri" w:hAnsi="Amiri" w:eastAsia="Amiri" w:cs="Amiri"/>
          <w:color w:val="111111"/>
          <w:sz w:val="28"/>
          <w:sz w:val="28"/>
          <w:szCs w:val="28"/>
          <w:rtl w:val="true"/>
          <w:lang w:bidi="ar-SA"/>
        </w:rPr>
        <w:t xml:space="preserve"> وما وردت في الشروط الباطلة ، ومن جملتها عدم التوريث</w:t>
      </w:r>
      <w:r>
        <w:rPr>
          <w:rStyle w:val="FootnoteAnchor"/>
          <w:rtl w:val="true"/>
        </w:rPr>
        <w:footnoteReference w:id="890"/>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bookmarkStart w:id="546" w:name="pg15222_162517"/>
    </w:p>
    <w:p>
      <w:pPr>
        <w:pStyle w:val="Heading5"/>
        <w:numPr>
          <w:ilvl w:val="4"/>
          <w:numId w:val="1"/>
        </w:numPr>
        <w:rPr/>
      </w:pPr>
      <w:bookmarkStart w:id="547" w:name="__RefHeading___Toc3331902_2142443653"/>
      <w:bookmarkStart w:id="548" w:name="_Toc200"/>
      <w:bookmarkEnd w:id="546"/>
      <w:bookmarkEnd w:id="547"/>
      <w:r>
        <w:rPr>
          <w:rtl w:val="true"/>
        </w:rPr>
        <w:t xml:space="preserve">الثالث </w:t>
      </w:r>
      <w:r>
        <w:rPr>
          <w:rtl w:val="true"/>
        </w:rPr>
        <w:t xml:space="preserve">: </w:t>
      </w:r>
      <w:r>
        <w:rPr>
          <w:rtl w:val="true"/>
        </w:rPr>
        <w:t>في عموم خيار تخلّف الشرط للشروط الفاسدة</w:t>
      </w:r>
      <w:bookmarkEnd w:id="548"/>
    </w:p>
    <w:p>
      <w:pPr>
        <w:pStyle w:val="BookText"/>
        <w:rPr/>
      </w:pPr>
      <w:r>
        <w:rPr>
          <w:rFonts w:ascii="Amiri" w:hAnsi="Amiri" w:eastAsia="Amiri" w:cs="Amiri"/>
          <w:color w:val="111111"/>
          <w:sz w:val="28"/>
          <w:sz w:val="28"/>
          <w:szCs w:val="28"/>
          <w:rtl w:val="true"/>
          <w:lang w:bidi="ar-SA"/>
        </w:rPr>
        <w:t>هل الخيار في تخلّف الشرط مختصّ بتخلّف الشروط الصحيحة ، أو يعمّ الفاسدة ؟</w:t>
      </w:r>
    </w:p>
    <w:p>
      <w:pPr>
        <w:pStyle w:val="BookText"/>
        <w:rPr/>
      </w:pPr>
      <w:r>
        <w:rPr>
          <w:rFonts w:ascii="Amiri" w:hAnsi="Amiri" w:eastAsia="Amiri" w:cs="Amiri"/>
          <w:color w:val="111111"/>
          <w:sz w:val="28"/>
          <w:sz w:val="28"/>
          <w:szCs w:val="28"/>
          <w:rtl w:val="true"/>
          <w:lang w:bidi="ar-SA"/>
        </w:rPr>
        <w:t xml:space="preserve">والكلام إنّما هو بعد تحقّق الشرط جدّاً ، فيخرج ما لا يمكن الجدّ فيه ، كالشرط غير المقدور مع العلم بعدم القدرة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ثبوته مطلقاً في شروط الفعل والنتيجة ؛ فإنّ الخيار في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عقلائي</w:t>
      </w:r>
      <w:r>
        <w:rPr>
          <w:rStyle w:val="FootnoteAnchor"/>
          <w:rtl w:val="true"/>
        </w:rPr>
        <w:footnoteReference w:id="891"/>
      </w:r>
      <w:r>
        <w:rPr>
          <w:rFonts w:ascii="Amiri" w:hAnsi="Amiri" w:eastAsia="Amiri" w:cs="Amiri"/>
          <w:color w:val="111111"/>
          <w:sz w:val="28"/>
          <w:sz w:val="28"/>
          <w:szCs w:val="28"/>
          <w:rtl w:val="true"/>
          <w:lang w:bidi="ar-SA"/>
        </w:rPr>
        <w:t xml:space="preserve">، وموضوع حكم العقلاء هو التخلّف ، سواء كان الشرط صحيحاً شرعاً أم لا ، ومقدوراً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شرط بنحو شرط النتيجة كون الخمر ملكاً له ، ولم تتحقّق الملكية للمحذور الشرعي يتحقّق التخلّف ، كما لو شرط كون مال الغير له مع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شرط الفعل ، فلو شرط أن يجعل العنب خمراً ، ولم يفعل للمحذور الشرعي ، تحقّق موضوع الخيار عند العقلاء ، وكذا الحال لو كان تركه لمحذور عقلي ، كعدم القدرة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الموضوع للخيار ، صرف تخلّف الشرط والقرار ، لا التخلّف العمدي والاختياري ، ولا تخلّف الشرط المشروع ، ولا المقدور ، فالخيار ثابت حتّى في الشروط المخالفة للكتاب ، إلاّ أن يدلّ دليل على عدم ثبوته ، هذا على القول المختار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الحال لو كان المستند للخيار ، هو تقيّد الالتزام المعاملي كما قيل</w:t>
      </w:r>
      <w:r>
        <w:rPr>
          <w:rStyle w:val="FootnoteAnchor"/>
          <w:rtl w:val="true"/>
        </w:rPr>
        <w:footnoteReference w:id="892"/>
      </w:r>
      <w:r>
        <w:rPr>
          <w:rFonts w:ascii="IRNazanin" w:hAnsi="IRNazanin" w:eastAsia="IRNazanin"/>
          <w:color w:val="111111"/>
          <w:sz w:val="28"/>
          <w:sz w:val="28"/>
          <w:szCs w:val="28"/>
          <w:rtl w:val="true"/>
          <w:lang w:bidi="fa-IR"/>
        </w:rPr>
        <w:t xml:space="preserve">، هذا بحسب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بالنظر إلى الأدلّة ،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 ، إلاّ كلّ شرط خالف كتاب اللّه</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وما بهذا المضمون</w:t>
      </w:r>
      <w:r>
        <w:rPr>
          <w:rStyle w:val="FootnoteAnchor"/>
          <w:rtl w:val="true"/>
        </w:rPr>
        <w:footnoteReference w:id="894"/>
      </w:r>
      <w:r>
        <w:rPr>
          <w:rFonts w:ascii="Amiri" w:hAnsi="Amiri" w:eastAsia="Amiri" w:cs="Amiri"/>
          <w:color w:val="111111"/>
          <w:sz w:val="28"/>
          <w:sz w:val="28"/>
          <w:szCs w:val="28"/>
          <w:rtl w:val="true"/>
          <w:lang w:bidi="ar-SA"/>
        </w:rPr>
        <w:t xml:space="preserve">، لا دلالة فيه على ثبوت الخيار عند التخلّف أو عدمه ، لو كان الشرط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ما تقدّم من الاستدلال به لجميع أصناف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شرط الوصف ، والنتيجة ، والفعل</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مقتضاه عدم الخيار لو كان شرط الوصف ممنوعاً شرعاً ؛ لأنّ شرط الوصف لا أثر له إلاّ الخيار عند التخلّف ، ومعنى لزوم ملازمة المشروط عليه لشرطه ، هو ترتيب آثار الخيار عند التخلّف ، فيدلّ دليل الشرط في هذا القسم ، على عدم لزوم ترتيب آثار الخيار ، أو عدم جوازه ، ولازمه عدم ثبوته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شرط كون العنب على صفة تصلح للخمرية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ببطلانه شرعاً وممنوعيته ، كان لازمه عدم الخيار ؛ لعدم أثر غير ذلك ، بخلاف شروط النتائج والأفعال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في شرط الصفة لازمه نفي الخيار ؛ لعدم أثر غيره ، وفي غيره دالّ على نفي الأثر في النتيجة ، وعلى عدم الوجوب في الفعل ، ولا دليل على تنزيل الشرط منزلة العدم ، حتّى يستفاد منه عدم الخيار ؛ فإنّ ما دلّ على بطلان الشرط ، وعلى فساده ، وعلى كونه مردوداً ، لا يستفاد منها ذلك ، بل الظاهر منها ثبوته ولو كان فاسداً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ربّما يتوهّم من رواية زرارة في قضيّة ضريس وبنت حمران ذلك ،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وتزوّج وتسرّ ؛ فإنّ ذلك ليس بشيء ، وليس شيء عليك ولا عليها</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نفي الشيئية عن الشرط ، هو التنزيل منزلة العدم ، وإطلاقه يقتضي سلب الخيار في الشروط المخالفة للشرع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ضعف سندها </w:t>
      </w:r>
      <w:r>
        <w:rPr>
          <w:rStyle w:val="FootnoteAnchor"/>
          <w:rtl w:val="true"/>
        </w:rPr>
        <w:footnoteReference w:id="897"/>
      </w:r>
      <w:r>
        <w:rPr>
          <w:rFonts w:ascii="Amiri" w:hAnsi="Amiri" w:eastAsia="Amiri" w:cs="Amiri"/>
          <w:color w:val="111111"/>
          <w:sz w:val="28"/>
          <w:sz w:val="28"/>
          <w:szCs w:val="28"/>
          <w:rtl w:val="true"/>
          <w:lang w:bidi="ar-SA"/>
        </w:rPr>
        <w:t>، ومعارضتها لصحيحة منصور بزرج</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IRNazanin" w:hAnsi="IRNazanin" w:eastAsia="IRNazanin"/>
          <w:color w:val="111111"/>
          <w:sz w:val="28"/>
          <w:sz w:val="28"/>
          <w:szCs w:val="28"/>
          <w:rtl w:val="true"/>
          <w:lang w:bidi="fa-IR"/>
        </w:rPr>
        <w:t xml:space="preserve">لا يستفاد منها عموم التنزيل ، ولا سيّما مع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شيء عليك ، ولا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في بطلانه ، وخصوصاً مع التعبير في غيرها </w:t>
      </w:r>
      <w:r>
        <w:rPr>
          <w:rStyle w:val="FootnoteAnchor"/>
          <w:rtl w:val="true"/>
        </w:rPr>
        <w:footnoteReference w:id="899"/>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التنزيل منزلة العدم بنحو الإطلاق ، أمر بعيد عن الأذهان العرفية ، فلا ينقدح فيها إلاّ فساده ، وعدم لزوم العمل به ، وقد مرّ في بعض المباحث بعض الكلام فيها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دليل على خلاف ما عليه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شرط الوصف فيما لو كان على خلاف الشرع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البحث على فرض مفسدية الشرط الفاسد ؛ عن حكم ما لو أسقط الشرط ، أو كان الشرط بنحو المقاولة قبل البيع من غير ذكر فيه ، أمر زائد ، لا أرى وجهاً لتفصيله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هذا الفرض ، يكون المستند المعتنى به ، هو كون الرضا المعاملي أو المنشأ ، متقيّداً وواحداً غير قابل للتحليل ، وعليه فعند نفي القيد ، لا يبقى عقد وقرار ، فلا تأثير لإلغاء الشرط ، كما أشار إليه الشيخ الأعظم قدّس سرّه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 نّه لا فرق بين ذكره في ضمن العقد ، وبين كون العقد مبنيّاً عليه ، والأمر سهل </w:t>
      </w:r>
      <w:r>
        <w:rPr>
          <w:rFonts w:eastAsia="Amiri" w:cs="Amiri" w:ascii="Amiri" w:hAnsi="Amiri"/>
          <w:color w:val="111111"/>
          <w:sz w:val="28"/>
          <w:szCs w:val="28"/>
          <w:rtl w:val="true"/>
          <w:lang w:bidi="ar-SA"/>
        </w:rPr>
        <w:t xml:space="preserve">. </w:t>
      </w:r>
      <w:bookmarkStart w:id="549" w:name="pg15222_162521"/>
    </w:p>
    <w:p>
      <w:pPr>
        <w:pStyle w:val="Heading3"/>
        <w:numPr>
          <w:ilvl w:val="2"/>
          <w:numId w:val="1"/>
        </w:numPr>
        <w:rPr/>
      </w:pPr>
      <w:bookmarkStart w:id="550" w:name="__RefHeading___Toc3331904_2142443653"/>
      <w:bookmarkStart w:id="551" w:name="_Toc201"/>
      <w:bookmarkEnd w:id="549"/>
      <w:bookmarkEnd w:id="550"/>
      <w:r>
        <w:rPr>
          <w:rtl w:val="true"/>
        </w:rPr>
        <w:t>القول في أحكام الخيار</w:t>
      </w:r>
      <w:bookmarkEnd w:id="55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2" w:name="__RefHeading___Toc3331906_2142443653"/>
      <w:bookmarkStart w:id="553" w:name="_Toc202"/>
      <w:bookmarkEnd w:id="552"/>
      <w:r>
        <w:rPr>
          <w:rtl w:val="true"/>
        </w:rPr>
        <w:t>اشارة</w:t>
      </w:r>
      <w:bookmarkEnd w:id="55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5222_162523"/>
      <w:bookmarkStart w:id="555" w:name="pg15222_162523"/>
      <w:bookmarkEnd w:id="555"/>
    </w:p>
    <w:p>
      <w:pPr>
        <w:pStyle w:val="Heading4"/>
        <w:numPr>
          <w:ilvl w:val="3"/>
          <w:numId w:val="1"/>
        </w:numPr>
        <w:rPr/>
      </w:pPr>
      <w:bookmarkStart w:id="556" w:name="pg15222_162523"/>
      <w:bookmarkStart w:id="557" w:name="__RefHeading___Toc3331908_2142443653"/>
      <w:bookmarkStart w:id="558" w:name="_Toc203"/>
      <w:bookmarkEnd w:id="556"/>
      <w:bookmarkEnd w:id="557"/>
      <w:r>
        <w:rPr>
          <w:rtl w:val="true"/>
        </w:rPr>
        <w:t>مسألة في أنّ جميع الخيارات موروثة</w:t>
      </w:r>
      <w:bookmarkEnd w:id="558"/>
    </w:p>
    <w:p>
      <w:pPr>
        <w:pStyle w:val="Heading5"/>
        <w:numPr>
          <w:ilvl w:val="4"/>
          <w:numId w:val="1"/>
        </w:numPr>
        <w:rPr/>
      </w:pPr>
      <w:bookmarkStart w:id="559" w:name="__RefHeading___Toc3331910_2142443653"/>
      <w:bookmarkStart w:id="560" w:name="_Toc204"/>
      <w:bookmarkEnd w:id="559"/>
      <w:r>
        <w:rPr>
          <w:rtl w:val="true"/>
        </w:rPr>
        <w:t>اشارة</w:t>
      </w:r>
      <w:bookmarkEnd w:id="560"/>
    </w:p>
    <w:p>
      <w:pPr>
        <w:pStyle w:val="BookText"/>
        <w:rPr/>
      </w:pPr>
      <w:r>
        <w:rPr>
          <w:rFonts w:ascii="Amiri" w:hAnsi="Amiri" w:eastAsia="Amiri" w:cs="Amiri"/>
          <w:color w:val="111111"/>
          <w:sz w:val="28"/>
          <w:sz w:val="28"/>
          <w:szCs w:val="28"/>
          <w:rtl w:val="true"/>
          <w:lang w:bidi="ar-SA"/>
        </w:rPr>
        <w:t xml:space="preserve">الخيار موروث بأنواعه ، 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تسالم الأصحاب عليه ، ونقل عدم الخلاف</w:t>
      </w:r>
      <w:r>
        <w:rPr>
          <w:rStyle w:val="FootnoteAnchor"/>
          <w:rtl w:val="true"/>
        </w:rPr>
        <w:footnoteReference w:id="902"/>
      </w:r>
      <w:r>
        <w:rPr>
          <w:rFonts w:ascii="Amiri" w:hAnsi="Amiri" w:eastAsia="Amiri" w:cs="Amiri"/>
          <w:color w:val="111111"/>
          <w:sz w:val="28"/>
          <w:sz w:val="28"/>
          <w:szCs w:val="28"/>
          <w:rtl w:val="true"/>
          <w:lang w:bidi="ar-SA"/>
        </w:rPr>
        <w:t xml:space="preserve">، بل الإجماع كما هو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903"/>
      </w: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 xml:space="preserve">دعوى الإجماع في بعض الخيارات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الميّت من حقّ فلوارثه</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يستشكل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أمر اعتباري ، متقوّم بذي الخيار ، ولا يعقل بقاؤه حال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جارٍ في مطلق الحقوق ؛ لأنّ وزانها وزان الملكية ، فكما لا يعقل بقاؤها مع موت المالك ، كذلك الحقوق</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بقي بعد موت المورّث ، فلا يصدق ذلك إلاّ على ما له بقاء ولو اعتباراً ، وذلك مثل الدين على عهدة المدين ، وكالكلّي في الذمّة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الحقوق ، فإنّها مع عدم الطرف ، لا يعقل بقاؤها ولو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الكلمات من الجواب عنه 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بالكلّي في الذمّة ، وحلاًّ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للخيار بقاءً اعتبارياً </w:t>
      </w:r>
      <w:r>
        <w:rPr>
          <w:rStyle w:val="FootnoteAnchor"/>
          <w:rtl w:val="true"/>
        </w:rPr>
        <w:footnoteReference w:id="908"/>
      </w:r>
      <w:r>
        <w:rPr>
          <w:rFonts w:ascii="Amiri" w:hAnsi="Amiri" w:eastAsia="Amiri" w:cs="Amiri"/>
          <w:color w:val="111111"/>
          <w:sz w:val="28"/>
          <w:sz w:val="28"/>
          <w:szCs w:val="28"/>
          <w:rtl w:val="true"/>
          <w:lang w:bidi="ar-SA"/>
        </w:rPr>
        <w:t xml:space="preserve">ليس بشيء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w:t>
      </w:r>
      <w:r>
        <w:rPr>
          <w:rFonts w:eastAsia="Amiri" w:cs="Amiri" w:ascii="Amiri" w:hAnsi="Amiri"/>
          <w:color w:val="111111"/>
          <w:sz w:val="28"/>
          <w:szCs w:val="28"/>
          <w:rtl w:val="true"/>
          <w:lang w:bidi="ar-SA"/>
        </w:rPr>
        <w:t>. . .)</w:t>
      </w:r>
      <w:r>
        <w:rPr>
          <w:rStyle w:val="FootnoteAnchor"/>
          <w:rtl w:val="true"/>
        </w:rPr>
        <w:footnoteReference w:id="909"/>
      </w:r>
      <w:r>
        <w:rPr>
          <w:rFonts w:ascii="Amiri" w:hAnsi="Amiri" w:eastAsia="Amiri" w:cs="Amiri"/>
          <w:color w:val="111111"/>
          <w:sz w:val="28"/>
          <w:sz w:val="28"/>
          <w:szCs w:val="28"/>
          <w:rtl w:val="true"/>
          <w:lang w:bidi="ar-SA"/>
        </w:rPr>
        <w:t xml:space="preserve">، إلى آخر ، ليس المراد منه ما توهّم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بمساعدة فهم العرف في باب التوريث ، حيث إنّه أمر عرفي ليس من مخترعات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ينتقل إلى الوارث ما يكون الموت موجباً لانقطاعه عنه ؛ أي الموت موجب للنقل ، لا أنّ الإرث ملك بحكم الشرع بقي بلا مالك ، بعد ما ترك الشيء بموته ، حتّى يرجع إلى عدم تلقّي الورثة من مورّثهم ؛ ممّا هو خلاف الضرورة عرفاً وشرعاً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فالموت سبب للنقل ، ملكاً كان ، أو حقّاً كالبيع والصلح ،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تركه الميّت فلوارثه</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 xml:space="preserve">أي ما انقطعت إضافته عنه ، لا يبقى بلا مالك ، بل مالكه الوارث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بهذه الآية وأشباهها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بالقرائن العقلائية ، وفهم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ما كان للميّت حال الحياة ، يكون لوارثه بعد موته ، فالموت ليس سبباً لسلب الحقّ وإعدامه ، بل سبب لنقله إلى الورثة ، فيصدق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الميّت ترك لوارثه ما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ترك المال بلا إضافة ، ثمّ اُضيف إلى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مخالف للضرورة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فالحقوق كالأعيان المملوكة ، تنتقل بنفس الموت ، وتكون من متروكات الميّت ، بل لها بقاء وإن تبادلت الإضافات ، ولا تصير معدومة في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عرفية المسألة ، وعدم اختصاص الإرث عند العرف بالأعيان ، بل يكون ثابتاً في مثل حقّ التحجير وسائر الحقوق ، إلاّ ما دلّ الدليل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المعروف الذي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بعمل الأصحاب</w:t>
      </w:r>
      <w:r>
        <w:rPr>
          <w:rStyle w:val="FootnoteAnchor"/>
          <w:rtl w:val="true"/>
        </w:rPr>
        <w:footnoteReference w:id="911"/>
      </w:r>
      <w:r>
        <w:rPr>
          <w:rFonts w:ascii="Amiri" w:hAnsi="Amiri" w:eastAsia="Amiri" w:cs="Amiri"/>
          <w:color w:val="111111"/>
          <w:sz w:val="28"/>
          <w:sz w:val="28"/>
          <w:szCs w:val="28"/>
          <w:rtl w:val="true"/>
          <w:lang w:bidi="ar-SA"/>
        </w:rPr>
        <w:t xml:space="preserve">، حيث نصّ فيه على أنّ الحقّ ممّا ترك ، فلا بدّ وأن لا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بعد الموت وله وجود بقائي مع عدم الإضافة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للميّت من الحقّ ، فهو لوارثه عند انقطاع إضافته عنه ، وهو عبارة اُخرى عن نقل ما للميّت إلى الورثة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 فالآية دالّة بإطلاقها على أنّ كلّ ما للميّت مورّث ، فعدم </w:t>
      </w:r>
    </w:p>
    <w:p>
      <w:pPr>
        <w:pStyle w:val="BookText"/>
        <w:rPr/>
      </w:pPr>
      <w:r>
        <w:rPr>
          <w:rFonts w:ascii="Amiri" w:hAnsi="Amiri" w:eastAsia="Amiri" w:cs="Amiri"/>
          <w:color w:val="111111"/>
          <w:sz w:val="28"/>
          <w:sz w:val="28"/>
          <w:szCs w:val="28"/>
          <w:rtl w:val="true"/>
          <w:lang w:bidi="ar-SA"/>
        </w:rPr>
        <w:t>التوريث في بعض الحقوق ، محتاج إلى الإثبات ، لا أنّ الاستدلال بالآية ، محتاج إلى إثبات كون شيء حقّاً وقابلاً للنقل</w:t>
      </w:r>
      <w:r>
        <w:rPr>
          <w:rStyle w:val="FootnoteAnchor"/>
          <w:rtl w:val="true"/>
        </w:rPr>
        <w:footnoteReference w:id="912"/>
      </w:r>
      <w:r>
        <w:rPr>
          <w:rFonts w:ascii="Amiri" w:hAnsi="Amiri" w:eastAsia="Amiri" w:cs="Amiri"/>
          <w:color w:val="111111"/>
          <w:sz w:val="28"/>
          <w:sz w:val="28"/>
          <w:szCs w:val="28"/>
          <w:rtl w:val="true"/>
          <w:lang w:bidi="ar-SA"/>
        </w:rPr>
        <w:t xml:space="preserve">، ففي موارد الشكّ في كون شيء حقّاً ، يستدلّ بالآية على كونه حقّاً ؛ لأ نّه مورّث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إطلاقها من هذه الحيثية ؛ لكونها في مقام بيان كون الرجال والنساء ، وارثين ولهم نصيب</w:t>
      </w:r>
      <w:r>
        <w:rPr>
          <w:rStyle w:val="FootnoteAnchor"/>
          <w:rtl w:val="true"/>
        </w:rPr>
        <w:footnoteReference w:id="913"/>
      </w:r>
      <w:r>
        <w:rPr>
          <w:rFonts w:ascii="Amiri" w:hAnsi="Amiri" w:eastAsia="Amiri" w:cs="Amiri"/>
          <w:color w:val="111111"/>
          <w:sz w:val="28"/>
          <w:sz w:val="28"/>
          <w:szCs w:val="28"/>
          <w:rtl w:val="true"/>
          <w:lang w:bidi="ar-SA"/>
        </w:rPr>
        <w:t xml:space="preserve">يردّه نفس الآية ، حيث عقّبها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مِنْهُ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يؤكّد الإطلاق ، ويدفع التوهّم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الشبهة في الآية والرواية مصداقية ، لا يصحّ التمسّك بإطلاقهما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المقيّد عقلي ، يقتصر فيه على المتيّقن فيما لم يخرج بعنوان واحد ، بل مطلقاً على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الكريمة مع ذيلها ، كأ نّها نظير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بني اُميّة قاطبة</w:t>
      </w:r>
      <w:r>
        <w:rPr>
          <w:rFonts w:eastAsia="Amiri" w:cs="Amiri" w:ascii="Amiri" w:hAnsi="Amiri"/>
          <w:color w:val="111111"/>
          <w:sz w:val="28"/>
          <w:szCs w:val="28"/>
          <w:rtl w:val="true"/>
          <w:lang w:bidi="ar-SA"/>
        </w:rPr>
        <w:t>»</w:t>
      </w:r>
      <w:r>
        <w:rPr>
          <w:rStyle w:val="FootnoteAnchor"/>
          <w:rtl w:val="true"/>
        </w:rPr>
        <w:footnoteReference w:id="914"/>
      </w:r>
      <w:r>
        <w:rPr>
          <w:rFonts w:ascii="Amiri" w:hAnsi="Amiri" w:eastAsia="Amiri" w:cs="Amiri"/>
          <w:color w:val="111111"/>
          <w:sz w:val="28"/>
          <w:sz w:val="28"/>
          <w:szCs w:val="28"/>
          <w:rtl w:val="true"/>
          <w:lang w:bidi="ar-SA"/>
        </w:rPr>
        <w:t xml:space="preserve">ويأتي فيها ما يقال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استكشاف حال الفرد عند الشكّ</w:t>
      </w:r>
      <w:r>
        <w:rPr>
          <w:rStyle w:val="FootnoteAnchor"/>
          <w:rtl w:val="true"/>
        </w:rPr>
        <w:footnoteReference w:id="915"/>
      </w:r>
      <w:r>
        <w:rPr>
          <w:rFonts w:ascii="Amiri" w:hAnsi="Amiri" w:eastAsia="Amiri" w:cs="Amiri"/>
          <w:color w:val="111111"/>
          <w:sz w:val="28"/>
          <w:sz w:val="28"/>
          <w:szCs w:val="28"/>
          <w:rtl w:val="true"/>
          <w:lang w:bidi="ar-SA"/>
        </w:rPr>
        <w:t xml:space="preserve">، فتدبّر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الرواية تدلّ بإطلاقها ، على أنّ كلّ حقّ مورّث ، فيستكشف منها قابلية كلّ حقّ للانتقال ، فيرفع بها الشكّ عن كون حقّ قابلاً للنقل ، فيحتاج عدم القابلية إلى دليل ، وهذا عكس ما أفاده الشيخ الأعظم قدّس سرّه وغيره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xml:space="preserve">. </w:t>
      </w:r>
      <w:bookmarkStart w:id="561" w:name="pg15222_162527"/>
    </w:p>
    <w:p>
      <w:pPr>
        <w:pStyle w:val="BookText"/>
        <w:rPr/>
      </w:pPr>
      <w:bookmarkEnd w:id="561"/>
      <w:r>
        <w:rPr>
          <w:rFonts w:ascii="Amiri" w:hAnsi="Amiri" w:eastAsia="Amiri" w:cs="Amiri"/>
          <w:color w:val="111111"/>
          <w:sz w:val="28"/>
          <w:sz w:val="28"/>
          <w:szCs w:val="28"/>
          <w:rtl w:val="true"/>
          <w:lang w:bidi="ar-SA"/>
        </w:rPr>
        <w:t xml:space="preserve">ثمّ إنّه مع الغضّ عمّا تقدّم ، أو تسليم الإشكال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شكّ في أنّ الخيار المجعول بالشرط ، من الحقوق عرفا ، لا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سائر الخيارات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تخلّف الشرط ، والقيد ، وخيار الغبن ، والعيب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ماهيات غير الخيار المشروط ، فالخيار الثابت بالغبن ونحوه ، عين الخيار المجعول بحسب الحقيقة والآثار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الخيارات العقلائية كذلك ، فالخيارات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كخيار المجلس والحيوان ؛ ممّا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بعنوانه في دليلها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محمولة عرفاً على ما هو المعهود عندهم من الخيار ، ولا ينقدح في الأذهان ، مخالفة هذا الخيار لما عندهم من الخيارات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في سائر موارد الجواز ، بعد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بحسب تسالم الأصحاب ، كخيار التأخير ، وما يفسد ليومه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ينبغي الإشكال ، في كون الخيار بأنواعه من الحقوق ، كما لا تبعد قابلية الخيارات العقلائية للنقل عند العقلاء ، كما لا إشكال في سقوطها بالإسقاط في سوقهم ، فيستكشف منه حال سائر الخيارات بالبيان المتقدّم </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3331912_2142443653"/>
      <w:bookmarkStart w:id="563" w:name="_Toc205"/>
      <w:bookmarkEnd w:id="562"/>
      <w:r>
        <w:rPr>
          <w:rtl w:val="true"/>
        </w:rPr>
        <w:t>هل إرث الخيار تابع لإرث المال ؟</w:t>
      </w:r>
      <w:bookmarkEnd w:id="56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إرث الخيار ، هل هو تابع لإرث المال فعلاً ، فلا يرثه الورثة فيما لو فرض استغراق الدين للتركة ، وكذا لا يرثه من هو محروم بالتعبّد الشرعي من بعض التركة ، كالزوجة بالنسبة إلى الأرض ، وغير الأكبر من الأولاد بالنسبة إلى الحبوة ؟ </w:t>
      </w:r>
    </w:p>
    <w:p>
      <w:pPr>
        <w:pStyle w:val="BookText"/>
        <w:rPr/>
      </w:pPr>
      <w:r>
        <w:rPr>
          <w:rFonts w:ascii="Amiri" w:hAnsi="Amiri" w:eastAsia="Amiri" w:cs="Amiri"/>
          <w:color w:val="111111"/>
          <w:sz w:val="28"/>
          <w:sz w:val="28"/>
          <w:szCs w:val="28"/>
          <w:rtl w:val="true"/>
          <w:lang w:bidi="ar-SA"/>
        </w:rPr>
        <w:t>ظاهر الشيخ قدّس سرّه ، عدم الإشكال في الفرع الأوّل ؛ في أ نّه يرثه الورثة ، والإشكال في الثاني</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 نّهما مشتركان في الإشكال تقريباً ودفعاً ، وإن اختلفا في بعض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إرث الخيار مطلقاً في الفرعين ؛ لإطلاق أدلّة الإرث ، وعدم المانع منه؛ فإنّ ما يعدّ مانعاً مطلقاً ، أو في بعض الفروض ، أو يمكن أن يعدّ ،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سلطنة على استرجاع العوضين ؛ أي سلطنة على ترادّهما ، أو سلطنة على استرجاع ما انتقل عنه ، أو على ردّ ما انتقل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المحروم مطلقاً ؛ لفقد السلطنة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التفصيل فيما يحرم الوارث عنه ، بين ما انتقل عنه وإليه ، تارة بالحرمان في الأوّل ، واُخرى في الثاني ، وهذا هو الوجه الذي أفاده الشيخ الأعظم قدّس سرّه ، وفصّل فيه بالعبارات المختلفة</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حقّ قائم بالعقد ، ولا مساس له بالعوضين ، ومع فسخه وحلّه يرجع العوضان قهراً ، بلا تصرّف من ذي الخيار فيهما ، ولا سلطنة له عليهما ، فالسلطنة قائمة بالعقد ، لا بالعين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التحقيق على ما تقدّم منّا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ماهية الفسخ بالخيار ، تابعة لماهية العقد</w:t>
      </w:r>
      <w:r>
        <w:rPr>
          <w:rStyle w:val="FootnoteAnchor"/>
          <w:rtl w:val="true"/>
        </w:rPr>
        <w:footnoteReference w:id="919"/>
      </w:r>
      <w:r>
        <w:rPr>
          <w:rFonts w:ascii="Amiri" w:hAnsi="Amiri" w:eastAsia="Amiri" w:cs="Amiri"/>
          <w:color w:val="111111"/>
          <w:sz w:val="28"/>
          <w:sz w:val="28"/>
          <w:szCs w:val="28"/>
          <w:rtl w:val="true"/>
          <w:lang w:bidi="ar-SA"/>
        </w:rPr>
        <w:t xml:space="preserve">، ولا شبهة في أنّ ماهية العقد وما هو تحت قدرة المتبايعين ومورد </w:t>
      </w:r>
    </w:p>
    <w:p>
      <w:pPr>
        <w:pStyle w:val="BookText"/>
        <w:rPr/>
      </w:pPr>
      <w:r>
        <w:rPr>
          <w:rFonts w:ascii="Amiri" w:hAnsi="Amiri" w:eastAsia="Amiri" w:cs="Amiri"/>
          <w:color w:val="111111"/>
          <w:sz w:val="28"/>
          <w:sz w:val="28"/>
          <w:szCs w:val="28"/>
          <w:rtl w:val="true"/>
          <w:lang w:bidi="ar-SA"/>
        </w:rPr>
        <w:t xml:space="preserve">جعلهما ، إنّما هو إنشاء التبادل والتبادل الإنشائي لا الحقيقي المتقوّم باعتبار العقلاء ؛ ضرورة أنّ اعتبار الشرع أو العقلاء ، ليس أمراً قابلاً للجعل ، ولا تتعلّق قدرة المتعاملين به ؛ فإنّ له مبادئ ومقدّمات وجودية خاصّة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الأمر كذلك في جميع العقود والإيقاعات ، فما هو المجعول موضوع اعتبار الشرع والعقلاء ، لا نفس اعتبارهما ، أو نفس ما يعتبران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دليل على ذلك ، صدق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عرفاً وعقلاً وشرعاً ، على الفضولي منها ، وعلى ما يقع كرهاً ، ومن الضروري عدم اختلاف ماهية الفضولي منها مع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فالفضولي وغيره ، لا يفترقان في ماهية العقد وعنوانه ، وإن كانا يفترقان في ترتّب الآثار وعدمه ، وكون أحدهما مورد اعتبار العقلاء والشارع فعلاً ، والآخر مشروطاً بالإجازة ، وليست الإجازة جزء ماهية العقد ومتمّم عنوانه ، بل شرط لترتّب الأثر ، وصيرورته موضوعاً للحكم العقلائي أو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فالفضولي بيع حقيقة مع عدم ترتّب الأثر عليه ، وعدم النقل الاعتباري الواقعي ، والتبادل فيه إنشائي محض ، فيستكشف منه أنّ ماهية العقد ، ليست إلاّ التبادل الإنشائي ، سواء في ذلك الفضولي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الخيار ، حقّ فسخ العقد المنشأ بإنشاء المتعاقدين ، ولا يعقل أن يكون أمراً زائداً على ذلك ، فالحلّ يتعلّق بالعقد الإنشائي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إرث الخيار بالنسبة إلى ما يحرم عنه الوارث من المال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متعلّق بالعقد ، كما هو التحقيق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متعلّق بالعين ، وأنّ الفسخ عبارة عن الاسترجاع والترادّ ؛ فإنّ الترادّ إنّما هو </w:t>
      </w:r>
    </w:p>
    <w:p>
      <w:pPr>
        <w:pStyle w:val="BookText"/>
        <w:rPr/>
      </w:pPr>
      <w:r>
        <w:rPr>
          <w:rFonts w:ascii="Amiri" w:hAnsi="Amiri" w:eastAsia="Amiri" w:cs="Amiri"/>
          <w:color w:val="111111"/>
          <w:sz w:val="28"/>
          <w:sz w:val="28"/>
          <w:szCs w:val="28"/>
          <w:rtl w:val="true"/>
          <w:lang w:bidi="ar-SA"/>
        </w:rPr>
        <w:t xml:space="preserve">في العقد الإنشائي والتبادل الإنشائي ، والسلطنة عليه هي السلطنة على هذا الترادّ ، ولا تعتبر فيه السلطنة على النقل الحقيقي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سلطنة المحروم من الإرث ، ثمّ بعد إعمال السلطنة والخيار ، يترتّب عليه الأثر العقلائي والشرعي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الفسخ عبارة عن إخراج العوضين عن ملك المتعاقدين ، وإدخالهما في ملكهما ، كما أنّ العقد عبارة عن إدخالهما وإخراجهما ، وهذا المعنى 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الحقيقة هذا إشكال في أصل إرث الخيار ، من غير فرق بين المحروم عن المال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دخالة هذا الإخراج والإدخال في ماهية العقد ، وكذا في ماهية الفسخ ، بل هو من آثارهما نوعاً ، ولهذا يصحّ بيع الوقف عند حصول المسوّغات ، ومبادلة الفقيهين الأجناس الزكوية عند المصلحة ، مع فقد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العامّ ، بل مطلقاً ، وعلى التحقيق في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العوضين إذا صارا ملكاً لغير المتعاملين ، لا بدّ وأن يؤثّر الفسخ في الرجوع إلى المالك الفعلي ، فتكون آثار الخيار تبعاً للملك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 نّه لا مانع من دخول المعوّض في ملك الميّت ، وتلقّي الأحياء منه ، واعتبار ملكية الميّت عقلائي إذا ترتّب عليه أثر ، وليس الميّت عند الملّيين معدوماً أو كالمعدوم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العقد والحلّ إنشائيان ، وترتّب الآثار عليهما عقلائي ، ولا إشكال في أنّ العقلاء ، يحكمون بملكية الورثة بعد الفسخ والحلّ الإنشائي ، </w:t>
      </w:r>
    </w:p>
    <w:p>
      <w:pPr>
        <w:pStyle w:val="BookText"/>
        <w:rPr/>
      </w:pPr>
      <w:r>
        <w:rPr>
          <w:rFonts w:ascii="Amiri" w:hAnsi="Amiri" w:eastAsia="Amiri" w:cs="Amiri"/>
          <w:color w:val="111111"/>
          <w:sz w:val="28"/>
          <w:sz w:val="28"/>
          <w:szCs w:val="28"/>
          <w:rtl w:val="true"/>
          <w:lang w:bidi="ar-SA"/>
        </w:rPr>
        <w:t xml:space="preserve">والردّ إنشاء إلى ملك الميّت ممّا لا إشكال فيه ، وليست الملكية حقيقية ، حتّى يتوهّم عدم اعتبارها للميّت ، مع منع ذلك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 شرع لجلب المال إلى ذي الخيار ، وفيما إذا انتقلت الأرض عن الميّت ، لا يكون الخيار للزوجة ، بخلاف ما إذا انتقلت إليه ، فإنّها بالخيار تستجلب الثمن</w:t>
      </w:r>
      <w:r>
        <w:rPr>
          <w:rStyle w:val="FootnoteAnchor"/>
          <w:rtl w:val="true"/>
        </w:rPr>
        <w:footnoteReference w:id="920"/>
      </w:r>
      <w:r>
        <w:rPr>
          <w:rFonts w:ascii="IRNazanin" w:hAnsi="IRNazanin" w:eastAsia="IRNazanin"/>
          <w:color w:val="111111"/>
          <w:sz w:val="28"/>
          <w:sz w:val="28"/>
          <w:szCs w:val="28"/>
          <w:rtl w:val="true"/>
          <w:lang w:bidi="fa-IR"/>
        </w:rPr>
        <w:t xml:space="preserve">، فيصحّ التفصيل الذي اختاره الفخر رحمه الله علیه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الاستجلاب إلى ذي الخيار ممنوع ، وأصله حاصل ، كما في موارد ثبوت الخيار للأجنبيّ ، وكخيار المجلس للوكيل ، على ما تقدّم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استجلاب المال بالخيار الموروث للوارث ، قيداً في أدلّة الإرث فواضح النظر ؛ لفقد ما يشعر بذلك في أدلّته ، فضلاً عن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في مثل الأرض المنتقلة عن الميّت ، مبنيّ على أنّ الفسخ ، موجب لصيرورتها ملكاً لغير الزوجة ؛ إمّا لرجوعها بالفسخ إلى الميّت ، وتلقّي الورثة لها منه ، أو لكونها بحكم المال الموروث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التملّك بالفسخ ليس إرثاً ، ولا بحكمه ، والزوجة إنّما تتلقّاها به ، وتصير مالكة لها ، لاندفع الإشكال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يمكن على هذا المبنى ، التفصيل بين ما انتقل إليه وعنه ، عكس ما ذهب إليه الفخر رحمه الله علیه </w:t>
      </w:r>
      <w:r>
        <w:rPr>
          <w:rStyle w:val="FootnoteAnchor"/>
          <w:rtl w:val="true"/>
        </w:rPr>
        <w:footnoteReference w:id="922"/>
      </w:r>
      <w:r>
        <w:rPr>
          <w:rFonts w:ascii="Amiri" w:hAnsi="Amiri" w:eastAsia="Amiri" w:cs="Amiri"/>
          <w:color w:val="111111"/>
          <w:sz w:val="28"/>
          <w:sz w:val="28"/>
          <w:szCs w:val="28"/>
          <w:rtl w:val="true"/>
          <w:lang w:bidi="ar-SA"/>
        </w:rPr>
        <w:t xml:space="preserve">، وقواه الشيخ قدّس سرّه </w:t>
      </w:r>
      <w:r>
        <w:rPr>
          <w:rStyle w:val="FootnoteAnchor"/>
          <w:rtl w:val="true"/>
        </w:rPr>
        <w:footnoteReference w:id="923"/>
      </w:r>
      <w:r>
        <w:rPr>
          <w:rFonts w:ascii="Amiri" w:hAnsi="Amiri" w:eastAsia="Amiri" w:cs="Amiri"/>
          <w:color w:val="111111"/>
          <w:sz w:val="28"/>
          <w:sz w:val="28"/>
          <w:szCs w:val="28"/>
          <w:rtl w:val="true"/>
          <w:lang w:bidi="ar-SA"/>
        </w:rPr>
        <w:t xml:space="preserve">؛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انتقلت عن الميّت ، </w:t>
      </w:r>
    </w:p>
    <w:p>
      <w:pPr>
        <w:pStyle w:val="BookText"/>
        <w:rPr/>
      </w:pPr>
      <w:r>
        <w:rPr>
          <w:rFonts w:ascii="Amiri" w:hAnsi="Amiri" w:eastAsia="Amiri" w:cs="Amiri"/>
          <w:color w:val="111111"/>
          <w:sz w:val="28"/>
          <w:sz w:val="28"/>
          <w:szCs w:val="28"/>
          <w:rtl w:val="true"/>
          <w:lang w:bidi="ar-SA"/>
        </w:rPr>
        <w:t>لا مانع من إرثها ، لا من قبل الثمن ؛ لأ نّها مالكة لحصّتها فعلاً ، ولا من قبل الأرض ؛ لأ نّها بالفسخ ترجع إلى ملكها على حساب الحصص ، بخلاف العكس ؛ لعدم سلطنتها على الأرض حتّى يردّها ، ولكن قد عرفت التحقيق في المسألة</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الإشكالات المتقدّمة ، تأتي كلاًّ أو بعضاً في الدين المستغرق</w:t>
      </w:r>
      <w:r>
        <w:rPr>
          <w:rStyle w:val="FootnoteAnchor"/>
          <w:rtl w:val="true"/>
        </w:rPr>
        <w:footnoteReference w:id="925"/>
      </w:r>
      <w:r>
        <w:rPr>
          <w:rFonts w:ascii="Amiri" w:hAnsi="Amiri" w:eastAsia="Amiri" w:cs="Amiri"/>
          <w:color w:val="111111"/>
          <w:sz w:val="28"/>
          <w:sz w:val="28"/>
          <w:szCs w:val="28"/>
          <w:rtl w:val="true"/>
          <w:lang w:bidi="ar-SA"/>
        </w:rPr>
        <w:t xml:space="preserve">، والجواب هو الجواب ، ويختصّ بإشكال آخر ؛ وهو أنّ الإرث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926"/>
      </w:r>
      <w:r>
        <w:rPr>
          <w:rFonts w:ascii="Amiri" w:hAnsi="Amiri" w:eastAsia="Amiri" w:cs="Amiri"/>
          <w:color w:val="111111"/>
          <w:sz w:val="28"/>
          <w:sz w:val="28"/>
          <w:szCs w:val="28"/>
          <w:rtl w:val="true"/>
          <w:lang w:bidi="ar-SA"/>
        </w:rPr>
        <w:t>وسنّة</w:t>
      </w:r>
      <w:r>
        <w:rPr>
          <w:rStyle w:val="FootnoteAnchor"/>
          <w:rtl w:val="true"/>
        </w:rPr>
        <w:footnoteReference w:id="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أداء الدين ، فالخيار لا يورث كسائر ما للميّت ، إلاّ بعد أداء الدين ، والفسخ إن أوجب ردّ العوضين ، فالسلطنة عليه مفقودة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أوجب حلّ العقد الإنشائي ، من غير تأثير وترتّب حكم شرعي أو عقلائي عليه ، فهو 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يدفع هذا الإشكال ؛ بأنّ الخيار لا يزاحم حقّ الديّان ؛ لأ نّه ليس بمال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دفع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أثراً في بعض الأحيان ، وهو كافٍ ، مع أنّ في الجعل القانوني ، لا تلاحظ الخصوصيات ، كما قرّر في محلّه</w:t>
      </w:r>
      <w:r>
        <w:rPr>
          <w:rStyle w:val="FootnoteAnchor"/>
          <w:rtl w:val="true"/>
        </w:rPr>
        <w:footnoteReference w:id="928"/>
      </w:r>
      <w:r>
        <w:rPr>
          <w:rFonts w:ascii="Amiri" w:hAnsi="Amiri" w:eastAsia="Amiri" w:cs="Amiri"/>
          <w:color w:val="111111"/>
          <w:sz w:val="28"/>
          <w:sz w:val="28"/>
          <w:szCs w:val="28"/>
          <w:rtl w:val="true"/>
          <w:lang w:bidi="ar-SA"/>
        </w:rPr>
        <w:t xml:space="preserve">، وللمسألة محلّ آخر </w:t>
      </w:r>
      <w:r>
        <w:rPr>
          <w:rFonts w:eastAsia="Amiri" w:cs="Amiri" w:ascii="Amiri" w:hAnsi="Amiri"/>
          <w:color w:val="111111"/>
          <w:sz w:val="28"/>
          <w:szCs w:val="28"/>
          <w:rtl w:val="true"/>
          <w:lang w:bidi="ar-SA"/>
        </w:rPr>
        <w:t xml:space="preserve">. </w:t>
      </w:r>
      <w:bookmarkStart w:id="564" w:name="pg15222_162533"/>
    </w:p>
    <w:p>
      <w:pPr>
        <w:pStyle w:val="Heading4"/>
        <w:numPr>
          <w:ilvl w:val="3"/>
          <w:numId w:val="1"/>
        </w:numPr>
        <w:rPr/>
      </w:pPr>
      <w:bookmarkStart w:id="565" w:name="__RefHeading___Toc3331914_2142443653"/>
      <w:bookmarkStart w:id="566" w:name="_Toc206"/>
      <w:bookmarkEnd w:id="564"/>
      <w:bookmarkEnd w:id="565"/>
      <w:r>
        <w:rPr>
          <w:rtl w:val="true"/>
        </w:rPr>
        <w:t xml:space="preserve">مسألة </w:t>
      </w:r>
      <w:r>
        <w:rPr>
          <w:rtl w:val="true"/>
        </w:rPr>
        <w:t xml:space="preserve">: </w:t>
      </w:r>
      <w:r>
        <w:rPr>
          <w:rtl w:val="true"/>
        </w:rPr>
        <w:t>في كيفية استحقاق الورثة للخيار</w:t>
      </w:r>
      <w:bookmarkEnd w:id="566"/>
    </w:p>
    <w:p>
      <w:pPr>
        <w:pStyle w:val="Heading5"/>
        <w:numPr>
          <w:ilvl w:val="4"/>
          <w:numId w:val="1"/>
        </w:numPr>
        <w:rPr/>
      </w:pPr>
      <w:bookmarkStart w:id="567" w:name="__RefHeading___Toc3331916_2142443653"/>
      <w:bookmarkStart w:id="568" w:name="_Toc207"/>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 xml:space="preserve">في كيفية استحقاق الورثة للخيار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واحداً غير قابل للتجزئة والتقسيم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مستقلاًّ لكلّ من الورثة ؛ بنحو العامّ الاستغراقي ، كثبوته للمورّث ، فيكون لكلّ منهم فسخ العقد ، واسترجاع العوضين كلاًّ ، وإن أمضاه غيره</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لكلّ على النحو المذكور ، لكن بالنسبة إلى حصّته ، واختاره بعض الأعيان</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واحد للمجموع ، كالحكم في العامّ المجموعي ، فيعتبر المجموع واحداً ، له حقّ واحد</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لصرف وجود الوارث ، أو لطبيعي الوارث</w:t>
      </w:r>
      <w:r>
        <w:rPr>
          <w:rStyle w:val="FootnoteAnchor"/>
          <w:rtl w:val="true"/>
        </w:rPr>
        <w:footnoteReference w:id="932"/>
      </w:r>
      <w:r>
        <w:rPr>
          <w:rFonts w:ascii="Amiri" w:hAnsi="Amiri" w:eastAsia="Amiri" w:cs="Amiri"/>
          <w:color w:val="111111"/>
          <w:sz w:val="28"/>
          <w:sz w:val="28"/>
          <w:szCs w:val="28"/>
          <w:rtl w:val="true"/>
          <w:lang w:bidi="ar-SA"/>
        </w:rPr>
        <w:t xml:space="preserve">، وهذا الوجه وإن اختلف مع ما سبق في الاعتبار ، لكنّه يرجع إليها بحسب الحكم ؛ فإنّه إن اُريد من ثبوته له ، ثبوته للطبيعة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يتكثّر الخيار بتكثّرها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الاحتمال الأوّل أو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منه ، ثبوته للمجموع المحقّق للصرف ، فيكون خيار واحد للواحد ، فيرجع إلى الثالث ؛ فإنّ صرف الوجود بحسب الاعتبار ، أمر موجود بوجود الموجود الخارجي المحقّق له ، كالطبيعة الموجودة بعين وجود الأفراد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ليس من هذه الجهة ، بل من جهة أنّ الطبيعة ، متكثّرة بتكثّر أفرادها ، سواء في ذلك الطبائع الأصلية الحقيقية ، والاعتبارية على نحو ما في التكوين ، وأمّا الصرف فيوجد بوجود الكثير على نحو الوحدة ، نظير ما قاله الرجل الهمداني في الكلّي الطبيعي</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فصرف وجود الإنسان واحد في الواحد بعينه ، وفي الكثير بعين الكثير ، وإلاّ فلو وجد مع كلّ واحد ، خرج عن الصرف ؛ لأنّ الصرف لا كثرة فيه ، ولا تكرار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أفاده الشيخ الأعظم قدّس سرّه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معنىً آخر لقيام الخيار بالمجموع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934"/>
      </w:r>
      <w:r>
        <w:rPr>
          <w:rFonts w:ascii="Amiri" w:hAnsi="Amiri" w:eastAsia="Amiri" w:cs="Amiri"/>
          <w:color w:val="111111"/>
          <w:sz w:val="28"/>
          <w:sz w:val="28"/>
          <w:szCs w:val="28"/>
          <w:rtl w:val="true"/>
          <w:lang w:bidi="ar-SA"/>
        </w:rPr>
        <w:t xml:space="preserve">، فيه مسامحة ؛ فإنّه إن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الوارث ، فلا يكون في الخارج واحداً ، ولا معنى للقيام بالمجموع ؛ فإنّ الطبيعي متكثّر بتكثّر الأفراد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المراد صرف الوجود ، ففي صورة التعدّد ، لا يكون الصرف إلاّ واحداً ، موجوداً بوجود الكثير ، وللواحد الكذائي خيار ، فلا معنى لنفوذ فسخ كلّ منهم ؛ للزوم كون كلّ منهم صرفاً ، وللزم منه تكرار الصرف بتكرّر 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فذو الخيار عنوان واحد ، موجود بوجود المجموع بنحو الوحدة ، لا الكثرة ، حتّى يلزم ثبوته لكلّ منهم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الممكن من هذه الاحتمالات ، هو الوجه الثالث والرابع ؛ أي الثبوت للمجموع ، أو لصرف الوجود ، وأمّا الصور الاُخر فممتنعة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الاُمور الاعتبارية العقلائية ، على وزان الماهيات الأصلية كالجواهر والأعراض ، فإنّه كما أنّ للطبائع الحقيقية ، مصاديق موجودة في الخارج ، جزئية غير قابلة للتكثّر والصدق على الكثيرين ، ولها جامع ذاتي ؛ هو طبيعي العنوان، كلي قابل للصدق على الكثيرين، كذلك الاُمور الاعتبارية كالملك والحقّ والبيع، فإنّ لها عنواناً طبيعياً اعتبارياً ، قابلاً للكثرة في الخارج ، ومصاديق للطبيعي منها في الخارج ؛ بمعنى اعتبار وجود خارجي غير قابل للصدق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كلّي صادق على المصاديق الخارجية ، والحقّ الشخصي الموجود بالوجود الخارجي ، أمر جزئي شخصي ، غير قابل للتكثّر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انحلال بعض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البيع الواقع على ما يملك وما لا يملك ، وبعض الحقوق ، كحقّ التحجير الثابت في الأرض المحجّرة ، التي كلّ قطعة منها مورد للحقّ ، والحقّ القائم بالأرض منحلّ إلى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نقض على ما ذكرناه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غفلة عن الواقعة ؛ أمّا في مثل البيع فلمّا 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البيع هو العقد الإنشائي</w:t>
      </w:r>
      <w:r>
        <w:rPr>
          <w:rStyle w:val="FootnoteAnchor"/>
          <w:rtl w:val="true"/>
        </w:rPr>
        <w:footnoteReference w:id="935"/>
      </w:r>
      <w:r>
        <w:rPr>
          <w:rFonts w:ascii="Amiri" w:hAnsi="Amiri" w:eastAsia="Amiri" w:cs="Amiri"/>
          <w:color w:val="111111"/>
          <w:sz w:val="28"/>
          <w:sz w:val="28"/>
          <w:szCs w:val="28"/>
          <w:rtl w:val="true"/>
          <w:lang w:bidi="ar-SA"/>
        </w:rPr>
        <w:t xml:space="preserve">، وبه ينتقل إنشاء كلّ المبيع ، من غير فرق بين ما يملك وما لا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يفرّق بينهما في مقام التأثير العقلائي أو الشرعي ، الخارج عن حقيقة البيع ، فيؤثّر في جزء من المبيع دون جزء ، وهذا ليس انحلال البيع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الانحلال في بيع اُمور متكثّرة تجمع بلفظ واحد في الإنشاء ، فهو من أجل أ نّه إنشاء بيوع متكثّرة ، وقد مرّ دفع توهّم أنّ بيع مثل الدار ينحلّ إلى بيع أجزائها ، فينحلّ إلى بيوع</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حقّ التحجير ، فهو ثابت لعنوان صادق على الكلّ وأجزائه ، فكما أنّ الأرض محجّرة بأسباب التحجير ، كذلك قطعاتها محجّرة بتلك الأسباب ، فكلّ قطعة تلاحظ تكون محجّرة بالتحجير الواقع على الأرض ، ولصاحبه حقّ إحيائها ، كما له حقّ إحياء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لوحظت الأرض جميعها بنحو الوحدة ، تكون شيئاً واحداً ويتعلّق بها حقّ واحد ، وإذا لوحظت قطعات ، وانفصل بعضها عن بعض ، تعلّق بكلٍّ حقٌّ مستقلّ ؛ لأ نّها قطعة محجّرة ، كما أنّ الدار الواحدة ملك واحد ،</w:t>
      </w:r>
    </w:p>
    <w:p>
      <w:pPr>
        <w:pStyle w:val="BookText"/>
        <w:rPr/>
      </w:pPr>
      <w:r>
        <w:rPr>
          <w:rFonts w:ascii="Amiri" w:hAnsi="Amiri" w:eastAsia="Amiri" w:cs="Amiri"/>
          <w:color w:val="111111"/>
          <w:sz w:val="28"/>
          <w:sz w:val="28"/>
          <w:szCs w:val="28"/>
          <w:rtl w:val="true"/>
          <w:lang w:bidi="ar-SA"/>
        </w:rPr>
        <w:t xml:space="preserve">وإذا اُفرزت إلى قطعات ، صارت كلّ قطعة ملكاً مستقلاًّ ، ولتفصيل الواقعة محلّ آخر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بالانحلال في مثل تلك الموارد ، فلا مجال له في المقام ؛ لأنّ حقّ الخيار لا ينحلّ إلى حقوق ، ضرورة أنّ المورّث لم يكن له إلاّ حقّ واحد متعلّق </w:t>
      </w:r>
    </w:p>
    <w:p>
      <w:pPr>
        <w:pStyle w:val="BookText"/>
        <w:rPr/>
      </w:pPr>
      <w:r>
        <w:rPr>
          <w:rFonts w:ascii="Amiri" w:hAnsi="Amiri" w:eastAsia="Amiri" w:cs="Amiri"/>
          <w:color w:val="111111"/>
          <w:sz w:val="28"/>
          <w:sz w:val="28"/>
          <w:szCs w:val="28"/>
          <w:rtl w:val="true"/>
          <w:lang w:bidi="ar-SA"/>
        </w:rPr>
        <w:t xml:space="preserve">بالبيع ، ولم يكن له إلاّ فسخه في جميع محتواه ، أو إمضاؤه كذلك ، فلو فرضت صحّة الانحلال في بعض الحقوق ، لا إشكال في أنّ حقّ الخيار ليس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حقّ الخيار حقّ شخصي ، وموجود جزئي ، غير قابل للكثرة ، فلا يعقل أن يصير بالنقل كثيراً ، كما لا يعقل انتقاله بوجوده الخارجي إلى طبيعي الوارث ، القابل للصدق على الكثيرين ؛ بمعنى تكثّره بتكثّر الأفراد ، وأمّا انتقاله إلى المجموع المعتبر شيئاً واحداً ، أو إلى صرف الوجود ، فلا مانع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النبوي</w:t>
      </w:r>
      <w:r>
        <w:rPr>
          <w:rStyle w:val="FootnoteAnchor"/>
          <w:rtl w:val="true"/>
        </w:rPr>
        <w:footnoteReference w:id="937"/>
      </w:r>
      <w:r>
        <w:rPr>
          <w:rFonts w:ascii="Amiri" w:hAnsi="Amiri" w:eastAsia="Amiri" w:cs="Amiri"/>
          <w:color w:val="111111"/>
          <w:sz w:val="28"/>
          <w:sz w:val="28"/>
          <w:szCs w:val="28"/>
          <w:rtl w:val="true"/>
          <w:lang w:bidi="ar-SA"/>
        </w:rPr>
        <w:t xml:space="preserve">لولا القرينة العقلية ، هو طبيعي الوارث ، وبمقتضى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وحدة الحقّ وجزئيته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صرف وجوده ، الموجود بوجود الكثير بنحو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الحمل على المجموع ، فخلاف الظاهر جدّاً ، بل ترك للعمل به ؛ فإنّ المجموع هو الأفراد المعتبرة واحدا ، لا طبيعي الوارث ، ولا جنسه ، والظاهر منه هو الجنس ، لا الأفراد ، والحمل على الصرف مع القرينة ، أخذ بظاهره من جهة ؛ وهي كون الموضوع هو الطبيعة والجنس ، والقرينة دالّة على اعتبار الوحدة فيها ، فالطبيعة محفوظة ، وزيد عليها اعتبار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الأعظم قدّس سرّه لبيان الحمل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مقتضى أدلّة الإرث في الحقوق غير القابلة للتجزئة والأموال القابلة لها ، أمر واحد ، وهو ثبوت مجموع ما ترك لمجموع الورثة ، إلاّ أنّ التقسيم في الأموال لمّا كان </w:t>
      </w:r>
    </w:p>
    <w:p>
      <w:pPr>
        <w:pStyle w:val="BookText"/>
        <w:rPr/>
      </w:pPr>
      <w:r>
        <w:rPr>
          <w:rFonts w:ascii="Amiri" w:hAnsi="Amiri" w:eastAsia="Amiri" w:cs="Amiri"/>
          <w:color w:val="111111"/>
          <w:sz w:val="28"/>
          <w:sz w:val="28"/>
          <w:szCs w:val="28"/>
          <w:rtl w:val="true"/>
          <w:lang w:bidi="ar-SA"/>
        </w:rPr>
        <w:t xml:space="preserve">ممكناً ، كان مرجع اشتراك المجموع في المجموع ، إلى اختصاص كلّ منهم بحصّة مشاعة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الحقوق ، فإنّها تبقى على حالها ؛ من اشتراك مجموع الورثة فيها ، فلا يجوز لأحدهم الاستقلال بالفسخ ؛ لا في الكلّ ، ولا في حصّته ، فافهم</w:t>
      </w:r>
      <w:r>
        <w:rPr>
          <w:rStyle w:val="FootnoteAnchor"/>
          <w:rtl w:val="true"/>
        </w:rPr>
        <w:footnoteReference w:id="938"/>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أنّ مقتضى أدلّة الإرث ما ذكره ، بل الدليل على خلافه ؛ فإنّ أدلّة الإرث في الكتاب والسنّة ، لا تدلّ على أنّ الإرث ينتقل إلى مجموع الورثة ؛ بحيث يكون المجموع موضوعاً واحداً لنقل واحد ، كما هو مقتضى نقل المجموع إلى المجموع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w:t>
      </w:r>
      <w:r>
        <w:rPr>
          <w:rFonts w:eastAsia="Amiri" w:cs="Amiri" w:ascii="Amiri" w:hAnsi="Amiri"/>
          <w:color w:val="111111"/>
          <w:sz w:val="28"/>
          <w:szCs w:val="28"/>
          <w:rtl w:val="true"/>
          <w:lang w:bidi="ar-SA"/>
        </w:rPr>
        <w:t>. . .)</w:t>
      </w:r>
      <w:r>
        <w:rPr>
          <w:rStyle w:val="FootnoteAnchor"/>
          <w:rtl w:val="true"/>
        </w:rPr>
        <w:footnoteReference w:id="939"/>
      </w:r>
      <w:r>
        <w:rPr>
          <w:rFonts w:ascii="Amiri" w:hAnsi="Amiri" w:eastAsia="Amiri" w:cs="Amiri"/>
          <w:color w:val="111111"/>
          <w:sz w:val="28"/>
          <w:sz w:val="28"/>
          <w:szCs w:val="28"/>
          <w:rtl w:val="true"/>
          <w:lang w:bidi="ar-SA"/>
        </w:rPr>
        <w:t xml:space="preserve">إلى آخرها ، فالظاهر منها أنّ لكلّ رجل نصيباً ، وأنّ لكلّ امرأة كذلك ؛ لظهور الجمع المحلّى في الكثرة الأفرادية ، في قبال العامّ المجموعي ، ولا تعرّض فيها لمقدار النصيب ، بل هي في مقام بيان عدم حرمان الرجال ولا النساء ، ولعلّه للردّ على الجهّال الذين يقولون بحرمان النساء ، أو يحرّمونهنّ عملاً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الآيات المتعرّضة للإرث</w:t>
      </w:r>
      <w:r>
        <w:rPr>
          <w:rStyle w:val="FootnoteAnchor"/>
          <w:rtl w:val="true"/>
        </w:rPr>
        <w:footnoteReference w:id="940"/>
      </w:r>
      <w:r>
        <w:rPr>
          <w:rFonts w:ascii="Amiri" w:hAnsi="Amiri" w:eastAsia="Amiri" w:cs="Amiri"/>
          <w:color w:val="111111"/>
          <w:sz w:val="28"/>
          <w:sz w:val="28"/>
          <w:szCs w:val="28"/>
          <w:rtl w:val="true"/>
          <w:lang w:bidi="ar-SA"/>
        </w:rPr>
        <w:t xml:space="preserve">، فهي متعرّضة للسهام ؛ من النصف ، والثلث ، وغيرهما ، فتختصّ بالأموال التي يمكن فيها فرض الكسر المشاع ؛ </w:t>
      </w:r>
    </w:p>
    <w:p>
      <w:pPr>
        <w:pStyle w:val="BookText"/>
        <w:rPr/>
      </w:pPr>
      <w:r>
        <w:rPr>
          <w:rFonts w:ascii="Amiri" w:hAnsi="Amiri" w:eastAsia="Amiri" w:cs="Amiri"/>
          <w:color w:val="111111"/>
          <w:sz w:val="28"/>
          <w:sz w:val="28"/>
          <w:szCs w:val="28"/>
          <w:rtl w:val="true"/>
          <w:lang w:bidi="ar-SA"/>
        </w:rPr>
        <w:t xml:space="preserve">من النصف ، والثلث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شملت بعض الحقوق التي متعلّقها قابل للكسر المشاع كحقّ التحجير ، فلا إشكال في عدم الشمول لحقّ الخيار ، الذي ليس كذلك ؛ لا بنفسه ، ولا بمتعلّقه الذي هو العقد الإنشائي ، على ما مرّ الكلام فيه</w:t>
      </w:r>
      <w:r>
        <w:rPr>
          <w:rStyle w:val="FootnoteAnchor"/>
          <w:rtl w:val="true"/>
        </w:rPr>
        <w:footnoteReference w:id="941"/>
      </w:r>
      <w:r>
        <w:rPr>
          <w:rFonts w:ascii="Amiri" w:hAnsi="Amiri" w:eastAsia="Amiri" w:cs="Amiri"/>
          <w:color w:val="111111"/>
          <w:sz w:val="28"/>
          <w:sz w:val="28"/>
          <w:szCs w:val="28"/>
          <w:rtl w:val="true"/>
          <w:lang w:bidi="ar-SA"/>
        </w:rPr>
        <w:t>، وآية اُولي الأرحام</w:t>
      </w:r>
      <w:r>
        <w:rPr>
          <w:rStyle w:val="FootnoteAnchor"/>
          <w:rtl w:val="true"/>
        </w:rPr>
        <w:footnoteReference w:id="942"/>
      </w:r>
      <w:r>
        <w:rPr>
          <w:rFonts w:ascii="Amiri" w:hAnsi="Amiri" w:eastAsia="Amiri" w:cs="Amiri"/>
          <w:color w:val="111111"/>
          <w:sz w:val="28"/>
          <w:sz w:val="28"/>
          <w:szCs w:val="28"/>
          <w:rtl w:val="true"/>
          <w:lang w:bidi="ar-SA"/>
        </w:rPr>
        <w:t xml:space="preserve">لا تتعرّض إلاّ لتقدّم بعض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دليل في السنّة أيضاً على ما ذكره ، بل لا معنى لما أفاده بوجه ؛ فإنّ نقل المجموع إلى المجموع المقتضي للتساوي أوّلاً ، ثمّ الحكم بالاختلاف من حيث الحصص ، لغو ينزّه الكتاب والسنّة منه ، وانتزاع عنوانهما من أدلّة الإرث المتعرّضة للحصص ، ليس حكماً شرعياً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بقي في المقام إلاّ النبوي الذي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مجبور بعمل الأصحاب</w:t>
      </w:r>
      <w:r>
        <w:rPr>
          <w:rStyle w:val="FootnoteAnchor"/>
          <w:rtl w:val="true"/>
        </w:rPr>
        <w:footnoteReference w:id="943"/>
      </w:r>
      <w:r>
        <w:rPr>
          <w:rFonts w:ascii="Amiri" w:hAnsi="Amiri" w:eastAsia="Amiri" w:cs="Amiri"/>
          <w:color w:val="111111"/>
          <w:sz w:val="28"/>
          <w:sz w:val="28"/>
          <w:szCs w:val="28"/>
          <w:rtl w:val="true"/>
          <w:lang w:bidi="ar-SA"/>
        </w:rPr>
        <w:t>، وهو مختصّ بالحقوق ، وقد عرفت الكلام فيه</w:t>
      </w:r>
      <w:r>
        <w:rPr>
          <w:rStyle w:val="FootnoteAnchor"/>
          <w:rtl w:val="true"/>
        </w:rPr>
        <w:footnoteReference w:id="944"/>
      </w:r>
      <w:r>
        <w:rPr>
          <w:rFonts w:ascii="IRNazanin" w:hAnsi="IRNazanin" w:eastAsia="IRNazanin"/>
          <w:color w:val="111111"/>
          <w:sz w:val="28"/>
          <w:sz w:val="28"/>
          <w:szCs w:val="28"/>
          <w:rtl w:val="true"/>
          <w:lang w:bidi="fa-IR"/>
        </w:rPr>
        <w:t xml:space="preserve">، وأنّ الانتقال إلى المجموع خلاف ظاهره جزماً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النظر في كلام الأعلام ، ولا سيّما السيّد الطباطبائي قدّس سرّه ، الذي اختار الخيار لكلٍّ مستقلاًّ بحسب حصّته</w:t>
      </w:r>
      <w:r>
        <w:rPr>
          <w:rStyle w:val="FootnoteAnchor"/>
          <w:rtl w:val="true"/>
        </w:rPr>
        <w:footnoteReference w:id="945"/>
      </w:r>
      <w:r>
        <w:rPr>
          <w:rFonts w:ascii="Amiri" w:hAnsi="Amiri" w:eastAsia="Amiri" w:cs="Amiri"/>
          <w:color w:val="111111"/>
          <w:sz w:val="28"/>
          <w:sz w:val="28"/>
          <w:szCs w:val="28"/>
          <w:rtl w:val="true"/>
          <w:lang w:bidi="ar-SA"/>
        </w:rPr>
        <w:t xml:space="preserve">ضرورة أنّ هذا الحقّ إرث تلقّاه الوارث من مورّثه ، ولا يعقل أن يكون الانتقال على هذا النحو ، مع عدم كون </w:t>
      </w:r>
      <w:bookmarkStart w:id="569" w:name="pg15222_162540"/>
    </w:p>
    <w:p>
      <w:pPr>
        <w:pStyle w:val="BookText"/>
        <w:rPr/>
      </w:pPr>
      <w:bookmarkEnd w:id="569"/>
      <w:r>
        <w:rPr>
          <w:rFonts w:ascii="Amiri" w:hAnsi="Amiri" w:eastAsia="Amiri" w:cs="Amiri"/>
          <w:color w:val="111111"/>
          <w:sz w:val="28"/>
          <w:sz w:val="28"/>
          <w:szCs w:val="28"/>
          <w:rtl w:val="true"/>
          <w:lang w:bidi="ar-SA"/>
        </w:rPr>
        <w:t xml:space="preserve">المورّث واجداً إلاّ لخيار واحد ، كما لا إشكال في أنّ المورّث لم يكن له خيار بالنسبة إلى الحصص ، فلا معنى لإرث ما لم يتركه المورّث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أفاده مع كونه مخالفاً لأدلّة الإرث مطلقاً ، مخالف للنبوي ؛ فإنّ مقتضاه أنّ ما تركه الميّت موروث ، ومن المعلوم أنّ الميّت ما ترك الخيار في الحصص </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331918_2142443653"/>
      <w:bookmarkStart w:id="571" w:name="_Toc208"/>
      <w:bookmarkEnd w:id="570"/>
      <w:r>
        <w:rPr>
          <w:rtl w:val="true"/>
        </w:rPr>
        <w:t>الموارد التي توهّم النقض على عدم انقسام الحقّ الشخصي</w:t>
      </w:r>
      <w:bookmarkEnd w:id="571"/>
    </w:p>
    <w:p>
      <w:pPr>
        <w:pStyle w:val="BookText"/>
        <w:rPr/>
      </w:pPr>
      <w:r>
        <w:rPr>
          <w:rFonts w:ascii="Amiri" w:hAnsi="Amiri" w:eastAsia="Amiri" w:cs="Amiri"/>
          <w:color w:val="111111"/>
          <w:sz w:val="28"/>
          <w:sz w:val="28"/>
          <w:szCs w:val="28"/>
          <w:rtl w:val="true"/>
          <w:lang w:bidi="ar-SA"/>
        </w:rPr>
        <w:t>ثمّ إنّه قد يتوهّم ، ورود النقض على ما تقدّم</w:t>
      </w:r>
      <w:r>
        <w:rPr>
          <w:rStyle w:val="FootnoteAnchor"/>
          <w:rtl w:val="true"/>
        </w:rPr>
        <w:footnoteReference w:id="946"/>
      </w:r>
      <w:r>
        <w:rPr>
          <w:rFonts w:ascii="Amiri" w:hAnsi="Amiri" w:eastAsia="Amiri" w:cs="Amiri"/>
          <w:color w:val="111111"/>
          <w:sz w:val="28"/>
          <w:sz w:val="28"/>
          <w:szCs w:val="28"/>
          <w:rtl w:val="true"/>
          <w:lang w:bidi="ar-SA"/>
        </w:rPr>
        <w:t xml:space="preserve">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الشفعة</w:t>
      </w:r>
      <w:r>
        <w:rPr>
          <w:rStyle w:val="FootnoteAnchor"/>
          <w:rtl w:val="true"/>
        </w:rPr>
        <w:footnoteReference w:id="947"/>
      </w:r>
      <w:r>
        <w:rPr>
          <w:rFonts w:ascii="Amiri" w:hAnsi="Amiri" w:eastAsia="Amiri" w:cs="Amiri"/>
          <w:color w:val="111111"/>
          <w:sz w:val="28"/>
          <w:sz w:val="28"/>
          <w:szCs w:val="28"/>
          <w:rtl w:val="true"/>
          <w:lang w:bidi="ar-SA"/>
        </w:rPr>
        <w:t xml:space="preserve">، فإنّه حقّ شخصي وجزئي حقيقي ، مع أنّه يورث بحسب السهام ، على ما نسب إلى أكثر الفقهاء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عفا أحد الورثة عن نصيبه من الشفعة ، لم تسقط الشفعة ؛ لأنّ الحقّ للجميع ، فلا يسقط حقّ غيره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فيرد عليه عين ما ورد على إرث الخيار ، من الإشكال العقلي من جهتين </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التعدّد والتكثّر في الواحد الحقيقي ، اللازم من بقاء الحقّ مع إسقاط بعض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الحقّ على نسبة السهام ، مع عدم ثبوته للمورّث ، مع أنّ ثبوته للورثة ليس إلاّ بالإرث ، ولا يعقل ذلك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إنّما يرد ، لو كان الحكم ثابتاً ، وثبوت الإرث في حقّ الشفعة محلّ إشكال وخلاف ، وقد نفاه عدّة من الفقهاء ، كالشيخ ، وابن البرّاج ، وابن حمزة ، والطبرسي رحمهما اللّه ، على ما حكي</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عليه برواية طلحة بن زيد ، عن جعفر ، عن أبيه ، عن علي علیهم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تورث الشفعة</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وطلحة وإن كان بترياً </w:t>
      </w:r>
      <w:r>
        <w:rPr>
          <w:rStyle w:val="FootnoteAnchor"/>
          <w:rtl w:val="true"/>
        </w:rPr>
        <w:footnoteReference w:id="951"/>
      </w:r>
      <w:r>
        <w:rPr>
          <w:rFonts w:ascii="Amiri" w:hAnsi="Amiri" w:eastAsia="Amiri" w:cs="Amiri"/>
          <w:color w:val="111111"/>
          <w:sz w:val="28"/>
          <w:sz w:val="28"/>
          <w:szCs w:val="28"/>
          <w:rtl w:val="true"/>
          <w:lang w:bidi="ar-SA"/>
        </w:rPr>
        <w:t xml:space="preserve">، لكن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كتابه معتمد</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سلّمنا ثبوت الإرث فيها بإطلاق الآية المتقدّمة</w:t>
      </w:r>
      <w:r>
        <w:rPr>
          <w:rStyle w:val="FootnoteAnchor"/>
          <w:rtl w:val="true"/>
        </w:rPr>
        <w:footnoteReference w:id="953"/>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والنبوي</w:t>
      </w:r>
      <w:r>
        <w:rPr>
          <w:rStyle w:val="FootnoteAnchor"/>
          <w:rtl w:val="true"/>
        </w:rPr>
        <w:footnoteReference w:id="954"/>
      </w:r>
      <w:r>
        <w:rPr>
          <w:rFonts w:ascii="Amiri" w:hAnsi="Amiri" w:eastAsia="Amiri" w:cs="Amiri"/>
          <w:color w:val="111111"/>
          <w:sz w:val="28"/>
          <w:sz w:val="28"/>
          <w:szCs w:val="28"/>
          <w:rtl w:val="true"/>
          <w:lang w:bidi="ar-SA"/>
        </w:rPr>
        <w:t xml:space="preserve">، وتركنا رواية طلحة ، لكن لا دليل على كيفية ثبوته ، وهي أيضاً محلّ خلاف ، والقرينة العقلية المتقدّمة الحاكمة بثبوته لصرف الوجود ، أو للمجموع ، قائمة في المقام ، ولازمه عدم السقوط إلاّ بإسقاط الجميع ، وعدم حصول التملّك إلاّ بتملّك الجميع ، وعدم كونه على نسبة السهام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ثبوت الشهرة على خلاف ما ذكر ، فهي مبنيّة على اجتهادهم من أدلّة الإرث ، ومثل هذه الشهرة ليست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مقام الدفع عن استقلال كلّ بالعفو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ذلك ليس بالإسقاط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إلاّ للمجموع ، بل من باب إخراج نفسه عن المجموع ، وعن الطرفية لإضافة الحقّ ، وعدم المعية في الأخذ به ، وهذا لا مانع منه ؛ لأنّ هذه المعية له ، لا عليه ، فله الخروج عنها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غاية الإشكال ؛ ضرورة أنّ الإخراج عن موضوع ما تعلّق به الحكم أو الحقّ ، ليس اختيارياً ، ومجرّد البناء على عدم المعية ، لا يوجب ثبوت الحكم أو الحقّ لما عداه ، وكون المعية له لا يوجب إمكانه ، فهل يمكن لصاحب الحيوان الذي هو موضوع حقّ الخيار ، البناء على أن لا يكون كذلك ، من دون إسقاط الحقّ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أوضح من أن يحتاج إلى النقد ، والجواب ما تقدّم</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القذف ، فإنّه حقّ واحد للمقذوف ، مع أنّ بقاء الحقّ لبعض الورثة عند عفو بعضهم ، منصوص</w:t>
      </w:r>
      <w:r>
        <w:rPr>
          <w:rStyle w:val="FootnoteAnchor"/>
          <w:rtl w:val="true"/>
        </w:rPr>
        <w:footnoteReference w:id="957"/>
      </w:r>
      <w:r>
        <w:rPr>
          <w:rFonts w:ascii="Amiri" w:hAnsi="Amiri" w:eastAsia="Amiri" w:cs="Amiri"/>
          <w:color w:val="111111"/>
          <w:sz w:val="28"/>
          <w:sz w:val="28"/>
          <w:szCs w:val="28"/>
          <w:rtl w:val="true"/>
          <w:lang w:bidi="ar-SA"/>
        </w:rPr>
        <w:t>فيرد عليه ما ورد في إرث الخيار</w:t>
      </w:r>
      <w:r>
        <w:rPr>
          <w:rStyle w:val="FootnoteAnchor"/>
          <w:rtl w:val="true"/>
        </w:rPr>
        <w:footnoteReference w:id="958"/>
      </w:r>
      <w:r>
        <w:rPr>
          <w:rFonts w:ascii="Amiri" w:hAnsi="Amiri" w:eastAsia="Amiri" w:cs="Amiri"/>
          <w:color w:val="111111"/>
          <w:sz w:val="28"/>
          <w:sz w:val="28"/>
          <w:szCs w:val="28"/>
          <w:rtl w:val="true"/>
          <w:lang w:bidi="ar-SA"/>
        </w:rPr>
        <w:t xml:space="preserve">؛ لأنّ ثبوت الحقّ لكلّ مستقلاًّ محال ، لأنّ الواحد الشخصي ، لا يعقل فيه التعدّد والتكثّر ، </w:t>
      </w:r>
    </w:p>
    <w:p>
      <w:pPr>
        <w:pStyle w:val="BookText"/>
        <w:rPr/>
      </w:pPr>
      <w:r>
        <w:rPr>
          <w:rFonts w:ascii="Amiri" w:hAnsi="Amiri" w:eastAsia="Amiri" w:cs="Amiri"/>
          <w:color w:val="111111"/>
          <w:sz w:val="28"/>
          <w:sz w:val="28"/>
          <w:szCs w:val="28"/>
          <w:rtl w:val="true"/>
          <w:lang w:bidi="ar-SA"/>
        </w:rPr>
        <w:t xml:space="preserve">وإن كان الحقّ ثابتاً للمجموع ، فلازمه الاجتماع في العفو والإجراء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لا دليل على أنّ ثبوت الحقّ لكلّ من الورثة ، من قبل التوريث ، بل الدليل على خلافه ، ففي موثّقة عمّار الساباطي</w:t>
      </w:r>
      <w:r>
        <w:rPr>
          <w:rStyle w:val="FootnoteAnchor"/>
          <w:rtl w:val="true"/>
        </w:rPr>
        <w:footnoteReference w:id="959"/>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الحدّ لا يورث كما تورث الديَة والمال ، ولكن من قام به من الورثة فهو وليّه ، ومن تركه فلم يطلبه فلا حقّ له ، وذلك مثل رجل قذف ، وللمقذوف أخوان ، فإن عفا عنه أحدهما ، كان للآخر أن يطلبه بحقّه ؛ لأ نّها اُمّهما جميعاً ، والعفو إليهما جميعاً</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موثّقة السكوني</w:t>
      </w:r>
      <w:r>
        <w:rPr>
          <w:rStyle w:val="FootnoteAnchor"/>
          <w:rtl w:val="true"/>
        </w:rPr>
        <w:footnoteReference w:id="961"/>
      </w:r>
      <w:r>
        <w:rPr>
          <w:rFonts w:ascii="IRNazanin" w:hAnsi="IRNazanin" w:eastAsia="IRNazanin"/>
          <w:color w:val="111111"/>
          <w:sz w:val="28"/>
          <w:sz w:val="28"/>
          <w:szCs w:val="28"/>
          <w:rtl w:val="true"/>
          <w:lang w:bidi="fa-IR"/>
        </w:rPr>
        <w:t xml:space="preserve">،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لا يورث</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نفي إرث الحدّ ، هو نفي إرث حقّ الحدّ ؛ ضرورة أ نّه لا معنى لإرث نفس الحدّ ، فثبوت حقّ الحدّ لكلّ ليس بالإرث ، بل حكم ابتدائي لأولياء الميّت لكلٍّ مستقلاًّ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اجتمعوا على مطالبة الحدّ ، لا يجري إلاّ حدّ واحد ، ولكلٍّ مستقلاًّ مطالبة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قذف الاُمّ أو الاُخت مثلاً ، موجب لثبوت حقّ للقريب منها ، وإن كانت الاُمّ مقدّمة عليهم في ذلك مع حياتها ، وبالجملة لم يثبت صحّة النقض في المورد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القصاص الذي ورد فيه أنّ لكلٍّ من الأولياء مطالبته ، ولو عفا بعض ثبت للآخرين ، مع أداء سهم الدية إلى ورثة المقتول في بعض الصور ، وإلى بعض الورثة في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حقّ القصاص لأولياء الميّت ، ليس بالإرث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ثبوته لكلٍّ منهم مستقلاًّ ، وظاهر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جعل السلطنة للوليّ ، ولازمه تكثّرها بتكثّره ، فلكلّ سلطنة مستقلّة ، ولكلّ مطالبة الدية فيما جازت فيه مطالبة الدية ،</w:t>
      </w:r>
    </w:p>
    <w:p>
      <w:pPr>
        <w:pStyle w:val="BookText"/>
        <w:rPr/>
      </w:pPr>
      <w:r>
        <w:rPr>
          <w:rFonts w:ascii="Amiri" w:hAnsi="Amiri" w:eastAsia="Amiri" w:cs="Amiri"/>
          <w:color w:val="111111"/>
          <w:sz w:val="28"/>
          <w:sz w:val="28"/>
          <w:szCs w:val="28"/>
          <w:rtl w:val="true"/>
          <w:lang w:bidi="ar-SA"/>
        </w:rPr>
        <w:t xml:space="preserve">ولكلّ مطالبة القصاص ، ومع اختلافهم يقتصّ طالب القصاص ، مع أداء سهم غيره من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مات أحد الورثة يورث حقّه ، ولا دليل على كيفية إرثه ، بل لا بدّ من العمل فيها على القواعد ، بل لا يبعد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بثبوته لكلّ من الورثة مستقلاًّ ؛ باعتبار أ نّه أيضاً من الأولياء ، وإن تقدّم بعض على بعض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ثبوت نقض على ما ذكر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 نّه لو ثبت في مورد خلاف ما حكم به العقل ، فلا بدّ من توجيهه ، ولو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تعبّدي ، والتكثّر والتجزّؤ حكميان ، لا واقعيان ، فيعمل في مورد إرث الخيار على القواعد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لازم كون الخيار للمجموع أو لصرف الوجود ، عدم تأثير الفسخ إلاّ مع اجتماعهم ، وعدم تأثير التنفيذ أيضاً إلاّ معه ، وليس للوارث المريد للفسخ ، إلزام غيره عليه ، كما ليس له إلزامه على الإسقاط ، وهو واضح </w:t>
      </w:r>
      <w:r>
        <w:rPr>
          <w:rFonts w:eastAsia="Amiri" w:cs="Amiri" w:ascii="Amiri" w:hAnsi="Amiri"/>
          <w:color w:val="111111"/>
          <w:sz w:val="28"/>
          <w:szCs w:val="28"/>
          <w:rtl w:val="true"/>
          <w:lang w:bidi="ar-SA"/>
        </w:rPr>
        <w:t xml:space="preserve">. </w:t>
      </w:r>
      <w:bookmarkStart w:id="572" w:name="pg15222_162546"/>
    </w:p>
    <w:p>
      <w:pPr>
        <w:pStyle w:val="Heading3"/>
        <w:numPr>
          <w:ilvl w:val="2"/>
          <w:numId w:val="1"/>
        </w:numPr>
        <w:rPr/>
      </w:pPr>
      <w:bookmarkStart w:id="573" w:name="__RefHeading___Toc3331920_2142443653"/>
      <w:bookmarkStart w:id="574" w:name="_Toc209"/>
      <w:bookmarkEnd w:id="572"/>
      <w:bookmarkEnd w:id="573"/>
      <w:r>
        <w:rPr>
          <w:rtl w:val="true"/>
        </w:rPr>
        <w:t xml:space="preserve">فرع </w:t>
      </w:r>
      <w:r>
        <w:rPr>
          <w:rtl w:val="true"/>
        </w:rPr>
        <w:t xml:space="preserve">: </w:t>
      </w:r>
      <w:r>
        <w:rPr>
          <w:rtl w:val="true"/>
        </w:rPr>
        <w:t>حول الإشكال في تحقّق ماهية الفسخ بفسخ الورثة</w:t>
      </w:r>
      <w:bookmarkEnd w:id="574"/>
    </w:p>
    <w:p>
      <w:pPr>
        <w:pStyle w:val="Heading4"/>
        <w:numPr>
          <w:ilvl w:val="3"/>
          <w:numId w:val="1"/>
        </w:numPr>
        <w:rPr/>
      </w:pPr>
      <w:bookmarkStart w:id="575" w:name="__RefHeading___Toc3331922_2142443653"/>
      <w:bookmarkStart w:id="576" w:name="_Toc210"/>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 xml:space="preserve">إذا اجتمع الورثة على الفسخ ، أو فسخ الوارث المنفرد ، فإمّا أن تكون العين باقيةً في التركة ، أو تكون تالفة إمّا في زمان حياة المورّث أو بعد موته قبل فسخ الورثة ، سواء كان التلف حقيقياً ، أو بحكمه كالبيع اللازم ، ومع التلف قد تكون للميّت تركة ، وقد لا تكون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جميع الصور ، يقع إشكال في تحقّق ماهية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الإرث بحسب العرف واللغة</w:t>
      </w:r>
      <w:r>
        <w:rPr>
          <w:rStyle w:val="FootnoteAnchor"/>
          <w:rtl w:val="true"/>
        </w:rPr>
        <w:footnoteReference w:id="964"/>
      </w:r>
      <w:r>
        <w:rPr>
          <w:rFonts w:ascii="Amiri" w:hAnsi="Amiri" w:eastAsia="Amiri" w:cs="Amiri"/>
          <w:color w:val="111111"/>
          <w:sz w:val="28"/>
          <w:sz w:val="28"/>
          <w:szCs w:val="28"/>
          <w:rtl w:val="true"/>
          <w:lang w:bidi="ar-SA"/>
        </w:rPr>
        <w:t xml:space="preserve">، وظواهر الأدلّة ، ما انتقل إلى الورثة ، فالموت سبب عند العرف لانتقال مال الميّت إلى ورثته ، ولا دليل من الشارع الأعظم على خلافه ، بل الظاهر منه ذلك ، كما يظهر بالرجوع إلى أدلّته كتاباً وسنّة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احتمالات اُخر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ليس من قبيل انتقال المال إلى الوارث ، بل من قبيل تبدّل المالك والمستحقّ ؛ بقيام الوارث مقام المورّث</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لو رجع إلى محصّل ، لم يفترق عن الأوّل في حصول الملك للورثة ، وعدم بقائه على ملك الميّت ، لكنّه لا دليل عليه ، بل هو أمر بعيد عن الأذهان ، </w:t>
      </w:r>
    </w:p>
    <w:p>
      <w:pPr>
        <w:pStyle w:val="BookText"/>
        <w:rPr/>
      </w:pPr>
      <w:r>
        <w:rPr>
          <w:rFonts w:ascii="Amiri" w:hAnsi="Amiri" w:eastAsia="Amiri" w:cs="Amiri"/>
          <w:color w:val="111111"/>
          <w:sz w:val="28"/>
          <w:sz w:val="28"/>
          <w:szCs w:val="28"/>
          <w:rtl w:val="true"/>
          <w:lang w:bidi="ar-SA"/>
        </w:rPr>
        <w:t xml:space="preserve">ومخالف للتوريث الثابت عند العقلاء ، ولظاهر أدلّة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الورثة منزّلة منزلة مورّثهم ، فلا نقل ولا قيام مقامه ، بل الملك والحقّ باقيان للميّت بوجوده التنزيلي</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نائب عن المورّث في التصرّفات</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إشكال في فساد الوجهين ، فالوجه المتعيّن هو انتقال المال والحقّ إلى الورّاث ، وعليه فلا يعقل تحقّق ماهية الفسخ في إرث الخيار ؛ لأ نّها عبارة عن انحلال العقد الخاصّ الجزئي ، اللازم منه رجوع كلّ عوض إلى محلّه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خرج العوضان عن ملك البائع والمشتري بالبيع ، ورجعا بالفسخ إلى غيرهما ، كان ذلك خلفاً ؛ لفرض أنّ الفسخ حلّ البيع الشخصي الواقع على العوضين ، الخارجين عن ملك صاحبهما ، وإرجاعهما إلى محلّهما </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يرد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خرج بالموت عن ملك الميّت ، وصار ملك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الوجهين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يتحقّق بالنسبة إليه الفسخ بالمعنى المذكور ، ولا يعقل أن يؤثّر الفسخ في عود المال الموروث إلى الميّت ، ثمّ إخراجه عن ملكه إلى المشتري</w:t>
      </w:r>
      <w:r>
        <w:rPr>
          <w:rStyle w:val="FootnoteAnchor"/>
          <w:rtl w:val="true"/>
        </w:rPr>
        <w:footnoteReference w:id="968"/>
      </w:r>
      <w:r>
        <w:rPr>
          <w:rFonts w:ascii="Amiri" w:hAnsi="Amiri" w:eastAsia="Amiri" w:cs="Amiri"/>
          <w:color w:val="111111"/>
          <w:sz w:val="28"/>
          <w:sz w:val="28"/>
          <w:szCs w:val="28"/>
          <w:rtl w:val="true"/>
          <w:lang w:bidi="ar-SA"/>
        </w:rPr>
        <w:t xml:space="preserve">؛ ضرورة عدم معقولية إيقاع أمرين مترتّبين بإنشاء واحد </w:t>
      </w:r>
      <w:r>
        <w:rPr>
          <w:rFonts w:eastAsia="Amiri" w:cs="Amiri" w:ascii="Amiri" w:hAnsi="Amiri"/>
          <w:color w:val="111111"/>
          <w:sz w:val="28"/>
          <w:szCs w:val="28"/>
          <w:rtl w:val="true"/>
          <w:lang w:bidi="ar-SA"/>
        </w:rPr>
        <w:t xml:space="preserve">. </w:t>
      </w:r>
      <w:bookmarkStart w:id="577" w:name="pg15222_162548"/>
    </w:p>
    <w:p>
      <w:pPr>
        <w:pStyle w:val="BookText"/>
        <w:rPr/>
      </w:pPr>
      <w:bookmarkEnd w:id="577"/>
      <w:r>
        <w:rPr>
          <w:rFonts w:ascii="Amiri" w:hAnsi="Amiri" w:eastAsia="Amiri" w:cs="Amiri"/>
          <w:color w:val="111111"/>
          <w:sz w:val="28"/>
          <w:sz w:val="28"/>
          <w:szCs w:val="28"/>
          <w:rtl w:val="true"/>
          <w:lang w:bidi="ar-SA"/>
        </w:rPr>
        <w:t xml:space="preserve">مضافاً إلى أنّ شأن الفسخ هو حلّ العقد ، لا نقل العين إلى ذي الخيار لتحقّق معنى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إمّا من الالتزام ، بأنّ الإرث لا يوجب ملكية الورثة ، إمّا حقيقة ، أو تنزيلاً ، وهو فاسد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الالتزام بأنّ الفسخ لا يقتضي إلاّ حلّ العقد ، من غير دخالة للإضافة إلى المتعاملين ، وهو أيضاً على خلاف الواقع من انحلال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لا يلزم أن يكون مبادلة العوضين في الملكية ، كبيع الوقف والزكاة ، لكن لو باع المالك ، لا محالة يقع التبادل بين المالين في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الحلّ إرجاع ملكيتهما إلى حال ما قبل البيع ، فلا يعقل أن يحصل به خلاف ما أوجب البيع ؛ بأن يرجع ملكية غير الملكية المنتقلة بالبيع ، وإلاّ رجع إلى تملّك جديد ، وهو ليس مقتضى الفسخ والحلّ ، فما في كلمات بعض الأعيان</w:t>
      </w:r>
      <w:r>
        <w:rPr>
          <w:rStyle w:val="FootnoteAnchor"/>
          <w:rtl w:val="true"/>
        </w:rPr>
        <w:footnoteReference w:id="969"/>
      </w:r>
      <w:r>
        <w:rPr>
          <w:rFonts w:ascii="Amiri" w:hAnsi="Amiri" w:eastAsia="Amiri" w:cs="Amiri"/>
          <w:color w:val="111111"/>
          <w:sz w:val="28"/>
          <w:sz w:val="28"/>
          <w:szCs w:val="28"/>
          <w:rtl w:val="true"/>
          <w:lang w:bidi="ar-SA"/>
        </w:rPr>
        <w:t xml:space="preserve">ليس على ما ينبغي ، فبقي الإشكال على قالبه على ما سلكوا في باب البيع والفسخ </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3331924_2142443653"/>
      <w:bookmarkStart w:id="579" w:name="_Toc211"/>
      <w:bookmarkEnd w:id="578"/>
      <w:r>
        <w:rPr>
          <w:rtl w:val="true"/>
        </w:rPr>
        <w:t>الجواب عن الإشكال</w:t>
      </w:r>
      <w:bookmarkEnd w:id="579"/>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وكذا سائر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إيقاعاً وعقداً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المبادلات أو الإيجادات الإنشائية ، من غير دخالة لترتّب الآثار المطلوبة عليها ، وإنّما المتعاملان يوجدان موضوع حكم العقلاء أو الشارع ، لا نفس الآثار الواقعية المتوقّف تحقّقها على اعتبارهما ، والحلّ مقابله ، </w:t>
      </w:r>
    </w:p>
    <w:p>
      <w:pPr>
        <w:pStyle w:val="BookText"/>
        <w:rPr/>
      </w:pPr>
      <w:r>
        <w:rPr>
          <w:rFonts w:ascii="Amiri" w:hAnsi="Amiri" w:eastAsia="Amiri" w:cs="Amiri"/>
          <w:color w:val="111111"/>
          <w:sz w:val="28"/>
          <w:sz w:val="28"/>
          <w:szCs w:val="28"/>
          <w:rtl w:val="true"/>
          <w:lang w:bidi="ar-SA"/>
        </w:rPr>
        <w:t xml:space="preserve">وإنّما ينفسخ به المعنى الإنشائي ، لا ما تترتّب عليه من الآثار ؛ ممّا خرجت عن قدرة المتعاملين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انفسخ العقد ، يرجع كلّ من العوضين إلى محلّه إنشاء ، ومع وجودهما يحكم العقلاء بعود المبيع إلى البائع ، والثمن إلى المشتري ، ومع عدمهما أو عدم أحدهما ، يحكمون بالمثل أو القيمة من باب الغرامة ، لا من باب رجوع المثلية أو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فرض أنّ العين المشتراة بالبيع الخياري ، خرجت عن ملك المشتري مثلاً بنقل لازم أو جائز ، ثمّ رجعت إليه ببيع أو نحوه ، ثمّ انفسخ العقد الأوّل الواقع عليها بسبب الخيار ، فلا إشكال في أنّ الحكم العقلائي ، هو دفعها إلى صاحبها الأوّل ، لا تأدية المثل أو 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لوازم ما قلناه في ماهية البيع والفسخ ، ولولاه كان اللازم عدم رجوعها بالفسخ ؛ لأ نّها صارت مملوكة بملكية جديدة غير مربوطة بالعقد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المسلك الحقّ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الفسخ من الوارث ، يوجب حلّ العقد الإنشائي ، ورجوع ما خرج بالعقد من ملك المورّث إليه ، وخروج ما دخل به في ملكه عنه إنشاء ؛ قضاء لحقّ الخيار ، وحقيقة الفسخ والحلّ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الفسخ ، يحكم العقلاء والشرع برجوع ما خرج عن ملك الميّت بالعقد إلى ملكه ؛ لأنّ للورثة حقّ فسخ عقد الميّت ، ولازمه ما ذكرناه ، فيصير ما رجع إليه إرثاً للورثة ، وعليهم إرجاع نفس العين إلى الطرف ، غرامة عمّا خرج بالنقل اللازم عن ملكه ؛ أي نفس العين </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وتعيّن العين للغرامة ؛ لأولويتها من المثل والقيمة ، أو لكونها عوضاً عمّا </w:t>
      </w:r>
    </w:p>
    <w:p>
      <w:pPr>
        <w:pStyle w:val="BookText"/>
        <w:rPr/>
      </w:pPr>
      <w:r>
        <w:rPr>
          <w:rFonts w:ascii="Amiri" w:hAnsi="Amiri" w:eastAsia="Amiri" w:cs="Amiri"/>
          <w:color w:val="111111"/>
          <w:sz w:val="28"/>
          <w:sz w:val="28"/>
          <w:szCs w:val="28"/>
          <w:rtl w:val="true"/>
          <w:lang w:bidi="ar-SA"/>
        </w:rPr>
        <w:t>استرجع إلى الميّت بحسب الحكم العقلائي ، لا بحسب البيع والإنشاء ، أو لأنّ العوض لمّا صار ملكاً لهم إرثاً، لا بدّ من إرجاع عوضه؛ لعدم صحّة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عدم حقّ للورثة لتملّكها بمالهم ، مثل ما في حقّ الشفعة ، والفرق بينهما ظاهر ، كما لا شبهة في الوراثة على الحصص والتلقّي من الميّت ، كما أ نّه لا شبهة في عدم إرث الزوجة من الأرض ، إذا رجعت إلى الميّت ، وصارت إرثاً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الصور المتقدّمة في ذلك ، وإن افترقت في بعض الخصوصيات الاُخر ، فلو لم يكن للميّت تركة ، لا بدّ بعد الفسخ من أداء ما على ذمّة الميّت بسببه ، من المال الذي رجع إليه ، ولو زاد صارت الزيادة إرثاً ، ولو نقص بقي على ذمّته ، وليس على الورثة أداؤه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أفاده الشيخ الأعظم قدّس سرّه ، في مقام بيان أنّ للورثة استيفاء الحقّ لنفسهم ، وأ نّهم ليسوا كالوالي والوكيل في استيفاء حقّ الغير ، بل بمنزلة نفس الميّت ، ولهذا جرت السيرة على أنّ ورثة البائع ببيع خيار ردّ الثمن ، يردّون مثله من أموالهم ، ويستردّون المبيع لأنفسهم ، من دون أن يلتزموا بأداء الديون منه بعد الإخراج</w:t>
      </w:r>
      <w:r>
        <w:rPr>
          <w:rStyle w:val="FootnoteAnchor"/>
          <w:rtl w:val="true"/>
        </w:rPr>
        <w:footnoteReference w:id="97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غرابة دعوى السيرة المتّصلة إلى زمان المعصوم علیه السلام ، المفيدة لإثبات الحكم في مثل تلك المسألة النادرة 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على فرض كون الورثة بمنزلة الميّت ، فلا بدّ أن يكون أخذهم بالخيار ، أخذَ الميّت بوجوده </w:t>
      </w:r>
      <w:bookmarkStart w:id="580" w:name="pg15222_162551"/>
    </w:p>
    <w:p>
      <w:pPr>
        <w:pStyle w:val="BookText"/>
        <w:rPr/>
      </w:pPr>
      <w:bookmarkEnd w:id="580"/>
      <w:r>
        <w:rPr>
          <w:rFonts w:ascii="Amiri" w:hAnsi="Amiri" w:eastAsia="Amiri" w:cs="Amiri"/>
          <w:color w:val="111111"/>
          <w:sz w:val="28"/>
          <w:sz w:val="28"/>
          <w:szCs w:val="28"/>
          <w:rtl w:val="true"/>
          <w:lang w:bidi="ar-SA"/>
        </w:rPr>
        <w:t xml:space="preserve">التنزيلي ، فينتقل العوض من الميّت وإليه ، لا إلى الورثة ، فدليله مخالف لمدّعاه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 له من إثبات كون الخيار كحقّ الشفعة ، وأنّ للورثة تملّك العوض بحسب حصصهم ، وهو أيضاً غير وجيه ؛ لأنّ لهم خيار حلّ عقد الميّت ، ولازمه الرجوع إليه ، لا إليهم </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3331926_2142443653"/>
      <w:bookmarkStart w:id="582" w:name="_Toc212"/>
      <w:bookmarkEnd w:id="581"/>
      <w:r>
        <w:rPr>
          <w:rtl w:val="true"/>
        </w:rPr>
        <w:t>حكم فسخ الورثة لو كان للميّت دين مستغرق</w:t>
      </w:r>
      <w:bookmarkEnd w:id="582"/>
    </w:p>
    <w:p>
      <w:pPr>
        <w:pStyle w:val="BookText"/>
        <w:rPr/>
      </w:pPr>
      <w:r>
        <w:rPr>
          <w:rFonts w:ascii="Amiri" w:hAnsi="Amiri" w:eastAsia="Amiri" w:cs="Amiri"/>
          <w:color w:val="111111"/>
          <w:sz w:val="28"/>
          <w:sz w:val="28"/>
          <w:szCs w:val="28"/>
          <w:rtl w:val="true"/>
          <w:lang w:bidi="ar-SA"/>
        </w:rPr>
        <w:t xml:space="preserve">ثمّ إنّه لو كان للميّت دين مستغرق للتركة ، فعلى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حقّ ردّ العوضين واقعاً ، مقابل البيع الذي 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نقل العوضين واقعاً ، لزم عدم نفوذ فسخ الورثة ؛ لأ نّه تصرّف في حقّ الغير ، وهم الديّان المتعلّق حقّهم بالمال ،</w:t>
      </w:r>
    </w:p>
    <w:p>
      <w:pPr>
        <w:pStyle w:val="BookText"/>
        <w:rPr/>
      </w:pPr>
      <w:r>
        <w:rPr>
          <w:rFonts w:ascii="Amiri" w:hAnsi="Amiri" w:eastAsia="Amiri" w:cs="Amiri"/>
          <w:color w:val="111111"/>
          <w:sz w:val="28"/>
          <w:sz w:val="28"/>
          <w:szCs w:val="28"/>
          <w:rtl w:val="true"/>
          <w:lang w:bidi="ar-SA"/>
        </w:rPr>
        <w:t xml:space="preserve">وليس لدليل إرث الحقّ إطلاق ، يثبت به النفوذ مع مزاحمة حقّ الغير ، أو مع التصرّف في حقّه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الفسخ حلّ العقد الإنشائي ،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حلّه وإن لم يكن تصرّفاً في حقّ الغير ، إلاّ أنّ نفوذه محلّ إشكال ؛ لأ نّه تنفيذ نقل متعلّق حقّ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 العقد إذا كان بحقّ ، فلازمه القهري تبديل موضوع الحقّ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متعلّق بمال الميّت ، والفسخ يرفع موضوعه ، ويقيم آخر محلّه ، فتأمّل </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ثبوت حقّ الفسخ ، فلا وجه لاشتراط المصلحة للديّان وضعاً أو تكليفاً ، كما لا يجوز لهم المنع عن إعماله ، أو الإلزام به ، وهو واضح </w:t>
      </w:r>
      <w:r>
        <w:rPr>
          <w:rFonts w:eastAsia="Amiri" w:cs="Amiri" w:ascii="Amiri" w:hAnsi="Amiri"/>
          <w:color w:val="111111"/>
          <w:sz w:val="28"/>
          <w:szCs w:val="28"/>
          <w:rtl w:val="true"/>
          <w:lang w:bidi="ar-SA"/>
        </w:rPr>
        <w:t xml:space="preserve">. </w:t>
      </w:r>
      <w:bookmarkStart w:id="583" w:name="pg15222_162552"/>
    </w:p>
    <w:p>
      <w:pPr>
        <w:pStyle w:val="Heading3"/>
        <w:numPr>
          <w:ilvl w:val="2"/>
          <w:numId w:val="1"/>
        </w:numPr>
        <w:rPr/>
      </w:pPr>
      <w:bookmarkStart w:id="584" w:name="__RefHeading___Toc3331928_2142443653"/>
      <w:bookmarkStart w:id="585" w:name="_Toc213"/>
      <w:bookmarkEnd w:id="583"/>
      <w:bookmarkEnd w:id="584"/>
      <w:r>
        <w:rPr>
          <w:rtl w:val="true"/>
        </w:rPr>
        <w:t>مسألة في أنّ الأجنبيّ لا يورّث الخيار الثابت له</w:t>
      </w:r>
      <w:bookmarkEnd w:id="585"/>
    </w:p>
    <w:p>
      <w:pPr>
        <w:pStyle w:val="BookText"/>
        <w:rPr/>
      </w:pPr>
      <w:r>
        <w:rPr>
          <w:rFonts w:ascii="Amiri" w:hAnsi="Amiri" w:eastAsia="Amiri" w:cs="Amiri"/>
          <w:color w:val="111111"/>
          <w:sz w:val="28"/>
          <w:sz w:val="28"/>
          <w:szCs w:val="28"/>
          <w:rtl w:val="true"/>
          <w:lang w:bidi="ar-SA"/>
        </w:rPr>
        <w:t xml:space="preserve">لو كان الخيار لأجنبيّ ومات ، فهل ينتقل إلى وارثه ؛ استناداً إلى إطلاق دليل الإرث ، أو لا ؛ نظراً إلى عدم انطباق أدلّة الإرث عليه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w:t>
      </w:r>
      <w:r>
        <w:rPr>
          <w:rFonts w:eastAsia="Amiri" w:cs="Amiri" w:ascii="Amiri" w:hAnsi="Amiri"/>
          <w:color w:val="111111"/>
          <w:sz w:val="28"/>
          <w:szCs w:val="28"/>
          <w:rtl w:val="true"/>
          <w:lang w:bidi="ar-SA"/>
        </w:rPr>
        <w:t>. . .)</w:t>
      </w:r>
      <w:r>
        <w:rPr>
          <w:rStyle w:val="FootnoteAnchor"/>
          <w:rtl w:val="true"/>
        </w:rPr>
        <w:footnoteReference w:id="971"/>
      </w:r>
      <w:r>
        <w:rPr>
          <w:rFonts w:ascii="Amiri" w:hAnsi="Amiri" w:eastAsia="Amiri" w:cs="Amiri"/>
          <w:color w:val="111111"/>
          <w:sz w:val="28"/>
          <w:sz w:val="28"/>
          <w:szCs w:val="28"/>
          <w:rtl w:val="true"/>
          <w:lang w:bidi="ar-SA"/>
        </w:rPr>
        <w:t xml:space="preserve">إلى آخره لا ينطبق عليه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إنشاء لا يؤثّر للورثة شيئاً ، وليس حقّ الخيار الثابت للأجنبيّ ، كحقّه الثابت لغير الأجنبيّ ، ولا كحقّ الشفعة والتحجير ونحوهما ، بل إنّه مجرّد حقّ الحلّ لعقد غيره ، وفي مثله لا يصدق عليه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نصيباً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جهة عدم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لا أثر له بالنسبة إليهم ، أو انصراف الدليل عنهما ، ولا أقلّ من الشكّ في صدقه ، والأصل عدمه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قد يكون للخيار أثر للورثة ؛ وهو إعطاء شيء لهم لإعماله ، أو تركه أحياناً </w:t>
      </w:r>
      <w:r>
        <w:rPr>
          <w:rStyle w:val="FootnoteAnchor"/>
          <w:rtl w:val="true"/>
        </w:rPr>
        <w:footnoteReference w:id="972"/>
      </w:r>
      <w:r>
        <w:rPr>
          <w:rFonts w:ascii="Amiri" w:hAnsi="Amiri" w:eastAsia="Amiri" w:cs="Amiri"/>
          <w:color w:val="111111"/>
          <w:sz w:val="28"/>
          <w:sz w:val="28"/>
          <w:szCs w:val="28"/>
          <w:rtl w:val="true"/>
          <w:lang w:bidi="ar-SA"/>
        </w:rPr>
        <w:t xml:space="preserve">مدفوع بأنّ هذا الأمر النادر الوجود ، لا ينظر إليه ، بل </w:t>
      </w:r>
    </w:p>
    <w:p>
      <w:pPr>
        <w:pStyle w:val="BookText"/>
        <w:rPr/>
      </w:pPr>
      <w:r>
        <w:rPr>
          <w:rFonts w:ascii="Amiri" w:hAnsi="Amiri" w:eastAsia="Amiri" w:cs="Amiri"/>
          <w:color w:val="111111"/>
          <w:sz w:val="28"/>
          <w:sz w:val="28"/>
          <w:szCs w:val="28"/>
          <w:rtl w:val="true"/>
          <w:lang w:bidi="ar-SA"/>
        </w:rPr>
        <w:t xml:space="preserve">لا يوجب مثله الصدق أو العلم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أن 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استغرق الدين ؛ لحرمان الورثة عن الأعيان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فاسد ؛ فإنّ الأعيان هناك ، لا تخرج عن إمكان الدخول في ملكهم إرثاً ، ولو بإعطاء الدين من مالهم ، أو بعفو الدائن ، ومثله كافٍ 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وصحّة الإرث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وتبعه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ظاهر الجعل أو محتمله ، مدخلية نفس الأصيل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الخيار مجعول له ، بما هو ذو بصيرة ونظر بأمر العقد ، وأنّ هذه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الغالب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تقييدية ، لا تعليلية</w:t>
      </w:r>
      <w:r>
        <w:rPr>
          <w:rStyle w:val="FootnoteAnchor"/>
          <w:rtl w:val="true"/>
        </w:rPr>
        <w:footnoteReference w:id="975"/>
      </w:r>
      <w:r>
        <w:rPr>
          <w:rFonts w:ascii="Amiri" w:hAnsi="Amiri" w:eastAsia="Amiri" w:cs="Amiri"/>
          <w:color w:val="111111"/>
          <w:sz w:val="28"/>
          <w:sz w:val="28"/>
          <w:szCs w:val="28"/>
          <w:rtl w:val="true"/>
          <w:lang w:bidi="ar-SA"/>
        </w:rPr>
        <w:t xml:space="preserve">، وهذا في الحقيقة تصديق منهما لكونه مورّثاً ، إلاّ إذا جعل بنحو لا يتعدّاه ، فالكبرى مسلّمة عندهما ، والإشكال في الصغرى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في مثله تعليلية بلا إشكال ؛ لأنّ الجاعل لمّا رأى شخصاً ذا بصيرة بأمر العقد ، جعل الخيار له ، لا أ نّه جعل له بقيد أنّه بصير وهو واضح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على فرض قبوله ذاتاً للإرث ، فمع الشكّ في كيفية الجعل ، لا يحكم بالإرث </w:t>
      </w:r>
      <w:r>
        <w:rPr>
          <w:rFonts w:eastAsia="Amiri" w:cs="Amiri" w:ascii="Amiri" w:hAnsi="Amiri"/>
          <w:color w:val="111111"/>
          <w:sz w:val="28"/>
          <w:szCs w:val="28"/>
          <w:rtl w:val="true"/>
          <w:lang w:bidi="ar-SA"/>
        </w:rPr>
        <w:t xml:space="preserve">. </w:t>
      </w:r>
      <w:bookmarkStart w:id="586" w:name="pg15222_162554"/>
    </w:p>
    <w:p>
      <w:pPr>
        <w:pStyle w:val="Heading3"/>
        <w:numPr>
          <w:ilvl w:val="2"/>
          <w:numId w:val="1"/>
        </w:numPr>
        <w:rPr/>
      </w:pPr>
      <w:bookmarkStart w:id="587" w:name="__RefHeading___Toc3331930_2142443653"/>
      <w:bookmarkStart w:id="588" w:name="_Toc214"/>
      <w:bookmarkEnd w:id="586"/>
      <w:bookmarkEnd w:id="587"/>
      <w:r>
        <w:rPr>
          <w:rtl w:val="true"/>
        </w:rPr>
        <w:t xml:space="preserve">مسألة </w:t>
      </w:r>
      <w:r>
        <w:rPr>
          <w:rtl w:val="true"/>
        </w:rPr>
        <w:t xml:space="preserve">: </w:t>
      </w:r>
      <w:r>
        <w:rPr>
          <w:rtl w:val="true"/>
        </w:rPr>
        <w:t>في حصول الفسخ بالفعل</w:t>
      </w:r>
      <w:bookmarkEnd w:id="588"/>
    </w:p>
    <w:p>
      <w:pPr>
        <w:pStyle w:val="Heading4"/>
        <w:numPr>
          <w:ilvl w:val="3"/>
          <w:numId w:val="1"/>
        </w:numPr>
        <w:rPr/>
      </w:pPr>
      <w:bookmarkStart w:id="589" w:name="__RefHeading___Toc3331932_2142443653"/>
      <w:bookmarkStart w:id="590" w:name="_Toc215"/>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ومن أحكام الخيار سقوطه فعلاً كسقوطه قولاً ، وقد مرّ تفصيله في مسقطات خيار الحيوان وغيره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من أحكامه حصول الفسخ بالتصرّف والفعل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إشكال في أنّ تلك الاُمور الاعتبارية التسبيبية ، قد يتسبّب إليها بالقول ، وقد يتسبّب إليها بالفعل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لا بدّ في القول ، من أن يكون للكلام ظهور لغوي أو عرفي في ذلك ، ولو لقيام القرينة على التجوّز أو الكناية المعتبرين عند أهل اللسان ، فلا يعتنى بالقول الذي لا دلالة له عرفاً على ذلك ، وإن قصد به حصوله ، كقصد حصول البيع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العكس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لا بدّ وأن يكون القول آلة عرفية ، لإيقاع الأمر التسبيبي ، مضافاً إلى كون </w:t>
      </w:r>
      <w:bookmarkStart w:id="591" w:name="pg15222_162555"/>
    </w:p>
    <w:p>
      <w:pPr>
        <w:pStyle w:val="BookText"/>
        <w:rPr/>
      </w:pPr>
      <w:bookmarkEnd w:id="591"/>
      <w:r>
        <w:rPr>
          <w:rFonts w:ascii="Amiri" w:hAnsi="Amiri" w:eastAsia="Amiri" w:cs="Amiri"/>
          <w:color w:val="111111"/>
          <w:sz w:val="28"/>
          <w:sz w:val="28"/>
          <w:szCs w:val="28"/>
          <w:rtl w:val="true"/>
          <w:lang w:bidi="ar-SA"/>
        </w:rPr>
        <w:t xml:space="preserve">المتكلّم قاصداً به التسبيب إليه ، فمع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ارتكازاً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الحال في الفعل ، فإنّه إنّما يقع به الفسخ ، فيما إذا كان آلة عقلائية للتسبيب به إليه ، وقصد به الفاعل ذلك ، لا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بعض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حصوله به ولو لم يقصده ، إذا لم يقصد الخلاف</w:t>
      </w:r>
      <w:r>
        <w:rPr>
          <w:rStyle w:val="FootnoteAnchor"/>
          <w:rtl w:val="true"/>
        </w:rPr>
        <w:footnoteReference w:id="977"/>
      </w:r>
      <w:r>
        <w:rPr>
          <w:rFonts w:ascii="Amiri" w:hAnsi="Amiri" w:eastAsia="Amiri" w:cs="Amiri"/>
          <w:color w:val="111111"/>
          <w:sz w:val="28"/>
          <w:sz w:val="28"/>
          <w:szCs w:val="28"/>
          <w:rtl w:val="true"/>
          <w:lang w:bidi="ar-SA"/>
        </w:rPr>
        <w:t>، لا وجه له ، وأمّا حصول الرجعة بالجماع مطلقاً ، فأمر تعبّدي ، لا يقاس به غيره</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3331934_2142443653"/>
      <w:bookmarkStart w:id="593" w:name="_Toc216"/>
      <w:bookmarkEnd w:id="592"/>
      <w:r>
        <w:rPr>
          <w:rtl w:val="true"/>
        </w:rPr>
        <w:t>حكم الشكّ في كون القول أو الفعل فسخاً</w:t>
      </w:r>
      <w:bookmarkEnd w:id="593"/>
    </w:p>
    <w:p>
      <w:pPr>
        <w:pStyle w:val="BookText"/>
        <w:rPr/>
      </w:pPr>
      <w:r>
        <w:rPr>
          <w:rFonts w:ascii="Amiri" w:hAnsi="Amiri" w:eastAsia="Amiri" w:cs="Amiri"/>
          <w:color w:val="111111"/>
          <w:sz w:val="28"/>
          <w:sz w:val="28"/>
          <w:szCs w:val="28"/>
          <w:rtl w:val="true"/>
          <w:lang w:bidi="ar-SA"/>
        </w:rPr>
        <w:t xml:space="preserve">ثمّ إنّه مع الظهور العقلائي للقول أو الفعل ، لو اُحرز عدم قصده أو قصد خلافه ، يلغى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الشكّ فيه ، فيحمل على ما هو الظاهر منهما ؛ لحجّية الظاهر قولاً وفعلاً ، فيرفع به الشكّ ، ولو ادّعى القائل أو الفاعل خلاف ذلك ، لا بدّ عليه من إثباته ؛ لأنّه مدّعٍ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حيواناً وقبضه ، وقبل مضيّ زمان خياره جاء به إلى بيت البائع وردّه إليه ، كان ذلك ظاهراً في الفسخ بالردّ ، فلو ادّعى خلاف ذلك كان مدّعياً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للفعل في نفسه هذا الظهور ، إلاّ إذا علم وجهه ، كما لو تصرّف في المتاع الذي انتقل عنه ، فإنّ مطلق التصرّف ، لا يكون دالاًّ على ردّه في ملكه اعتباراً ، إلاّ مع إرادته ذلك ، فلو تصرّف فيه بغير قصده لم يكن فسخاً ، كما لو تصرّف عدواناً ، أو بتخيّل رضا صاحبه ، أو بتخيّل كونه ملكاً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الحال في التصرّفات الاعتبارية كبيعه ، فإنّه لا يدلّ على الردّ إلاّ إذا قصد به ذلك ، وجعله آلة للفسخ ، وإلاّ فلو باعه فضولاً ، أو بتوهّم كونه وكيلاً ، أو كونه له ، فلا يعدّ ردّاً ، وهو واضح ، هذا بحسب مقام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التصرّف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يحمل على الفسخ ؛ صوناً لفعله عن القبيح والمحرّم ، وحملاً لفعله على الصحّة ؛ بدعوى أنّ أصالة الصحّة في فعله ، من الظواهر المعتبرة شرعاً ، والأمارات العقلائية تثبت بها اللوازم</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الصحّة التي ثبتت ببناء العقلاء ، ودلّت عليها طوائف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الاستصحاب</w:t>
      </w:r>
      <w:r>
        <w:rPr>
          <w:rFonts w:eastAsia="Amiri" w:cs="Amiri" w:ascii="Amiri" w:hAnsi="Amiri"/>
          <w:color w:val="111111"/>
          <w:sz w:val="28"/>
          <w:szCs w:val="28"/>
          <w:rtl w:val="true"/>
          <w:lang w:bidi="ar-SA"/>
        </w:rPr>
        <w:t>»</w:t>
      </w:r>
      <w:r>
        <w:rPr>
          <w:rStyle w:val="FootnoteAnchor"/>
          <w:rtl w:val="true"/>
        </w:rPr>
        <w:footnoteReference w:id="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تجري إلاّ في الأفعال التي تتّصف بالصحّة والفساد والبطلان ، كأنواع العقود والإيقاعات ، وكالصلاة والصوم ونحوهما من أفعال المكلّفين ، دون غيرها ممّا يدور أمره بين القبيح والحسن ، والمحرّم والمباح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دار الأمر بين كون ما شربه خمراً أو ماء ، لا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ولا عند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الحمل على الصحّة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يحمل فعله على الفساد ؛ لعدم إحرازه ، فعدم الحمل عليه شيء ، والحمل على الصحيح شيء آخر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سلّمنا جريانها ، لكن لا شبهة في عدم كونها من الأمارات المثبتة للوازمها ، ففي المثال المتقدّم ، لا تثبت بها مائية المائع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w:t>
      </w:r>
    </w:p>
    <w:p>
      <w:pPr>
        <w:pStyle w:val="BookText"/>
        <w:rPr/>
      </w:pPr>
      <w:r>
        <w:rPr>
          <w:rFonts w:ascii="Amiri" w:hAnsi="Amiri" w:eastAsia="Amiri" w:cs="Amiri"/>
          <w:color w:val="111111"/>
          <w:sz w:val="28"/>
          <w:sz w:val="28"/>
          <w:szCs w:val="28"/>
          <w:rtl w:val="true"/>
          <w:lang w:bidi="ar-SA"/>
        </w:rPr>
        <w:t xml:space="preserve">الوضوء منه عند الشكّ في كونه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 نّها في مورد جريانها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مثل الصلاة والمعاملات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من الأمارات ، فلو توضّأ بمائع يشكّ في مائيته ، يحمل فعله على الصحيح ، وتترتّب عليه آثار الصحّة ، لكن لا يثبت بها كون ما توضّأ به ماء ،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أشار الشيخ الأعظم قدّس سرّه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كلام مذكور في الاُصول</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ذلك على فرضه ، إنّما هو فيما إذا دار الأمر بين الفعل المحرّم والفسخ ، وأمّا لو دار بين اُمور ، كاحتمال كون التصرّف برضا المالك ، أو بتخيّل كونه مالكاً ، أو نحو ذلك ، فلا وجه للجريان ؛ لأنّ فعله غير قبيح ، ولا محرّم ظاهراً على بعض تلك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والحمل في تلك الأفعال التكوينية ، على الصحّة الواقعية ، لا عند الفاعل ، أوّل الكلام ، وفي إثبات ذلك بانضمام أصالة عدم الخطأ والجهل إليها </w:t>
      </w:r>
      <w:r>
        <w:rPr>
          <w:rStyle w:val="FootnoteAnchor"/>
          <w:rtl w:val="true"/>
        </w:rPr>
        <w:footnoteReference w:id="981"/>
      </w:r>
      <w:r>
        <w:rPr>
          <w:rFonts w:ascii="Amiri" w:hAnsi="Amiri" w:eastAsia="Amiri" w:cs="Amiri"/>
          <w:color w:val="111111"/>
          <w:sz w:val="28"/>
          <w:sz w:val="28"/>
          <w:szCs w:val="28"/>
          <w:rtl w:val="true"/>
          <w:lang w:bidi="ar-SA"/>
        </w:rPr>
        <w:t xml:space="preserve">، إشكال في إشكال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كلّ ذلك ، مبنيّ على أن يكون فعله بإرادة الفسخ مصوناً من الحرام ، وسيأتي الكلام فيه</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594" w:name="pg15222_162558"/>
    </w:p>
    <w:p>
      <w:pPr>
        <w:pStyle w:val="Heading4"/>
        <w:numPr>
          <w:ilvl w:val="3"/>
          <w:numId w:val="1"/>
        </w:numPr>
        <w:rPr/>
      </w:pPr>
      <w:bookmarkStart w:id="595" w:name="__RefHeading___Toc3331936_2142443653"/>
      <w:bookmarkStart w:id="596" w:name="_Toc217"/>
      <w:bookmarkEnd w:id="594"/>
      <w:bookmarkEnd w:id="595"/>
      <w:r>
        <w:rPr>
          <w:rtl w:val="true"/>
        </w:rPr>
        <w:t>عدم دلالة التصرّفات الاعتبارية على الفسخ</w:t>
      </w:r>
      <w:bookmarkEnd w:id="596"/>
    </w:p>
    <w:p>
      <w:pPr>
        <w:pStyle w:val="BookText"/>
        <w:rPr/>
      </w:pPr>
      <w:r>
        <w:rPr>
          <w:rFonts w:ascii="Amiri" w:hAnsi="Amiri" w:eastAsia="Amiri" w:cs="Amiri"/>
          <w:color w:val="111111"/>
          <w:sz w:val="28"/>
          <w:sz w:val="28"/>
          <w:szCs w:val="28"/>
          <w:rtl w:val="true"/>
          <w:lang w:bidi="ar-SA"/>
        </w:rPr>
        <w:t xml:space="preserve">وأمّا التصرّفات الاعتبارية كالبيع ونحوه ؛ ممّا لا تقع محرّمة ، وإن لم تكن نافذة بلا إذن المالك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إرادة الانفساخ بها ، بضميمة أصالة عدم الفضولية ، وإنّ المراد بالأصل الظاهر ، فلا يعارض بأصالة عدم الفسخ</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الفضولية تحتاج إلى قيد زائد ، والظهور الإطلاقي يدفعه ، فينكشف به الفسخ ؛ لكونه من الظواهر المعتبرة التي تثبت بها اللوازم ، ولا تعارضها الاُصول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منع كون عدم الفضولية أو كونه لنفسه ، من الظواهر المعتبرة المستندة إلى مفاد الكلام وظاهره ، بل هو من الظنون الخارجية ، التي لا دليل على حجّيتها ؛ فإنّ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هذه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مستند إلى الظاهر المعتبر هو تحقّق بيعها ، وأمّا كونها من نفسه أو عدم كونها لغيره ، فلا يستند إلى ظاهر الكلام ؛ فإنّ كونها لنفسه أو لغيره ، غير دخيل في ماهيته ، بل هو احتمال راجح أحياناً ، لا دليل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في المقام خصوصية ، لأجلها يحتاج الوقوع لنفسه إلى قيد ؛ فإنّ المفروض أنّ السلعة لغير البائع ، وأراد إرجاعها إلى نفسه بالبيع ، وفي مثله يكون مقتضى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وقوعه فضولياً ، والإخراج عنها يحتاج إلى قيد مدفوع بأصالة الإطلاق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والتشبّث بأصالة عدم قصد الغير ، واضح الضعف لوجوه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جريانها في نفسها ؛ لأنّ عدم قصده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حالة سابقة له ، وبنحو التامّة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على فرض جريانها ، لا تثبت كون السلعة له ، أو أ نّه أراد ببيعها الفسخ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إشكال عدم الجريان ذاتاً ، فإنّ هنا أصالة عدم كون السلعة له ، وأصالة عدم ردّ المعاملة ببيعها ، وهي أصل ذو أثر ، خصوصاً الثانية ، وأمّا أصالة عدم كونها لغيره ، فلا أثر لها إلاّ مثبتاً </w:t>
      </w:r>
      <w:r>
        <w:rPr>
          <w:rFonts w:eastAsia="Amiri" w:cs="Amiri" w:ascii="Amiri" w:hAnsi="Amiri"/>
          <w:color w:val="111111"/>
          <w:sz w:val="28"/>
          <w:szCs w:val="28"/>
          <w:rtl w:val="true"/>
          <w:lang w:bidi="ar-SA"/>
        </w:rPr>
        <w:t xml:space="preserve">. </w:t>
      </w:r>
      <w:bookmarkStart w:id="597" w:name="pg15222_162560"/>
    </w:p>
    <w:p>
      <w:pPr>
        <w:pStyle w:val="Heading3"/>
        <w:numPr>
          <w:ilvl w:val="2"/>
          <w:numId w:val="1"/>
        </w:numPr>
        <w:rPr/>
      </w:pPr>
      <w:bookmarkStart w:id="598" w:name="__RefHeading___Toc3331938_2142443653"/>
      <w:bookmarkStart w:id="599" w:name="_Toc218"/>
      <w:bookmarkEnd w:id="597"/>
      <w:bookmarkEnd w:id="598"/>
      <w:r>
        <w:rPr>
          <w:rtl w:val="true"/>
        </w:rPr>
        <w:t xml:space="preserve">مسألة </w:t>
      </w:r>
      <w:r>
        <w:rPr>
          <w:rtl w:val="true"/>
        </w:rPr>
        <w:t xml:space="preserve">: </w:t>
      </w:r>
      <w:r>
        <w:rPr>
          <w:rtl w:val="true"/>
        </w:rPr>
        <w:t>في أنّ التصرّف سبب للفسخ لا كاشف عنه</w:t>
      </w:r>
      <w:bookmarkEnd w:id="599"/>
    </w:p>
    <w:p>
      <w:pPr>
        <w:pStyle w:val="Heading4"/>
        <w:numPr>
          <w:ilvl w:val="3"/>
          <w:numId w:val="1"/>
        </w:numPr>
        <w:rPr/>
      </w:pPr>
      <w:bookmarkStart w:id="600" w:name="__RefHeading___Toc3331940_2142443653"/>
      <w:bookmarkStart w:id="601" w:name="_Toc219"/>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هل الفسخ يحصل بنفس التصرّف ، أو يحصل قبله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التصرّف سبب ، أو كاشف ؟</w:t>
      </w:r>
    </w:p>
    <w:p>
      <w:pPr>
        <w:pStyle w:val="BookText"/>
        <w:rPr/>
      </w:pPr>
      <w:r>
        <w:rPr>
          <w:rFonts w:ascii="Amiri" w:hAnsi="Amiri" w:eastAsia="Amiri" w:cs="Amiri"/>
          <w:color w:val="111111"/>
          <w:sz w:val="28"/>
          <w:sz w:val="28"/>
          <w:szCs w:val="28"/>
          <w:rtl w:val="true"/>
          <w:lang w:bidi="ar-SA"/>
        </w:rPr>
        <w:t xml:space="preserve">وليعلم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إذا اُريد به الردّ الاعتباري والفسخ ، يحصل ذلك به ولو وقع محرّماً ، فلو أخذ سلعته من المشتري ، قاصداً به الردّ الاعتباري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تصرّفه محرّم ، لا ريب في تحقّق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باعها قاصداً به ذلك ، يحصل الفسخ ، ولو كان البيع باطلاً ؛ فإنّ ما هو الموجب للردّ ، إنشاء البيع جدّاً بقصد الفسخ ، وترتّبُ الأثر العقلائي عليه ، لا دخالة له فيه ، وبذلك تدفع الإشكالات الآتية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ينبغي الإشكال ، في أنّ الفعل كالقول في سببيته لتحقّق المعاملات ؛ من العقود والإيقاعات، والدلالة العرفية والعقلائية في بعض الأفعال، ممّا لا ريب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فكما أنّ التكليف أمراً أو نهياً ، قد يقع بالإشارة المفهمة ، كذلك الوضعيات ، ولا أثر لنفس النيّة والقصد ، بل ولا للإنشاء النفساني في تحقّق المسبّبات الاعتبارية عند العقلاء ، وإن اُبرزت بغير ما هو آلة لإيقاعها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حمد اللّه تعالى قاصداً به سقوط الخيار ، والرضا بالبيع ، لم يسقط به ، كما لو استعاذ باللّه قاصداً به فسخه لم ينفسخ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التصرّف كاشفاً محضاً ، وكان السبب التامّ هو الكراهة الباطنية ، لما صحّ الفرق بين الكواشف ، ولا أظنّ التزام القائل بالكشف به ، ولو التزم لخالف العرف والشرع ، وقد ذكرنا في خيار الحيوان ، دلالة بعض الأخبار ، على عدم مسقطية بعض الأفعال ، كالركوب</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كون بعض الأفعال سبباً ، لا كاشفاً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بالكشف ، إن ادّعى أنّ الفعل غير صالح للتسبيب ، كما هو ظاهر كلام الشيخ الأعظم قدّس سرّه </w:t>
      </w:r>
      <w:r>
        <w:rPr>
          <w:rStyle w:val="FootnoteAnchor"/>
          <w:rtl w:val="true"/>
        </w:rPr>
        <w:footnoteReference w:id="986"/>
      </w:r>
      <w:r>
        <w:rPr>
          <w:rFonts w:ascii="Amiri" w:hAnsi="Amiri" w:eastAsia="Amiri" w:cs="Amiri"/>
          <w:color w:val="111111"/>
          <w:sz w:val="28"/>
          <w:sz w:val="28"/>
          <w:szCs w:val="28"/>
          <w:rtl w:val="true"/>
          <w:lang w:bidi="ar-SA"/>
        </w:rPr>
        <w:t xml:space="preserve">فهو واضح النظر ، ولا أظنّ أن يلتزم به في الأبواب المختلفة في الفقه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ادّعى أنّ الفسخ لا يحتاج إلى تسبيب ، بل هو رجوع إلى الملكية السابقة ، وهو يحصل بمجرّد الكراهة ، من غير احتياج إلى الجعل ، نظير التمسّك بالزوجية في الطلاق الرجعي</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ففيه ما لا يخفى ؛ فإنّ الفسخ عرفاً وعقلاً حلّ العقد ، ورجوع الملك أثره ، لا أ نّه تمسّك بالملكية ابتداءً ، والقياس بالطلاق الرجعي مع الفارق ، مع أنّ تحقّق الرجوع هنا بتعبّد شرعي في بعض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استفادة حصول الفسخ بمجرّد الكراهة ، ممّا وردت في سقوط خيار الحيوان بالرضا ؛ فإنّ الكراهة مقابل الرضا ، فكما يلزم البيع ويسقط الخيار بالرضا ، يحصل الفسخ بالكراهة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مضافا إلى فساده في المقيس عليه ، على ما تقدّم الكلام فيه</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مع الفارق ؛ فإنّ الالتزام بالبيع مقابل الخيار ومضادّه ، ولا يمكن الجمع بينهما في وقت واحد ، والرضا الزائد عمّا هو دخيل في أصل المعاملة ، ملازم للالتزام بها ، فلا محالة يسقط به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كراهة العقد ، فلا تنافي بقاء العقد ، ولا تلازم الفسخ والحلّ ، وإظهار الكراهة لا يوجب الفسخ ، بخلاف إظهار الرضا بنحو 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أنّ إطلاق أخبار الخيار ، دلّ على جواز الفسخ بالفعل والتصرّف</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الجواز التكليفي ليس مفاد الأخبار ، والوضعي لا يفيد ؛ لأنّ مقتضاه وقوع الفسخ بالفعل المحرّم ، مع أنّ الحكم حيثي ، نظير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الناس </w:t>
      </w:r>
    </w:p>
    <w:p>
      <w:pPr>
        <w:pStyle w:val="BookText"/>
        <w:rPr/>
      </w:pPr>
      <w:r>
        <w:rPr>
          <w:rFonts w:ascii="Amiri" w:hAnsi="Amiri" w:eastAsia="Amiri" w:cs="Amiri"/>
          <w:color w:val="111111"/>
          <w:sz w:val="28"/>
          <w:sz w:val="28"/>
          <w:szCs w:val="28"/>
          <w:rtl w:val="true"/>
          <w:lang w:bidi="ar-SA"/>
        </w:rPr>
        <w:t xml:space="preserve">مسلّطون </w:t>
      </w:r>
      <w:r>
        <w:rPr>
          <w:rFonts w:eastAsia="Amiri" w:cs="Amiri" w:ascii="Amiri" w:hAnsi="Amiri"/>
          <w:color w:val="111111"/>
          <w:sz w:val="28"/>
          <w:szCs w:val="28"/>
          <w:rtl w:val="true"/>
          <w:lang w:bidi="ar-SA"/>
        </w:rPr>
        <w:t>. . .»</w:t>
      </w:r>
      <w:r>
        <w:rPr>
          <w:rStyle w:val="FootnoteAnchor"/>
          <w:rtl w:val="true"/>
        </w:rPr>
        <w:footnoteReference w:id="991"/>
      </w:r>
      <w:r>
        <w:rPr>
          <w:rFonts w:ascii="Amiri" w:hAnsi="Amiri" w:eastAsia="Amiri" w:cs="Amiri"/>
          <w:color w:val="111111"/>
          <w:sz w:val="28"/>
          <w:sz w:val="28"/>
          <w:szCs w:val="28"/>
          <w:rtl w:val="true"/>
          <w:lang w:bidi="ar-SA"/>
        </w:rPr>
        <w:t xml:space="preserve">إلى آخره فإنّ إطلاقه لا يقتضي جواز ضرب الغير بعصاه ، وسلطنته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ادّعى أنّ مقتضى صيانة المسلم عن الحرام هو الكشف ؛ لأ نّه مع السببية يقع الفعل محرّماً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صيانته عن الحرام ، وحمل فعله على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الغضّ عمّا تقدّم في المسألة السابقة</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الحمل عليها فيما لو دار الأمر بين ارتكاب حرام علم حكمه ، وحلال كذلك ، لا فيما إذا لم يعلم الحكم ، فاُريد كشفه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أنّ الفسخ يحصل بمجرّد القصد ، وتردّد الأمر بين أن يكون قد قصده حتّى يكون ارتكابه له محلّلاً ، أو ما قصده حتّى يقع محرّماً ، يحمل على الصحيح ، ومع الغضّ عمّا سبق يحكم بوقوع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الشكّ في الكشف والسببية ، فلا تكون صيانة فعله عن الحرام ، كاشفة عن الحكم الشرعي أو العقلائي ؛ أي أنّ الفسخ يقع بالقصد ، وأنّ الفعل كاشف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فعله مصون عن الحرام على السببية أيضاً ، فإنّ الفسخ مؤخّر عن الفعل رتبة ، ومقارن له زماناً ؛ قضاء لحقّ العلّية والمعلولية ، أو الموضوعية </w:t>
      </w:r>
    </w:p>
    <w:p>
      <w:pPr>
        <w:pStyle w:val="BookText"/>
        <w:rPr/>
      </w:pPr>
      <w:r>
        <w:rPr>
          <w:rFonts w:ascii="Amiri" w:hAnsi="Amiri" w:eastAsia="Amiri" w:cs="Amiri"/>
          <w:color w:val="111111"/>
          <w:sz w:val="28"/>
          <w:sz w:val="28"/>
          <w:szCs w:val="28"/>
          <w:rtl w:val="true"/>
          <w:lang w:bidi="ar-SA"/>
        </w:rPr>
        <w:t>والحكم ، وهذه المقارنة الزمانية كافية في صيانته</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التصرّف وقع في زمان مالكيته ، وإنّما التقدّم رتبي ، فلا يقع الفعل محرّماً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خلط بين الفلسفة والفقه ، وبين حكم العقل والعرف الذي هو الميزان في الفقه ؛ ضرورة أنّ ضرب يده على ملك يكون للغير ، تصرّف في ملكه ، وبهذا التصرّف في ملك الغير ، يراد انقلاب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فالتصرّف الخارجي إن وقع على ملك نفسه ، فلا يعقل أن يكون فسخاً ، بل لا بدّ من فرض الفسخ قبله ، وإن وقع على مال الغير ، وترتّب عليه النقل ، كان تصرّفاً في 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ملّكه مكسور ماله ببيع ونحوه قبل كسره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بصحّته ، فكسره المشتري ، فهل يصحّ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الكسر والانكسار واحد خارجاً ، ومختلفان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الكسر متّحد زماناً مع ملك المشتري ، فلا ضمان ، ولا حرمة في فعله ؟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غير ذلك من الأمثلة ، فلا ينبغي للفقيه الاتّكال على العقول في الأحكام الشرعية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دعوى انصراف الأدلّة عن هذا التصرّف</w:t>
      </w:r>
      <w:r>
        <w:rPr>
          <w:rStyle w:val="FootnoteAnchor"/>
          <w:rtl w:val="true"/>
        </w:rPr>
        <w:footnoteReference w:id="995"/>
      </w:r>
      <w:r>
        <w:rPr>
          <w:rFonts w:ascii="Amiri" w:hAnsi="Amiri" w:eastAsia="Amiri" w:cs="Amiri"/>
          <w:color w:val="111111"/>
          <w:sz w:val="28"/>
          <w:sz w:val="28"/>
          <w:szCs w:val="28"/>
          <w:rtl w:val="true"/>
          <w:lang w:bidi="ar-SA"/>
        </w:rPr>
        <w:t xml:space="preserve">، ففي غير محلّها ، وهل تصحّ دعوى انصراف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أتلف مال الغير </w:t>
      </w:r>
      <w:r>
        <w:rPr>
          <w:rFonts w:eastAsia="Amiri" w:cs="Amiri" w:ascii="Amiri" w:hAnsi="Amiri"/>
          <w:color w:val="111111"/>
          <w:sz w:val="28"/>
          <w:szCs w:val="28"/>
          <w:rtl w:val="true"/>
          <w:lang w:bidi="ar-SA"/>
        </w:rPr>
        <w:t>. . .»</w:t>
      </w:r>
      <w:r>
        <w:rPr>
          <w:rStyle w:val="FootnoteAnchor"/>
          <w:rtl w:val="true"/>
        </w:rPr>
        <w:footnoteReference w:id="996"/>
      </w:r>
      <w:r>
        <w:rPr>
          <w:rFonts w:ascii="IRNazanin" w:hAnsi="IRNazanin" w:eastAsia="IRNazanin"/>
          <w:color w:val="111111"/>
          <w:sz w:val="28"/>
          <w:sz w:val="28"/>
          <w:szCs w:val="28"/>
          <w:rtl w:val="true"/>
          <w:lang w:bidi="fa-IR"/>
        </w:rPr>
        <w:t xml:space="preserve">إلى آخره ، عن مورد المثال المتقدّم ؟ </w:t>
      </w:r>
      <w:r>
        <w:rPr>
          <w:rFonts w:eastAsia="IRNazanin" w:cs="IRNazanin"/>
          <w:color w:val="111111"/>
          <w:sz w:val="28"/>
          <w:szCs w:val="28"/>
          <w:rtl w:val="true"/>
          <w:lang w:bidi="fa-IR"/>
        </w:rPr>
        <w:t xml:space="preserve">! </w:t>
      </w:r>
      <w:bookmarkStart w:id="602" w:name="pg15222_162565"/>
    </w:p>
    <w:p>
      <w:pPr>
        <w:pStyle w:val="BookText"/>
        <w:rPr/>
      </w:pPr>
      <w:bookmarkEnd w:id="602"/>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 وقوع التصرّف في أوّل وجوده محرّماً ، لكن يحلّ به العقد ، ويتحقّق به الفسخ ، هذا حال التصرّف التكويني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3331942_2142443653"/>
      <w:bookmarkStart w:id="604" w:name="_Toc220"/>
      <w:bookmarkEnd w:id="603"/>
      <w:r>
        <w:rPr>
          <w:rtl w:val="true"/>
        </w:rPr>
        <w:t>إشكالات تحقّق الفسخ بالتصرّف المعاملي على السببية</w:t>
      </w:r>
      <w:bookmarkEnd w:id="604"/>
    </w:p>
    <w:p>
      <w:pPr>
        <w:pStyle w:val="BookText"/>
        <w:rPr/>
      </w:pPr>
      <w:r>
        <w:rPr>
          <w:rFonts w:ascii="Amiri" w:hAnsi="Amiri" w:eastAsia="Amiri" w:cs="Amiri"/>
          <w:color w:val="111111"/>
          <w:sz w:val="28"/>
          <w:sz w:val="28"/>
          <w:szCs w:val="28"/>
          <w:rtl w:val="true"/>
          <w:lang w:bidi="ar-SA"/>
        </w:rPr>
        <w:t xml:space="preserve">وأمّا التصرّف المعاملي ؛ ممّا لا يعدّ تصرّفاً خارجاً ، ولا يكون محرّماً ، فقد استشكل فيه على السببية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العامّة ؛ من أنّ الشيء الواحد لا يحصل به الفسخ والعقد ، كما أنّ التكبيرة الثانية في الصلاة بنيّة الشروع فيها ، يخرج بها عن الصلاة ، ولا يشرع بها فيها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يقرّر ذلك ؛ بأنّ الإنشاء الواحد كالبيع مثلاً ، لا يعقل أن يتحقّق به أمران مترتّبان في التحقّق ، كما في المقام ؛ فإنّ إنشاء البيع لترتّب الفسخ عليه ، وترتّب الانتقال إلى نفسه عليه ، ثمّ نقله عن ملكه إلى غيره ، لا يعقل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الوحداني ، لا يمكن أن يكون موجباً لدخول المبيع في ملك البائع ، ثمّ خروجه عنه ؛ لأنّ الثاني مترتّب على الأوّل ، ولا يعقل وقوعه بإنشائه، نظير التكبيرة الثانية، حيث لا يعقل أن تكون مخرجة عن الصلاة، ومدخلة فيها ؛ فإنّ ما هو المبطل للصلاة ، هو التكبير الذي لا يتحقّق إلاّ بتمام الكلام ، فإذا تمّ بطلت الصلاة، ولا يعقل أن تكون تلك التكبيرة المبطلة، موجبة لانعقاد 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المصلّي ما دام في الصلاة مثل صلاة الظهر مثلاً ، لا يعقل تلبّسه ثانياً بتلك الصلاة ، فلا بدّ في صحّة دخوله فيها ثانياً من بطلان الاُولى ، وهو لا يحصل إلاّ بتمام التكبيرة ، فهي مخرجة عن الصلاة ، وبعد الإخراج لا يعقل أن تكون مدخلة ؛ لعدم وجود لها حتّى يتحقّق بها الدخول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 يظهر النظر في جواب العلاّمة عن الإشكال</w:t>
      </w:r>
      <w:r>
        <w:rPr>
          <w:rStyle w:val="FootnoteAnchor"/>
          <w:rtl w:val="true"/>
        </w:rPr>
        <w:footnoteReference w:id="998"/>
      </w:r>
      <w:r>
        <w:rPr>
          <w:rFonts w:ascii="Amiri" w:hAnsi="Amiri" w:eastAsia="Amiri" w:cs="Amiri"/>
          <w:color w:val="111111"/>
          <w:sz w:val="28"/>
          <w:sz w:val="28"/>
          <w:szCs w:val="28"/>
          <w:rtl w:val="true"/>
          <w:lang w:bidi="ar-SA"/>
        </w:rPr>
        <w:t xml:space="preserve">، وفي كلام بعضهم في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المبطل لا مانع من أن يكون مصحّحاً ، وسبباً لشيء آخر ، لكنّ الصلاة حيث إ نّها عبادة ، والتكبيرة الزائدة زيادة محرّمة ، فلا يعقل أن تكون جزءاً للعبادة ، وإلاّ فلو فرضنا أنّ إبطال الصلاة بالزيادة العمدية ، غير محرّم ، لم يكن مانع من انعقادها بهذه الزيادة</w:t>
      </w:r>
      <w:r>
        <w:rPr>
          <w:rStyle w:val="FootnoteAnchor"/>
          <w:rtl w:val="true"/>
        </w:rPr>
        <w:footnoteReference w:id="99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الإشكال في التكبيرة ليس ما ذكره ، ولا ينحلّ به ، وإلاّ فعلى ما زعمه ، لا مانع من كونها جزءاً للعبادة ؛ فإنّها غير محرّمة ، وإنّما المحرّم إبطال الصلاة ، والمبطل لا يقع محرّماً ؛ فإنّ سبب المحرّم ليس بمحرّم ، فمن أبطل صلاته بالقهقهة ونحوها ، لا يكون مرتكباً لمحرّمين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قرّرنا ، فلا يعقل تحقّق الدخول فيها بتلك التكبيرة ؛ محرّمة كانت ، أم لا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والصواب في الجواب ما تكرّر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البيع بتمام ماهيته هو الإيجاب ، والقبول لا دخل له في ماهيته ، وإنّما الاحتياج إليه لأجل ترتّب الأثر الواقعي </w:t>
      </w:r>
    </w:p>
    <w:p>
      <w:pPr>
        <w:pStyle w:val="BookText"/>
        <w:rPr/>
      </w:pPr>
      <w:r>
        <w:rPr>
          <w:rFonts w:ascii="Amiri" w:hAnsi="Amiri" w:eastAsia="Amiri" w:cs="Amiri"/>
          <w:color w:val="111111"/>
          <w:sz w:val="28"/>
          <w:sz w:val="28"/>
          <w:szCs w:val="28"/>
          <w:rtl w:val="true"/>
          <w:lang w:bidi="ar-SA"/>
        </w:rPr>
        <w:t>على البيع ، وإلاّ فالبيع بنفسه لا يكون موضوع حكم العقلاء</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فالقبول ليس متمّماً لماهيته ، بل متمّم لموضوع الحكم بالنقل الواقعي ، كإجازة الفضولي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فالإيجاب الذي مفاده النقل الإنشائي ، إذا قصد به الفسخ ، يتحقّق به ، ويترتّب عليه أثره ؛ وهو ملك البائع ، سواء تعقّب بالقبول أم لا ، مثل ما لو بدا للقابل ، أو كان الموجب قد توهّم لحوقه به ، فإذا لحق به تمّ موضوع الحكم بالنقل ، فيخرج من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فالدخول في ملكه والخروج عنه ، إنّما هو بحسب الاعتبار الواقعي العقلائي ، لا بفعل المنشئ ، وإنّما عمل المنشئ إنشاء الإيجاب ، فتحصل به المبادلة الإنشائية الموجبة لفسخ البيع الإنشائي ، ويترتّب عليه أثره ؛ أي مالكيته الواقعية ، ثمّ بعد القبول يترتّب عليه الخروج ، فالمدخل والمخرج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المترتّبين في التحقّق ، لا يعقل إيجادهما بإنشاء واحد</w:t>
      </w:r>
      <w:r>
        <w:rPr>
          <w:rStyle w:val="FootnoteAnchor"/>
          <w:rtl w:val="true"/>
        </w:rPr>
        <w:footnoteReference w:id="1001"/>
      </w:r>
      <w:r>
        <w:rPr>
          <w:rFonts w:ascii="Amiri" w:hAnsi="Amiri" w:eastAsia="Amiri" w:cs="Amiri"/>
          <w:color w:val="111111"/>
          <w:sz w:val="28"/>
          <w:sz w:val="28"/>
          <w:szCs w:val="28"/>
          <w:rtl w:val="true"/>
          <w:lang w:bidi="ar-SA"/>
        </w:rPr>
        <w:t xml:space="preserve">مدفوع بأنّ الإيجاب الإنشائي للبيع لنفسه ، سبب للفسخ وملكية المبيع ، وإذا انضمّ إليه القبول ، صار موضوعاً للحكم بخروجه عن ملكه ، فلا إشكال أصلاً ، وإنّما الإشكال فيما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البيع موقوف على الملك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الدور ؛ فإنّ البيع موقوف على الملك الموقوف على الفسخ </w:t>
      </w:r>
    </w:p>
    <w:p>
      <w:pPr>
        <w:pStyle w:val="BookText"/>
        <w:rPr/>
      </w:pPr>
      <w:r>
        <w:rPr>
          <w:rFonts w:ascii="Amiri" w:hAnsi="Amiri" w:eastAsia="Amiri" w:cs="Amiri"/>
          <w:color w:val="111111"/>
          <w:sz w:val="28"/>
          <w:sz w:val="28"/>
          <w:szCs w:val="28"/>
          <w:rtl w:val="true"/>
          <w:lang w:bidi="ar-SA"/>
        </w:rPr>
        <w:t>المتأخّر عن البيع</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 موقوف على الملك ، والملك موقوف على الفسخ ، وهو موقوف على البيع ، فالدور مضمر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الذي اُريد به الفسخ ، لا يقع ذلك به إلاّ إذا قصد به إخراج المبيع عن ملكه ، وكون البيع لنفسه ، وإلاّ فلو أراد البيع لمالكه أو أطلق ، لم يقع الفسخ به ، بل صار فضولياً لمالكه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فسببيته للفسخ موقوفة على قصده لنفسه ، ولا يعقل القصد به إلاّ من مالك المال ، فإنشاؤه جدّاً موقوف على الملك ؛ لخصوصية في المقام ، والفرض أنّ الملك موقوف على الفسخ الموقوف على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قرّرناه هو ظاهر كلام المستشكل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موقوف على الملك</w:t>
      </w:r>
      <w:r>
        <w:rPr>
          <w:rStyle w:val="FootnoteAnchor"/>
          <w:rtl w:val="true"/>
        </w:rPr>
        <w:footnoteReference w:id="1003"/>
      </w:r>
      <w:r>
        <w:rPr>
          <w:rFonts w:ascii="Amiri" w:hAnsi="Amiri" w:eastAsia="Amiri" w:cs="Amiri"/>
          <w:color w:val="111111"/>
          <w:sz w:val="28"/>
          <w:sz w:val="28"/>
          <w:szCs w:val="28"/>
          <w:rtl w:val="true"/>
          <w:lang w:bidi="ar-SA"/>
        </w:rPr>
        <w:t>، والحمل على أنّ صحّة البيع موقوفة عليه</w:t>
      </w:r>
      <w:r>
        <w:rPr>
          <w:rStyle w:val="FootnoteAnchor"/>
          <w:rtl w:val="true"/>
        </w:rPr>
        <w:footnoteReference w:id="1004"/>
      </w:r>
      <w:r>
        <w:rPr>
          <w:rFonts w:ascii="IRNazanin" w:hAnsi="IRNazanin" w:eastAsia="IRNazanin"/>
          <w:color w:val="111111"/>
          <w:sz w:val="28"/>
          <w:sz w:val="28"/>
          <w:szCs w:val="28"/>
          <w:rtl w:val="true"/>
          <w:lang w:bidi="fa-IR"/>
        </w:rPr>
        <w:t xml:space="preserve">خلاف ظاهره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ذكرنا ، لا يتحقّق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وماهيته في المقام ؛ فإنّ الإنشاء غير الجدّي ، لا يكون بيعاً ، والجدّي موقوف على الملك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الجواب ؛ بأنّ البيع الباطل أيضاً يترتّب عليه الفسخ ، أو أنّ الإيجاب فقط يترتّب عليه الفسخ</w:t>
      </w:r>
      <w:r>
        <w:rPr>
          <w:rStyle w:val="FootnoteAnchor"/>
          <w:rtl w:val="true"/>
        </w:rPr>
        <w:footnoteReference w:id="1005"/>
      </w:r>
      <w:r>
        <w:rPr>
          <w:rFonts w:ascii="Amiri" w:hAnsi="Amiri" w:eastAsia="Amiri" w:cs="Amiri"/>
          <w:color w:val="111111"/>
          <w:sz w:val="28"/>
          <w:sz w:val="28"/>
          <w:szCs w:val="28"/>
          <w:rtl w:val="true"/>
          <w:lang w:bidi="ar-SA"/>
        </w:rPr>
        <w:t xml:space="preserve">، فإنّ أمثال ذلك أجنبيّة عن الإشكال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وإنّما الإشكال نظير الإشكال في بيع الغاصب لنفسه ، والجواب عنه نظير ما ذكرناه في بيع الغاصب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الجدّ لا يتوقّف على الملكية ، بل قد يتحقّق لأغراض باعثة على الإنشاء</w:t>
      </w:r>
      <w:r>
        <w:rPr>
          <w:rStyle w:val="FootnoteAnchor"/>
          <w:rtl w:val="true"/>
        </w:rPr>
        <w:footnoteReference w:id="1006"/>
      </w:r>
      <w:r>
        <w:rPr>
          <w:rFonts w:ascii="Amiri" w:hAnsi="Amiri" w:eastAsia="Amiri" w:cs="Amiri"/>
          <w:color w:val="111111"/>
          <w:sz w:val="28"/>
          <w:sz w:val="28"/>
          <w:szCs w:val="28"/>
          <w:rtl w:val="true"/>
          <w:lang w:bidi="ar-SA"/>
        </w:rPr>
        <w:t xml:space="preserve">، وفي المقام حينما يرى المنشئ أنّ الفسخ لا يحصل إلاّ بالإنشاء الجدّي لنفسه للبيع الإنشائي ، لا محالة يقصده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هذا الإشكال وارد على جميع المعاملات الفضولية وغيرها ، إلاّ ما ندر ؛ فإنّ الجدّ في نقل ما ليس له ، ولا يكون سلطاناً عليه ، لا يعقل ، أمّا في الفضولي فظاهر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الأصيل ؛ فلأنّ إيجابه تصرّف في سلطان الغير بنقل ثمنه إلى نفسه ، بل وبنقل السلعة إليه مع عدم سلطانه عليه ، فالإشكال مشترك الورود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النقل الواقعي ، لا يعقل من الغاصب والفضولي ، ولا من الأصيل مع أ نّه مالك فعلاً ؛ وذلك لما عرفت من أنّ النقل إلى الغير ، تصرّف في سلطانه ، كما أنّ نقل ماله بالإيجاب إلى نفسه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الإنشائيات عقداً وإيقاعاً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يتوقّف على الملكية ؛ فإنّه نقل إيقاعي إنشائي ، يحتاج إلى الجدّ والقصد إلى مفاده ، وهو يحصل إذا رأى المنشئ فيه أثراً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فالفضولي يقصد البيع الحقيقي ؛ برجاء لحوق الإجازة وترتّب الأثر ، والموجب يقصده مع علمه بلحوق القبول أو رجائه ، والمريد للفسخ يقصد البيع الإنشائي لنفسه ؛ لغرض تحقّق الفسخ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وبما تقدّم ، يندفع إشكال الدور ، ولزوم إيجاد المترتّبين بإنشاء واحد ؛ فإنّهما كانا مبنيّين على لزوم حصول الملكية الحقيقية في تحقّق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 نّه يظهر ممّا تقدّم ، النظر فيما أفادوا من حصول الفسخ بأوّل جزء من الإنشاء</w:t>
      </w:r>
      <w:r>
        <w:rPr>
          <w:rStyle w:val="FootnoteAnchor"/>
          <w:rtl w:val="true"/>
        </w:rPr>
        <w:footnoteReference w:id="1007"/>
      </w:r>
      <w:r>
        <w:rPr>
          <w:rFonts w:ascii="Amiri" w:hAnsi="Amiri" w:eastAsia="Amiri" w:cs="Amiri"/>
          <w:color w:val="111111"/>
          <w:sz w:val="28"/>
          <w:sz w:val="28"/>
          <w:szCs w:val="28"/>
          <w:rtl w:val="true"/>
          <w:lang w:bidi="ar-SA"/>
        </w:rPr>
        <w:t xml:space="preserve">فإنّ مرادهم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عطف العتق على البيع ، ونفي الجزء الذي لا يتجزّأ ، كما في كلام الشيخ الأعظم قدّس سرّه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حرف ، أو أقلّ منه ، وقد تقدّم أنّ ما يحصل به الفسخ ، هو ما يكون آلة عقلائية لإنشائه وإيجاده</w:t>
      </w:r>
      <w:r>
        <w:rPr>
          <w:rStyle w:val="FootnoteAnchor"/>
          <w:rtl w:val="true"/>
        </w:rPr>
        <w:footnoteReference w:id="1009"/>
      </w:r>
      <w:r>
        <w:rPr>
          <w:rFonts w:ascii="Amiri" w:hAnsi="Amiri" w:eastAsia="Amiri" w:cs="Amiri"/>
          <w:color w:val="111111"/>
          <w:sz w:val="28"/>
          <w:sz w:val="28"/>
          <w:szCs w:val="28"/>
          <w:rtl w:val="true"/>
          <w:lang w:bidi="ar-SA"/>
        </w:rPr>
        <w:t>، ولا يكون هو في المقام إلاّ الإيجاب بتمام تحقّقه ، وسيأتي الكلام في مثل العتق</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النظر فيما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التصرّف المعاملي الذي يقصد به الفسخ ، إمّا هو البيع ؛ أي التمليك الحقيقي ، أو التمليك الإنشائي المركّب من الإيجاب والقبول ، أو جزء من العقد</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التمليك الحقيقي ليس فعل الفاسخ البائع ؛ لأنّ الملكية الحقيقية ، من الاعتبارات العقلائية أو الشرعية ، وتترتّب على العقد الإنشائي ترتّب الحكم على موضوعه ، والحكم العقلائي والشرعي ليس معلولاً للإنشاء العقدي تكويناً ، حتّى يعدّ من فعل المنشئ ولو بوسط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اُغمض عنه ، فالعقد الذي يترتّب عليه الأثر ، ليس من فعل الفاسخ ؛ إذ القبول جزء منه ودخيل في ترتّبه ، وهو ليس من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بطلان الشقّ الثاني من كلامه ؛ وهو حصول الفسخ بتمام العقد الإنشائي</w:t>
      </w:r>
      <w:r>
        <w:rPr>
          <w:rStyle w:val="FootnoteAnchor"/>
          <w:rtl w:val="true"/>
        </w:rPr>
        <w:footnoteReference w:id="1012"/>
      </w:r>
      <w:r>
        <w:rPr>
          <w:rFonts w:ascii="Amiri" w:hAnsi="Amiri" w:eastAsia="Amiri" w:cs="Amiri"/>
          <w:color w:val="111111"/>
          <w:sz w:val="28"/>
          <w:sz w:val="28"/>
          <w:szCs w:val="28"/>
          <w:rtl w:val="true"/>
          <w:lang w:bidi="ar-SA"/>
        </w:rPr>
        <w:t xml:space="preserve">إذ لا يعقل أن يكون فعل الغير سبباً أو جزء سبب لفسخ ذي الخيار ، إلاّ ممّن يكون قائماً مقامه كالوكيل ، فالفسخ في العقود لا يحصل إلاّ بالإيجاب فقط ؛ لا بجزئه ، ولا بشيء أجنبيّ ملحق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الإشكال في الإيقاعات ، وكذا في العقود ، فيما إذا كان البائع وكيلاً عن المشتري في إجرائها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الإيقاع ؛ فلأنّ المفروض عدم حصول الفسخ إلاّ بتمامه ، وهو تمام الموضوع لحصول الأمر الإيقاعي ، فإذا تمّ يترتّب عليه الفسخ والعتق مثلاً في رتبة واحدة ، وحال واحد ، فلا بدّ من القول ببطلان العتق ، وتحقّق الفسخ ؛ فإنّه يحصل بنفس الإنشاء ولو لم يترتّب عليه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العقد ؛ فلأنّ الإيجاب تمام حقيقة العقد ، ومع توكيل المشتري لا يحتاج إلى القبول ، بل القبول حينئذٍ لغو ؛ لأ نّه لا دخل له في ماهية البيع ، ولا في ترتّب الأثر بعد توكيله ، فيرد الإشكال المتقدّم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الفسخ مترتّب على الإنشاء في العقد والإيقاع ، بلا انتظار شيء ؛ لكونه تمام السبب له ، وأمّا الملكية والعتق واقعاً فمشروطان بالملك ، فيتأخّران رتبة عن حصول الملكية ، فالعقد سبب للفسخ المترتّبة عليه </w:t>
      </w:r>
    </w:p>
    <w:p>
      <w:pPr>
        <w:pStyle w:val="BookText"/>
        <w:rPr/>
      </w:pPr>
      <w:r>
        <w:rPr>
          <w:rFonts w:ascii="Amiri" w:hAnsi="Amiri" w:eastAsia="Amiri" w:cs="Amiri"/>
          <w:color w:val="111111"/>
          <w:sz w:val="28"/>
          <w:sz w:val="28"/>
          <w:szCs w:val="28"/>
          <w:rtl w:val="true"/>
          <w:lang w:bidi="ar-SA"/>
        </w:rPr>
        <w:t xml:space="preserve">الملكية ، والعقد مع حصول شرطه سبب للبيع ، وكذا الحال في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عدم صحّة العتق ؛ لأنّ الإيقاعات لا تجري فيها الفضولية ، ولا ما هو من قبيلها </w:t>
      </w:r>
      <w:r>
        <w:rPr>
          <w:rStyle w:val="FootnoteAnchor"/>
          <w:rtl w:val="true"/>
        </w:rPr>
        <w:footnoteReference w:id="1014"/>
      </w:r>
      <w:r>
        <w:rPr>
          <w:rFonts w:ascii="Amiri" w:hAnsi="Amiri" w:eastAsia="Amiri" w:cs="Amiri"/>
          <w:color w:val="111111"/>
          <w:sz w:val="28"/>
          <w:sz w:val="28"/>
          <w:szCs w:val="28"/>
          <w:rtl w:val="true"/>
          <w:lang w:bidi="ar-SA"/>
        </w:rPr>
        <w:t xml:space="preserve">فاسد ؛ لأنّ جريان الفضولية في الإيقاعات على القواعد ، وإنّما يمنع عنه الإجماع ، وإن كان في تحقّقه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المقام ؛ لأ نّه ليس فضولياً ، ولا بحكمه ؛ لعدم التفكيك خارجاً بين الإيقاع وترتّب الأثر ، وإنّما التأخّر رتبي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بيع إلاّ في ملك</w:t>
      </w:r>
      <w:r>
        <w:rPr>
          <w:rFonts w:eastAsia="IRNazanin" w:cs="IRNazanin"/>
          <w:color w:val="111111"/>
          <w:sz w:val="28"/>
          <w:szCs w:val="28"/>
          <w:rtl w:val="true"/>
          <w:lang w:bidi="fa-IR"/>
        </w:rPr>
        <w:t>»</w:t>
      </w:r>
      <w:r>
        <w:rPr>
          <w:rStyle w:val="FootnoteAnchor"/>
          <w:rtl w:val="true"/>
        </w:rPr>
        <w:footnoteReference w:id="10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عتق إلاّ في ملك</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هو لزوم تقدّم الملك على البيع المركّب من الإيجاب والقبول ، فلا يجوز تأخّر الملك عن جزء من أجزاء الصيغة ، وكلّ جزء وقع به الفسخ لتحصيل الملك ، يكون منحلاًّ إلى أجزاء ، بعضها سابق في الوجود على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الجزء الذي لا يتجزّأ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الذي في مبدأ السلسلة يقع به الفسخ ، ولا جزء قبله ، وتأخّر الملك عنه رتبي ، لا خارجي </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الحديث ، عدم كفاية المقارنة بين الملك والإنشاء ، وهي محقّقة</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605" w:name="pg15222_162573"/>
    </w:p>
    <w:p>
      <w:pPr>
        <w:pStyle w:val="BookText"/>
        <w:rPr/>
      </w:pPr>
      <w:bookmarkEnd w:id="605"/>
      <w:r>
        <w:rPr>
          <w:rFonts w:ascii="Amiri" w:hAnsi="Amiri" w:eastAsia="Amiri" w:cs="Amiri"/>
          <w:color w:val="111111"/>
          <w:sz w:val="28"/>
          <w:sz w:val="28"/>
          <w:szCs w:val="28"/>
          <w:rtl w:val="true"/>
          <w:lang w:bidi="ar-SA"/>
        </w:rPr>
        <w:t xml:space="preserve">وأنت خبير بوهن هذا الإشكال ، وقد أجاب عنه الشيخ الأعظم قدّس سرّه </w:t>
      </w:r>
      <w:r>
        <w:rPr>
          <w:rStyle w:val="FootnoteAnchor"/>
          <w:rtl w:val="true"/>
        </w:rPr>
        <w:footnoteReference w:id="1018"/>
      </w:r>
      <w:r>
        <w:rPr>
          <w:rFonts w:ascii="Amiri" w:hAnsi="Amiri" w:eastAsia="Amiri" w:cs="Amiri"/>
          <w:color w:val="111111"/>
          <w:sz w:val="28"/>
          <w:sz w:val="28"/>
          <w:szCs w:val="28"/>
          <w:rtl w:val="true"/>
          <w:lang w:bidi="ar-SA"/>
        </w:rPr>
        <w:t>ومن العجيب ذكر الجزء الذي لا يتجزّأ في المقام واحتمال وقوع الفسخ به</w:t>
      </w:r>
      <w:r>
        <w:rPr>
          <w:rStyle w:val="FootnoteAnchor"/>
          <w:rtl w:val="true"/>
        </w:rPr>
        <w:footnoteReference w:id="1019"/>
      </w:r>
      <w:r>
        <w:rPr>
          <w:rFonts w:ascii="Amiri" w:hAnsi="Amiri" w:eastAsia="Amiri" w:cs="Amiri"/>
          <w:color w:val="111111"/>
          <w:sz w:val="28"/>
          <w:sz w:val="28"/>
          <w:szCs w:val="28"/>
          <w:rtl w:val="true"/>
          <w:lang w:bidi="ar-SA"/>
        </w:rPr>
        <w:t>، ولولا كلام الشيخ الأعظم قدّس سرّه لما تعرّضنا له ، ولقد أجبنا عنه في بيع الفضولي</w:t>
      </w:r>
      <w:r>
        <w:rPr>
          <w:rStyle w:val="FootnoteAnchor"/>
          <w:rtl w:val="true"/>
        </w:rPr>
        <w:footnoteReference w:id="1020"/>
      </w:r>
      <w:r>
        <w:rPr>
          <w:rFonts w:ascii="Amiri" w:hAnsi="Amiri" w:eastAsia="Amiri" w:cs="Amiri"/>
          <w:color w:val="111111"/>
          <w:sz w:val="28"/>
          <w:sz w:val="28"/>
          <w:szCs w:val="28"/>
          <w:rtl w:val="true"/>
          <w:lang w:bidi="ar-SA"/>
        </w:rPr>
        <w:t xml:space="preserve">، وأجاد الشيخ الأعظم قدّس سرّه فيما أفاد في ردّه </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3331944_2142443653"/>
      <w:bookmarkStart w:id="607" w:name="_Toc221"/>
      <w:bookmarkEnd w:id="606"/>
      <w:r>
        <w:rPr>
          <w:rtl w:val="true"/>
        </w:rPr>
        <w:t xml:space="preserve">فرع </w:t>
      </w:r>
      <w:r>
        <w:rPr>
          <w:rtl w:val="true"/>
        </w:rPr>
        <w:t xml:space="preserve">: </w:t>
      </w:r>
      <w:r>
        <w:rPr>
          <w:rtl w:val="true"/>
        </w:rPr>
        <w:t>في صور التصرّف في العوضين دفعة واحدة وأحكامها</w:t>
      </w:r>
      <w:bookmarkEnd w:id="607"/>
    </w:p>
    <w:p>
      <w:pPr>
        <w:pStyle w:val="Heading4"/>
        <w:numPr>
          <w:ilvl w:val="3"/>
          <w:numId w:val="1"/>
        </w:numPr>
        <w:rPr/>
      </w:pPr>
      <w:bookmarkStart w:id="608" w:name="__RefHeading___Toc3331946_2142443653"/>
      <w:bookmarkStart w:id="609" w:name="_Toc222"/>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 xml:space="preserve">لو تصرّف تصرّفاً خارجياً أو اعتبارياً في العوضين دفعة واحدة ، فله صور كثيرة ؛ فإنّ التصرّف إمّا أن يقصد به الفسخ والإبرام ، أو يقصد به أحدهما ، أو لا يقصد به شيء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نقول باعتبار الإنشاء والتسبيب فيهما ؛ بفعل صالح لذلك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نقول بحصولهما بنفس الرضا والكراهة ، المنكشفين بشيء من القول أو الفعل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نقول بحصولهما بالرضا تعبّداً ، أو بالفعل الدالّ عليه تعبّداً وإن لم يكن قاصداً أو راضياً ، وكذا في جانب الكراهة </w:t>
      </w:r>
      <w:r>
        <w:rPr>
          <w:rFonts w:eastAsia="Amiri" w:cs="Amiri" w:ascii="Amiri" w:hAnsi="Amiri"/>
          <w:color w:val="111111"/>
          <w:sz w:val="28"/>
          <w:szCs w:val="28"/>
          <w:rtl w:val="true"/>
          <w:lang w:bidi="ar-SA"/>
        </w:rPr>
        <w:t xml:space="preserve">. </w:t>
      </w:r>
      <w:bookmarkStart w:id="610" w:name="pg15222_162574"/>
    </w:p>
    <w:p>
      <w:pPr>
        <w:pStyle w:val="BookText"/>
        <w:rPr/>
      </w:pPr>
      <w:bookmarkEnd w:id="610"/>
      <w:r>
        <w:rPr>
          <w:rFonts w:ascii="Amiri" w:hAnsi="Amiri" w:eastAsia="Amiri" w:cs="Amiri"/>
          <w:color w:val="111111"/>
          <w:sz w:val="28"/>
          <w:sz w:val="28"/>
          <w:szCs w:val="28"/>
          <w:rtl w:val="true"/>
          <w:lang w:bidi="ar-SA"/>
        </w:rPr>
        <w:t xml:space="preserve">أو نقول بكفاية واحد ممّا ذكر في الإبرام ، دون الفسخ ، أو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الخيار للمشتري ، أو للبائع ، أو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 بعضها معلوم الحكم ، وبعضها فاسد ، وتحتاج جملة منها إلى البيان ، ونحن نذكر بعضها ، ويعلم منه حال سائرها ، فنقول </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3331948_2142443653"/>
      <w:bookmarkStart w:id="612" w:name="_Toc223"/>
      <w:bookmarkEnd w:id="611"/>
      <w:r>
        <w:rPr>
          <w:rtl w:val="true"/>
        </w:rPr>
        <w:t>حكم ما لو اشترى عبداً بجارية فقال أعتقتهما</w:t>
      </w:r>
      <w:bookmarkEnd w:id="612"/>
    </w:p>
    <w:p>
      <w:pPr>
        <w:pStyle w:val="BookText"/>
        <w:rPr/>
      </w:pPr>
      <w:r>
        <w:rPr>
          <w:rFonts w:ascii="Amiri" w:hAnsi="Amiri" w:eastAsia="Amiri" w:cs="Amiri"/>
          <w:color w:val="111111"/>
          <w:sz w:val="28"/>
          <w:sz w:val="28"/>
          <w:szCs w:val="28"/>
          <w:rtl w:val="true"/>
          <w:lang w:bidi="ar-SA"/>
        </w:rPr>
        <w:t xml:space="preserve">لو تصرّف فيهما تصرّفاً اعتبارياً ، كما لو اشترى عبداً بجارية مع الخيار له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به الفسخ والإبرام ، لو فرضنا إمكانه ، كما لو كان غافلاً ، أو كان التصرّف منه في أحدهما ، ومن وكيله المطلق في الآخر في زمان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شبهة في عدم حصول الفسخ ولا الإبرام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إنشاء العتق تسبيب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تقديم الفسخ على الإبرام</w:t>
      </w:r>
      <w:r>
        <w:rPr>
          <w:rStyle w:val="FootnoteAnchor"/>
          <w:rtl w:val="true"/>
        </w:rPr>
        <w:footnoteReference w:id="1021"/>
      </w:r>
      <w:r>
        <w:rPr>
          <w:rFonts w:ascii="Amiri" w:hAnsi="Amiri" w:eastAsia="Amiri" w:cs="Amiri"/>
          <w:color w:val="111111"/>
          <w:sz w:val="28"/>
          <w:sz w:val="28"/>
          <w:szCs w:val="28"/>
          <w:rtl w:val="true"/>
          <w:lang w:bidi="ar-SA"/>
        </w:rPr>
        <w:t xml:space="preserve">، واضحة الضعف ، كما أفاده الشيخ الأعظم قدّس سرّه </w:t>
      </w:r>
      <w:r>
        <w:rPr>
          <w:rStyle w:val="FootnoteAnchor"/>
          <w:rtl w:val="true"/>
        </w:rPr>
        <w:footnoteReference w:id="1022"/>
      </w:r>
      <w:r>
        <w:rPr>
          <w:rFonts w:ascii="Amiri" w:hAnsi="Amiri" w:eastAsia="Amiri" w:cs="Amiri"/>
          <w:color w:val="111111"/>
          <w:sz w:val="28"/>
          <w:sz w:val="28"/>
          <w:szCs w:val="28"/>
          <w:rtl w:val="true"/>
          <w:lang w:bidi="ar-SA"/>
        </w:rPr>
        <w:t xml:space="preserve">في ردّها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الكلام والإشكال في عتق العبد ، بعد وضوح عدم حصول الفسخ والإبرام ، وعدم تحقّق عتق الجارية ؛ لتوقّفه على الانفساخ المفروض عدم تحقّقه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بانعتاق العبد ؛ لأنّ إنشاءه متحقّق ، ولا مانع من تأثيره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الإنشاء الجدّي في عتق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عن عتق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 أثران في زمان واحد ، ورتبة واحدة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الانعتاق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الإبرام ، فهما أثران مترتّبان عليه في عرض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عتق الجارية ، فلا أثر له إلاّ الفسخ ، فيترتّب ذلك عليه عند تمام الإنشاء ، وهو تمام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ترتّب العتق عليه ، فموقوف على حصول الملكية المتوقّفة على الانفساخ ، فليس انعتاقها أثراً مترتّباً على إنشاء عتقها ، بل على فرض عدم المزاحم ، تحصل الملكية بالانفساخ الحاصل من الإيقاع الإنشائي ، ويترتّب عليه عتقها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لعتق العبد أثران ؛ الإبرام والانعتاق ، ولعتق الجارية أثر واحد ؛ هو الانفساخ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إشكال في تنافي الإبرام والفسخ ، المترقّب حصولهما بالعتق ، كما لا إشكال في عدم المزاحمة بين العتقين الإنشائيين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عدم المزاحم لعتق العبد ؛ فإنّ المزاحم إنّما هو للأثر الآخر ؛ وهو الإبرام ، فلعتقه أثر يزاحم بمقابله ، وأثر لا يكون له مزاحم في هذا الحال ، ولمّا كانت المزاحمة بين الإبرام والفسخ ، مانعة عن تحقّقهما ، فيرتفع موضوع المزاحم لملكية العبد للبائع والتحرير والانعتاق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الفسخ له حيثيتان ؛ ذاتية ، وعرضية بلحاظ مقتضاه ، فهو منافٍ ومزاحم للعتق بلحاظ حيثيته العرضية ؛ أي حصول الملكية للبائع مقارنة لتمام الإنشاء وزوال الرقّية والملكية عنه رأساً ، فالمزاحمة </w:t>
      </w:r>
    </w:p>
    <w:p>
      <w:pPr>
        <w:pStyle w:val="BookText"/>
        <w:rPr/>
      </w:pPr>
      <w:r>
        <w:rPr>
          <w:rFonts w:ascii="Amiri" w:hAnsi="Amiri" w:eastAsia="Amiri" w:cs="Amiri"/>
          <w:color w:val="111111"/>
          <w:sz w:val="28"/>
          <w:sz w:val="28"/>
          <w:szCs w:val="28"/>
          <w:rtl w:val="true"/>
          <w:lang w:bidi="ar-SA"/>
        </w:rPr>
        <w:t>وإن لم تكن ذاتية ، لكن تكون بحيثيته العرضية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 نّه غير وارد ؛ فإنّ معنى المزاحمة العرضية ، أنّ المزاحمة حقيقة بين الآثار ، وإنّما تنسب إلى الفسخ بالعرض والمجاز ، فالفسخ لا يزاحم العتق حقيقة ، بل الأثر المترتّب عليه مزاحم لأثره ، وعلى ما أشرنا إليه ؛ من استلزام المزاحمة الذاتية بين الإبرام والفسخ بطلانَهما معاً ، يدفع موضوع المزاحمة العرضية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العتق وقع على ملكه وعلى ملك غيره دفعة ، ووقوعه على ملكه يوجب الانعتاق ؛ لعدم المزاحم ، لكونه مدفوعاً بمزاحمه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حصول عتق العبد ، فيما لو اُحرز عدم تحقّق الفسخ للمزاحمة ؛ فإنّ القطع بعدم الفسخ ، ملازم للقطع بعدم الخروج عن ملكه ، والقطعِ بحصول شرط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الشكّ فيه ؛ لاحتمال كون أحدهما مؤثّراً واقعاً ، دون الآخر ، فأصالة عدم تحقّق الفسخ ، معارضة بأصالة عدم تحقّق الإبرام ، ولا معارضة بينها وبين أصالة بقاء ملك المشتري ؛ لأنّ الشكّ في بقاء ملكه ، مسبّب عن الشكّ في تحقّق 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يمكن تصحيح العتق بوجهين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الفسخ والإبرام ؛ فإنّ الأثر المشترك للمتعارضين ، لا مانع من ثبوته ، وهذا بناءً على كون بقاء ملكية المشتري للعبد ، أثراً شرعياً لعدم حلّ العقد ، وعدم إبرامه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كون أصل عدم الإبرام ، مثبتاً للملكية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عدم الفسخ كافية ، ولا معارض لها في هذا الأثر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بقاء الملك ، ولا إشكال فيها بعد سقوط الأصل الحاكم بالمعارضة ، وشبهة المثبتية فيه ؛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الفسخ لازمه العقلي بقاء العقد وبقاء الملكية ، بخلاف أصالة بقاء الملك ؛ فإنّها محرزة لموضوع الحكم الشرعي ، وهو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 إلاّ في ملك</w:t>
      </w:r>
      <w:r>
        <w:rPr>
          <w:rFonts w:eastAsia="IRNazanin" w:cs="IRNazanin"/>
          <w:color w:val="111111"/>
          <w:sz w:val="28"/>
          <w:szCs w:val="28"/>
          <w:rtl w:val="true"/>
          <w:lang w:bidi="fa-IR"/>
        </w:rPr>
        <w:t>»</w:t>
      </w:r>
      <w:r>
        <w:rPr>
          <w:rStyle w:val="FootnoteAnchor"/>
          <w:rtl w:val="true"/>
        </w:rPr>
        <w:footnoteReference w:id="1024"/>
      </w:r>
      <w:r>
        <w:rPr>
          <w:rFonts w:ascii="Amiri" w:hAnsi="Amiri" w:eastAsia="Amiri" w:cs="Amiri"/>
          <w:color w:val="111111"/>
          <w:sz w:val="28"/>
          <w:sz w:val="28"/>
          <w:szCs w:val="28"/>
          <w:rtl w:val="true"/>
          <w:lang w:bidi="ar-SA"/>
        </w:rPr>
        <w:t xml:space="preserve">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 يظهر الإشكال في كلام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عتق العبد ، موقوف على عدم عتق الجارية ، وبالعكس</w:t>
      </w:r>
      <w:r>
        <w:rPr>
          <w:rStyle w:val="FootnoteAnchor"/>
          <w:rtl w:val="true"/>
        </w:rPr>
        <w:footnoteReference w:id="1025"/>
      </w:r>
      <w:r>
        <w:rPr>
          <w:rFonts w:ascii="Amiri" w:hAnsi="Amiri" w:eastAsia="Amiri" w:cs="Amiri"/>
          <w:color w:val="111111"/>
          <w:sz w:val="28"/>
          <w:sz w:val="28"/>
          <w:szCs w:val="28"/>
          <w:rtl w:val="true"/>
          <w:lang w:bidi="ar-SA"/>
        </w:rPr>
        <w:t xml:space="preserve">فإنّ الموقوف عليه في جانب عتق العبد محقّق ، وهو عدم عتق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أعتقهما وأراد به الإبرام ، فلا إشكال في تحقّق عتق العبد ، وعدم تحقّق عتق الجارية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أراد به الفسخ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بوقوعه ، وكذا وقوع عتق الجارية</w:t>
      </w:r>
      <w:r>
        <w:rPr>
          <w:rStyle w:val="FootnoteAnchor"/>
          <w:rtl w:val="true"/>
        </w:rPr>
        <w:footnoteReference w:id="1026"/>
      </w:r>
      <w:r>
        <w:rPr>
          <w:rFonts w:ascii="Amiri" w:hAnsi="Amiri" w:eastAsia="Amiri" w:cs="Amiri"/>
          <w:color w:val="111111"/>
          <w:sz w:val="28"/>
          <w:sz w:val="28"/>
          <w:szCs w:val="28"/>
          <w:rtl w:val="true"/>
          <w:lang w:bidi="ar-SA"/>
        </w:rPr>
        <w:t>؛ لما تقدّم من أنّ العتق الإنشائي ، موجب للفسخ ، وتترتّب عليه ملكية الجارية للفاسخ ، وحصول شرط العتق ، ولا دليل شرعاً أو عقلاً على بطلانه</w:t>
      </w:r>
      <w:r>
        <w:rPr>
          <w:rStyle w:val="FootnoteAnchor"/>
          <w:rtl w:val="true"/>
        </w:rPr>
        <w:footnoteReference w:id="1027"/>
      </w:r>
      <w:r>
        <w:rPr>
          <w:rFonts w:ascii="Amiri" w:hAnsi="Amiri" w:eastAsia="Amiri" w:cs="Amiri"/>
          <w:color w:val="111111"/>
          <w:sz w:val="28"/>
          <w:sz w:val="28"/>
          <w:szCs w:val="28"/>
          <w:rtl w:val="true"/>
          <w:lang w:bidi="ar-SA"/>
        </w:rPr>
        <w:t>، وقد تقدّم حال توهّم مزاحمة الفسخ وعدم وقوع عتق العبد</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bookmarkStart w:id="613" w:name="pg15222_162578"/>
    </w:p>
    <w:p>
      <w:pPr>
        <w:pStyle w:val="BookText"/>
        <w:rPr/>
      </w:pPr>
      <w:bookmarkEnd w:id="613"/>
      <w:r>
        <w:rPr>
          <w:rFonts w:ascii="Amiri" w:hAnsi="Amiri" w:eastAsia="Amiri" w:cs="Amiri"/>
          <w:color w:val="111111"/>
          <w:sz w:val="28"/>
          <w:sz w:val="28"/>
          <w:szCs w:val="28"/>
          <w:rtl w:val="true"/>
          <w:lang w:bidi="ar-SA"/>
        </w:rPr>
        <w:t xml:space="preserve">لكنّ الأقوى وقوع عتق العبد ، وعدم وقوع الفسخ ، ولا عتق الجارية ؛ وذلك للتنافي بين مقتضى الفسخ ، ومقتضى عتق العبد ؛ لامتناع الجمع بين الانعتاق ، وحصولِ الملك للبائع بالفسخ في حال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 فرض العلم ببطلانهما معاً ؛ لأجل التنافي ، وسقوطهما معاً ، لم يكن إشكال في بطلان الجميع ، لكن ليس لنا علم بذلك ، غاية الأمر العلم بعدم إمكان صحّتهما ؛ لاحتمال صحّة الفسخ ، ووقوع عتق الجارية ، وبطلان عتق العبد ، وبالعكس ، ومعه لا بدّ من الرجوع إلى الاُصول </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3331950_2142443653"/>
      <w:bookmarkStart w:id="615" w:name="_Toc224"/>
      <w:bookmarkEnd w:id="614"/>
      <w:r>
        <w:rPr>
          <w:rtl w:val="true"/>
        </w:rPr>
        <w:t>الاُصول المتصوّرة عند الشكّ في صحّة العتق والملك</w:t>
      </w:r>
      <w:bookmarkEnd w:id="615"/>
    </w:p>
    <w:p>
      <w:pPr>
        <w:pStyle w:val="BookText"/>
        <w:rPr/>
      </w:pPr>
      <w:r>
        <w:rPr>
          <w:rFonts w:ascii="Amiri" w:hAnsi="Amiri" w:eastAsia="Amiri" w:cs="Amiri"/>
          <w:color w:val="111111"/>
          <w:sz w:val="28"/>
          <w:sz w:val="28"/>
          <w:szCs w:val="28"/>
          <w:rtl w:val="true"/>
          <w:lang w:bidi="ar-SA"/>
        </w:rPr>
        <w:t xml:space="preserve">والاُصول المتصوّرة هنا 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تحقّق الفسخ ، وهي أصل سببي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عتق العبد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عتق الجارية ، وهما أصلان مسبّبيان محضاً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العبد في ملك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الجارية في ملك البائع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أصلان سببيان بالنسبة إلى الأصلين الآنفين ، ومسبّبيان بالنسبة إلى الأصل الأوّل ؛ فإنّ الشكّ في عتق كلّ منهما ، ناشئ عن الشكّ في حصول الملكية وعدمه ، والشكّ في الحصول ، ناشئ عن الشكّ في تحقّق الفسخ </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فحينئذٍ 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أصالة عدم الفسخ ، تحرز ملكية المشتري للعبد ، والبائع </w:t>
      </w:r>
    </w:p>
    <w:p>
      <w:pPr>
        <w:pStyle w:val="BookText"/>
        <w:rPr/>
      </w:pPr>
      <w:r>
        <w:rPr>
          <w:rFonts w:ascii="IRNazanin" w:hAnsi="IRNazanin" w:eastAsia="IRNazanin"/>
          <w:color w:val="111111"/>
          <w:sz w:val="28"/>
          <w:sz w:val="28"/>
          <w:szCs w:val="28"/>
          <w:rtl w:val="true"/>
          <w:lang w:bidi="fa-IR"/>
        </w:rPr>
        <w:t xml:space="preserve">للجارية ، فيحرز بها موضوع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عتق إلاّ في ملك </w:t>
      </w:r>
      <w:r>
        <w:rPr>
          <w:rFonts w:eastAsia="IRNazanin" w:cs="IRNazanin"/>
          <w:color w:val="111111"/>
          <w:sz w:val="28"/>
          <w:szCs w:val="28"/>
          <w:rtl w:val="true"/>
          <w:lang w:bidi="fa-IR"/>
        </w:rPr>
        <w:t>»</w:t>
      </w:r>
      <w:r>
        <w:rPr>
          <w:rStyle w:val="FootnoteAnchor"/>
          <w:rtl w:val="true"/>
        </w:rPr>
        <w:footnoteReference w:id="10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بيع إلاّ في ملك</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xml:space="preserve">وأنّ أحدهما بالنسبة إلى البائع ، مندرج تحت المستثنى ، والآخر تحت المستثنى منه ، وبالنسبة إلى المشتري عكس ذلك ، فنحكم بصحّة عتق العبد ، وبطلان عتق الجارية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ترتّب بقاء الملكية وزوالها على الفسخ وعدمه عقلي لا شرعي ، فيجري الأصلان الآخران ؛ أي أصالة ملك المشتري للعبد ، وملك البائع للجارية ، ولا إشكال فيهما ؛ لإحرازهما موضوع الدليل الشرعي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ولا 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محالة يحكم بصحّة عتق العبد ، وعدم صحّة عتق الجارية ، وعدم حصول الفسخ ؛ لأصالة عدمه </w:t>
      </w:r>
      <w:r>
        <w:rPr>
          <w:rFonts w:eastAsia="Amiri" w:cs="Amiri" w:ascii="Amiri" w:hAnsi="Amiri"/>
          <w:color w:val="111111"/>
          <w:sz w:val="28"/>
          <w:szCs w:val="28"/>
          <w:rtl w:val="true"/>
          <w:lang w:bidi="ar-SA"/>
        </w:rPr>
        <w:t xml:space="preserve">. </w:t>
      </w:r>
      <w:bookmarkStart w:id="616" w:name="pg15222_162580"/>
    </w:p>
    <w:p>
      <w:pPr>
        <w:pStyle w:val="Heading3"/>
        <w:numPr>
          <w:ilvl w:val="2"/>
          <w:numId w:val="1"/>
        </w:numPr>
        <w:rPr/>
      </w:pPr>
      <w:bookmarkStart w:id="617" w:name="__RefHeading___Toc3331952_2142443653"/>
      <w:bookmarkStart w:id="618" w:name="_Toc225"/>
      <w:bookmarkEnd w:id="616"/>
      <w:bookmarkEnd w:id="617"/>
      <w:r>
        <w:rPr>
          <w:rtl w:val="true"/>
        </w:rPr>
        <w:t xml:space="preserve">مسألة </w:t>
      </w:r>
      <w:r>
        <w:rPr>
          <w:rtl w:val="true"/>
        </w:rPr>
        <w:t xml:space="preserve">: </w:t>
      </w:r>
      <w:r>
        <w:rPr>
          <w:rtl w:val="true"/>
        </w:rPr>
        <w:t>في جواز تصرّف غير ذي الخيار تصرّفاً يمنع عن استرداد العين</w:t>
      </w:r>
      <w:bookmarkEnd w:id="618"/>
    </w:p>
    <w:p>
      <w:pPr>
        <w:pStyle w:val="Heading4"/>
        <w:numPr>
          <w:ilvl w:val="3"/>
          <w:numId w:val="1"/>
        </w:numPr>
        <w:rPr/>
      </w:pPr>
      <w:bookmarkStart w:id="619" w:name="__RefHeading___Toc3331954_2142443653"/>
      <w:bookmarkStart w:id="620" w:name="_Toc226"/>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 xml:space="preserve">ومن أحكام الخيار على قول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تصرّف غير ذي الخيار تصرّفاً يمنع عن استرداد العين عند الفسخ</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اُنظر المكاسب ، ضمن تراث الشيخ الأعظم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والمحتمل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التصرّف تكليفاً ، وعدم النفوذ وضعاً مطلقاً ، والجواز وضعاً وتكليفاً مطلقاً ، والتفصيل بين التكليف والوضع مطلقاً ؛ بالجواز تكليفاً ، وعدم النفوذ وضعاً ، وبالعكس ، والتفصيل بين العتق وغيره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الجواز تكليفاً ، والنفوذ وضعاً مطلقاً ؛ لما 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ماهية البيع وغيره من الماهيات التسبيبية عقداً وإيقاعاً ، ليست إلاّ الإنشائيات والعناوين المنشأة بالأسباب العقلائية أو الشرعية ، وترتّب الآثار خارج عن حقيقتها </w:t>
      </w:r>
      <w:r>
        <w:rPr>
          <w:rStyle w:val="FootnoteAnchor"/>
          <w:rtl w:val="true"/>
        </w:rPr>
        <w:footnoteReference w:id="1032"/>
      </w:r>
      <w:r>
        <w:rPr>
          <w:rFonts w:ascii="Amiri" w:hAnsi="Amiri" w:eastAsia="Amiri" w:cs="Amiri"/>
          <w:color w:val="111111"/>
          <w:sz w:val="28"/>
          <w:sz w:val="28"/>
          <w:szCs w:val="28"/>
          <w:rtl w:val="true"/>
          <w:lang w:bidi="ar-SA"/>
        </w:rPr>
        <w:t xml:space="preserve">فبيع الفضولي ، والإيجاب من الأصيل وغيره ، تمام ماهية البيع ، وإن </w:t>
      </w:r>
      <w:bookmarkStart w:id="621" w:name="pg15222_162581"/>
    </w:p>
    <w:p>
      <w:pPr>
        <w:pStyle w:val="BookText"/>
        <w:rPr/>
      </w:pPr>
      <w:bookmarkEnd w:id="621"/>
      <w:r>
        <w:rPr>
          <w:rFonts w:ascii="Amiri" w:hAnsi="Amiri" w:eastAsia="Amiri" w:cs="Amiri"/>
          <w:color w:val="111111"/>
          <w:sz w:val="28"/>
          <w:sz w:val="28"/>
          <w:szCs w:val="28"/>
          <w:rtl w:val="true"/>
          <w:lang w:bidi="ar-SA"/>
        </w:rPr>
        <w:t>لم يترتّب عليه الأثر إلاّ بالقبول ، الذي هو بمنزلة الإجازة في الفضولي ، بل هو هي حقيقة، وبالإجازة التي هي بمنزلة القبول في عقد الأصيل، بل هي هو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البيع هو الإنشائي منه ، وكان ما يوجده المتبايعان ، هو موضوع الحكم الشرعي والعقلائي ، ولم يكن النقل الواقعي من فعلهما ، ولا فعلهما مؤثّراً فيه بوجه ، إلاّ على نحو تحقّق الموضوع الذي ليس هو التأثير بوجه ، لم يعقل أن يكون الفسخ أو الإقالة ، إلاّ حلّ العقد الإنشائي المترتّب عليه الردّ الإنشائي ، لا الحقيقي ، وإنّما الردّ الحقيقي ، أثر عقلائي وشرعي مترتّب عليه ، والحلّ موضوع له ، ولا يعقل أن يكون الفسخ سبباً لغير الحلّ ، ولا له ولأمر زائد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التصرّف مطلقاً تصرّفاً في حقّ ذي الخيار ، ومانعاً عن الاسترداد الاعتباري الإنشائي المترتّب على فعله ، فالعقد في الأصيل والفضولي والحلّ فيهما ، بمعنىً واحد ، وحقيقة فاردة ، فكما أنّ العقد أو الحلّ في الفضولي ،</w:t>
      </w:r>
    </w:p>
    <w:p>
      <w:pPr>
        <w:pStyle w:val="BookText"/>
        <w:rPr/>
      </w:pPr>
      <w:r>
        <w:rPr>
          <w:rFonts w:ascii="Amiri" w:hAnsi="Amiri" w:eastAsia="Amiri" w:cs="Amiri"/>
          <w:color w:val="111111"/>
          <w:sz w:val="28"/>
          <w:sz w:val="28"/>
          <w:szCs w:val="28"/>
          <w:rtl w:val="true"/>
          <w:lang w:bidi="ar-SA"/>
        </w:rPr>
        <w:t xml:space="preserve">لا يكون تصرّفاً في مال الغير ، كذلك في العقد والحلّ من الأصيل ، وإنّما الفرق بينهما بأمر خارج عن قدرتهما ، وعن ماهية العقد والفسخ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 تترتّب اُمور </w:t>
      </w:r>
      <w:r>
        <w:rPr>
          <w:rFonts w:eastAsia="Amiri" w:cs="Amiri" w:ascii="Amiri" w:hAnsi="Amiri"/>
          <w:color w:val="111111"/>
          <w:sz w:val="28"/>
          <w:szCs w:val="28"/>
          <w:rtl w:val="true"/>
          <w:lang w:bidi="ar-SA"/>
        </w:rPr>
        <w:t>:</w:t>
      </w:r>
    </w:p>
    <w:p>
      <w:pPr>
        <w:pStyle w:val="Heading4"/>
        <w:numPr>
          <w:ilvl w:val="3"/>
          <w:numId w:val="1"/>
        </w:numPr>
        <w:rPr/>
      </w:pPr>
      <w:bookmarkStart w:id="622" w:name="__RefHeading___Toc3331956_2142443653"/>
      <w:bookmarkStart w:id="623" w:name="_Toc227"/>
      <w:bookmarkEnd w:id="622"/>
      <w:r>
        <w:rPr>
          <w:rtl w:val="true"/>
        </w:rPr>
        <w:t>الأحكام المترتّبة على جواز تصرّف غير ذي الخيار في العين</w:t>
      </w:r>
      <w:bookmarkEnd w:id="623"/>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تكليفاً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التصرّفات الاعتبارية عقداً وإيقاعاً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مع تلف العين حقيقة أو حكماً ؛ فإنّ الفسخ الإيقاعي الإنشائي لا ينافيهما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في الحكمي ، فلعدم المنافاة بين كون العين ملكاً للمشتري الثاني حقيقة ، وللفاسخ إيقاعاً وإنشاءً ، كما في عقد الفضولي ، الذي يوجب الملكية الإنشائية للمشتري ، مع كون العين ملك غيره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الحقيقي ، فلأنّ العقد حين وجوده أوجب تبادل العوضين إيقاعاً وإنشاءً ، وهذا المعنى الاعتباري موجود إلى ما بعد التلف ، وهو لا يوجب سلب الاعتبار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وتخيّل أنّ العدم غير قابل للإشارة إليه ، ولا لثبوت شيء له ، أو لسلبه عنه ، فلا يعقل الحلّ الإنشائي الموجب لنقل ملك العوضين إنشاء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الحلّ لا يحتاج إلى تصوّر طرفي العقد ، بل يحتاج إلى تصوّر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العوضين حال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تحقّق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معلومان ، والعلم بهما محفوظ ، والحلّ يوجب السلب الإيقاعي عمّا هو المشار إليه بالإشارة العقلية ، وليس ذلك أمراً خارجياً ثابتاً للمعدوم ، أو مسلوباً عنه ، فكأنّ</w:t>
      </w:r>
    </w:p>
    <w:p>
      <w:pPr>
        <w:pStyle w:val="BookText"/>
        <w:rPr/>
      </w:pPr>
      <w:r>
        <w:rPr>
          <w:rFonts w:ascii="Amiri" w:hAnsi="Amiri" w:eastAsia="Amiri" w:cs="Amiri"/>
          <w:color w:val="111111"/>
          <w:sz w:val="28"/>
          <w:sz w:val="28"/>
          <w:szCs w:val="28"/>
          <w:rtl w:val="true"/>
          <w:lang w:bidi="ar-SA"/>
        </w:rPr>
        <w:t xml:space="preserve">الفاسخ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 العقد الذي تعلّق بالعوضين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والسلب الواقعيان ، ليسا مقتضى الفسخ ، وما هو مقتضاه ليس إلاّ حلّ العقد الإيقاعي الموجود في اعتبار العقلاء ، وأثره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حكم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العين إن كانت موجودة ، ورجوع البدل مع عدمها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إلزام الطرف بفسخ العقد الخياري والجائز ، وعدم جواز إلزامه باشتراء العين </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انفساخ العقد الواقع على المبيع، وعدم نفوذ فسخه من ذي الخيار</w:t>
      </w:r>
      <w:r>
        <w:rPr>
          <w:rFonts w:eastAsia="Amiri" w:cs="Amiri" w:ascii="Amiri" w:hAnsi="Amiri"/>
          <w:color w:val="111111"/>
          <w:sz w:val="28"/>
          <w:szCs w:val="28"/>
          <w:rtl w:val="true"/>
          <w:lang w:bidi="ar-SA"/>
        </w:rPr>
        <w:t xml:space="preserve">. </w:t>
      </w:r>
      <w:bookmarkStart w:id="624" w:name="pg15222_162583"/>
    </w:p>
    <w:p>
      <w:pPr>
        <w:pStyle w:val="BookText"/>
        <w:rPr/>
      </w:pPr>
      <w:bookmarkEnd w:id="624"/>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المثل أو القيمة في صورة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الحكم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ذمّة الطرف ؛ بمجرّد تحقّق الفسخ والحلّ الإنشائي ، والمعيار قيمة حال الفسخ </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3331958_2142443653"/>
      <w:bookmarkStart w:id="626" w:name="_Toc228"/>
      <w:bookmarkEnd w:id="625"/>
      <w:r>
        <w:rPr>
          <w:rtl w:val="true"/>
        </w:rPr>
        <w:t>كلام السيّد اليزدي وبيان وجه النظر فيه</w:t>
      </w:r>
      <w:bookmarkEnd w:id="626"/>
    </w:p>
    <w:p>
      <w:pPr>
        <w:pStyle w:val="BookText"/>
        <w:rPr/>
      </w:pPr>
      <w:r>
        <w:rPr>
          <w:rFonts w:ascii="Amiri" w:hAnsi="Amiri" w:eastAsia="Amiri" w:cs="Amiri"/>
          <w:color w:val="111111"/>
          <w:sz w:val="28"/>
          <w:sz w:val="28"/>
          <w:szCs w:val="28"/>
          <w:rtl w:val="true"/>
          <w:lang w:bidi="ar-SA"/>
        </w:rPr>
        <w:t xml:space="preserve">وممّا ذكرناه يظهر النظر في كلام جملة من الأعلام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الطباطبائي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الفسخ رجوع العوضين إلى مالكهما ، ومقتضاه وجوب دفعها مع الإمكان ، وفي حال التلف يضمن نفس العين ، لا بدلها ، وإعطاء البدل لتفريغ ذمّته ، كما في سائر الضمانات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إذا انحلّ ، يرجع نفس العوض ، فإن كان موجوداً فهو ، وإلاّ فيقدّر موجوداً في ذمّة المفسوخ عليه ، فإذا فرض إمكان تحصيله ، وجب مقدّماً على البدل ، وبالجملة فالمقام نظير ضمان الحيلولة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ما ذكرنا ،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رجع البدل لزم رجوع غير ما وقع عليه العقد بالفسخ ، ثمّ فرّع عليه اُموراً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لا يخفى ؛ لأ نّه أراد بذلك التخلّص عن مخالفة مقتضى الفسخ ؛ بملاحظة أنّ رجوع البدل مخالف 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مقتضاه رجوع نفس العين ، ومع تلفها تقدّر موجودة في ذمّة الطرف ؛ عملاً بمقتضى الفسخ الذي هو ردّ العوض إلى محلّه </w:t>
      </w:r>
      <w:r>
        <w:rPr>
          <w:rFonts w:eastAsia="Amiri" w:cs="Amiri" w:ascii="Amiri" w:hAnsi="Amiri"/>
          <w:color w:val="111111"/>
          <w:sz w:val="28"/>
          <w:szCs w:val="28"/>
          <w:rtl w:val="true"/>
          <w:lang w:bidi="ar-SA"/>
        </w:rPr>
        <w:t xml:space="preserve">. </w:t>
      </w:r>
      <w:bookmarkStart w:id="627" w:name="pg15222_162584"/>
    </w:p>
    <w:p>
      <w:pPr>
        <w:pStyle w:val="BookText"/>
        <w:rPr/>
      </w:pPr>
      <w:bookmarkEnd w:id="627"/>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العقد وقع على العين الموجودة الشخصية الخارجية ، فلو انتقلت إلى غيره ، كان الغير مالكاً لها ، وهي موجودة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 أنّ مقتضى الفسخ على مبناهم ، إرجاع العوض بعينه ؛ وهو العين الموجودة في ملك الغير ، وهو معترف بعدم رجوعها ، ولهذا ذهب إلى جواز إلزامه بالفسخ ، وتقدير وجودها في ذمّة الغير ، والوجود الفرضي في الذمّة لا يوجب تحقّق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يكون ذلك الوجود ما تعلّق به العقد ، فهو أجنبيّ عن العوض وما تعلّق به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الحال لو كانت تالفة حقيقة ؛ فإنّ الفسخ لا يعقل أن يوجب إرجاعها ؛ لكونها معدومة ، وتقدير الوجود لا يصحّح اقتضاء الفسخ ، فما فرّ منه وقع فيه بوجه أفسد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مرّ منّا في مسألة ضمان اليد</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الضمانات أيضاً ليس كما ذكره ، وأمّا التنظير ببدل الحيلولة</w:t>
      </w:r>
      <w:r>
        <w:rPr>
          <w:rStyle w:val="FootnoteAnchor"/>
          <w:rtl w:val="true"/>
        </w:rPr>
        <w:footnoteReference w:id="1035"/>
      </w:r>
      <w:r>
        <w:rPr>
          <w:rFonts w:ascii="Amiri" w:hAnsi="Amiri" w:eastAsia="Amiri" w:cs="Amiri"/>
          <w:color w:val="111111"/>
          <w:sz w:val="28"/>
          <w:sz w:val="28"/>
          <w:szCs w:val="28"/>
          <w:rtl w:val="true"/>
          <w:lang w:bidi="ar-SA"/>
        </w:rPr>
        <w:t xml:space="preserve">، فليس في محلّه كما هو واضح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3331960_2142443653"/>
      <w:bookmarkStart w:id="629" w:name="_Toc229"/>
      <w:bookmarkEnd w:id="628"/>
      <w:r>
        <w:rPr>
          <w:rtl w:val="true"/>
        </w:rPr>
        <w:t>كلام المحقّق الأصفهاني ونقده</w:t>
      </w:r>
      <w:bookmarkEnd w:id="629"/>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أهل التحقيق قدّس سرّه في تعليقته على كلام الشيخ الأعظم قدّس 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محصّله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التي وقعت المعاوضة عليها ، ذات شؤون ثلاثة ، وهي ماهيتها الشخصية التي بها تمتاز هذه الحصّة عن سائر الحصص ، والوجود الذي </w:t>
      </w:r>
    </w:p>
    <w:p>
      <w:pPr>
        <w:pStyle w:val="BookText"/>
        <w:rPr/>
      </w:pPr>
      <w:r>
        <w:rPr>
          <w:rFonts w:ascii="Amiri" w:hAnsi="Amiri" w:eastAsia="Amiri" w:cs="Amiri"/>
          <w:color w:val="111111"/>
          <w:sz w:val="28"/>
          <w:sz w:val="28"/>
          <w:szCs w:val="28"/>
          <w:rtl w:val="true"/>
          <w:lang w:bidi="ar-SA"/>
        </w:rPr>
        <w:t xml:space="preserve">تمتاز به هذه الهوية عن سائر الهويّات ، فهذه العين تنحلّ إلى ماهية شخصية ، ووجود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والحيثية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كونها ذات طبيعة نوعية ، كطبيعة الحنطة التي لها أفراد متماثلة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والحيثية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حيثية المالية التي تمتاز بها عن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أغراض المتعاملين ، تارة تتعلّق بالحيثية الاُولى ، وهذه أغراض شخصية ، واُخرى تتعلّق بالحيثية النوعية والمالية ، وهي الأغراض النوعية ، من غير نظر إلى الخصوصيات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وللشارع رعاية الطبيعة النوعية وحيثية المالية ، التي هي مدار الأغراض النوعية ، فيوسّع في دائرة الحقّ ، ولا يجعله مقصوراً على صورة بقاء العين الشخصية ، والطبيعة النوعية كما أ نّها محفوظة مع وجود هذه الماهية الشخصية ، كذلك مع تلفها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الطبيعة النوعية ملحوظة بما هي ، ولا بشرط ، حتّى يكون لمن عليه الخيار ، أداؤها بأداء ما يماثل العين مع وجودها ، ولا الماهية الشخصية ملحوظة بما هي متّحدة مع وجودها الخاصّ بها بالذات ، حتّى يسقط الحقّ بتلفها ، ويكون أداء بدلها باقتضاء فرد آخر من الحقّ ، أو بمعنىً أجنبيّ عن حقيقة الفسخ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لوحظ متعلّق الحقّ الوحداني ، نفس الماهية الشخصية ، بما هي متّحدة مع طبيعتها النوعية ، وهذا الاتّحاد هو المصحّح لسعة دائرة موضوع الحقّ الوحداني ، فمع وجود الماهية الشخصية ، يجب رجوعها ، ومع تلفها يردّ الطبيعة النوعية ، </w:t>
      </w:r>
    </w:p>
    <w:p>
      <w:pPr>
        <w:pStyle w:val="BookText"/>
        <w:rPr/>
      </w:pPr>
      <w:r>
        <w:rPr>
          <w:rFonts w:ascii="Amiri" w:hAnsi="Amiri" w:eastAsia="Amiri" w:cs="Amiri"/>
          <w:color w:val="111111"/>
          <w:sz w:val="28"/>
          <w:sz w:val="28"/>
          <w:szCs w:val="28"/>
          <w:rtl w:val="true"/>
          <w:lang w:bidi="ar-SA"/>
        </w:rPr>
        <w:t xml:space="preserve">والحيثية المالية ؛ لأ نّهما لم تتلفا ، هذا بحسب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الإثبات ، فيكفي إطلاق دليل الخيار لصورة تلف العين</w:t>
      </w:r>
      <w:r>
        <w:rPr>
          <w:rStyle w:val="FootnoteAnchor"/>
          <w:rtl w:val="true"/>
        </w:rPr>
        <w:footnoteReference w:id="103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 خبير بما فيه من التكلّف والتعسّف ، مع عدم الإنتاج لما أراده ، ولولا بعض الملاحظات لما تعرّضنا لمثله ، لكن لا بأس بذكر بعض ما فيه من الأنظار الواضحة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العين ، تنحلّ إلى ماهية شخصية ، ووجود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للواقع والبرهان ؛ فإنّ الماهية لا شخصية لها في قبال الوجود ، ولا يعقل انحلال الموجود إلى الماهية الشخصية والوجود ؛ لأنّ الشخصية عين الوجود ، فهذا التوهّم مساوق للقول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الموجود ينحلّ إلى الوجود ، والماهية الموجودة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موجود ممكن ، ينحلّ إلى ماهية ووجود ، وهذه الماهية لا شخصية لها ، ولا تكون فرداً إلاّ بوجودها ،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وقع في كلامه ، فاسد أيضاً ، كما هو ظاهر عند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الأغراض النوعية ، متعلّقة بحيثية الطبيعة النوعية والمالية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 لا يفيد على وجه ، وفاسد على آخر ؛ فإنّ العقد إن وقع على ما تعلّق به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الماهية النوعية والمالية الكلّية الموجودتين مع سائر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المتعلّق كلّياً ، لا شخصياً ، وللبائع أداء أيّ فرد أراد ، وهو</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فاسد ؛ لأنّ المفروض تعلّق العقد بالجزئي الحقيقي ، والطبيعةُ الموجودة بوجوده </w:t>
      </w:r>
    </w:p>
    <w:p>
      <w:pPr>
        <w:pStyle w:val="BookText"/>
        <w:rPr/>
      </w:pPr>
      <w:r>
        <w:rPr>
          <w:rFonts w:ascii="Amiri" w:hAnsi="Amiri" w:eastAsia="Amiri" w:cs="Amiri"/>
          <w:color w:val="111111"/>
          <w:sz w:val="28"/>
          <w:sz w:val="28"/>
          <w:szCs w:val="28"/>
          <w:rtl w:val="true"/>
          <w:lang w:bidi="ar-SA"/>
        </w:rPr>
        <w:t xml:space="preserve">جزئية بجزئية الوجود ، وكذا المالية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وقع على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الداعي تحصيل ماليته ، أو نفس الطبيعة النوعية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يعقل بقاء متعلّق العقد بعد تلف الشخص ؛ فإنّ ما لا يتلف هو المالية الكلّية والطبيعة النوعية ، على إشكال فيه أيضاً على المذهب الدقيق ، وإن كان موافقاً للنظر العرفي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لم يتعلّق بها ، وما تعلّق به تلف ، ولم تبق له مالية ، ولا النوع المتّحد معه ، فجعلُ الخيار مع التلف ، لا يعقل أن يكون مقتضاه ردّ ما تعلّق به العقد على هذا المبنى ، ومآل رعاية الشارع للغرض النوعي في جعل الخيار ، جعله لردّ أمر أجنبيّ عن المعاملة ، وهو غير معقول ، وإنّما المعقول جعل حقّ له لاستنقاذ حقّه ، من غير مورد المعاملة ، وهو خلاف الفرض والواقع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مقام الإثبات إطلاق دليل الخيار لصورة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مرضيّ ؛ لعدم تعقّل إطلاق الدليل لما لا يكون موضوعاً له ، فإطلاق دليل خيار فسخ العقد المتعلّق بهذا الشخص ، لا يعقل شموله لما لا يكون متعلّقاً له ، حتّى يقتضي رجوع أمر أجنبيّ عن العقد ، وهو واضح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مرّ منّا في حقيقة العقد وماهية الفسخ</w:t>
      </w:r>
      <w:r>
        <w:rPr>
          <w:rStyle w:val="FootnoteAnchor"/>
          <w:rtl w:val="true"/>
        </w:rPr>
        <w:footnoteReference w:id="1037"/>
      </w:r>
      <w:r>
        <w:rPr>
          <w:rFonts w:ascii="Amiri" w:hAnsi="Amiri" w:eastAsia="Amiri" w:cs="Amiri"/>
          <w:color w:val="111111"/>
          <w:sz w:val="28"/>
          <w:sz w:val="28"/>
          <w:szCs w:val="28"/>
          <w:rtl w:val="true"/>
          <w:lang w:bidi="ar-SA"/>
        </w:rPr>
        <w:t xml:space="preserve">، وعليه فيثبت الخيار ، ويردّ بالفسخ ما تعلّق به العقد على ما تقدّم ، من غير ورود إشكال عليه </w:t>
      </w:r>
      <w:r>
        <w:rPr>
          <w:rFonts w:eastAsia="Amiri" w:cs="Amiri" w:ascii="Amiri" w:hAnsi="Amiri"/>
          <w:color w:val="111111"/>
          <w:sz w:val="28"/>
          <w:szCs w:val="28"/>
          <w:rtl w:val="true"/>
          <w:lang w:bidi="ar-SA"/>
        </w:rPr>
        <w:t xml:space="preserve">. </w:t>
      </w:r>
      <w:bookmarkStart w:id="630" w:name="pg15222_162588"/>
    </w:p>
    <w:p>
      <w:pPr>
        <w:pStyle w:val="Heading4"/>
        <w:numPr>
          <w:ilvl w:val="3"/>
          <w:numId w:val="1"/>
        </w:numPr>
        <w:rPr/>
      </w:pPr>
      <w:bookmarkStart w:id="631" w:name="__RefHeading___Toc3331962_2142443653"/>
      <w:bookmarkStart w:id="632" w:name="_Toc230"/>
      <w:bookmarkEnd w:id="630"/>
      <w:bookmarkEnd w:id="631"/>
      <w:r>
        <w:rPr>
          <w:rtl w:val="true"/>
        </w:rPr>
        <w:t>كلام المحقّق النائيني والإيراد عليه</w:t>
      </w:r>
      <w:bookmarkEnd w:id="632"/>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الأعاظم قدّس سرّه على ما في تقريراته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طريق إلى استرجاع نفس العين ، لا الأعمّ منها ومن المثل أو القيمة ، ولمّا كان المدار في باب الضمان على قيمة يوم الأداء ، كما قلنا في محلّه ، فلا تجوز التصرّفات المانعة عن الاسترداد</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إن اُريد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قبيل الأغراض ، كما هو ظاهر من بعض عباراته ، فلا يوجب ذلك عدم جواز التصرّف بوجه ؛ لأ نّها خارجة عن الخيار ، ولا يجب حفظ أغراض ذي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فسخ العقد ، وإرجاع العين الخارجية ، فقد تقدّم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ابتناء المسألة على مسألة الضمان ، وأنّ المعيار قيمة يوم التلف ، أو يوم الأداء ، ممّا لا وجه له ، كما لا يخفى </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3331964_2142443653"/>
      <w:bookmarkStart w:id="634" w:name="_Toc231"/>
      <w:bookmarkEnd w:id="633"/>
      <w:r>
        <w:rPr>
          <w:rtl w:val="true"/>
        </w:rPr>
        <w:t>في جواز التصرّف وعدمه في الخيارات المجعولة</w:t>
      </w:r>
      <w:bookmarkEnd w:id="634"/>
    </w:p>
    <w:p>
      <w:pPr>
        <w:pStyle w:val="BookText"/>
        <w:rPr/>
      </w:pPr>
      <w:r>
        <w:rPr>
          <w:rFonts w:ascii="Amiri" w:hAnsi="Amiri" w:eastAsia="Amiri" w:cs="Amiri"/>
          <w:color w:val="111111"/>
          <w:sz w:val="28"/>
          <w:sz w:val="28"/>
          <w:szCs w:val="28"/>
          <w:rtl w:val="true"/>
          <w:lang w:bidi="ar-SA"/>
        </w:rPr>
        <w:t xml:space="preserve">ثمّ إنّ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التصرّف مطلقاً </w:t>
      </w:r>
      <w:r>
        <w:rPr>
          <w:rStyle w:val="FootnoteAnchor"/>
          <w:rtl w:val="true"/>
        </w:rPr>
        <w:footnoteReference w:id="1039"/>
      </w:r>
      <w:r>
        <w:rPr>
          <w:rFonts w:ascii="Amiri" w:hAnsi="Amiri" w:eastAsia="Amiri" w:cs="Amiri"/>
          <w:color w:val="111111"/>
          <w:sz w:val="28"/>
          <w:sz w:val="28"/>
          <w:szCs w:val="28"/>
          <w:rtl w:val="true"/>
          <w:lang w:bidi="ar-SA"/>
        </w:rPr>
        <w:t xml:space="preserve">، إنّما هو في الخيارات العقلائية ، كخيار الغبن ، وتخلّف الوصف والشرط ، أو الشرعية كخيار الحيوان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الخيارات المجعولة من قبل المتعاقدين ، فالجواز وعدمه تابعان </w:t>
      </w:r>
    </w:p>
    <w:p>
      <w:pPr>
        <w:pStyle w:val="BookText"/>
        <w:rPr/>
      </w:pPr>
      <w:r>
        <w:rPr>
          <w:rFonts w:ascii="Amiri" w:hAnsi="Amiri" w:eastAsia="Amiri" w:cs="Amiri"/>
          <w:color w:val="111111"/>
          <w:sz w:val="28"/>
          <w:sz w:val="28"/>
          <w:szCs w:val="28"/>
          <w:rtl w:val="true"/>
          <w:lang w:bidi="ar-SA"/>
        </w:rPr>
        <w:t xml:space="preserve">لجعلهما ، فإن كان المجعول نفس خيار فسخ العقد ، كما لو شرط أنّ له خيار فسخه إلى سنة مثلاً ، كان حاله حال الخيارات العقلائية والشرعية ؛ لعين ما تقدّم من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الشرط هو ردّ العين ، كما هو المتعارف في البيع بشرط ردّ الثمن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جئتك بالثمن إلى سنة ، تردّ عليّ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الإشكال في عدم جواز التصرّف ، بل ولا في عدم النفوذ لو تصرّف بالبيع ونحوه ؛ فإنّ هذا الشرط وإن كان متضمّناً لشرط الخيار وسلطنة فسخ العقد ، لكن يستفاد منه أمر آخر ؛ هو حقّ استرجاع نفس العين ، ومع هذا الحقّ لا يجوز التصرّف المانع عنه ، ولا يكون نافذاً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نفوذه ولو كان التصرّف غير جائز</w:t>
      </w:r>
      <w:r>
        <w:rPr>
          <w:rStyle w:val="FootnoteAnchor"/>
          <w:rtl w:val="true"/>
        </w:rPr>
        <w:footnoteReference w:id="1040"/>
      </w:r>
      <w:r>
        <w:rPr>
          <w:rFonts w:ascii="Amiri" w:hAnsi="Amiri" w:eastAsia="Amiri" w:cs="Amiri"/>
          <w:color w:val="111111"/>
          <w:sz w:val="28"/>
          <w:sz w:val="28"/>
          <w:szCs w:val="28"/>
          <w:rtl w:val="true"/>
          <w:lang w:bidi="ar-SA"/>
        </w:rPr>
        <w:t xml:space="preserve">فاسد ؛ فإنّ المستفاد من مثل ذلك ، هو استحقاق الاسترجاع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والشرط المذكور كما يكون بنحو شرط الفعل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جئتك بالثمن تردّ عليّ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قد يكون بنحو شرط النتيجة ؛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جئتك بالثمن تكون العين لي</w:t>
      </w:r>
      <w:r>
        <w:rPr>
          <w:rFonts w:eastAsia="Amiri" w:cs="Amiri" w:ascii="Amiri" w:hAnsi="Amiri"/>
          <w:color w:val="111111"/>
          <w:sz w:val="28"/>
          <w:szCs w:val="28"/>
          <w:rtl w:val="true"/>
          <w:lang w:bidi="ar-SA"/>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روايات الباب ما يستفاد منها شرط الفعل ، كرواية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عبداللّه علیه السلام ، وسأله رجل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مسلم احتاج إلى بيع داره ، فجاء إلى أخيه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أبيعك داري هذه وتكون لك أحبّ من أن تكون لغيرك ، على أن تشترط لي إن أنا جئتك بثمنها إلى سنة أن تردّ عليّ </w:t>
      </w:r>
      <w:r>
        <w:rPr>
          <w:rFonts w:eastAsia="IRNazanin" w:cs="IRNazanin"/>
          <w:color w:val="111111"/>
          <w:sz w:val="28"/>
          <w:szCs w:val="28"/>
          <w:rtl w:val="true"/>
          <w:lang w:bidi="fa-IR"/>
        </w:rPr>
        <w:t xml:space="preserve">. </w:t>
      </w:r>
      <w:bookmarkStart w:id="635" w:name="pg15222_162590"/>
    </w:p>
    <w:p>
      <w:pPr>
        <w:pStyle w:val="BookText"/>
        <w:rPr/>
      </w:pPr>
      <w:bookmarkEnd w:id="635"/>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بهذا، إن جاء بثمنها إلى سنة ردّها عليه </w:t>
      </w:r>
      <w:r>
        <w:rPr>
          <w:rFonts w:eastAsia="Amiri" w:cs="Amiri" w:ascii="Amiri" w:hAnsi="Amiri"/>
          <w:color w:val="111111"/>
          <w:sz w:val="28"/>
          <w:szCs w:val="28"/>
          <w:rtl w:val="true"/>
          <w:lang w:bidi="ar-SA"/>
        </w:rPr>
        <w:t>. . .»</w:t>
      </w:r>
      <w:r>
        <w:rPr>
          <w:rStyle w:val="FootnoteAnchor"/>
          <w:rtl w:val="true"/>
        </w:rPr>
        <w:footnoteReference w:id="1041"/>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المتفاهم منها ،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حقّ الفسخ وحقّ الاسترجاع به ، لا شرط النتيجة ، كما في الرواية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منها ، جعل حقّ استرجاع نفس العين ، وإن كان متضمّناً للخيار أيضاً ، فلا يتوهّم سقوط الخيار مع تلفها ؛ فإنّ مثل هذا يدلّ عرفاً على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أخذ نفس العين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الفسخ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يستفاد منها شرط النتيجة ، كرواية معاوية بن ميسرة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الجارود يسأل أبا عبداللّه علیه السلام ، عن رجل باع داراً له من رجل ، وكان بينه وبين الرجل الذي اشترى منه الدار حاصر ، فشرط أ نّك إن أتيتني بمالي ما بين ثلاث سنين فالدار دارك ، فأتاه بماله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شرطه</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الصورتين لا إشكال في عدم جواز التصرّف ، ولا في عدم نفوذه ، كما لا إشكال في ثبوت حقّ الخيار مع التلف </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3331966_2142443653"/>
      <w:bookmarkStart w:id="637" w:name="_Toc232"/>
      <w:bookmarkEnd w:id="636"/>
      <w:r>
        <w:rPr>
          <w:rtl w:val="true"/>
        </w:rPr>
        <w:t>حكم شرط الخيار بردّ الثمن</w:t>
      </w:r>
      <w:bookmarkEnd w:id="63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هنا صورة اُخرى ؛ وهي شرط الخيار بردّ الثمن ، كأن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شرطت عليك إن أنا جئت بالثمن فلي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أن يكون حالها حال الخيارات </w:t>
      </w:r>
      <w:bookmarkStart w:id="638" w:name="pg15222_162591"/>
    </w:p>
    <w:p>
      <w:pPr>
        <w:pStyle w:val="BookText"/>
        <w:rPr/>
      </w:pPr>
      <w:bookmarkEnd w:id="638"/>
      <w:r>
        <w:rPr>
          <w:rFonts w:ascii="Amiri" w:hAnsi="Amiri" w:eastAsia="Amiri" w:cs="Amiri"/>
          <w:color w:val="111111"/>
          <w:sz w:val="28"/>
          <w:sz w:val="28"/>
          <w:szCs w:val="28"/>
          <w:rtl w:val="true"/>
          <w:lang w:bidi="ar-SA"/>
        </w:rPr>
        <w:t xml:space="preserve">الشرعية ؛ من جواز التصرّف ، ونفوذه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تكون حال الصورة السابقة ؛ ممّا قلنا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الجواز ، وعدم النفوذ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المعهود عند العقلاء في مثل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إلى نفس العين ، وذلك يوجب صرف الكلام إلى ما هو المتعارف ؛ من جعل حقّ الرجوع إلى نفس العين زائداً عن حقّ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يخلو من جودة ، وإن لم يخلُ من إشكال ، وأمّا احتمال أنّ التصرّف لا يجوز ، لكنّه ينفذ ، فغير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تقدّم منّا في صدر المسألة من وجه جواز التصرّف</w:t>
      </w:r>
      <w:r>
        <w:rPr>
          <w:rStyle w:val="FootnoteAnchor"/>
          <w:rtl w:val="true"/>
        </w:rPr>
        <w:footnoteReference w:id="1043"/>
      </w:r>
      <w:r>
        <w:rPr>
          <w:rFonts w:ascii="Amiri" w:hAnsi="Amiri" w:eastAsia="Amiri" w:cs="Amiri"/>
          <w:color w:val="111111"/>
          <w:sz w:val="28"/>
          <w:sz w:val="28"/>
          <w:szCs w:val="28"/>
          <w:rtl w:val="true"/>
          <w:lang w:bidi="ar-SA"/>
        </w:rPr>
        <w:t xml:space="preserve">، يظهر عدم وقع للبحث عن تقدّم حقّ الخيار ، أو حقّ الاستيلاد ؛ ضرورة عدم التزاحم بينهما ؛ لعدم حقّ لذي الخيار في الجارية ، مع أنّ البحث في مثله قليل الجدوى في هذه الأزمنة </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3331968_2142443653"/>
      <w:bookmarkStart w:id="640" w:name="_Toc233"/>
      <w:bookmarkEnd w:id="639"/>
      <w:r>
        <w:rPr>
          <w:rtl w:val="true"/>
        </w:rPr>
        <w:t>جواز التصرّف في العين قبل زمان الخيار</w:t>
      </w:r>
      <w:bookmarkEnd w:id="640"/>
    </w:p>
    <w:p>
      <w:pPr>
        <w:pStyle w:val="BookText"/>
        <w:rPr/>
      </w:pPr>
      <w:r>
        <w:rPr>
          <w:rFonts w:ascii="Amiri" w:hAnsi="Amiri" w:eastAsia="Amiri" w:cs="Amiri"/>
          <w:color w:val="111111"/>
          <w:sz w:val="28"/>
          <w:sz w:val="28"/>
          <w:szCs w:val="28"/>
          <w:rtl w:val="true"/>
          <w:lang w:bidi="ar-SA"/>
        </w:rPr>
        <w:t xml:space="preserve">ثمّ إنّ المتيقّن من منع التصرّف في زمان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زمان تحقّق الخيار بالفعل ، كما في خيار المجلس ، والحيوان ، ونحوهما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لم يتحقّق فعلاً ، كما لو جعل الخيار بعد شهر ، وكما في خيار الغبن ، على القول بحدوثه عند ظهوره ، وغير ذلك ممّا هو كذلك ، فالظاهر عدم المانع من التصرّف ، من غير فرق بين الجعل في زمان متأخّر وغيره ؛ لاشتراكهما في فقدان المانع ، فإنّ ما هو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الخيار وحقّ الغير ، والفرض </w:t>
      </w:r>
    </w:p>
    <w:p>
      <w:pPr>
        <w:pStyle w:val="BookText"/>
        <w:rPr/>
      </w:pPr>
      <w:r>
        <w:rPr>
          <w:rFonts w:ascii="Amiri" w:hAnsi="Amiri" w:eastAsia="Amiri" w:cs="Amiri"/>
          <w:color w:val="111111"/>
          <w:sz w:val="28"/>
          <w:sz w:val="28"/>
          <w:szCs w:val="28"/>
          <w:rtl w:val="true"/>
          <w:lang w:bidi="ar-SA"/>
        </w:rPr>
        <w:t xml:space="preserve">عدم تحقّقه ، ووجودُه في زمان متأخّر لا يوجب الفرق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قلنا في مقدّمة الواجب المشروط المعلوم حصول شرطه قبل حصوله</w:t>
      </w:r>
      <w:r>
        <w:rPr>
          <w:rStyle w:val="FootnoteAnchor"/>
          <w:rtl w:val="true"/>
        </w:rPr>
        <w:footnoteReference w:id="1044"/>
      </w:r>
      <w:r>
        <w:rPr>
          <w:rFonts w:ascii="Amiri" w:hAnsi="Amiri" w:eastAsia="Amiri" w:cs="Amiri"/>
          <w:color w:val="111111"/>
          <w:sz w:val="28"/>
          <w:sz w:val="28"/>
          <w:szCs w:val="28"/>
          <w:rtl w:val="true"/>
          <w:lang w:bidi="ar-SA"/>
        </w:rPr>
        <w:t xml:space="preserve">، لا يأتي في المقام كما 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الأعظم قدّس سرّه في وجه الفرق بين الخيار المتوقّف على حضور الزمان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ثبوت الحقّ في الأوّل معلوم وإن لم يحضر زمانه ، بخلاف الثاني</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وجيه ؛ لأنّ العلم بثبوت حقّ في زمان متأخّر ، لا يوجب حقّاً فعلاً ، ففي الزمان الحاضر لا حقّ بوجه ، فلا مانع ، ولا يعقل أن يكون المعدوم في الحال مانعاً ، والمانعية في زمان ثبوت الحقّ لا تسري إلى المتقدّم ، وليس الخيار كالواجب المعلّق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المانع من التصرّف هو تزلزل العقد ، وفعلية حقّ ذي الخيار ، وهما حاصلان ؛ لأنّ نفس الشرط الموجود حال العقد ، حقّ مالكي يجوز إسقاطه ، والتصرّف المتلف منافٍ 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التزلزل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ثبوت الخيار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وكونه في معرض الحصول لا يوجب المنع ، مع أنّ التزلزل بنفسه ليس مانعاً ، بل المانع هو الحقّ المتعلّق بالعين </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نفس الشرط حقّاً مالكياً ، فلا يرجع إلى محصّل وإن كان له إسقاطه </w:t>
      </w:r>
    </w:p>
    <w:p>
      <w:pPr>
        <w:pStyle w:val="BookText"/>
        <w:rPr/>
      </w:pPr>
      <w:r>
        <w:rPr>
          <w:rFonts w:ascii="Amiri" w:hAnsi="Amiri" w:eastAsia="Amiri" w:cs="Amiri"/>
          <w:color w:val="111111"/>
          <w:sz w:val="28"/>
          <w:sz w:val="28"/>
          <w:szCs w:val="28"/>
          <w:rtl w:val="true"/>
          <w:lang w:bidi="ar-SA"/>
        </w:rPr>
        <w:t xml:space="preserve">عرفاً ، نظير الإقالة ، والمانع إنّما هو الخيار ، وهو ليس بموجود فعلاً ، والمعرضية لا تفيد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الإسقاط تستلزم ثبوت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فغايته أنّ الشرط حقّ ، لكن كونه حقّاً موجباً للمنع ، ممنوع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بناءً على ثبوت الخيار على أيّ حال ، وبناءً على الانتقال إلى البدل مع التلف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دائر بين اُمور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إنفاذ التصرّف بقول مطلق ، فلا يبقى معه مجال للخيار ، وعدمه كذلك ، وعليه فيتمكّن من إعماله في ظرفه ، وإنفاذه إلى زمان تحقّق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مجال للثالث ؛ لأنّ الصحّة غير قابلة للتوقيت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خلف ؛ لأنّ المفروض ثبوت الحقّ في ظرفه ، كما أنّ المفروض أنّ الانتقال إلى البدل ، مختصّ بالتلف القهري ، فيبقى الثاني وهو المطلوب</w:t>
      </w:r>
      <w:r>
        <w:rPr>
          <w:rStyle w:val="FootnoteAnchor"/>
          <w:rtl w:val="true"/>
        </w:rPr>
        <w:footnoteReference w:id="1047"/>
      </w:r>
      <w:r>
        <w:rPr>
          <w:rFonts w:ascii="Amiri" w:hAnsi="Amiri" w:eastAsia="Amiri" w:cs="Amiri"/>
          <w:color w:val="111111"/>
          <w:sz w:val="28"/>
          <w:sz w:val="28"/>
          <w:szCs w:val="28"/>
          <w:rtl w:val="true"/>
          <w:lang w:bidi="ar-SA"/>
        </w:rPr>
        <w:t xml:space="preserve">، انتهى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ابتنائه على بناءين فاسدين ؛ فإنّ ثبوت الخيار بقول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عدم إمكان إعماله ، وعدم تحقّق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بل فرض فاسد ، كما أنّ اختصاص البدل بالتلف القهري فاسد ، ولا أظنّ التزام القائل به ، فكيف يلتزم بعدم البدل وعدم الخيار ، لو أتلف العين عصياناً واختياراً ؟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الفرض الثالث على فرض صحّة البناءين ، هو المتعيّن ، ولا يلزم منه تحديد الصحّة ، بل يمكن عروض الانفساخ القهري للعقد ، فيكون العقد متحقّقاً </w:t>
      </w:r>
      <w:bookmarkStart w:id="641" w:name="pg15222_162594"/>
    </w:p>
    <w:p>
      <w:pPr>
        <w:pStyle w:val="BookText"/>
        <w:rPr/>
      </w:pPr>
      <w:bookmarkEnd w:id="641"/>
      <w:r>
        <w:rPr>
          <w:rFonts w:ascii="Amiri" w:hAnsi="Amiri" w:eastAsia="Amiri" w:cs="Amiri"/>
          <w:color w:val="111111"/>
          <w:sz w:val="28"/>
          <w:sz w:val="28"/>
          <w:szCs w:val="28"/>
          <w:rtl w:val="true"/>
          <w:lang w:bidi="ar-SA"/>
        </w:rPr>
        <w:t xml:space="preserve">إلى زمان الخيار ، ومنفيّاً حاله ، كالوقف المنقطع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التصرّف ونفوذه ، وأنّ الخيار يتحقّق في ظرفه ، ويرجع بعد الفسخ إلى بدله ، إلاّ أن يجعل الخيار على وجه لا يتحقّق عند عدم المبيع ، فيكون التصرّف معدماً للموضوع قبل حصول الخيار ، وهو أيضاً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الكلام في التصرّفات الاعتبارية في الفرض الأخير ، وتزاحمها مع إعمال الخيار ، والبحث عنها غير مهمّ </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3331970_2142443653"/>
      <w:bookmarkStart w:id="643" w:name="_Toc234"/>
      <w:bookmarkEnd w:id="642"/>
      <w:r>
        <w:rPr>
          <w:rtl w:val="true"/>
        </w:rPr>
        <w:t>هل يجوز التصرّف غير المنافي قبل زمان الخيار؟</w:t>
      </w:r>
      <w:bookmarkEnd w:id="643"/>
    </w:p>
    <w:p>
      <w:pPr>
        <w:pStyle w:val="BookText"/>
        <w:rPr/>
      </w:pPr>
      <w:r>
        <w:rPr>
          <w:rFonts w:ascii="Amiri" w:hAnsi="Amiri" w:eastAsia="Amiri" w:cs="Amiri"/>
          <w:color w:val="111111"/>
          <w:sz w:val="28"/>
          <w:sz w:val="28"/>
          <w:szCs w:val="28"/>
          <w:rtl w:val="true"/>
          <w:lang w:bidi="ar-SA"/>
        </w:rPr>
        <w:t xml:space="preserve">ثمّ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التصرّف المنافي للخيار ، هل يجوز التصرّف الذي ليس بنفسه منافياً ، لكن يحتمل أن يترتّب عليه ما يوجب ذلك ، كالتصرّف الذي يحتمل ترتّب تلف العين عليه ، وكوط‌ء الجارية المحتمل أن يترتّب عليه الاستيلاد ، بناءً على كونه موجباً لعدم جواز الردّ ؟</w:t>
      </w:r>
    </w:p>
    <w:p>
      <w:pPr>
        <w:pStyle w:val="BookText"/>
        <w:rPr/>
      </w:pPr>
      <w:r>
        <w:rPr>
          <w:rFonts w:ascii="Amiri" w:hAnsi="Amiri" w:eastAsia="Amiri" w:cs="Amiri"/>
          <w:color w:val="111111"/>
          <w:sz w:val="28"/>
          <w:sz w:val="28"/>
          <w:szCs w:val="28"/>
          <w:rtl w:val="true"/>
          <w:lang w:bidi="ar-SA"/>
        </w:rPr>
        <w:t xml:space="preserve">وجهان ، أوجههما عدم الجواز ؛ لأنّ مبنى هذا الحكم تعلّق حقّ الغير بالعين ، فما هو الجائز من التصرّفات فيها ، هو التصرّف الذي لا تترتّب عليه المزاحمة ، ومع الاحتمال لا بدّ من الإحراز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والتمسّك بدليل السلطنة</w:t>
      </w:r>
      <w:r>
        <w:rPr>
          <w:rStyle w:val="FootnoteAnchor"/>
          <w:rtl w:val="true"/>
        </w:rPr>
        <w:footnoteReference w:id="1048"/>
      </w:r>
      <w:r>
        <w:rPr>
          <w:rFonts w:ascii="Amiri" w:hAnsi="Amiri" w:eastAsia="Amiri" w:cs="Amiri"/>
          <w:color w:val="111111"/>
          <w:sz w:val="28"/>
          <w:sz w:val="28"/>
          <w:szCs w:val="28"/>
          <w:rtl w:val="true"/>
          <w:lang w:bidi="ar-SA"/>
        </w:rPr>
        <w:t>أو أصالة الإباحة</w:t>
      </w:r>
      <w:r>
        <w:rPr>
          <w:rStyle w:val="FootnoteAnchor"/>
          <w:rtl w:val="true"/>
        </w:rPr>
        <w:footnoteReference w:id="1049"/>
      </w:r>
      <w:r>
        <w:rPr>
          <w:rFonts w:ascii="Amiri" w:hAnsi="Amiri" w:eastAsia="Amiri" w:cs="Amiri"/>
          <w:color w:val="111111"/>
          <w:sz w:val="28"/>
          <w:sz w:val="28"/>
          <w:szCs w:val="28"/>
          <w:rtl w:val="true"/>
          <w:lang w:bidi="ar-SA"/>
        </w:rPr>
        <w:t xml:space="preserve">، ممّا لا وجه له ، وليس هنا </w:t>
      </w:r>
      <w:bookmarkStart w:id="644" w:name="pg15222_162595"/>
    </w:p>
    <w:p>
      <w:pPr>
        <w:pStyle w:val="BookText"/>
        <w:rPr/>
      </w:pPr>
      <w:bookmarkEnd w:id="644"/>
      <w:r>
        <w:rPr>
          <w:rFonts w:ascii="Amiri" w:hAnsi="Amiri" w:eastAsia="Amiri" w:cs="Amiri"/>
          <w:color w:val="111111"/>
          <w:sz w:val="28"/>
          <w:sz w:val="28"/>
          <w:szCs w:val="28"/>
          <w:rtl w:val="true"/>
          <w:lang w:bidi="ar-SA"/>
        </w:rPr>
        <w:t xml:space="preserve">أصل يحرز به عدم المزاحمة ؛ لأنّ عدم كون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مبدء نشوء الولد ، لا سابقة له ؛ لأ نّها من أوّل وجودها يحتمل أن تكون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الأثر لا يترتّب عليه ، بل يترتّب على لازمه ، وعدم تحقّق الاستيلاد بالوط‌ء ، وصبّ النطفة في الرحم ، ليست له حالة سابقة يقينية بهذا المفهوم المتقيّد ؛ فإنّ النطفة من حين صبّها في الرحم ، يحتمل ترتّب الاستيلاد عليها ، وليس المراد التولّد الفعلي ووضع الحمل ؛ فإنّه غير مشكوك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كونها مبدء لنشوء الولد في الجارية الخارجية ، فله حالة سابقة قبل تحقّق الوط‌ء ، لكن لا يثبت بالأصل الجاري فيه ما هو موضوع الحكم ؛ فإنّ أصالة عدم تحقّق الاستيلاد بالوط‌ء المنتفي قبل حصوله ، لا تثبت أنّ الوط‌ء حين وجوده كذلك ، نظير الإشكال في استصحاب الأعدام الأزلية</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يظهر الحال في أصالة عدم كون الفعل مزاحماً لحقّه ، وأصالة عدم مانعيته عن الردّ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w:t>
      </w:r>
    </w:p>
    <w:p>
      <w:pPr>
        <w:pStyle w:val="Heading4"/>
        <w:numPr>
          <w:ilvl w:val="3"/>
          <w:numId w:val="1"/>
        </w:numPr>
        <w:rPr/>
      </w:pPr>
      <w:bookmarkStart w:id="645" w:name="__RefHeading___Toc3331972_2142443653"/>
      <w:bookmarkStart w:id="646" w:name="_Toc235"/>
      <w:bookmarkEnd w:id="645"/>
      <w:r>
        <w:rPr>
          <w:rtl w:val="true"/>
        </w:rPr>
        <w:t>جواز الإجارة في زمان الخيار</w:t>
      </w:r>
      <w:bookmarkEnd w:id="646"/>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جواز الإجارة في زمان الخيار ، بناءً على عدم جواز التصرّفات المانعة عن الردّ ، فلا ينبغي الإشكال فيه ؛ فإنّ الردّ في المقام عبارة عن الردّ الاعتباري ، لا الخارجي ، والمزاحم له إنّما هو التصرّف المانع عن رجوع العين بالفسخ ، كالاستيلاد ، والتلف ، والوقف ، ونحوها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شبهة في أنّ العين المستأجرة ، التي هي مورد تعلّق العقد والحقّ ، لا مانع من أن ترجع إلى ذي الخيار بالفسخ ، وما لا ترجع إليه هي المنافع ، وهي ليست مورد العقد والحقّ ، بل هي تابعة لوجود العين حقيقة ، ويملكها مالك العين إذا لم يكن مانع عن تبعيتها ، كما لو كانت عند الرجوع مسلوبة المنفعة كما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تسليم العين إلى الفاسخ ، فهو وإن كان ممنوعاً مدّة الإجارة ، لكنّه ليس من آثار الفسخ ، حتّى تنافيه الإجازة ، بل هو من آثار صيرورته بالفسخ مالكاً ، ووجوبه في المقام ممنوع ؛ لتعلّق حقّ الغير بها في مدّة الإجارة ، كبيع الشيء مسلوب المنفعة بالإجارة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 ، لا وجه للقول بالانفساخ ، أو لبطلان الإجارة من أوّل الأمر بالنسبة إلى هذه القطعة ، كما في عروض التلف على العين في الأثناء ، فإنّ المنافع تابعة للعين في الملكية ، والعين مملوكة للمشتري بنحو الإطلاق ، والمنافع تابعة لها بنحو الإطلاق ، وقد تصرّف فيها بالنقل ، والفسخ لا يكشف عن عدم ملكيته ، والقياس بالتلف مع الفارق </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إشكال في أنّ على المشتري المؤجر للعين ، جبرانَ المنافع المذكورة ؛ فإنّ العقد تعلّق بعين لها المنفعة ، ولا بدّ في الفسخ من رجوعها كذلك عرفاً ، وعند عدم عود المنفعة لمانع ، لا بدّ من جبران ماليتها ، كما أ نّه لو فقدت صفة من صفاتها التي لها مالية ، لا بدّ من جبرانها ، وإنّ لم يتعلّق بها العقد </w:t>
      </w:r>
      <w:r>
        <w:rPr>
          <w:rFonts w:eastAsia="Amiri" w:cs="Amiri" w:ascii="Amiri" w:hAnsi="Amiri"/>
          <w:color w:val="111111"/>
          <w:sz w:val="28"/>
          <w:szCs w:val="28"/>
          <w:rtl w:val="true"/>
          <w:lang w:bidi="ar-SA"/>
        </w:rPr>
        <w:t xml:space="preserve">. </w:t>
      </w:r>
      <w:bookmarkStart w:id="647" w:name="pg15222_162597"/>
    </w:p>
    <w:p>
      <w:pPr>
        <w:pStyle w:val="Heading3"/>
        <w:numPr>
          <w:ilvl w:val="2"/>
          <w:numId w:val="1"/>
        </w:numPr>
        <w:rPr/>
      </w:pPr>
      <w:bookmarkStart w:id="648" w:name="__RefHeading___Toc3331974_2142443653"/>
      <w:bookmarkStart w:id="649" w:name="_Toc236"/>
      <w:bookmarkEnd w:id="647"/>
      <w:bookmarkEnd w:id="648"/>
      <w:r>
        <w:rPr>
          <w:rtl w:val="true"/>
        </w:rPr>
        <w:t xml:space="preserve">فرع </w:t>
      </w:r>
      <w:r>
        <w:rPr>
          <w:rtl w:val="true"/>
        </w:rPr>
        <w:t xml:space="preserve">: </w:t>
      </w:r>
      <w:r>
        <w:rPr>
          <w:rtl w:val="true"/>
        </w:rPr>
        <w:t>في سقوط الخيار بإذن صاحبه في التصرّف المخرج</w:t>
      </w:r>
      <w:bookmarkEnd w:id="649"/>
    </w:p>
    <w:p>
      <w:pPr>
        <w:pStyle w:val="BookText"/>
        <w:rPr/>
      </w:pPr>
      <w:r>
        <w:rPr>
          <w:rFonts w:ascii="Amiri" w:hAnsi="Amiri" w:eastAsia="Amiri" w:cs="Amiri"/>
          <w:color w:val="111111"/>
          <w:sz w:val="28"/>
          <w:sz w:val="28"/>
          <w:szCs w:val="28"/>
          <w:rtl w:val="true"/>
          <w:lang w:bidi="ar-SA"/>
        </w:rPr>
        <w:t>لو أذن ذو الخيار في التصرّف المخرج ، فالظاهر سقوط خياره بمجرّده ، ولو لم يتعقّبه التصرّف ، حتّى على القول بتعلّق الحقّ بالعقد</w:t>
      </w:r>
      <w:r>
        <w:rPr>
          <w:rStyle w:val="FootnoteAnchor"/>
          <w:rtl w:val="true"/>
        </w:rPr>
        <w:footnoteReference w:id="1051"/>
      </w:r>
      <w:r>
        <w:rPr>
          <w:rFonts w:ascii="Amiri" w:hAnsi="Amiri" w:eastAsia="Amiri" w:cs="Amiri"/>
          <w:color w:val="111111"/>
          <w:sz w:val="28"/>
          <w:sz w:val="28"/>
          <w:szCs w:val="28"/>
          <w:rtl w:val="true"/>
          <w:lang w:bidi="ar-SA"/>
        </w:rPr>
        <w:t xml:space="preserve">على وجه موافق لحكم العقلاء والعرف ؛ فإنّ الغرض النوعي والمطلوب الأوّل بحسب النوع ، هو الفسخ للتوصّل به إلى العين ، سواء كان الحقّ متعلّقاً بالعين أو بالعقد ، وأمّا الرجوع إلى القيمة أو المثل عند فقدان العين ، فهو من قبيل الغرامة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 الخيار لم يتعلّق إلاّ بالعقد ، أو بنفس العين ، وأمّا المثل والقيمة ، فليسا متعلّقين له ، وعليه فيكون الإذن بالإتلاف أو الإخراج عن ملكه مساوقاً عرفاً لرفع اليد عن حقّه ، والتزامه بالعقد ؛ إذ لم يكن حقّه ذا مراتب حتّى</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رفع اليد عن بعض مراتبه ، لا ينافي بقاءه بالنسبة إلى سائرها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إنّما هو لرفع الحرمة ؛ فإنّ التصرّف في متعلّق حقّه ، لا يجوز إلاّ بإذنه ، فلا يدلّ على رفع اليد عن حقّه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فيما إذا بقي مورد الحقّ مع التصرّف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تعلّق بالعين ، أو بقي مجال للاسترجاع معه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بتعلّقه بالعقد ، وأمّا مع كونه رافعاً </w:t>
      </w:r>
    </w:p>
    <w:p>
      <w:pPr>
        <w:pStyle w:val="BookText"/>
        <w:rPr/>
      </w:pPr>
      <w:r>
        <w:rPr>
          <w:rFonts w:ascii="IRNazanin" w:hAnsi="IRNazanin" w:eastAsia="IRNazanin"/>
          <w:color w:val="111111"/>
          <w:sz w:val="28"/>
          <w:sz w:val="28"/>
          <w:szCs w:val="28"/>
          <w:rtl w:val="true"/>
          <w:lang w:bidi="fa-IR"/>
        </w:rPr>
        <w:t xml:space="preserve">للموضوع ، فلا مجال لهذا الاحتمال عرفاً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الإذن لعلّه لتحقّق موضوع الغرامة بالفسخ مدفوع ؛ فإنّه احتمال غير عقلائي ، بعد ما كان المطلوب العرفي استرجاع نفس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ذكرناه ، لا فرق في السقوط بين تعقّبه بالتصرّف وعدمه ، بل لا يجوز له الرجوع ؛ فإنّ مجرّد الإذن مسقط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الغضّ عمّا ذكر ، فلا يكون التصرّف المأذون فيه أيضاً مسقطاً ؛ لأنّ غاية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المذكور رافع لمحلّ الحقّ ، فلا يبقى الخيار</w:t>
      </w:r>
      <w:r>
        <w:rPr>
          <w:rStyle w:val="FootnoteAnchor"/>
          <w:rtl w:val="true"/>
        </w:rPr>
        <w:footnoteReference w:id="1054"/>
      </w:r>
      <w:r>
        <w:rPr>
          <w:rFonts w:ascii="Amiri" w:hAnsi="Amiri" w:eastAsia="Amiri" w:cs="Amiri"/>
          <w:color w:val="111111"/>
          <w:sz w:val="28"/>
          <w:sz w:val="28"/>
          <w:szCs w:val="28"/>
          <w:rtl w:val="true"/>
          <w:lang w:bidi="ar-SA"/>
        </w:rPr>
        <w:t xml:space="preserve">، وذلك إنّما يصحّ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متقوّم بشخص العين ، بحيث لو تلفت بنفسها سقط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واضح الفساد ؛ إذ المراد من تعلّق الحقّ بالعين ، أنّ الخيار حقّ استرجاع العين بالفسخ ، فمحلّ الفسخ هو العقد ، وهو باقٍ عند تلف العين ، ومع عدم إمكان رجوعها يرجع عوضها ، فلا يكون الحقّ متقوّماً بنفس العين ؛ بمعنى بطلانه عند امتناع رجوعها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فلولا الظهور العرفي المتقدّم ذكره ، لما كان وجه لأن يكون التصرّف المأذون فيه مسقطاً له ، بل لا بدّ من الالتزام ببقاء الحقّ والرجوع عند الفسخ إلى البدل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التصرّف المأذون فيه ، مفوّت لمحلّ الحقّ ؛ حيث إنّ الغرض من الفسخ استرجاع العين بعينها أو ببدلها ، وكلّ منهما متعذّر ؛ أمّا العين فمعلوم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البدل ؛ فلأ نّه فرع كون العين مضمونة عليه ، ومع الإذن في التلف لا ضمان ، فإذا امتنع الضمان امتنع الفسخ ، فامتنع الخيار</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الغرامة ليست كضمان إتلاف المال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إذن صاحب المال فيه لا وجه لها ؛ ضرورة أنّ المال المتلف ليس ملكاً للآذن ، بل هي غرامة عقلائية مترتّبة على فسخ العقد ؛ إمّا بالنحو الذي تقدّم منّا </w:t>
      </w:r>
      <w:r>
        <w:rPr>
          <w:rStyle w:val="FootnoteAnchor"/>
          <w:rtl w:val="true"/>
        </w:rPr>
        <w:footnoteReference w:id="1056"/>
      </w:r>
      <w:r>
        <w:rPr>
          <w:rFonts w:ascii="Amiri" w:hAnsi="Amiri" w:eastAsia="Amiri" w:cs="Amiri"/>
          <w:color w:val="111111"/>
          <w:sz w:val="28"/>
          <w:sz w:val="28"/>
          <w:szCs w:val="28"/>
          <w:rtl w:val="true"/>
          <w:lang w:bidi="ar-SA"/>
        </w:rPr>
        <w:t xml:space="preserve">، أو على النحو الآخر المذكور في كلامهم </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فمع عدم دالّ على إسقاط حقّ الخيار ، لا موجب لامتناع الفسخ ، حتّى يترتّب عليه امتناع الخيار كما قاله القائل ، فالتصرّف ليس مبطلاً لمحلّ الفسخ على جميع المباني ، إلاّ على القول بتقوّم الخيار بشخص العين ؛ بحيث أ نّها لو تلفت بنفسها بطل الخيار ، وهو كما ترى </w:t>
      </w:r>
      <w:r>
        <w:rPr>
          <w:rFonts w:eastAsia="Amiri" w:cs="Amiri" w:ascii="Amiri" w:hAnsi="Amiri"/>
          <w:color w:val="111111"/>
          <w:sz w:val="28"/>
          <w:szCs w:val="28"/>
          <w:rtl w:val="true"/>
          <w:lang w:bidi="ar-SA"/>
        </w:rPr>
        <w:t xml:space="preserve">. </w:t>
      </w:r>
      <w:bookmarkStart w:id="650" w:name="pg15222_162600"/>
    </w:p>
    <w:p>
      <w:pPr>
        <w:pStyle w:val="Heading3"/>
        <w:numPr>
          <w:ilvl w:val="2"/>
          <w:numId w:val="1"/>
        </w:numPr>
        <w:rPr/>
      </w:pPr>
      <w:bookmarkStart w:id="651" w:name="__RefHeading___Toc3331976_2142443653"/>
      <w:bookmarkStart w:id="652" w:name="_Toc237"/>
      <w:bookmarkEnd w:id="650"/>
      <w:bookmarkEnd w:id="651"/>
      <w:r>
        <w:rPr>
          <w:rtl w:val="true"/>
        </w:rPr>
        <w:t>مسألة في عدم توقّف الملكية على انقضاء الخيار</w:t>
      </w:r>
      <w:bookmarkEnd w:id="652"/>
    </w:p>
    <w:p>
      <w:pPr>
        <w:pStyle w:val="Heading4"/>
        <w:numPr>
          <w:ilvl w:val="3"/>
          <w:numId w:val="1"/>
        </w:numPr>
        <w:rPr/>
      </w:pPr>
      <w:bookmarkStart w:id="653" w:name="__RefHeading___Toc3331978_2142443653"/>
      <w:bookmarkStart w:id="654" w:name="_Toc238"/>
      <w:bookmarkEnd w:id="653"/>
      <w:r>
        <w:rPr>
          <w:rtl w:val="true"/>
        </w:rPr>
        <w:t>اشارة</w:t>
      </w:r>
      <w:bookmarkEnd w:id="654"/>
    </w:p>
    <w:p>
      <w:pPr>
        <w:pStyle w:val="BookText"/>
        <w:rPr/>
      </w:pPr>
      <w:r>
        <w:rPr>
          <w:rFonts w:ascii="Amiri" w:hAnsi="Amiri" w:eastAsia="Amiri" w:cs="Amiri"/>
          <w:color w:val="111111"/>
          <w:sz w:val="28"/>
          <w:sz w:val="28"/>
          <w:szCs w:val="28"/>
          <w:rtl w:val="true"/>
          <w:lang w:bidi="ar-SA"/>
        </w:rPr>
        <w:t xml:space="preserve">الحقّ الحقيق بالتصديق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الملكية للمتعاملين ، لا يتوقّف على انقضاء الخيار ، من غير فرق بين البائع والمشتري ، كما هو المشهور بين الأصحاب الذي هو بيّن الرشد ، في قبال القول المخالف</w:t>
      </w:r>
      <w:r>
        <w:rPr>
          <w:rStyle w:val="FootnoteAnchor"/>
          <w:rtl w:val="true"/>
        </w:rPr>
        <w:footnoteReference w:id="1057"/>
      </w:r>
      <w:r>
        <w:rPr>
          <w:rFonts w:ascii="Amiri" w:hAnsi="Amiri" w:eastAsia="Amiri" w:cs="Amiri"/>
          <w:color w:val="111111"/>
          <w:sz w:val="28"/>
          <w:sz w:val="28"/>
          <w:szCs w:val="28"/>
          <w:rtl w:val="true"/>
          <w:lang w:bidi="ar-SA"/>
        </w:rPr>
        <w:t xml:space="preserve">النادر على فرض ثبوته ، وعدم إمكان التأويل والتوجيه فيه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ضرورة أنّ حصول الملكية بنفس البيع ، أمر عرفي عقلائي مرتكز في الأذهان ، بلا شبهة ولا ريب ، فإنّا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ماهية البيع هي التبادل الإنشائي الجامع بين الفضولي وغيره ، لكن حصول الملكية مترتّباً على بيع الأصيلين ، من الأحكام الواضحة العقلائية ، التي لا بدّ في ردعهم عنها من دلالة واضحة ، ثابتة بنحو الجزم من الشارع الأقدس ، ولا سيّما في مثل المسألة التي ذهب فيها </w:t>
      </w:r>
    </w:p>
    <w:p>
      <w:pPr>
        <w:pStyle w:val="BookText"/>
        <w:rPr/>
      </w:pPr>
      <w:r>
        <w:rPr>
          <w:rFonts w:ascii="Amiri" w:hAnsi="Amiri" w:eastAsia="Amiri" w:cs="Amiri"/>
          <w:color w:val="111111"/>
          <w:sz w:val="28"/>
          <w:sz w:val="28"/>
          <w:szCs w:val="28"/>
          <w:rtl w:val="true"/>
          <w:lang w:bidi="ar-SA"/>
        </w:rPr>
        <w:t xml:space="preserve">المشهور على ثبوتها موافقاً لما عليه العقلاء ، وليس فيها في قبالهم إلاّ بعض الإشعارات ، التي لا يصحّ الاتّكال عليها في مقابل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فيصحّ التمسّك بكلّ ما دلّ على تنفيذ البيع ، كآية وجوب الوفاء بالعقود</w:t>
      </w:r>
      <w:r>
        <w:rPr>
          <w:rStyle w:val="FootnoteAnchor"/>
          <w:rtl w:val="true"/>
        </w:rPr>
        <w:footnoteReference w:id="1058"/>
      </w:r>
      <w:r>
        <w:rPr>
          <w:rFonts w:ascii="Amiri" w:hAnsi="Amiri" w:eastAsia="Amiri" w:cs="Amiri"/>
          <w:color w:val="111111"/>
          <w:sz w:val="28"/>
          <w:sz w:val="28"/>
          <w:szCs w:val="28"/>
          <w:rtl w:val="true"/>
          <w:lang w:bidi="ar-SA"/>
        </w:rPr>
        <w:t>والتجارة عن تراضٍ</w:t>
      </w:r>
      <w:r>
        <w:rPr>
          <w:rStyle w:val="FootnoteAnchor"/>
          <w:rtl w:val="true"/>
        </w:rPr>
        <w:footnoteReference w:id="1059"/>
      </w:r>
      <w:r>
        <w:rPr>
          <w:rFonts w:ascii="Amiri" w:hAnsi="Amiri" w:eastAsia="Amiri" w:cs="Amiri"/>
          <w:color w:val="111111"/>
          <w:sz w:val="28"/>
          <w:sz w:val="28"/>
          <w:szCs w:val="28"/>
          <w:rtl w:val="true"/>
          <w:lang w:bidi="ar-SA"/>
        </w:rPr>
        <w:t>وحلّ البيع</w:t>
      </w:r>
      <w:r>
        <w:rPr>
          <w:rStyle w:val="FootnoteAnchor"/>
          <w:rtl w:val="true"/>
        </w:rPr>
        <w:footnoteReference w:id="1060"/>
      </w:r>
      <w:r>
        <w:rPr>
          <w:rFonts w:ascii="Amiri" w:hAnsi="Amiri" w:eastAsia="Amiri" w:cs="Amiri"/>
          <w:color w:val="111111"/>
          <w:sz w:val="28"/>
          <w:sz w:val="28"/>
          <w:szCs w:val="28"/>
          <w:rtl w:val="true"/>
          <w:lang w:bidi="ar-SA"/>
        </w:rPr>
        <w:t>والكلام في المناقشات حول دلالة الآيات ، وإطلاق بعضها ، مع الجواب عنها ، قد مرّ مستقصىً في الجزء الأوّل من الكتاب</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الإشكال في آية التجارة ووجوب الوفاء موهون ، بل وكذلك في آية الحلّ ؛ فإنّ إثبات النفوذ في الجملة كافٍ في المقام ؛ لملازمة البيع مع خيار المجلس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بدليل وجوب الوفاء بالشروط بالتقريب الذي مرّ منّا في محلّه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من الشارع الأقدس في هذا المجال ، تنفيذ للحكم العقلائي ؛ وهو حصول الملك بمجرّد تحقّق البيع والإنشاء من الأصيلين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القول المشهور جملة من الروايات </w:t>
      </w:r>
      <w:r>
        <w:rPr>
          <w:rFonts w:eastAsia="Amiri" w:cs="Amiri" w:ascii="Amiri" w:hAnsi="Amiri"/>
          <w:color w:val="111111"/>
          <w:sz w:val="28"/>
          <w:szCs w:val="28"/>
          <w:rtl w:val="true"/>
          <w:lang w:bidi="ar-SA"/>
        </w:rPr>
        <w:t xml:space="preserve">: </w:t>
      </w:r>
      <w:bookmarkStart w:id="655" w:name="pg15222_162602"/>
    </w:p>
    <w:p>
      <w:pPr>
        <w:pStyle w:val="Heading4"/>
        <w:numPr>
          <w:ilvl w:val="3"/>
          <w:numId w:val="1"/>
        </w:numPr>
        <w:rPr/>
      </w:pPr>
      <w:bookmarkStart w:id="656" w:name="__RefHeading___Toc3331980_2142443653"/>
      <w:bookmarkStart w:id="657" w:name="_Toc239"/>
      <w:bookmarkEnd w:id="655"/>
      <w:bookmarkEnd w:id="656"/>
      <w:r>
        <w:rPr>
          <w:rtl w:val="true"/>
        </w:rPr>
        <w:t>الاستدلال بالروايات على عدم التوقّف</w:t>
      </w:r>
      <w:bookmarkEnd w:id="657"/>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في خيار المجلس</w:t>
      </w:r>
      <w:r>
        <w:rPr>
          <w:rStyle w:val="FootnoteAnchor"/>
          <w:rtl w:val="true"/>
        </w:rPr>
        <w:footnoteReference w:id="1063"/>
      </w:r>
      <w:r>
        <w:rPr>
          <w:rFonts w:ascii="IRNazanin" w:hAnsi="IRNazanin" w:eastAsia="IRNazanin"/>
          <w:color w:val="111111"/>
          <w:sz w:val="28"/>
          <w:sz w:val="28"/>
          <w:szCs w:val="28"/>
          <w:rtl w:val="true"/>
          <w:lang w:bidi="fa-IR"/>
        </w:rPr>
        <w:t xml:space="preserve">لا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بالخيار</w:t>
      </w:r>
      <w:r>
        <w:rPr>
          <w:rFonts w:eastAsia="IRNazanin" w:cs="IRNazanin"/>
          <w:color w:val="111111"/>
          <w:sz w:val="28"/>
          <w:szCs w:val="28"/>
          <w:rtl w:val="true"/>
          <w:lang w:bidi="fa-IR"/>
        </w:rPr>
        <w:t>»</w:t>
      </w:r>
      <w:r>
        <w:rPr>
          <w:rStyle w:val="FootnoteAnchor"/>
          <w:rtl w:val="true"/>
        </w:rPr>
        <w:footnoteReference w:id="1064"/>
      </w:r>
      <w:r>
        <w:rPr>
          <w:rFonts w:ascii="Amiri" w:hAnsi="Amiri" w:eastAsia="Amiri" w:cs="Amiri"/>
          <w:color w:val="111111"/>
          <w:sz w:val="28"/>
          <w:sz w:val="28"/>
          <w:szCs w:val="28"/>
          <w:rtl w:val="true"/>
          <w:lang w:bidi="ar-SA"/>
        </w:rPr>
        <w:t xml:space="preserve">،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خيار حلّ العقد ولو لم تحصل الملكية</w:t>
      </w:r>
      <w:r>
        <w:rPr>
          <w:rStyle w:val="FootnoteAnchor"/>
          <w:rtl w:val="true"/>
        </w:rPr>
        <w:footnoteReference w:id="1065"/>
      </w:r>
      <w:r>
        <w:rPr>
          <w:rFonts w:ascii="Amiri" w:hAnsi="Amiri" w:eastAsia="Amiri" w:cs="Amiri"/>
          <w:color w:val="111111"/>
          <w:sz w:val="28"/>
          <w:sz w:val="28"/>
          <w:szCs w:val="28"/>
          <w:rtl w:val="true"/>
          <w:lang w:bidi="ar-SA"/>
        </w:rPr>
        <w:t xml:space="preserve">وإن كان ذلك أيضاً مخالفاً لفهم العقلاء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افترقا وجب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من الواضح أنّ العرف يفهم منه ، أنّ الافتراق غاية للخيار ، وموجب للزوم فقط ، لا أ نّه موجب له ولأصل الملكية ، فلو كان حصولها متوقّفاً عليه ، لوجب التنبيه عليه مع حكم العقلاء على خلافه ، وهذا ممّا لا ينبغي الإشكال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الروايات المشتملة على ردّ الجارية من الجنون ، والبرص ، والجذام ، والقرن</w:t>
      </w:r>
      <w:r>
        <w:rPr>
          <w:rStyle w:val="FootnoteAnchor"/>
          <w:rtl w:val="true"/>
        </w:rPr>
        <w:footnoteReference w:id="1066"/>
      </w:r>
      <w:r>
        <w:rPr>
          <w:rFonts w:ascii="Amiri" w:hAnsi="Amiri" w:eastAsia="Amiri" w:cs="Amiri"/>
          <w:color w:val="111111"/>
          <w:sz w:val="28"/>
          <w:sz w:val="28"/>
          <w:szCs w:val="28"/>
          <w:rtl w:val="true"/>
          <w:lang w:bidi="ar-SA"/>
        </w:rPr>
        <w:t xml:space="preserve">، فإنّ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فسخ العقد بتلك العيوب ، لكن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 نّه ملكها ، فله ردّها في الملكية بالخصال المذكورة ، وهو واضح للمتدبّر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 النظر إلى ما كان يحرم عليه قبل الشراء ، كصحيحة ابن رئاب وفيها بعد ما ذكر سقوط الخيار بإحداث الحدث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لامس ، أو قبّل ، أو نظر منها إلى ما كان يحرم عليه قبل الشراء</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المتفاهم عرفاً ، أنّ الشراء موجب لحلّية النظر ؛ لكونها ملكاً له ، لا أنّ النظر موجب للملكية ، والمقارنة الخارجية بين النظر والملك ، توجب حصوله في حال الملك ؛ فإنّه نظر دقيق فلسفي مخالف لفهم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من صدرها أيضاً ، أنّ إحداث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كاللمس والتقبيل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له بالشراء ، والحمل على ما ذكر آنفاً ، خلاف فهم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الدلالة على المشهور ، بين القول بالكشف أو النقل</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المقايسة بين ذلك وبين المطلّقة الرجعية</w:t>
      </w:r>
      <w:r>
        <w:rPr>
          <w:rStyle w:val="FootnoteAnchor"/>
          <w:rtl w:val="true"/>
        </w:rPr>
        <w:footnoteReference w:id="1069"/>
      </w:r>
      <w:r>
        <w:rPr>
          <w:rFonts w:ascii="Amiri" w:hAnsi="Amiri" w:eastAsia="Amiri" w:cs="Amiri"/>
          <w:color w:val="111111"/>
          <w:sz w:val="28"/>
          <w:sz w:val="28"/>
          <w:szCs w:val="28"/>
          <w:rtl w:val="true"/>
          <w:lang w:bidi="ar-SA"/>
        </w:rPr>
        <w:t>التي ورد فيها أ نّها بحكم الزوجة</w:t>
      </w:r>
      <w:r>
        <w:rPr>
          <w:rStyle w:val="FootnoteAnchor"/>
          <w:rtl w:val="true"/>
        </w:rPr>
        <w:footnoteReference w:id="1070"/>
      </w:r>
      <w:r>
        <w:rPr>
          <w:rFonts w:ascii="Amiri" w:hAnsi="Amiri" w:eastAsia="Amiri" w:cs="Amiri"/>
          <w:color w:val="111111"/>
          <w:sz w:val="28"/>
          <w:sz w:val="28"/>
          <w:szCs w:val="28"/>
          <w:rtl w:val="true"/>
          <w:lang w:bidi="ar-SA"/>
        </w:rPr>
        <w:t xml:space="preserve">في غير محلّها ؛ لأنّ الظاهر من الروايات هناك ، جواز النظر قبل حصول الرجوع ؛ فإنّها بحكم الزوجة في الأحكام إلاّ ما ندر ، فقياس المقام بما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ما ذكرناه من الاستئناس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النماء في زمن الخيار للمشتري ، كرواية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سمع أبا عبداللّه علیه السلام ، وسأله رجل وأنا عنده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w:t>
      </w:r>
    </w:p>
    <w:p>
      <w:pPr>
        <w:pStyle w:val="BookText"/>
        <w:rPr/>
      </w:pPr>
      <w:r>
        <w:rPr>
          <w:rFonts w:ascii="Amiri" w:hAnsi="Amiri" w:eastAsia="Amiri" w:cs="Amiri"/>
          <w:color w:val="111111"/>
          <w:sz w:val="28"/>
          <w:sz w:val="28"/>
          <w:szCs w:val="28"/>
          <w:rtl w:val="true"/>
          <w:lang w:bidi="ar-SA"/>
        </w:rPr>
        <w:t xml:space="preserve">مسلم احتاج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تشترط لي إن أنا جئتك بثمنها إلى سنة ، أن تردّ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بهذا، إن جاء بثمنها إلى سنة ردّها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فيها غلّة كثيرة ، فأخذ الغلّة ، لمن تكون الغلّة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للمشتري ، ألا ترى أ نّه لو احترقت لكانت من ماله ؟ </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الذيل إرجاعه إلى ارتكازه العقلائي؛ من أنّ الدار ماله، وإذا تلفت تكون من ماله، فتكون الغلّة له، والحمل على شرط النتيجة</w:t>
      </w:r>
      <w:r>
        <w:rPr>
          <w:rStyle w:val="FootnoteAnchor"/>
          <w:rtl w:val="true"/>
        </w:rPr>
        <w:footnoteReference w:id="1072"/>
      </w:r>
      <w:r>
        <w:rPr>
          <w:rFonts w:ascii="Amiri" w:hAnsi="Amiri" w:eastAsia="Amiri" w:cs="Amiri"/>
          <w:color w:val="111111"/>
          <w:sz w:val="28"/>
          <w:sz w:val="28"/>
          <w:szCs w:val="28"/>
          <w:rtl w:val="true"/>
          <w:lang w:bidi="ar-SA"/>
        </w:rPr>
        <w:t>خلاف الظاهر كما تقدّم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الحمل على حدوث الخيار بعد المجيء بالثمن</w:t>
      </w:r>
      <w:r>
        <w:rPr>
          <w:rStyle w:val="FootnoteAnchor"/>
          <w:rtl w:val="true"/>
        </w:rPr>
        <w:footnoteReference w:id="1074"/>
      </w:r>
      <w:r>
        <w:rPr>
          <w:rFonts w:ascii="Amiri" w:hAnsi="Amiri" w:eastAsia="Amiri" w:cs="Amiri"/>
          <w:color w:val="111111"/>
          <w:sz w:val="28"/>
          <w:sz w:val="28"/>
          <w:szCs w:val="28"/>
          <w:rtl w:val="true"/>
          <w:lang w:bidi="ar-SA"/>
        </w:rPr>
        <w:t xml:space="preserve">، خلاف الظاهر ؛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جئتك بثمنها إلى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الخيار في تمام السنة ، وأنّ الإتيان بالثمن لفسخ المعاملة ، أو فسخ للمعاملة ، فيترتّب عليه لزوم الردّ ، وهذا واضح عرفاً ، والمناقشة فيه غير واردة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بشّار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يبيع المتاع بنساء ، فيشتريه من صاحبه الذي يبيعه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لا بأس به</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متاعي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متاعك ، ولا بقرك ، ولا غنمك</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هو متاعك ، ولا بقرك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الحكم ثابت في بيع الحيوان أيضاً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 نّه ليس في مقام البيان حتّى يشمل البيع الخياري</w:t>
      </w:r>
      <w:r>
        <w:rPr>
          <w:rStyle w:val="FootnoteAnchor"/>
          <w:rtl w:val="true"/>
        </w:rPr>
        <w:footnoteReference w:id="1076"/>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الظاهر منه بحسب ارتكاز العرف ، أنّ المتاع متاعه بالبيع ، لا بانقضاء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أشتري متاعي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من أجل أ نّه استغرب من الشراء منه فوراً ، فكان المبيع متاعه الذي لم يمض من بيعه زمان ، وقد نقل عن العامّة في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فاسد إن لم يفصل بالشهر</w:t>
      </w:r>
      <w:r>
        <w:rPr>
          <w:rStyle w:val="FootnoteAnchor"/>
          <w:rtl w:val="true"/>
        </w:rPr>
        <w:footnoteReference w:id="1077"/>
      </w:r>
      <w:r>
        <w:rPr>
          <w:rFonts w:ascii="IRNazanin" w:hAnsi="IRNazanin" w:eastAsia="IRNazanin"/>
          <w:color w:val="111111"/>
          <w:sz w:val="28"/>
          <w:sz w:val="28"/>
          <w:szCs w:val="28"/>
          <w:rtl w:val="true"/>
          <w:lang w:bidi="fa-IR"/>
        </w:rPr>
        <w:t xml:space="preserve">ولعلّ هذا صار موجباً لتعجّبه ، فقال أبو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متاعك</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دلالة تلك الروايات على المطلوب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ونحوها صحيحة محمّد بن مسلم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أتاه رجل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 لي متاعاً ، لعلّي اشتريه منك بنقد أو نسيئة ، فابتاعه الرجل من أجله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 إنّما يشتريه منه بعد ما يملكه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يملكه بالبيع المذكور ، ومقتضى إطلاقها الشمول للبيع الخياري ، وتوهّم عدم الإطلاق</w:t>
      </w:r>
      <w:r>
        <w:rPr>
          <w:rStyle w:val="FootnoteAnchor"/>
          <w:rtl w:val="true"/>
        </w:rPr>
        <w:footnoteReference w:id="1079"/>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النبوي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الخراج بالضمان</w:t>
      </w:r>
      <w:r>
        <w:rPr>
          <w:rFonts w:eastAsia="IRNazanin" w:cs="IRNazanin"/>
          <w:color w:val="111111"/>
          <w:sz w:val="28"/>
          <w:szCs w:val="28"/>
          <w:rtl w:val="true"/>
          <w:lang w:bidi="fa-IR"/>
        </w:rPr>
        <w:t>»</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يستدلّ به للمشهور تارة</w:t>
      </w:r>
      <w:r>
        <w:rPr>
          <w:rStyle w:val="FootnoteAnchor"/>
          <w:rtl w:val="true"/>
        </w:rPr>
        <w:footnoteReference w:id="1081"/>
      </w:r>
      <w:r>
        <w:rPr>
          <w:rFonts w:ascii="IRNazanin" w:hAnsi="IRNazanin" w:eastAsia="IRNazanin"/>
          <w:color w:val="111111"/>
          <w:sz w:val="28"/>
          <w:sz w:val="28"/>
          <w:szCs w:val="28"/>
          <w:rtl w:val="true"/>
          <w:lang w:bidi="fa-IR"/>
        </w:rPr>
        <w:t>، ولخلافه اُخرى</w:t>
      </w:r>
      <w:r>
        <w:rPr>
          <w:rStyle w:val="FootnoteAnchor"/>
          <w:rtl w:val="true"/>
        </w:rPr>
        <w:footnoteReference w:id="1082"/>
      </w:r>
      <w:r>
        <w:rPr>
          <w:rFonts w:ascii="IRNazanin" w:hAnsi="IRNazanin" w:eastAsia="IRNazanin"/>
          <w:color w:val="111111"/>
          <w:sz w:val="28"/>
          <w:sz w:val="28"/>
          <w:szCs w:val="28"/>
          <w:rtl w:val="true"/>
          <w:lang w:bidi="fa-IR"/>
        </w:rPr>
        <w:t xml:space="preserve">، فهو مشتبه المراد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الخراج المتعارف في الدول ، ومنها الدولة الإسلامية ، فيراد من هذه الرواية ، أنّ الخراج الذي تأخذه الدولة ، ليس مجّاناً وظلماً ، بل في مقابل الضمانات التي على عهدتها ؛ من حوائج المسلمين والاُمّة</w:t>
      </w:r>
      <w:r>
        <w:rPr>
          <w:rStyle w:val="FootnoteAnchor"/>
          <w:rtl w:val="true"/>
        </w:rPr>
        <w:footnoteReference w:id="1083"/>
      </w:r>
      <w:r>
        <w:rPr>
          <w:rFonts w:ascii="Amiri" w:hAnsi="Amiri" w:eastAsia="Amiri" w:cs="Amiri"/>
          <w:color w:val="111111"/>
          <w:sz w:val="28"/>
          <w:sz w:val="28"/>
          <w:szCs w:val="28"/>
          <w:rtl w:val="true"/>
          <w:lang w:bidi="ar-SA"/>
        </w:rPr>
        <w:t>، فمفاده أجنبيّ عمّا ذكره أبو حنيفة في الدابّة المستأجرة</w:t>
      </w:r>
      <w:r>
        <w:rPr>
          <w:rStyle w:val="FootnoteAnchor"/>
          <w:rtl w:val="true"/>
        </w:rPr>
        <w:footnoteReference w:id="1084"/>
      </w:r>
      <w:r>
        <w:rPr>
          <w:rFonts w:ascii="Amiri" w:hAnsi="Amiri" w:eastAsia="Amiri" w:cs="Amiri"/>
          <w:color w:val="111111"/>
          <w:sz w:val="28"/>
          <w:sz w:val="28"/>
          <w:szCs w:val="28"/>
          <w:rtl w:val="true"/>
          <w:lang w:bidi="ar-SA"/>
        </w:rPr>
        <w:t xml:space="preserve">، كما أ نّه أجنبيّ عمّا ذكر للمشهور ولخلافه </w:t>
      </w:r>
      <w:r>
        <w:rPr>
          <w:rFonts w:eastAsia="Amiri" w:cs="Amiri" w:ascii="Amiri" w:hAnsi="Amiri"/>
          <w:color w:val="111111"/>
          <w:sz w:val="28"/>
          <w:szCs w:val="28"/>
          <w:rtl w:val="true"/>
          <w:lang w:bidi="ar-SA"/>
        </w:rPr>
        <w:t xml:space="preserve">. </w:t>
      </w:r>
      <w:bookmarkStart w:id="658" w:name="pg15222_162607"/>
    </w:p>
    <w:p>
      <w:pPr>
        <w:pStyle w:val="BookText"/>
        <w:rPr/>
      </w:pPr>
      <w:bookmarkEnd w:id="658"/>
      <w:r>
        <w:rPr>
          <w:rFonts w:ascii="Amiri" w:hAnsi="Amiri" w:eastAsia="Amiri" w:cs="Amiri"/>
          <w:color w:val="111111"/>
          <w:sz w:val="28"/>
          <w:sz w:val="28"/>
          <w:szCs w:val="28"/>
          <w:rtl w:val="true"/>
          <w:lang w:bidi="ar-SA"/>
        </w:rPr>
        <w:t xml:space="preserve">ومع الغضّ عمّا ذكر ، ففيه احتمالات موجبة لسقوطه عن الاستدلال ، ولهذا استدلّ به للقولين </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3331982_2142443653"/>
      <w:bookmarkStart w:id="660" w:name="_Toc240"/>
      <w:bookmarkEnd w:id="659"/>
      <w:r>
        <w:rPr>
          <w:rtl w:val="true"/>
        </w:rPr>
        <w:t>أدلّة توقّف الملكية على انقضاء الخيار</w:t>
      </w:r>
      <w:bookmarkEnd w:id="660"/>
    </w:p>
    <w:p>
      <w:pPr>
        <w:pStyle w:val="BookText"/>
        <w:rPr/>
      </w:pPr>
      <w:r>
        <w:rPr>
          <w:rFonts w:ascii="Amiri" w:hAnsi="Amiri" w:eastAsia="Amiri" w:cs="Amiri"/>
          <w:color w:val="111111"/>
          <w:sz w:val="28"/>
          <w:sz w:val="28"/>
          <w:szCs w:val="28"/>
          <w:rtl w:val="true"/>
          <w:lang w:bidi="ar-SA"/>
        </w:rPr>
        <w:t>واستدلّ للقول المقابل للمشهور باُمور ، عمدتها بعض الروايات</w:t>
      </w:r>
      <w:r>
        <w:rPr>
          <w:rStyle w:val="FootnoteAnchor"/>
          <w:rtl w:val="true"/>
        </w:rPr>
        <w:footnoteReference w:id="1085"/>
      </w:r>
      <w:r>
        <w:rPr>
          <w:rFonts w:ascii="IRNazanin" w:hAnsi="IRNazanin" w:eastAsia="IRNazanin"/>
          <w:color w:val="111111"/>
          <w:sz w:val="28"/>
          <w:sz w:val="28"/>
          <w:szCs w:val="28"/>
          <w:rtl w:val="true"/>
          <w:lang w:bidi="fa-IR"/>
        </w:rPr>
        <w:t xml:space="preserve">، كصحيحة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يشتري الدابّة أو العبد ، ويشترط إلى يوم أو يومين ، فيموت العبد والدابّة ، أو يحدث فيه حدث ، على من ضمان ذلك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حتّى ينقضي الشرط ثلاثة أيّام ، ويصير المبيع للمشتري</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تدلّ على المطلوب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بأنّ الضمان على البائع ، والمراد به الخسارة ، ولا يعقل أن تكون الخسارة إلاّ على صاحب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ويصير المبيع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يصير ملكاً له بمضيّ الخيار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الرواية احتمالات </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 عنه الخسارة والذهاب من الكيس ، وأنّ السائل تردّد في أ نّها من كيس البائع ، فيكشف عن أ نّه صار ملكاً له </w:t>
      </w:r>
    </w:p>
    <w:p>
      <w:pPr>
        <w:pStyle w:val="BookText"/>
        <w:rPr/>
      </w:pPr>
      <w:r>
        <w:rPr>
          <w:rFonts w:ascii="Amiri" w:hAnsi="Amiri" w:eastAsia="Amiri" w:cs="Amiri"/>
          <w:color w:val="111111"/>
          <w:sz w:val="28"/>
          <w:sz w:val="28"/>
          <w:szCs w:val="28"/>
          <w:rtl w:val="true"/>
          <w:lang w:bidi="ar-SA"/>
        </w:rPr>
        <w:t xml:space="preserve">في زمان الخيار ، أو أ نّها من المشتري ، فيكشف عن أ نّه صار المبيع ملكا له بالبيع ، واستكشف من الجواب أ نّه ملك البائع إلى أن ينقضى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الخسارة والضمان المعهود ؛ أي العهدة ، فأراد الاستفسار عن أنّ ضمان العهدة على البائع غير المالك ، أو الخسارة على المشتري المالك ؛ باحتمال أنّ التلف في زمان الخيار ممّن لا خيار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المعهود ؛ أي العهدة ، فتردّد في أنّ العهدة في البيع الخياري على البائع ، فيكون المشتري مالكا في زمان الخيار ، أو على المشتري ، حتّى يكون البائع مالكا ، فأجاب بما ذكر ، واستكشف منه أنّ المشتري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الضمان المعاوضي ، وأ نّه على أيّهما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فيرجع الكلام إلى أنّ التلف يوجب الانفساخ ، ويكون على البائع ضمان الثمن للمشتري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شبهة ، في أنّ الظاهر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من ضمان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الضمان المعهود ، والحمل على الخسارة بعيد ، وإن استعمل فيها في بعض الروايات ، وحيث إنّ الضمان المعهود لا يعقل في مال نفسه ، فلا بدّ وأن يكون المال للمشتري حتّى يصحّ الضمان ، فيرجح أحد الاحتمالين الأخيرين ؛ أي ضمان العين المملوكة للمشتري ، أو الضمان المعاوضي ؛ أي ضمان الثمن المملوك له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الظهور يرفع ظهور الذيل ، لو سلّم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الملكية ، مع أ نّه ممنوع ، بل لا يستفاد منها إلاّ نحو اختصاص ، ويصحّ أن يقال مع كون المبيع </w:t>
      </w:r>
    </w:p>
    <w:p>
      <w:pPr>
        <w:pStyle w:val="BookText"/>
        <w:rPr/>
      </w:pPr>
      <w:r>
        <w:rPr>
          <w:rFonts w:ascii="Amiri" w:hAnsi="Amiri" w:eastAsia="Amiri" w:cs="Amiri"/>
          <w:color w:val="111111"/>
          <w:sz w:val="28"/>
          <w:sz w:val="28"/>
          <w:szCs w:val="28"/>
          <w:rtl w:val="true"/>
          <w:lang w:bidi="ar-SA"/>
        </w:rPr>
        <w:t xml:space="preserve">ملكا للمشتري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يصير له بعد انقضاء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لا يختصّ به بقول مطلق وبلا تزلزل ، إلاّ بعد مضيّ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اُغمض عنه ، وعن تحكيم ظهور الصدر على الذيل ، ولا سيّما مع وضوح الحكم العقلائي ، بترتّب الملك على العقد في الأصيلين في البيع الخياري وغيره ، فلا أقلّ من الإجمال الموجب لسقوط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تسليم الدلالة ، فلا ينبغي الإشكال في أظهرية الروايات المخالفة لها ، كمصحّحة بشّار بن يسار</w:t>
      </w:r>
      <w:r>
        <w:rPr>
          <w:rStyle w:val="FootnoteAnchor"/>
          <w:rtl w:val="true"/>
        </w:rPr>
        <w:footnoteReference w:id="1087"/>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متاعك ، ولا بقرك ، ولا غنمك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تنزّلنا عن ذلك يقع التعارض بينهما ، وكلاهما في خيار الحيوان ، والترجيح للروايات الموافقة للمشهور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الشهرة الكذائية تجعل مقابلها بيّن الغيّ </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 والقول بسقوطها ، فالمرجع الأدلّة العامّة ، بل الحكم الواضح العقلائي ، مع عدم صلاحية الرواية للردع ، ولا مجال معها للأصل ، كما هو واضح </w:t>
      </w:r>
      <w:r>
        <w:rPr>
          <w:rFonts w:eastAsia="Amiri" w:cs="Amiri" w:ascii="Amiri" w:hAnsi="Amiri"/>
          <w:color w:val="111111"/>
          <w:sz w:val="28"/>
          <w:szCs w:val="28"/>
          <w:rtl w:val="true"/>
          <w:lang w:bidi="ar-SA"/>
        </w:rPr>
        <w:t xml:space="preserve">. </w:t>
      </w:r>
      <w:bookmarkStart w:id="661" w:name="pg15222_162610"/>
    </w:p>
    <w:p>
      <w:pPr>
        <w:pStyle w:val="Heading3"/>
        <w:numPr>
          <w:ilvl w:val="2"/>
          <w:numId w:val="1"/>
        </w:numPr>
        <w:rPr/>
      </w:pPr>
      <w:bookmarkStart w:id="662" w:name="__RefHeading___Toc3331984_2142443653"/>
      <w:bookmarkStart w:id="663" w:name="_Toc241"/>
      <w:bookmarkEnd w:id="661"/>
      <w:bookmarkEnd w:id="662"/>
      <w:r>
        <w:rPr>
          <w:rtl w:val="true"/>
        </w:rPr>
        <w:t xml:space="preserve">مسألة </w:t>
      </w:r>
      <w:r>
        <w:rPr>
          <w:rtl w:val="true"/>
        </w:rPr>
        <w:t xml:space="preserve">: </w:t>
      </w:r>
      <w:r>
        <w:rPr>
          <w:rtl w:val="true"/>
        </w:rPr>
        <w:t>في قاعدة التلف في زمن الخيار ممّن لا خيار له</w:t>
      </w:r>
      <w:bookmarkEnd w:id="663"/>
    </w:p>
    <w:p>
      <w:pPr>
        <w:pStyle w:val="Heading4"/>
        <w:numPr>
          <w:ilvl w:val="3"/>
          <w:numId w:val="1"/>
        </w:numPr>
        <w:rPr/>
      </w:pPr>
      <w:bookmarkStart w:id="664" w:name="__RefHeading___Toc3331986_2142443653"/>
      <w:bookmarkStart w:id="665" w:name="_Toc242"/>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ومن أحكام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المبيع في ضمان من لا خيار له في الجملة ، حتّى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بالتملّك بالعقد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الإجماع</w:t>
      </w:r>
      <w:r>
        <w:rPr>
          <w:rStyle w:val="FootnoteAnchor"/>
          <w:rtl w:val="true"/>
        </w:rPr>
        <w:footnoteReference w:id="1089"/>
      </w:r>
      <w:r>
        <w:rPr>
          <w:rFonts w:ascii="Amiri" w:hAnsi="Amiri" w:eastAsia="Amiri" w:cs="Amiri"/>
          <w:color w:val="111111"/>
          <w:sz w:val="28"/>
          <w:sz w:val="28"/>
          <w:szCs w:val="28"/>
          <w:rtl w:val="true"/>
          <w:lang w:bidi="ar-SA"/>
        </w:rPr>
        <w:t>أو الشهرة</w:t>
      </w:r>
      <w:r>
        <w:rPr>
          <w:rStyle w:val="FootnoteAnchor"/>
          <w:rtl w:val="true"/>
        </w:rPr>
        <w:footnoteReference w:id="1090"/>
      </w:r>
      <w:r>
        <w:rPr>
          <w:rFonts w:ascii="Amiri" w:hAnsi="Amiri" w:eastAsia="Amiri" w:cs="Amiri"/>
          <w:color w:val="111111"/>
          <w:sz w:val="28"/>
          <w:sz w:val="28"/>
          <w:szCs w:val="28"/>
          <w:rtl w:val="true"/>
          <w:lang w:bidi="ar-SA"/>
        </w:rPr>
        <w:t xml:space="preserve">المعتمدة في هذه المسألة في غير محلّها ، بعد كونها اجتهادية ، يمكن اتّكال القوم فيها على استفادة المناط من الروايات ، كصحيحة ابن سنان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في زمن الخيار ممّن لا خيار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خلاف فيها </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تفيد شيئاً ، مضافاً إلى المناقشة في صحّتها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فالعمدة في المسألة بعد كونها على خلاف القاعدة على المذهب المنصور ، هي الروايات ، وعمدتها صحيحة ابن سنان وفيها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ينقضي الشرط ثلاثة أيّام ، ويصير المبيع للمشتري</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 له البائع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بينهما شرط أيّاماً معدودة ، فهلك في يد المشتري قبل أن يمضي الشرط ، فهو من مال البائع</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نّها وإن كانت مختصّة بحسب المورد بالحيوان ، إلاّ أنّ المستفاد منها عموم الحكم لكلّ خيار ، خرج خيار العيب ، وبقي الباقي ؛ وذلك لأ نّه يستفاد منها أنّ انقضاء الخيار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وصيرورة المبيع للمشتري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لزوم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الموضوع لرفع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فالضمان بحسب الفهم العرفي من الرواية ، إنّما ثبت لأجل تزلزل العقد ، وكونه خيارياً ، من غير دخالة للزمان فيه ، ولا للبائع والمشتري ، ولا لاتّصال الخيار بالعقد وعدمه </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فدعوى اختصاصه بالخيار الزماني</w:t>
      </w:r>
      <w:r>
        <w:rPr>
          <w:rStyle w:val="FootnoteAnchor"/>
          <w:rtl w:val="true"/>
        </w:rPr>
        <w:footnoteReference w:id="1094"/>
      </w:r>
      <w:r>
        <w:rPr>
          <w:rFonts w:ascii="IRNazanin" w:hAnsi="IRNazanin" w:eastAsia="IRNazanin"/>
          <w:color w:val="111111"/>
          <w:sz w:val="28"/>
          <w:sz w:val="28"/>
          <w:szCs w:val="28"/>
          <w:rtl w:val="true"/>
          <w:lang w:bidi="fa-IR"/>
        </w:rPr>
        <w:t>، وبخصوص البائع</w:t>
      </w:r>
      <w:r>
        <w:rPr>
          <w:rStyle w:val="FootnoteAnchor"/>
          <w:rtl w:val="true"/>
        </w:rPr>
        <w:footnoteReference w:id="1095"/>
      </w:r>
      <w:r>
        <w:rPr>
          <w:rFonts w:ascii="IRNazanin" w:hAnsi="IRNazanin" w:eastAsia="IRNazanin"/>
          <w:color w:val="111111"/>
          <w:sz w:val="28"/>
          <w:sz w:val="28"/>
          <w:szCs w:val="28"/>
          <w:rtl w:val="true"/>
          <w:lang w:bidi="fa-IR"/>
        </w:rPr>
        <w:t xml:space="preserve">، وبخصوص </w:t>
      </w:r>
    </w:p>
    <w:p>
      <w:pPr>
        <w:pStyle w:val="BookText"/>
        <w:rPr/>
      </w:pPr>
      <w:r>
        <w:rPr>
          <w:rFonts w:ascii="Amiri" w:hAnsi="Amiri" w:eastAsia="Amiri" w:cs="Amiri"/>
          <w:color w:val="111111"/>
          <w:sz w:val="28"/>
          <w:sz w:val="28"/>
          <w:szCs w:val="28"/>
          <w:rtl w:val="true"/>
          <w:lang w:bidi="ar-SA"/>
        </w:rPr>
        <w:t>الخيار المتّصل بالعقد ، حتّى أ نّه لو أسقط في ضمن العقد خياره في اليوم الأوّل ، وبقي له الخيار يومين ، لما كان في ذلك ضمان على البائع</w:t>
      </w:r>
      <w:r>
        <w:rPr>
          <w:rStyle w:val="FootnoteAnchor"/>
          <w:rtl w:val="true"/>
        </w:rPr>
        <w:footnoteReference w:id="1096"/>
      </w:r>
      <w:r>
        <w:rPr>
          <w:rFonts w:ascii="Amiri" w:hAnsi="Amiri" w:eastAsia="Amiri" w:cs="Amiri"/>
          <w:color w:val="111111"/>
          <w:sz w:val="28"/>
          <w:sz w:val="28"/>
          <w:szCs w:val="28"/>
          <w:rtl w:val="true"/>
          <w:lang w:bidi="ar-SA"/>
        </w:rPr>
        <w:t xml:space="preserve">غير وجيهة ؛ لاستفادة العلّية من الرواية ، وأنّ تمام العلّة هو الخيار ، ولا دخل لغيره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مناسبة الحكم والموضوع ، توجب إلغاء الخصوصية عمّا اُخذ في الرواية ، ككون المورد هو الحيوان ، أو هو مع الشرط ، وكون الخيار متّصلاً بالعقد مستمرّاً إلى زمان التلف ، وكونه للمشتري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تلك الخصوصيات في لسان السائل ، وما وقع في الجواب تبع له ، فلا دلالة فيها على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الرواية على 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يصير البيع للمشتري</w:t>
      </w:r>
      <w:r>
        <w:rPr>
          <w:rFonts w:eastAsia="Amiri" w:cs="Amiri" w:ascii="Amiri" w:hAnsi="Amiri"/>
          <w:color w:val="111111"/>
          <w:sz w:val="28"/>
          <w:szCs w:val="28"/>
          <w:rtl w:val="true"/>
          <w:lang w:bidi="ar-SA"/>
        </w:rPr>
        <w:t>»</w:t>
      </w:r>
      <w:r>
        <w:rPr>
          <w:rStyle w:val="FootnoteAnchor"/>
          <w:rtl w:val="true"/>
        </w:rPr>
        <w:footnoteReference w:id="1097"/>
      </w:r>
      <w:r>
        <w:rPr>
          <w:rFonts w:ascii="Amiri" w:hAnsi="Amiri" w:eastAsia="Amiri" w:cs="Amiri"/>
          <w:color w:val="111111"/>
          <w:sz w:val="28"/>
          <w:sz w:val="28"/>
          <w:szCs w:val="28"/>
          <w:rtl w:val="true"/>
          <w:lang w:bidi="ar-SA"/>
        </w:rPr>
        <w:t>أي يصير البيع لازماً ، فيكون المناط تزلزل البيع ، من غير فرق بين متعلّقاته</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الشهرة المنقولة</w:t>
      </w:r>
      <w:r>
        <w:rPr>
          <w:rStyle w:val="FootnoteAnchor"/>
          <w:rtl w:val="true"/>
        </w:rPr>
        <w:footnoteReference w:id="1099"/>
      </w:r>
      <w:r>
        <w:rPr>
          <w:rFonts w:ascii="Amiri" w:hAnsi="Amiri" w:eastAsia="Amiri" w:cs="Amiri"/>
          <w:color w:val="111111"/>
          <w:sz w:val="28"/>
          <w:sz w:val="28"/>
          <w:szCs w:val="28"/>
          <w:rtl w:val="true"/>
          <w:lang w:bidi="ar-SA"/>
        </w:rPr>
        <w:t xml:space="preserve">، وهي وإن لم تكن حجّة مستقلّة في المقام ، لكنّها تكشف عن فهم أهل اللسان من الروايات التعميمَ ، فالمناقشة في الدلالة ، كالشبهة في مقابل الضرورة </w:t>
      </w:r>
      <w:r>
        <w:rPr>
          <w:rFonts w:eastAsia="Amiri" w:cs="Amiri" w:ascii="Amiri" w:hAnsi="Amiri"/>
          <w:color w:val="111111"/>
          <w:sz w:val="28"/>
          <w:szCs w:val="28"/>
          <w:rtl w:val="true"/>
          <w:lang w:bidi="ar-SA"/>
        </w:rPr>
        <w:t xml:space="preserve">. </w:t>
      </w:r>
      <w:bookmarkStart w:id="666" w:name="pg15222_162613"/>
    </w:p>
    <w:p>
      <w:pPr>
        <w:pStyle w:val="Heading4"/>
        <w:numPr>
          <w:ilvl w:val="3"/>
          <w:numId w:val="1"/>
        </w:numPr>
        <w:rPr/>
      </w:pPr>
      <w:bookmarkStart w:id="667" w:name="__RefHeading___Toc3331988_2142443653"/>
      <w:bookmarkStart w:id="668" w:name="_Toc243"/>
      <w:bookmarkEnd w:id="666"/>
      <w:bookmarkEnd w:id="667"/>
      <w:r>
        <w:rPr>
          <w:rtl w:val="true"/>
        </w:rPr>
        <w:t>اختصاص الروايات بالشرط في الحيوان</w:t>
      </w:r>
      <w:bookmarkEnd w:id="668"/>
    </w:p>
    <w:p>
      <w:pPr>
        <w:pStyle w:val="BookText"/>
        <w:rPr/>
      </w:pPr>
      <w:r>
        <w:rPr>
          <w:rFonts w:ascii="Amiri" w:hAnsi="Amiri" w:eastAsia="Amiri" w:cs="Amiri"/>
          <w:color w:val="111111"/>
          <w:sz w:val="28"/>
          <w:sz w:val="28"/>
          <w:szCs w:val="28"/>
          <w:rtl w:val="true"/>
          <w:lang w:bidi="ar-SA"/>
        </w:rPr>
        <w:t xml:space="preserve">هذا ، ولكن بعد اللتيّا والتي ، فاستفادة العموم منها مشكلة ، بل ممنوعة ؛ لأنّ الحكم على خلاف القواعد المحكمة العقلائية والشرعية ، ولا دلالة لفظية في الرواية على العلّية أو المناط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وإلغاء الخصوصية ممنوع ؛ لاحتمال أنّ للحيوان خصوصية ليست في غيره ، ولهذا يختصّ ببعض الأحكام ، ككون خياره ثلاثة أيّام ، وتوهّم كون ذكر الحيوان من باب المثال في غاية السقوط ، ومجرّد كون الخصوصية في لسان السائل ، لا يوجب الإلغاء بلا فهم المناط عرفاً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في رواية ابن رباط ، عمّن رواه ، عن أبي عبداللّه علیه السلام ابتداءً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بالحيوان حدث قبل ثلاثة أيّام ، فهو من مال البائع</w:t>
      </w:r>
      <w:r>
        <w:rPr>
          <w:rFonts w:eastAsia="IRNazanin" w:cs="IRNazanin"/>
          <w:color w:val="111111"/>
          <w:sz w:val="28"/>
          <w:szCs w:val="28"/>
          <w:rtl w:val="true"/>
          <w:lang w:bidi="fa-IR"/>
        </w:rPr>
        <w:t>»</w:t>
      </w:r>
      <w:r>
        <w:rPr>
          <w:rStyle w:val="FootnoteAnchor"/>
          <w:rtl w:val="true"/>
        </w:rPr>
        <w:footnoteReference w:id="1100"/>
      </w:r>
      <w:r>
        <w:rPr>
          <w:rFonts w:ascii="Amiri" w:hAnsi="Amiri" w:eastAsia="Amiri" w:cs="Amiri"/>
          <w:color w:val="111111"/>
          <w:sz w:val="28"/>
          <w:sz w:val="28"/>
          <w:szCs w:val="28"/>
          <w:rtl w:val="true"/>
          <w:lang w:bidi="ar-SA"/>
        </w:rPr>
        <w:t xml:space="preserve">بل يمكن استفادة الخصوصية منها ؛ إذ لو كان الحكم عامّاً لما كان وجه للتقييد به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الصدوق الرواية المتقدّمة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يصير البيع للمشتري</w:t>
      </w:r>
      <w:r>
        <w:rPr>
          <w:rFonts w:eastAsia="IRNazanin" w:cs="IRNazanin"/>
          <w:color w:val="111111"/>
          <w:sz w:val="28"/>
          <w:szCs w:val="28"/>
          <w:rtl w:val="true"/>
          <w:lang w:bidi="fa-IR"/>
        </w:rPr>
        <w:t>»</w:t>
      </w:r>
      <w:r>
        <w:rPr>
          <w:rStyle w:val="FootnoteAnchor"/>
          <w:rtl w:val="true"/>
        </w:rPr>
        <w:footnoteReference w:id="1101"/>
      </w:r>
      <w:r>
        <w:rPr>
          <w:rFonts w:ascii="Amiri" w:hAnsi="Amiri" w:eastAsia="Amiri" w:cs="Amiri"/>
          <w:color w:val="111111"/>
          <w:sz w:val="28"/>
          <w:sz w:val="28"/>
          <w:szCs w:val="28"/>
          <w:rtl w:val="true"/>
          <w:lang w:bidi="ar-SA"/>
        </w:rPr>
        <w:t xml:space="preserve">غير ثابت ، بل الثابت خلافه ،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مع ضبطه وإتقانه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Style w:val="FootnoteAnchor"/>
          <w:rtl w:val="true"/>
        </w:rPr>
        <w:footnoteReference w:id="110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 xml:space="preserve">المطبوع ، فعلى هذا يكون اشتباه بعض </w:t>
      </w:r>
    </w:p>
    <w:p>
      <w:pPr>
        <w:pStyle w:val="BookText"/>
        <w:rPr/>
      </w:pPr>
      <w:r>
        <w:rPr>
          <w:rFonts w:ascii="Amiri" w:hAnsi="Amiri" w:eastAsia="Amiri" w:cs="Amiri"/>
          <w:color w:val="111111"/>
          <w:sz w:val="28"/>
          <w:sz w:val="28"/>
          <w:szCs w:val="28"/>
          <w:rtl w:val="true"/>
          <w:lang w:bidi="ar-SA"/>
        </w:rPr>
        <w:t xml:space="preserve">النسخ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مقطوعاً به ، بعد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Style w:val="FootnoteAnchor"/>
          <w:rtl w:val="true"/>
        </w:rPr>
        <w:footnoteReference w:id="1106"/>
      </w:r>
      <w:r>
        <w:rPr>
          <w:rFonts w:ascii="Amiri" w:hAnsi="Amiri" w:eastAsia="Amiri" w:cs="Amiri"/>
          <w:color w:val="111111"/>
          <w:sz w:val="28"/>
          <w:sz w:val="28"/>
          <w:szCs w:val="28"/>
          <w:rtl w:val="true"/>
          <w:lang w:bidi="ar-SA"/>
        </w:rPr>
        <w:t xml:space="preserve">والنسخ الاُخر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 نّه على فرض صحّة النسخة ، لا يصحّ إلغاء الخصوصية ، بعد سبق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ينقضي الشرط ثلاثة أيّام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نعم ، اختلاف النسخ على فرض تحقّقه ، يوجب الوهن في القول المقابل للمشهور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مضيّ الخيار شرط في تحقّق الملك</w:t>
      </w:r>
      <w:r>
        <w:rPr>
          <w:rStyle w:val="FootnoteAnchor"/>
          <w:rtl w:val="true"/>
        </w:rPr>
        <w:footnoteReference w:id="1107"/>
      </w:r>
      <w:r>
        <w:rPr>
          <w:rFonts w:ascii="Amiri" w:hAnsi="Amiri" w:eastAsia="Amiri" w:cs="Amiri"/>
          <w:color w:val="111111"/>
          <w:sz w:val="28"/>
          <w:sz w:val="28"/>
          <w:szCs w:val="28"/>
          <w:rtl w:val="true"/>
          <w:lang w:bidi="ar-SA"/>
        </w:rPr>
        <w:t xml:space="preserve">، فإنّ عمدة المستند له هذه الرواية ، والشهرة مع عدم ثبوتها لا توجب ظهور الكلام ، واجتهادهم ليس حجّة على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التعدّي عن مورد الرواية إلى غيره ، غير وجيه ، فإلحاق خيار المجلس به</w:t>
      </w:r>
      <w:r>
        <w:rPr>
          <w:rStyle w:val="FootnoteAnchor"/>
          <w:rtl w:val="true"/>
        </w:rPr>
        <w:footnoteReference w:id="1108"/>
      </w:r>
      <w:r>
        <w:rPr>
          <w:rFonts w:ascii="Amiri" w:hAnsi="Amiri" w:eastAsia="Amiri" w:cs="Amiri"/>
          <w:color w:val="111111"/>
          <w:sz w:val="28"/>
          <w:sz w:val="28"/>
          <w:szCs w:val="28"/>
          <w:rtl w:val="true"/>
          <w:lang w:bidi="ar-SA"/>
        </w:rPr>
        <w:t xml:space="preserve">في غير محلّه ، ومجرّد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لا يوجب التعدّي ، بعد ما كان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الروايات هو خيار الحيوان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في التعدّي إلى خيار الشرط في غير الحيوان أيضاً كلام ، بعد ما كانت الروايات مختصّة بالحيوان ، ولم يكن له مستند إلاّ ذيل صحيحة ابن سنان على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ينقضي الشرط ثلاثة أيّام ، ويصير المبيع للمشتري ، شرط له البائع أو لم يشترط</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بينهما شرط أيّاماً معدودة ، فهلك في يد المشتري قبل </w:t>
      </w:r>
    </w:p>
    <w:p>
      <w:pPr>
        <w:pStyle w:val="BookText"/>
        <w:rPr/>
      </w:pPr>
      <w:r>
        <w:rPr>
          <w:rFonts w:ascii="Amiri" w:hAnsi="Amiri" w:eastAsia="Amiri" w:cs="Amiri"/>
          <w:color w:val="111111"/>
          <w:sz w:val="28"/>
          <w:sz w:val="28"/>
          <w:szCs w:val="28"/>
          <w:rtl w:val="true"/>
          <w:lang w:bidi="ar-SA"/>
        </w:rPr>
        <w:t>أن يمضي الشرط ، فهو من مال البائع</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بينهما أيّاماً معدودة ، شامل للزائد على ثلاثة أيّام ، ويعمّ ما إذا كان في بيع غير الحيوان إذا كان الشرط للمشتري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بائعه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الرواية وجميع فقراته إلى قوله هذا ، مخصوص بالحيوان ، وهو قرينة على أنّ المراد من الذيل أيضاً ، الشرط في الحيوان ، وإنّما ذكر ذلك لبيان عدم الاختصاص فيه بالثلاثة ؛ وذلك لخصوصية فيه أوّلاً ، ولظهوره في الاختصاص بخيار المشتري الذي مرّ حكمه في ثلاثة أيّام ثانياً ، وإلاّ فلو كان الحكم لخيار الشرط مطلقاً ، لم يكن وجه لاختصاصه بالمشتري ؛ ضرورة عدم الفرق في شرط الخيار بينه وبين البائع ، فالإطلاق فيها محلّ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لا إشكال في استفادة أمر زائد منها بالنظر إلى الذيل ، وهو الشرط الزائد على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دعوى اختصاص الروايات جميعا بالشرط في الحيوان ، غير مجازفة </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سلّم إلحاق الشرط مطلقاً بالحيوان ، فلا ينبغي التأمّل في عدم إلحاق خيار المجلس ، فضلاً عن سائر الخيارات ؛ لفقد الدليل بعد كون الحكم على خلاف القواعد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في وجهه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الغبن ، والعيب ، والرؤية ، وتخلّف الشرط ، وتفليس المشتري ، وتبعّض الصفقة ، فهي توجب التزلزل عند ظهورها بعد لزوم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استمرار الضمان الثابت قبل القبض إلى أن يصير البيع لازماً على المشتري ، وهذا مختصّ بالبيع المتزلزل من أوّل الأمر</w:t>
      </w:r>
      <w:r>
        <w:rPr>
          <w:rStyle w:val="FootnoteAnchor"/>
          <w:rtl w:val="true"/>
        </w:rPr>
        <w:footnoteReference w:id="1110"/>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مخالفته للتحقيق في بعضها كالغبن ، والعيب ، ونحوهما ؛ ممّا يوجب الخيار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ظهور في الرواية ، في أ نّه استمرار للضمان الثابت قبل القبض ، ولا ظهور فيها في الاختصاص بالبيع المتزلزل من أوّل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حتّى ينقضي الشرط ثلاثة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الميزان تحقّق الخيار مطلقاً ، وينتهي أمده بانقضائه ، لا الثلاثة أيّام ، ولا الخيار من حين العقد ، ولهذا لا ينبغي الإشكال ، في ثبوت الضمان في خيار الحيوان ، لو اشترط في ضمن العقد سقوطه في اليوم الأوّل ، إذا تلف في زمان خياره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ظاهر الروايات السؤال عن الشرط المتّصل بالعقد ، كشرط يوم أو يومين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ثبوت الضمان في خيار الحيوان ، سواء كان التزلزل من أوّل العقد أم لا ؛ لإطلاق بعض الروايات والمتفاهم منها عرفاً أنّ الميزان مضيّ الخيار بنحو الإطلاق ، وصيرورة المبيع له ، كما يظهر بالتأمّل فيها </w:t>
      </w:r>
      <w:r>
        <w:rPr>
          <w:rFonts w:eastAsia="Amiri" w:cs="Amiri" w:ascii="Amiri" w:hAnsi="Amiri"/>
          <w:color w:val="111111"/>
          <w:sz w:val="28"/>
          <w:szCs w:val="28"/>
          <w:rtl w:val="true"/>
          <w:lang w:bidi="ar-SA"/>
        </w:rPr>
        <w:t xml:space="preserve">. </w:t>
      </w:r>
      <w:bookmarkStart w:id="669" w:name="pg15222_162617"/>
    </w:p>
    <w:p>
      <w:pPr>
        <w:pStyle w:val="BookText"/>
        <w:rPr/>
      </w:pPr>
      <w:bookmarkEnd w:id="669"/>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اللزوم في الجملة ، فيما إذا كان السقوط في اليوم الأوّل ، أو الوسط</w:t>
      </w:r>
      <w:r>
        <w:rPr>
          <w:rStyle w:val="FootnoteAnchor"/>
          <w:rtl w:val="true"/>
        </w:rPr>
        <w:footnoteReference w:id="1111"/>
      </w:r>
      <w:r>
        <w:rPr>
          <w:rFonts w:ascii="Amiri" w:hAnsi="Amiri" w:eastAsia="Amiri" w:cs="Amiri"/>
          <w:color w:val="111111"/>
          <w:sz w:val="28"/>
          <w:sz w:val="28"/>
          <w:szCs w:val="28"/>
          <w:rtl w:val="true"/>
          <w:lang w:bidi="ar-SA"/>
        </w:rPr>
        <w:t xml:space="preserve">في غير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ثبوته في الشرط في خصوص الحيوان ، سواء شرط أيّاماً متّصلة بالعقد ، أم منفصلة عنه ، وشرط بمقدار خيار الحيوان ، أو أكثر ، أو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عدمه في سائر الخيارات ، وأمّا في خيار الشرط في غير الحيوان ، فلا يخلو من تأمّل وإشكال </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3331990_2142443653"/>
      <w:bookmarkStart w:id="671" w:name="_Toc244"/>
      <w:bookmarkEnd w:id="670"/>
      <w:r>
        <w:rPr>
          <w:rtl w:val="true"/>
        </w:rPr>
        <w:t>هل ضمان الثمن على من لا خيار له ؟</w:t>
      </w:r>
      <w:bookmarkEnd w:id="671"/>
    </w:p>
    <w:p>
      <w:pPr>
        <w:pStyle w:val="BookText"/>
        <w:rPr/>
      </w:pPr>
      <w:r>
        <w:rPr>
          <w:rFonts w:ascii="Amiri" w:hAnsi="Amiri" w:eastAsia="Amiri" w:cs="Amiri"/>
          <w:color w:val="111111"/>
          <w:sz w:val="28"/>
          <w:sz w:val="28"/>
          <w:szCs w:val="28"/>
          <w:rtl w:val="true"/>
          <w:lang w:bidi="ar-SA"/>
        </w:rPr>
        <w:t xml:space="preserve">وأمّا ضمان الثمن ، فلا يبعد ثبوته إذا كان حيواناً ، فإذا باع حيواناً بحيوان ، أو بغيره من العروض ، فالخيار ثابت لصاحب الحيوان ، بائعاً كان أو مشترياً ، كما مرّ القول فيه في خيار الحيوان ، ولا يبعد ثبوت الضمان أيضاً على من لا خيار له ؛ لما ذكرنا سابقاً من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والبائع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 فراجع</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الثبوت لصاحب الحيوان مطلقاً ، غير بعيد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ثبوت الضمان في الثمن فيما إذا لم يكن حيواناً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تلفه في مدّة خيار البائع المختصّ به على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إشكال ، بل منع ؛ لفقد الدليل ، واختصاص الأخبار بالمبيع ، ودعوى القطع بالمناط</w:t>
      </w:r>
      <w:r>
        <w:rPr>
          <w:rStyle w:val="FootnoteAnchor"/>
          <w:rtl w:val="true"/>
        </w:rPr>
        <w:footnoteReference w:id="1113"/>
      </w:r>
      <w:r>
        <w:rPr>
          <w:rFonts w:ascii="Amiri" w:hAnsi="Amiri" w:eastAsia="Amiri" w:cs="Amiri"/>
          <w:color w:val="111111"/>
          <w:sz w:val="28"/>
          <w:sz w:val="28"/>
          <w:szCs w:val="28"/>
          <w:rtl w:val="true"/>
          <w:lang w:bidi="ar-SA"/>
        </w:rPr>
        <w:t xml:space="preserve">في غير محلّها ، بل دعوى </w:t>
      </w:r>
    </w:p>
    <w:p>
      <w:pPr>
        <w:pStyle w:val="BookText"/>
        <w:rPr/>
      </w:pPr>
      <w:r>
        <w:rPr>
          <w:rFonts w:ascii="Amiri" w:hAnsi="Amiri" w:eastAsia="Amiri" w:cs="Amiri"/>
          <w:color w:val="111111"/>
          <w:sz w:val="28"/>
          <w:sz w:val="28"/>
          <w:szCs w:val="28"/>
          <w:rtl w:val="true"/>
          <w:lang w:bidi="ar-SA"/>
        </w:rPr>
        <w:t xml:space="preserve">استفادة الاختصاص بالحيوان ، وعدم الثبوت في الأثمان والعروض غير الحيوان ، غير بعيدة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باستصحاب ضمان المشتري للثمن قبل القبض إلى ما بعده</w:t>
      </w:r>
      <w:r>
        <w:rPr>
          <w:rStyle w:val="FootnoteAnchor"/>
          <w:rtl w:val="true"/>
        </w:rPr>
        <w:footnoteReference w:id="1114"/>
      </w:r>
      <w:r>
        <w:rPr>
          <w:rFonts w:ascii="Amiri" w:hAnsi="Amiri" w:eastAsia="Amiri" w:cs="Amiri"/>
          <w:color w:val="111111"/>
          <w:sz w:val="28"/>
          <w:sz w:val="28"/>
          <w:szCs w:val="28"/>
          <w:rtl w:val="true"/>
          <w:lang w:bidi="ar-SA"/>
        </w:rPr>
        <w:t xml:space="preserve">في غير محلّه ، مع ما فيه من الإشكال ؛ لأ نّه لا ينبغي الإشكال ، في أ نّه من استصحاب الكلّي من القسم الثالث ، لا من قبيل استصحاب الشخص ، بداهة أنّ الحكم الثابت لما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صحّته ، وسيأتي الكلام فيه</w:t>
      </w:r>
      <w:r>
        <w:rPr>
          <w:rStyle w:val="FootnoteAnchor"/>
          <w:rtl w:val="true"/>
        </w:rPr>
        <w:footnoteReference w:id="1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كلّي ثابت لموضوع ؛ هو الشيء قبل قبضه ، وحكم التلف في زمان الخيار ، أيضاً حكم كلّي ثابت لموضوع آخر ، مخالف للموضوع الأوّل ، فلا يعقل أن يكون الحكمان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 الخارج فرد من أحدهما ، فهو مخالف للفرد من الآخر ، فاستصحاب الحكم الشخصي</w:t>
      </w:r>
      <w:r>
        <w:rPr>
          <w:rStyle w:val="FootnoteAnchor"/>
          <w:rtl w:val="true"/>
        </w:rPr>
        <w:footnoteReference w:id="1116"/>
      </w:r>
      <w:r>
        <w:rPr>
          <w:rFonts w:ascii="IRNazanin" w:hAnsi="IRNazanin" w:eastAsia="IRNazanin"/>
          <w:color w:val="111111"/>
          <w:sz w:val="28"/>
          <w:sz w:val="28"/>
          <w:szCs w:val="28"/>
          <w:rtl w:val="true"/>
          <w:lang w:bidi="fa-IR"/>
        </w:rPr>
        <w:t xml:space="preserve">، لا وجه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الكلّي ، فالإشكال فيه ليس من أجل كونه كلّياً من القسم الثالث</w:t>
      </w:r>
      <w:r>
        <w:rPr>
          <w:rStyle w:val="FootnoteAnchor"/>
          <w:rtl w:val="true"/>
        </w:rPr>
        <w:footnoteReference w:id="1117"/>
      </w:r>
      <w:r>
        <w:rPr>
          <w:rFonts w:ascii="Amiri" w:hAnsi="Amiri" w:eastAsia="Amiri" w:cs="Amiri"/>
          <w:color w:val="111111"/>
          <w:sz w:val="28"/>
          <w:sz w:val="28"/>
          <w:szCs w:val="28"/>
          <w:rtl w:val="true"/>
          <w:lang w:bidi="ar-SA"/>
        </w:rPr>
        <w:t xml:space="preserve">، وإن كان له وجه في مثل المورد ، بل لأجل أنّ الكلّي المنتزع من المصداقين أو الكلّيين ، ليس بحكم شرعي ، ولا موضوعاً له ، فلا يجري استصحابه ، والمقام من قبيله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الضمان في القاعدتين بمعنىً واحد ؛ إمّا ضمان المعاوضة ، </w:t>
      </w:r>
      <w:bookmarkStart w:id="672" w:name="pg15222_162619"/>
    </w:p>
    <w:p>
      <w:pPr>
        <w:pStyle w:val="BookText"/>
        <w:rPr/>
      </w:pPr>
      <w:bookmarkEnd w:id="672"/>
      <w:r>
        <w:rPr>
          <w:rFonts w:ascii="Amiri" w:hAnsi="Amiri" w:eastAsia="Amiri" w:cs="Amiri"/>
          <w:color w:val="111111"/>
          <w:sz w:val="28"/>
          <w:sz w:val="28"/>
          <w:szCs w:val="28"/>
          <w:rtl w:val="true"/>
          <w:lang w:bidi="ar-SA"/>
        </w:rPr>
        <w:t xml:space="preserve">أو ضمان التلف ، وإلاّ فالإشكال أوضح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فرض جريان الاستصحاب المذكور ، فلا يعارضه استصحاب عدم انفساخ العقد</w:t>
      </w:r>
      <w:r>
        <w:rPr>
          <w:rStyle w:val="FootnoteAnchor"/>
          <w:rtl w:val="true"/>
        </w:rPr>
        <w:footnoteReference w:id="1118"/>
      </w:r>
      <w:r>
        <w:rPr>
          <w:rFonts w:ascii="Amiri" w:hAnsi="Amiri" w:eastAsia="Amiri" w:cs="Amiri"/>
          <w:color w:val="111111"/>
          <w:sz w:val="28"/>
          <w:sz w:val="28"/>
          <w:szCs w:val="28"/>
          <w:rtl w:val="true"/>
          <w:lang w:bidi="ar-SA"/>
        </w:rPr>
        <w:t xml:space="preserve">؛ فإنّ المفروض ثبوت الانفساخ بحسب الحكم الشرعي المستفاد من الروايات ، فيما إذا تلف الثمن أو المثمن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 الشرعي قضيّة تعليقية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الثمن انفسخ العقد ، وكان من مال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في ثبوت هذا الحكم التعليقي الثابت قبل القبض يستصحب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تلف بعد القبض في زمان الخيار ، يكون من ماله ، وينفسخ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الكبرى الشرعية المستصحبة ، حاكمة على الاستصحاب التنجيزي ؛ أي أصل عدم الانفساخ ؛ لأنّ الميزان الذي ذكرناه في باب الحكومة محقّق ، فراجع محالّه</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3331992_2142443653"/>
      <w:bookmarkStart w:id="674" w:name="_Toc245"/>
      <w:bookmarkEnd w:id="673"/>
      <w:r>
        <w:rPr>
          <w:rtl w:val="true"/>
        </w:rPr>
        <w:t>في جريان القاعدة في الكلّي</w:t>
      </w:r>
      <w:bookmarkEnd w:id="674"/>
    </w:p>
    <w:p>
      <w:pPr>
        <w:pStyle w:val="BookText"/>
        <w:rPr/>
      </w:pPr>
      <w:r>
        <w:rPr>
          <w:rFonts w:ascii="Amiri" w:hAnsi="Amiri" w:eastAsia="Amiri" w:cs="Amiri"/>
          <w:color w:val="111111"/>
          <w:sz w:val="28"/>
          <w:sz w:val="28"/>
          <w:szCs w:val="28"/>
          <w:rtl w:val="true"/>
          <w:lang w:bidi="ar-SA"/>
        </w:rPr>
        <w:t>ثمّ إنّ القاعدة هل تجرى في الكلّي ، كما لو باع الحيوان الكلّي الموصوف ، فأقبض فرداً منه ، فتلف في زمان الخيار ، أم لا ؟</w:t>
      </w:r>
    </w:p>
    <w:p>
      <w:pPr>
        <w:pStyle w:val="BookText"/>
        <w:rPr/>
      </w:pPr>
      <w:r>
        <w:rPr>
          <w:rFonts w:ascii="Amiri" w:hAnsi="Amiri" w:eastAsia="Amiri" w:cs="Amiri"/>
          <w:color w:val="111111"/>
          <w:sz w:val="28"/>
          <w:sz w:val="28"/>
          <w:szCs w:val="28"/>
          <w:rtl w:val="true"/>
          <w:lang w:bidi="ar-SA"/>
        </w:rPr>
        <w:t xml:space="preserve">وجهان ، أوجههما الثاني ؛ اقتصاراً فيما خالف القواعد على مورد النصوص </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إطلاقها </w:t>
      </w:r>
      <w:r>
        <w:rPr>
          <w:rStyle w:val="FootnoteAnchor"/>
          <w:rtl w:val="true"/>
        </w:rPr>
        <w:footnoteReference w:id="1120"/>
      </w:r>
      <w:r>
        <w:rPr>
          <w:rFonts w:ascii="Amiri" w:hAnsi="Amiri" w:eastAsia="Amiri" w:cs="Amiri"/>
          <w:color w:val="111111"/>
          <w:sz w:val="28"/>
          <w:sz w:val="28"/>
          <w:szCs w:val="28"/>
          <w:rtl w:val="true"/>
          <w:lang w:bidi="ar-SA"/>
        </w:rPr>
        <w:t xml:space="preserve">في غير محلّها ، حتّى في مثل رواية علي بن رباط ، عمّن </w:t>
      </w:r>
    </w:p>
    <w:p>
      <w:pPr>
        <w:pStyle w:val="BookText"/>
        <w:rPr/>
      </w:pPr>
      <w:r>
        <w:rPr>
          <w:rFonts w:ascii="IRNazanin" w:hAnsi="IRNazanin" w:eastAsia="IRNazanin"/>
          <w:color w:val="111111"/>
          <w:sz w:val="28"/>
          <w:sz w:val="28"/>
          <w:szCs w:val="28"/>
          <w:rtl w:val="true"/>
          <w:lang w:bidi="fa-IR"/>
        </w:rPr>
        <w:t xml:space="preserve">رواه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بالحيوان حدث قبل ثلاثة أيّام ، فهو من مال البائع</w:t>
      </w:r>
      <w:r>
        <w:rPr>
          <w:rFonts w:eastAsia="IRNazanin" w:cs="IRNazanin"/>
          <w:color w:val="111111"/>
          <w:sz w:val="28"/>
          <w:szCs w:val="28"/>
          <w:rtl w:val="true"/>
          <w:lang w:bidi="fa-IR"/>
        </w:rPr>
        <w:t>»</w:t>
      </w:r>
      <w:r>
        <w:rPr>
          <w:rStyle w:val="FootnoteAnchor"/>
          <w:rtl w:val="true"/>
        </w:rPr>
        <w:footnoteReference w:id="1121"/>
      </w:r>
      <w:r>
        <w:rPr>
          <w:rFonts w:ascii="Amiri" w:hAnsi="Amiri" w:eastAsia="Amiri" w:cs="Amiri"/>
          <w:color w:val="111111"/>
          <w:sz w:val="28"/>
          <w:sz w:val="28"/>
          <w:szCs w:val="28"/>
          <w:rtl w:val="true"/>
          <w:lang w:bidi="ar-SA"/>
        </w:rPr>
        <w:t xml:space="preserve">فإنّ الظاهر منها ، أنّ المراد هو الحيوان المشترى ، لا ما ينطبق عليه عنوان المبيع ، أو الأعمّ منه وممّا ينطبق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المبيع الكلّي إذا انطبق على الفرد ،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الروايات</w:t>
      </w:r>
      <w:r>
        <w:rPr>
          <w:rStyle w:val="FootnoteAnchor"/>
          <w:rtl w:val="true"/>
        </w:rPr>
        <w:footnoteReference w:id="1122"/>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ضمان على المبتاع حتّى ينقضي الشرط ، ويصير المبيع له</w:t>
      </w:r>
      <w:r>
        <w:rPr>
          <w:rFonts w:eastAsia="IRNazanin" w:cs="IRNazanin"/>
          <w:color w:val="111111"/>
          <w:sz w:val="28"/>
          <w:szCs w:val="28"/>
          <w:rtl w:val="true"/>
          <w:lang w:bidi="fa-IR"/>
        </w:rPr>
        <w:t>»</w:t>
      </w:r>
      <w:r>
        <w:rPr>
          <w:rStyle w:val="FootnoteAnchor"/>
          <w:rtl w:val="true"/>
        </w:rPr>
        <w:footnoteReference w:id="1123"/>
      </w:r>
      <w:r>
        <w:rPr>
          <w:rFonts w:ascii="Amiri" w:hAnsi="Amiri" w:eastAsia="Amiri" w:cs="Amiri"/>
          <w:color w:val="111111"/>
          <w:sz w:val="28"/>
          <w:sz w:val="28"/>
          <w:szCs w:val="28"/>
          <w:rtl w:val="true"/>
          <w:lang w:bidi="ar-SA"/>
        </w:rPr>
        <w:t xml:space="preserve">في غير محلّها ؛ ضرورة أنّ إطلاقه عليه أحياناً ، يكون بتأوّل وتجوّز ، وإلاّ فمن الضروري أنّ العقد وقع على عنوان قابل للصدق على كثيرين ، والأفراد الخارجية القابلة لانطباقه عليها لا تكون مبيعاً ، والتسليم بعد العقد ومضيّه ، لا يعقل أن يصير سبباً للتعلّق ، بل هو موجب لانطباق ما تعلّق به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الفرد الذي هو مصداق له ، فكما أنّ المصداق ليس بكلّي قابل للصدق على الكثيرين ، كذلك ليس هو ما تعلّق به العقد ؛ وهو الكلّي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قد يقال في المتعارف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هذا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على الوجه المسامحي لا الحقيقي ، ودعوى المناط ؛ بحيث يسري به الحكم من المبيع إلى المقبوض بالبيع</w:t>
      </w:r>
      <w:r>
        <w:rPr>
          <w:rStyle w:val="FootnoteAnchor"/>
          <w:rtl w:val="true"/>
        </w:rPr>
        <w:footnoteReference w:id="1124"/>
      </w:r>
      <w:r>
        <w:rPr>
          <w:rFonts w:ascii="Amiri" w:hAnsi="Amiri" w:eastAsia="Amiri" w:cs="Amiri"/>
          <w:color w:val="111111"/>
          <w:sz w:val="28"/>
          <w:sz w:val="28"/>
          <w:szCs w:val="28"/>
          <w:rtl w:val="true"/>
          <w:lang w:bidi="ar-SA"/>
        </w:rPr>
        <w:t xml:space="preserve">، ليست وجيهة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مقتضى ضمان المبيع في مدّة الخيار ، بقاؤه على ما كان عليه قبل القبض ، ودخول الفرد في ملك المشتري لا يستلزم انفساخ العقد ، بل معنى الضمان بالنسبة إلى الفرد ، صيرورة الكلّي كغير المقبوض ، وهذا لا تدلّ عليه الأخبار ، ثمّ أمر بالتأمّل</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فغير ظاهر ؛ لأنّ المراد ببقائه على ما كان عليه قبل القبض ، إن كان بقاء الضمان الشخصي ، فيكون الضمان في زمان الخيار شخص الضمان الثابت فيما قبل القبض ، حتّى يستنتج منه عدم الضمان في الكلّي ؛ لأنّ الكلّي ما لم يقبض لا معنى لتلفه ، وبعد ما قبض لو تلف لم يكن من تلف الكلّي ، ولا من التلف قبل القبض ، فلا معنى لبقاء الضمان الشخصي فيه ، فهو ممنوع ؛ إذ لا دليل عليه رأساً ، بل ظاهر الأدلّة على خلافه ، كما مرّت الإشارة إليه في تقرير الاستصحاب الشخصي في الفرع السابق</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المراد ، مماثلتهما في الضمان ؛ في أنّ كلاًّ منهما ضمان معاملي ، فعلى فرض صحّته ، لا يستنتج منه ما أراده ؛ لأنّ كلاًّ منهما قاعدة مستقلّة في موضوعها ، ولا تتفرّع إحداهما على الاُخرى ، فيمكن عدم الالتزام بقاعدة التلف قبل القبض في بعض الفروع ، مع الالتزام بالقاعدة الثانية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قصور الدليل عن إثباته ، وعدم فهم المناط ، ولا يمكن إلغاء الخصوصية ، ولعلّ ما ذكرناه هو وجه تأمّله </w:t>
      </w:r>
      <w:r>
        <w:rPr>
          <w:rFonts w:eastAsia="Amiri" w:cs="Amiri" w:ascii="Amiri" w:hAnsi="Amiri"/>
          <w:color w:val="111111"/>
          <w:sz w:val="28"/>
          <w:szCs w:val="28"/>
          <w:rtl w:val="true"/>
          <w:lang w:bidi="ar-SA"/>
        </w:rPr>
        <w:t xml:space="preserve">. </w:t>
      </w:r>
      <w:bookmarkStart w:id="675" w:name="pg15222_162622"/>
    </w:p>
    <w:p>
      <w:pPr>
        <w:pStyle w:val="Heading4"/>
        <w:numPr>
          <w:ilvl w:val="3"/>
          <w:numId w:val="1"/>
        </w:numPr>
        <w:rPr/>
      </w:pPr>
      <w:bookmarkStart w:id="676" w:name="__RefHeading___Toc3331994_2142443653"/>
      <w:bookmarkStart w:id="677" w:name="_Toc246"/>
      <w:bookmarkEnd w:id="675"/>
      <w:bookmarkEnd w:id="676"/>
      <w:r>
        <w:rPr>
          <w:rtl w:val="true"/>
        </w:rPr>
        <w:t>المراد من الضمان في المقام</w:t>
      </w:r>
      <w:bookmarkEnd w:id="677"/>
    </w:p>
    <w:p>
      <w:pPr>
        <w:pStyle w:val="BookText"/>
        <w:rPr/>
      </w:pPr>
      <w:r>
        <w:rPr>
          <w:rFonts w:ascii="Amiri" w:hAnsi="Amiri" w:eastAsia="Amiri" w:cs="Amiri"/>
          <w:color w:val="111111"/>
          <w:sz w:val="28"/>
          <w:sz w:val="28"/>
          <w:szCs w:val="28"/>
          <w:rtl w:val="true"/>
          <w:lang w:bidi="ar-SA"/>
        </w:rPr>
        <w:t xml:space="preserve">ثمّ إنّ الضمان في المقام ، هل هو الضمان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 المعاملي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الضمان قبل القبض ، فينفسخ العقد ، ويرجع الثمن إلى المشتري ، ويكون التلف من مال البائع ؟</w:t>
      </w:r>
    </w:p>
    <w:p>
      <w:pPr>
        <w:pStyle w:val="BookText"/>
        <w:rPr/>
      </w:pPr>
      <w:r>
        <w:rPr>
          <w:rFonts w:ascii="Amiri" w:hAnsi="Amiri" w:eastAsia="Amiri" w:cs="Amiri"/>
          <w:color w:val="111111"/>
          <w:sz w:val="28"/>
          <w:sz w:val="28"/>
          <w:szCs w:val="28"/>
          <w:rtl w:val="true"/>
          <w:lang w:bidi="ar-SA"/>
        </w:rPr>
        <w:t>أو أ نّه ضمان واقعي ، كما في ضمان اليد والإتلاف ، فيكون العقد بحاله ، ويضمن التالف بالمثل أو القيمة الواقعية ؟</w:t>
      </w:r>
    </w:p>
    <w:p>
      <w:pPr>
        <w:pStyle w:val="BookText"/>
        <w:rPr/>
      </w:pPr>
      <w:r>
        <w:rPr>
          <w:rFonts w:ascii="Amiri" w:hAnsi="Amiri" w:eastAsia="Amiri" w:cs="Amiri"/>
          <w:color w:val="111111"/>
          <w:sz w:val="28"/>
          <w:sz w:val="28"/>
          <w:szCs w:val="28"/>
          <w:rtl w:val="true"/>
          <w:lang w:bidi="ar-SA"/>
        </w:rPr>
        <w:t xml:space="preserve">فيه خلاف ، منشؤه الاستظهار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يمكن الاستدلال على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الظاهر من قوله علیه السلام في صحيحة ابن سنان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بينهما شرط أيّاما معدودة ، فهلك في يد المشتري قبل أن يمضي الشرط ، فهو من مال البائع</w:t>
      </w:r>
      <w:r>
        <w:rPr>
          <w:rFonts w:eastAsia="IRNazanin" w:cs="IRNazanin"/>
          <w:color w:val="111111"/>
          <w:sz w:val="28"/>
          <w:szCs w:val="28"/>
          <w:rtl w:val="true"/>
          <w:lang w:bidi="fa-IR"/>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رواية علي بن رباط ، عمّن رواه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حدث بالحيوان حدث قبل ثلاثة أيّام ، فهو من مال البائع</w:t>
      </w:r>
      <w:r>
        <w:rPr>
          <w:rFonts w:eastAsia="IRNazanin" w:cs="IRNazanin"/>
          <w:color w:val="111111"/>
          <w:sz w:val="28"/>
          <w:szCs w:val="28"/>
          <w:rtl w:val="true"/>
          <w:lang w:bidi="fa-IR"/>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التلف حدث في ماله ، ولازم ذلك هو انفساخ العقد ، ورجوع الثمن إلى المشتري ، ولا سيّما وهذا التعبير عين ما في التلف قبل القبض من التعبير في النبوي المعروف</w:t>
      </w:r>
      <w:r>
        <w:rPr>
          <w:rStyle w:val="FootnoteAnchor"/>
          <w:rtl w:val="true"/>
        </w:rPr>
        <w:footnoteReference w:id="1129"/>
      </w:r>
      <w:r>
        <w:rPr>
          <w:rFonts w:ascii="Amiri" w:hAnsi="Amiri" w:eastAsia="Amiri" w:cs="Amiri"/>
          <w:color w:val="111111"/>
          <w:sz w:val="28"/>
          <w:sz w:val="28"/>
          <w:szCs w:val="28"/>
          <w:rtl w:val="true"/>
          <w:lang w:bidi="ar-SA"/>
        </w:rPr>
        <w:t xml:space="preserve">المفتى به عند الطائفة ، وقد فهموا منه </w:t>
      </w:r>
    </w:p>
    <w:p>
      <w:pPr>
        <w:pStyle w:val="BookText"/>
        <w:rPr/>
      </w:pPr>
      <w:r>
        <w:rPr>
          <w:rFonts w:ascii="Amiri" w:hAnsi="Amiri" w:eastAsia="Amiri" w:cs="Amiri"/>
          <w:color w:val="111111"/>
          <w:sz w:val="28"/>
          <w:sz w:val="28"/>
          <w:szCs w:val="28"/>
          <w:rtl w:val="true"/>
          <w:lang w:bidi="ar-SA"/>
        </w:rPr>
        <w:t xml:space="preserve">الانفساخ ، ورجوع الثمن بلا مكابرة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الظهور أقوى من ظهور الضمان في ضمان التالف بالقيمة الواقعية ؛ لتردّد الضمان بين الأمرين ، ووقوع التعبير به في لسان الراوي ، وإنّما عبّر الإمام علیه السلام بمثل تعبيره تبعا لكلامه ، مع احتمال أنّ المعهود عند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النبوي المعروف بين الفريقين في الضمان قبل القبض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هو الضمان المعاملي ، فعبّر عنه بذلك بنحو من المسامحة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لمّا تعرّض أبو عبداللّه علیه السلام في صحيحة ابن سنان لحكم الشرط أيّاما معدودة مستقلاًّ ، عدل عن تعبير السائل إلى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الصدر هو ما تعرّض له في الذيل ، فكأ نّه أراد بذلك بيان عدم الفرق في الشرط بين كونه بمقدار خيار الحيوان أو أكثر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ذيل الصحيحة يفسّر الضمان ويبيّن أ نّه ضمان معاملي ، لا واقعي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رواية ابن رباط ، التي تعرّض للحكم ابتداء من غير سبق سؤال ،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من مال بائعه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تعبير النبوي المعروف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الظاهر من المرويّ عن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اشترى عبدا بشرط ثلاثة أيّام ، فمات العبد في الشرط ، يستحلف باللّه ما رضيه ، ثمّ هو برئ من الضمان</w:t>
      </w:r>
      <w:r>
        <w:rPr>
          <w:rStyle w:val="FootnoteAnchor"/>
          <w:rtl w:val="true"/>
        </w:rPr>
        <w:footnoteReference w:id="1130"/>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ضمان الثمن ، وهو مساوق لانفساخ العقد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أنّ الظاهر من رواية عبد الرحمان بن أبي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 في رجل اشترى أمة بشرط من رجل يوما أو يومين ، فماتت عنده ، وقد قطع الثمن ، على من يكون الضمان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 اشترى ضمان حتّى يمضي شرطه</w:t>
      </w:r>
      <w:r>
        <w:rPr>
          <w:rFonts w:eastAsia="IRNazanin" w:cs="IRNazanin"/>
          <w:color w:val="111111"/>
          <w:sz w:val="28"/>
          <w:szCs w:val="28"/>
          <w:rtl w:val="true"/>
          <w:lang w:bidi="fa-IR"/>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مراد الإمام علیه السلام بل الراوي أيضا ، ضمان الثمن ؛ من أجل أنّ الراوي فرض قطع الثمن ، لا أداءه ، والظاهر من مثل هذا التعبير ، هو فرض ما قبل الأداء ، فكان الثمن على عهدته ، وكان ضامنا له ، فحكم بعدمه عند التلف ، فتكون موافقة لما تقدّم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أن يحمل الضمان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ذيلها ، وبقرينة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ضمان الثمن وإن كان بعيدا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رفع البعد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ضمان الشيء ، بمعنى أنّ عليه عهدة ثمنه ، ومع عدم القرينة يحمل على ثمنه الواقعي ، وفي المقام حيث قامت القرينة على أنّ المراد ثمنه المسمّى ، فسأل عمّن هو ضامن له ؛ لتردّد الأمر لديه بين الانفساخ ، حتّى يكون البائع ضامنا ، أو عدمه ، حتّى يكون المشتري ضامنا لأدائه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ضمانه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منه أنّ البيع منفسخ ، فتأمّل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تحكيم الظهور في سائر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ذيل الصحيحة ورواية 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ظهور الضمان في الضمان بالعوض الواقعي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مقام التأييد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ظاهر الروايات بقاء ضمان </w:t>
      </w:r>
    </w:p>
    <w:p>
      <w:pPr>
        <w:pStyle w:val="BookText"/>
        <w:rPr/>
      </w:pPr>
      <w:r>
        <w:rPr>
          <w:rFonts w:ascii="IRNazanin" w:hAnsi="IRNazanin" w:eastAsia="IRNazanin"/>
          <w:color w:val="111111"/>
          <w:sz w:val="28"/>
          <w:sz w:val="28"/>
          <w:szCs w:val="28"/>
          <w:rtl w:val="true"/>
          <w:lang w:bidi="fa-IR"/>
        </w:rPr>
        <w:t xml:space="preserve">ما قبل القبض ، وعدم تأثير القبض في رفعه ، لا تشريع ضمان على حدة ، ولازمه بقاء الضمان بالمسمّى ، وهذا هو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حتّى ينقضى الشرط ثلاثة أيّام</w:t>
      </w:r>
      <w:r>
        <w:rPr>
          <w:rFonts w:eastAsia="IRNazanin" w:cs="IRNazanin"/>
          <w:color w:val="111111"/>
          <w:sz w:val="28"/>
          <w:szCs w:val="28"/>
          <w:rtl w:val="true"/>
          <w:lang w:bidi="fa-IR"/>
        </w:rPr>
        <w:t>»</w:t>
      </w:r>
      <w:r>
        <w:rPr>
          <w:rStyle w:val="FootnoteAnchor"/>
          <w:rtl w:val="true"/>
        </w:rPr>
        <w:footnoteReference w:id="1132"/>
      </w:r>
      <w:r>
        <w:rPr>
          <w:rFonts w:ascii="Amiri" w:hAnsi="Amiri" w:eastAsia="Amiri" w:cs="Amiri"/>
          <w:color w:val="111111"/>
          <w:sz w:val="28"/>
          <w:sz w:val="28"/>
          <w:szCs w:val="28"/>
          <w:rtl w:val="true"/>
          <w:lang w:bidi="ar-SA"/>
        </w:rPr>
        <w:t>لأنّ معناه أنّ القبض ليس غاية للضمان ، بل الغاية انقضاء شرطه</w:t>
      </w:r>
      <w:r>
        <w:rPr>
          <w:rStyle w:val="FootnoteAnchor"/>
          <w:rtl w:val="true"/>
        </w:rPr>
        <w:footnoteReference w:id="1133"/>
      </w:r>
      <w:r>
        <w:rPr>
          <w:rFonts w:ascii="Amiri" w:hAnsi="Amiri" w:eastAsia="Amiri" w:cs="Amiri"/>
          <w:color w:val="111111"/>
          <w:sz w:val="28"/>
          <w:sz w:val="28"/>
          <w:szCs w:val="28"/>
          <w:rtl w:val="true"/>
          <w:lang w:bidi="ar-SA"/>
        </w:rPr>
        <w:t>، وهذا هو المحكيّ عن الشهيد</w:t>
      </w:r>
      <w:r>
        <w:rPr>
          <w:rStyle w:val="FootnoteAnchor"/>
          <w:rtl w:val="true"/>
        </w:rPr>
        <w:footnoteReference w:id="1134"/>
      </w:r>
      <w:r>
        <w:rPr>
          <w:rFonts w:ascii="Amiri" w:hAnsi="Amiri" w:eastAsia="Amiri" w:cs="Amiri"/>
          <w:color w:val="111111"/>
          <w:sz w:val="28"/>
          <w:sz w:val="28"/>
          <w:szCs w:val="28"/>
          <w:rtl w:val="true"/>
          <w:lang w:bidi="ar-SA"/>
        </w:rPr>
        <w:t>والعلاّمة</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الشيخ الأعظم قدّس سرّه </w:t>
      </w:r>
      <w:r>
        <w:rPr>
          <w:rStyle w:val="FootnoteAnchor"/>
          <w:rtl w:val="true"/>
        </w:rPr>
        <w:footnoteReference w:id="1136"/>
      </w:r>
      <w:r>
        <w:rPr>
          <w:rFonts w:ascii="Amiri" w:hAnsi="Amiri" w:eastAsia="Amiri" w:cs="Amiri"/>
          <w:color w:val="111111"/>
          <w:sz w:val="28"/>
          <w:sz w:val="28"/>
          <w:szCs w:val="28"/>
          <w:rtl w:val="true"/>
          <w:lang w:bidi="ar-SA"/>
        </w:rPr>
        <w:t xml:space="preserve">ويرجع إلى أنّ الباقي هو شخص الضمان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في القاعدتين ، كلّي متعلّق بموضوع كلّي ، وكلّ من الموضوعين يخالف الآخر</w:t>
      </w:r>
      <w:r>
        <w:rPr>
          <w:rStyle w:val="FootnoteAnchor"/>
          <w:rtl w:val="true"/>
        </w:rPr>
        <w:footnoteReference w:id="1137"/>
      </w:r>
      <w:r>
        <w:rPr>
          <w:rFonts w:ascii="Amiri" w:hAnsi="Amiri" w:eastAsia="Amiri" w:cs="Amiri"/>
          <w:color w:val="111111"/>
          <w:sz w:val="28"/>
          <w:sz w:val="28"/>
          <w:szCs w:val="28"/>
          <w:rtl w:val="true"/>
          <w:lang w:bidi="ar-SA"/>
        </w:rPr>
        <w:t xml:space="preserve">، فموضوع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تلفه قبل انقضاء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العنوانين عموم من وجه ، فيجتمع الموضوعان تارة ، ويفترقان اُخرى ، وفي مثله لا معنى لبقاء شخص الحكم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البائع حتّى ينقضي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يدلّ إلاّ على أنّ الضمان عليه إلى انقضاء الخيار ، وأمّا أنّ هذا عين الضمان السابق ، أو مثله ، أو مخالفه ، فلا دلالة فيه ، فالغاية غاية للحكم الكلّي المجعول على موضوعه ؛ وهو التلف في زمان الخيار ، لا للحكم المجعول على موضوع آخر أجنبيّ عنه </w:t>
      </w:r>
      <w:r>
        <w:rPr>
          <w:rFonts w:eastAsia="IRNazanin" w:cs="IRNazanin"/>
          <w:color w:val="111111"/>
          <w:sz w:val="28"/>
          <w:szCs w:val="28"/>
          <w:rtl w:val="true"/>
          <w:lang w:bidi="fa-IR"/>
        </w:rPr>
        <w:t xml:space="preserve">. </w:t>
      </w:r>
      <w:bookmarkStart w:id="678" w:name="pg15222_162626"/>
    </w:p>
    <w:p>
      <w:pPr>
        <w:pStyle w:val="BookText"/>
        <w:rPr/>
      </w:pPr>
      <w:bookmarkEnd w:id="678"/>
      <w:r>
        <w:rPr>
          <w:rFonts w:ascii="Amiri" w:hAnsi="Amiri" w:eastAsia="Amiri" w:cs="Amiri"/>
          <w:color w:val="111111"/>
          <w:sz w:val="28"/>
          <w:sz w:val="28"/>
          <w:szCs w:val="28"/>
          <w:rtl w:val="true"/>
          <w:lang w:bidi="ar-SA"/>
        </w:rPr>
        <w:t xml:space="preserve">نعم ،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الواقعي في المقام ، وبالضمان المعاوضي في التلف قبل القبض ، ففي مورد انطباقهما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كالتلف قبله ، وقبل مضيّ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ينفسخ العقد ، ولا يبقى مجال لإجراء القاعدة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القرينة قائمة على الضمان المعاملي ؛ وهي أ نّه مع تعهّد الضامن بضمان المسمّى ، وإمضاء الشارع له ، لا معنى لأن يراد الضمان الواقعي</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خلط بين القواعد الكلّية وغيرها ؛ فإنّه لا معنى لجعل الضمان الواقعي لموضوع جعل فيه ضمان المسمّى ، وأمّا إذا كان الحكم على موضوع كلّي ، قد ينطبق على موضوع حكم آخر ، فلا مانع منه ، ونظيره غير عزيز ، فالعمدة في المقام ما ذكرناه من دلالة الأخبار </w:t>
      </w:r>
      <w:r>
        <w:rPr>
          <w:rFonts w:eastAsia="Amiri" w:cs="Amiri" w:ascii="Amiri" w:hAnsi="Amiri"/>
          <w:color w:val="111111"/>
          <w:sz w:val="28"/>
          <w:szCs w:val="28"/>
          <w:rtl w:val="true"/>
          <w:lang w:bidi="ar-SA"/>
        </w:rPr>
        <w:t>.</w:t>
      </w:r>
    </w:p>
    <w:p>
      <w:pPr>
        <w:pStyle w:val="Heading4"/>
        <w:numPr>
          <w:ilvl w:val="3"/>
          <w:numId w:val="1"/>
        </w:numPr>
        <w:rPr/>
      </w:pPr>
      <w:bookmarkStart w:id="679" w:name="__RefHeading___Toc3331996_2142443653"/>
      <w:bookmarkStart w:id="680" w:name="_Toc247"/>
      <w:bookmarkEnd w:id="679"/>
      <w:r>
        <w:rPr>
          <w:rtl w:val="true"/>
        </w:rPr>
        <w:t>إشكال عدم معقولية الضمان المعاملي</w:t>
      </w:r>
      <w:bookmarkEnd w:id="680"/>
    </w:p>
    <w:p>
      <w:pPr>
        <w:pStyle w:val="BookText"/>
        <w:rPr/>
      </w:pPr>
      <w:r>
        <w:rPr>
          <w:rFonts w:ascii="Amiri" w:hAnsi="Amiri" w:eastAsia="Amiri" w:cs="Amiri"/>
          <w:color w:val="111111"/>
          <w:sz w:val="28"/>
          <w:sz w:val="28"/>
          <w:szCs w:val="28"/>
          <w:rtl w:val="true"/>
          <w:lang w:bidi="ar-SA"/>
        </w:rPr>
        <w:t xml:space="preserve">بقي هنا إشكال ؛ وهو أنّ الضمان المعاملي ، لا يعقل في حدوث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الخيار ؛ حيث إنّ الأوصاف لا تقابل بالأثمان ، فلا معنى لانفساخ العقد بحدوث العيب ، ورجوع المسمّى بمقداره ، فهذا قرينة على أنّ المراد بالضمان هو الواقعي منه ، كضمان اليد</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والتفكيك بين تلف العين ، وحدوث الحدث فيها ، بعيد عن ظاهر الكلام ، كبعد </w:t>
      </w:r>
    </w:p>
    <w:p>
      <w:pPr>
        <w:pStyle w:val="BookText"/>
        <w:rPr/>
      </w:pPr>
      <w:r>
        <w:rPr>
          <w:rFonts w:ascii="Amiri" w:hAnsi="Amiri" w:eastAsia="Amiri" w:cs="Amiri"/>
          <w:color w:val="111111"/>
          <w:sz w:val="28"/>
          <w:sz w:val="28"/>
          <w:szCs w:val="28"/>
          <w:rtl w:val="true"/>
          <w:lang w:bidi="ar-SA"/>
        </w:rPr>
        <w:t>الحمل على جامع يناسب الانفساخ والغرامة كما قيل</w:t>
      </w:r>
      <w:r>
        <w:rPr>
          <w:rStyle w:val="FootnoteAnchor"/>
          <w:rtl w:val="true"/>
        </w:rPr>
        <w:footnoteReference w:id="1140"/>
      </w:r>
      <w:r>
        <w:rPr>
          <w:rFonts w:ascii="Amiri" w:hAnsi="Amiri" w:eastAsia="Amiri" w:cs="Amiri"/>
          <w:color w:val="111111"/>
          <w:sz w:val="28"/>
          <w:sz w:val="28"/>
          <w:szCs w:val="28"/>
          <w:rtl w:val="true"/>
          <w:lang w:bidi="ar-SA"/>
        </w:rPr>
        <w:t xml:space="preserve">، فلا بدّ من الحمل على الضمان الواقعي ، ولا مانع عقلاً من صيرورة الخيار سببا شرعا لغرامة البائع ما تلف في ملكه للمشتري ، إن دلّ الدليل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ويمكن دفع الإشكال بأن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بينهما شرط أ يّاما معدودة ، فهلك في يد المشتري قبل أن يمضي الشرط ، فهو 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يمكن أن يكون الوجه فيه ، انفساخ العقد آناً ما أو تقديره ، يمكن أن يكون الوجه فيه ، هو التعبّد بحصول التلف قبل العقد في خصوص هذا الأثر ، فيترتّب عليه الحكم برجوع المسمّى ؛ لفرض أنّ العقد وقع تعبّدا على التالف ، فالضمان فيه ضمان المسمّى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الحكم في حدوث الحدث ، الذي وقع في صحيحة ابن سنان ورواية ابن رباط إن كان المراد به في الثانية خصوص العيب ، أو الأعمّ منه ومن التلف ، فيكون الوجه في كونه من ماله ، أ نّه وقع تعبّدا في ماله قبل العقد ، ولازمه ثبوت خيار العيب للمشتري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الوجه في الموردين أمرا واحدا ؛ هو حدوث التلف أو الحدث في ملك البائع قبل العقد تعبّدا ، ولازمه العرفي وقوع العقد عليه ، وترتيب آثار ذلك عليه ، 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المسمّى على فرض التلف ، وثبوت الخيار على فرض حدوث الحدث </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منه تعبّدا ، لا واقعا ليكون </w:t>
      </w:r>
      <w:bookmarkStart w:id="681" w:name="pg15222_162628"/>
    </w:p>
    <w:p>
      <w:pPr>
        <w:pStyle w:val="BookText"/>
        <w:rPr/>
      </w:pPr>
      <w:bookmarkEnd w:id="681"/>
      <w:r>
        <w:rPr>
          <w:rFonts w:ascii="Amiri" w:hAnsi="Amiri" w:eastAsia="Amiri" w:cs="Amiri"/>
          <w:color w:val="111111"/>
          <w:sz w:val="28"/>
          <w:sz w:val="28"/>
          <w:szCs w:val="28"/>
          <w:rtl w:val="true"/>
          <w:lang w:bidi="ar-SA"/>
        </w:rPr>
        <w:t xml:space="preserve">التعبّد في أمر آخر وهو الانفساخ ، فالحمل على الانفساخ الواقعي أو التعبّدي ،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الحكم بوقوعه من ماله تعبّدا ، بعد ما كان مقتضى ملكية المشتري وقوع التلف منه ، ففي هذا المورد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التلف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التعبّد وترتيب الآثار ؛ لأجل القرينة الحافّة بالكلام ، فيترتّب عليه ضمان ثمنه المسمّى ، وضمان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العيب ؛ لأجل ثبوت الأرش فيه في خيار العيب </w:t>
      </w:r>
      <w:r>
        <w:rPr>
          <w:rFonts w:eastAsia="Amiri" w:cs="Amiri" w:ascii="Amiri" w:hAnsi="Amiri"/>
          <w:color w:val="111111"/>
          <w:sz w:val="28"/>
          <w:szCs w:val="28"/>
          <w:rtl w:val="true"/>
          <w:lang w:bidi="ar-SA"/>
        </w:rPr>
        <w:t>.</w:t>
      </w:r>
    </w:p>
    <w:p>
      <w:pPr>
        <w:pStyle w:val="Heading4"/>
        <w:numPr>
          <w:ilvl w:val="3"/>
          <w:numId w:val="1"/>
        </w:numPr>
        <w:rPr/>
      </w:pPr>
      <w:bookmarkStart w:id="682" w:name="__RefHeading___Toc3331998_2142443653"/>
      <w:bookmarkStart w:id="683" w:name="_Toc248"/>
      <w:bookmarkEnd w:id="682"/>
      <w:r>
        <w:rPr>
          <w:rtl w:val="true"/>
        </w:rPr>
        <w:t>ما يترتّب على تلف الكلّ أو الجزء أو الوصف في زمان الخيار</w:t>
      </w:r>
      <w:bookmarkEnd w:id="683"/>
    </w:p>
    <w:p>
      <w:pPr>
        <w:pStyle w:val="BookText"/>
        <w:rPr/>
      </w:pPr>
      <w:r>
        <w:rPr>
          <w:rFonts w:ascii="Amiri" w:hAnsi="Amiri" w:eastAsia="Amiri" w:cs="Amiri"/>
          <w:color w:val="111111"/>
          <w:sz w:val="28"/>
          <w:sz w:val="28"/>
          <w:szCs w:val="28"/>
          <w:rtl w:val="true"/>
          <w:lang w:bidi="ar-SA"/>
        </w:rPr>
        <w:t xml:space="preserve">وممّا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تلف الكلّ ، تترتّب آثار البطلان من هذه الجهة فقط ، لا الآثار الاُخر لو كان له أثر ، وفي تلف الجزء أو الوصف ، يحكم بترتّب آثار حدوث العيب في ملكه ؛ من الخيار ، والتخيير بين الردّ والأرش ، وحيث كان الحكم مختصّا بالحيوان على ما ذكرناه ورجّحناه ، كان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أوجب فقد جزء ، أو فقد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لخيار العيب </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تلف البعض ، موجب لانفساخ العقد بالنسبة إليه ؛ لأنّ الأبعاض يقسّط عليها الثمن</w:t>
      </w:r>
      <w:r>
        <w:rPr>
          <w:rStyle w:val="FootnoteAnchor"/>
          <w:rtl w:val="true"/>
        </w:rPr>
        <w:footnoteReference w:id="1141"/>
      </w:r>
      <w:r>
        <w:rPr>
          <w:rFonts w:ascii="Amiri" w:hAnsi="Amiri" w:eastAsia="Amiri" w:cs="Amiri"/>
          <w:color w:val="111111"/>
          <w:sz w:val="28"/>
          <w:sz w:val="28"/>
          <w:szCs w:val="28"/>
          <w:rtl w:val="true"/>
          <w:lang w:bidi="ar-SA"/>
        </w:rPr>
        <w:t xml:space="preserve">في غير مورده ؛ لأنّ مورد حدوث الحدث في الصحيحة ورواية ابن رباط هو الحيوان ، ومن الواضح أ نّه لا يقسّط على أجزائه الثمن ، فهذا الحكم مختصّ بالحيوان ،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حكم التلف في سائر الخيارات </w:t>
      </w:r>
      <w:r>
        <w:rPr>
          <w:rFonts w:eastAsia="Amiri" w:cs="Amiri" w:ascii="Amiri" w:hAnsi="Amiri"/>
          <w:color w:val="111111"/>
          <w:sz w:val="28"/>
          <w:szCs w:val="28"/>
          <w:rtl w:val="true"/>
          <w:lang w:bidi="ar-SA"/>
        </w:rPr>
        <w:t xml:space="preserve">. </w:t>
      </w:r>
      <w:bookmarkStart w:id="684" w:name="pg15222_162629"/>
    </w:p>
    <w:p>
      <w:pPr>
        <w:pStyle w:val="Heading4"/>
        <w:numPr>
          <w:ilvl w:val="3"/>
          <w:numId w:val="1"/>
        </w:numPr>
        <w:rPr/>
      </w:pPr>
      <w:bookmarkStart w:id="685" w:name="__RefHeading___Toc3332000_2142443653"/>
      <w:bookmarkStart w:id="686" w:name="_Toc249"/>
      <w:bookmarkEnd w:id="684"/>
      <w:bookmarkEnd w:id="685"/>
      <w:r>
        <w:rPr>
          <w:rtl w:val="true"/>
        </w:rPr>
        <w:t>اختصاص القاعدة بالتلف دون الإتلاف</w:t>
      </w:r>
      <w:bookmarkEnd w:id="686"/>
    </w:p>
    <w:p>
      <w:pPr>
        <w:pStyle w:val="BookText"/>
        <w:rPr/>
      </w:pPr>
      <w:r>
        <w:rPr>
          <w:rFonts w:ascii="Amiri" w:hAnsi="Amiri" w:eastAsia="Amiri" w:cs="Amiri"/>
          <w:color w:val="111111"/>
          <w:sz w:val="28"/>
          <w:sz w:val="28"/>
          <w:szCs w:val="28"/>
          <w:rtl w:val="true"/>
          <w:lang w:bidi="ar-SA"/>
        </w:rPr>
        <w:t xml:space="preserve">ثمّ إنّ القاعدة على القول بها ، والأخبار الخاصّة في بيع الحيوان ، مخصوصة بمورد التلف ، وعليه فلا بدّ في موارد الإتلاف من المشي على 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أتلفه ذو الخيار ، أو أحدث فيه حدثا ، سقط خياره على التفصيل الذي مرّ في مقامه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أتلفه غير ذي الخيار ، ضمن القيمة حال التلف ، فإن فسخ ذو الخيار يرجع بالثمن المسمّى ، ومع اختلاف القيمة والمسمّى ، يسترجع مقداره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إتلاف الأجنبيّ ، يرجع المشتري المالك للحيوان إلى المتلف بالقيمة ، ولو فسخ أخذ ثمنه المسمّى من البائع ، وردّ عليه قيمته الواقعية حال الفسخ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في غير ما نحن بصدده ، فقد تعرّضنا له في خيار الغبن ، فراجع</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87" w:name="pg15222_162630"/>
    </w:p>
    <w:p>
      <w:pPr>
        <w:pStyle w:val="Heading3"/>
        <w:numPr>
          <w:ilvl w:val="2"/>
          <w:numId w:val="1"/>
        </w:numPr>
        <w:rPr/>
      </w:pPr>
      <w:bookmarkStart w:id="688" w:name="__RefHeading___Toc3332002_2142443653"/>
      <w:bookmarkStart w:id="689" w:name="_Toc250"/>
      <w:bookmarkEnd w:id="687"/>
      <w:bookmarkEnd w:id="688"/>
      <w:r>
        <w:rPr>
          <w:rtl w:val="true"/>
        </w:rPr>
        <w:t xml:space="preserve">مسألة </w:t>
      </w:r>
      <w:r>
        <w:rPr>
          <w:rtl w:val="true"/>
        </w:rPr>
        <w:t xml:space="preserve">: </w:t>
      </w:r>
      <w:r>
        <w:rPr>
          <w:rtl w:val="true"/>
        </w:rPr>
        <w:t>في لزوم تسليم المثمن والثمن في زمان الخيار</w:t>
      </w:r>
      <w:bookmarkEnd w:id="689"/>
    </w:p>
    <w:p>
      <w:pPr>
        <w:pStyle w:val="BookText"/>
        <w:rPr/>
      </w:pPr>
      <w:r>
        <w:rPr>
          <w:rFonts w:ascii="IRNazanin" w:hAnsi="IRNazanin" w:eastAsia="IRNazanin"/>
          <w:color w:val="111111"/>
          <w:sz w:val="28"/>
          <w:sz w:val="28"/>
          <w:szCs w:val="28"/>
          <w:rtl w:val="true"/>
          <w:lang w:bidi="fa-IR"/>
        </w:rPr>
        <w:t xml:space="preserve">حكي عن العلاّمة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من أحكام الخيار ، أ نّه لا يجب على البائع تسليم المبيع ، ولا على المشتري تسليم الثمن في زمان الخيار ، ولو تبرّع أحدهما بالتسليم لم يبطل خياره ، ولا يجبر الآخر على تسليم ما عنده ، وله استرداد المدفوع ؛ قضيّة للخيار</w:t>
      </w:r>
      <w:r>
        <w:rPr>
          <w:rStyle w:val="FootnoteAnchor"/>
          <w:rtl w:val="true"/>
        </w:rPr>
        <w:footnoteReference w:id="114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القول الحقّ ؛ من تعلّق الحقّ بالعقد ، فلا ينبغي التأمّل في لزوم تسليم كلّ مال الغير إلى مالكه ؛ لحرمة حبس مال الغير لو طالبه ، ولقاعدة السلطنة ، وللحكم العقلائي من لزوم التسليم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الإصغاء إلى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العقد بجميع مداليله المطابقية والالتزامية ، تحت يد ذي الخيار ، فلا يجب عليه التسليم ، كما لا يجب عليه الوفاء بأصل العقد</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ضرورة أنّ لزوم التسليم ، ليس من مداليل العقد ؛ لا مطابقة ، ولا التزاما ، بل هو من الأحكام العقلائية والشرعية ، كما أنّ حرمة حبس مال الغير ، من الأحكام الشرعية ، بل العقلائية أيضا ، ولا يختصّ هذا الحكم بالعقد غير الخياري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مقتضى إطلاق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146"/>
      </w:r>
      <w:r>
        <w:rPr>
          <w:rFonts w:ascii="Amiri" w:hAnsi="Amiri" w:eastAsia="Amiri" w:cs="Amiri"/>
          <w:color w:val="111111"/>
          <w:sz w:val="28"/>
          <w:sz w:val="28"/>
          <w:szCs w:val="28"/>
          <w:rtl w:val="true"/>
          <w:lang w:bidi="ar-SA"/>
        </w:rPr>
        <w:t xml:space="preserve">وجوب العمل على وفق مقتضى العقد وافيا ؛ وهو تسليم العوضين ، ومجرّد أنّ لذي الخيار فسخ العقد ، لا يوجب تقييدا للدليل ، بل لا يعقل ؛ لأنّ الخيار حقّ يوجب بإعماله رفع موضوع وجوب الوفاء ، وكذا القواعد الاُخر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بناءً على تعلّق الحقّ بالعين</w:t>
      </w:r>
      <w:r>
        <w:rPr>
          <w:rStyle w:val="FootnoteAnchor"/>
          <w:rtl w:val="true"/>
        </w:rPr>
        <w:footnoteReference w:id="1147"/>
      </w:r>
      <w:r>
        <w:rPr>
          <w:rFonts w:ascii="Amiri" w:hAnsi="Amiri" w:eastAsia="Amiri" w:cs="Amiri"/>
          <w:color w:val="111111"/>
          <w:sz w:val="28"/>
          <w:sz w:val="28"/>
          <w:szCs w:val="28"/>
          <w:rtl w:val="true"/>
          <w:lang w:bidi="ar-SA"/>
        </w:rPr>
        <w:t xml:space="preserve">؛ فإنّ وجوب التسليم الذي هو من الأحكام الواضحة الارتكازية لدى العقلاء ، موجب لتسليم ذي الحقّ على هذا الحكم ، فلا يصلح حقّه لمنع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غاية ما يقال على هذا المبنى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حقّ ذي الخيار لما يلزم منه امتناع استرداد العين ، كالإتلاف ، والبيع ، ونحوهما ، والتسليم ليس كذلك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على هذا القول ، يجوز له مطالبة الاستيثاق ، وهو أمر آخر ، ثمّ إنّ في كلام العلاّمة والشيخ ، موارد للنظر ، لا يهمّنا التعرّض لها </w:t>
      </w:r>
      <w:r>
        <w:rPr>
          <w:rFonts w:eastAsia="Amiri" w:cs="Amiri" w:ascii="Amiri" w:hAnsi="Amiri"/>
          <w:color w:val="111111"/>
          <w:sz w:val="28"/>
          <w:szCs w:val="28"/>
          <w:rtl w:val="true"/>
          <w:lang w:bidi="ar-SA"/>
        </w:rPr>
        <w:t xml:space="preserve">. </w:t>
      </w:r>
      <w:bookmarkStart w:id="690" w:name="pg15222_162632"/>
    </w:p>
    <w:p>
      <w:pPr>
        <w:pStyle w:val="Heading3"/>
        <w:numPr>
          <w:ilvl w:val="2"/>
          <w:numId w:val="1"/>
        </w:numPr>
        <w:rPr/>
      </w:pPr>
      <w:bookmarkStart w:id="691" w:name="__RefHeading___Toc3332004_2142443653"/>
      <w:bookmarkStart w:id="692" w:name="_Toc251"/>
      <w:bookmarkEnd w:id="690"/>
      <w:bookmarkEnd w:id="691"/>
      <w:r>
        <w:rPr>
          <w:rtl w:val="true"/>
        </w:rPr>
        <w:t xml:space="preserve">مسألة </w:t>
      </w:r>
      <w:r>
        <w:rPr>
          <w:rtl w:val="true"/>
        </w:rPr>
        <w:t xml:space="preserve">: </w:t>
      </w:r>
      <w:r>
        <w:rPr>
          <w:rtl w:val="true"/>
        </w:rPr>
        <w:t>في عدم سقوط الخيار بتلف العين</w:t>
      </w:r>
      <w:bookmarkEnd w:id="692"/>
    </w:p>
    <w:p>
      <w:pPr>
        <w:pStyle w:val="BookText"/>
        <w:rPr/>
      </w:pPr>
      <w:r>
        <w:rPr>
          <w:rFonts w:ascii="Amiri" w:hAnsi="Amiri" w:eastAsia="Amiri" w:cs="Amiri"/>
          <w:color w:val="111111"/>
          <w:sz w:val="28"/>
          <w:sz w:val="28"/>
          <w:szCs w:val="28"/>
          <w:rtl w:val="true"/>
          <w:lang w:bidi="ar-SA"/>
        </w:rPr>
        <w:t xml:space="preserve">لا يسقط الخيار بتلف العين على حسب القاعدة الأوّلية ؛ لما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ماهية العقد ، هي العقد الإنشائي المتحقّق اعتبارا بأسبابه ، وصيرورة المالين ملكا للمتعاملين من الأحكام العقلائية والشرعية مع اجتماع الشروط</w:t>
      </w:r>
      <w:r>
        <w:rPr>
          <w:rStyle w:val="FootnoteAnchor"/>
          <w:rtl w:val="true"/>
        </w:rPr>
        <w:footnoteReference w:id="1148"/>
      </w:r>
      <w:r>
        <w:rPr>
          <w:rFonts w:ascii="Amiri" w:hAnsi="Amiri" w:eastAsia="Amiri" w:cs="Amiri"/>
          <w:color w:val="111111"/>
          <w:sz w:val="28"/>
          <w:sz w:val="28"/>
          <w:szCs w:val="28"/>
          <w:rtl w:val="true"/>
          <w:lang w:bidi="ar-SA"/>
        </w:rPr>
        <w:t xml:space="preserve">وهو أمر له بقاء في اعتبار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أمر متصرّم</w:t>
      </w:r>
      <w:r>
        <w:rPr>
          <w:rStyle w:val="FootnoteAnchor"/>
          <w:rtl w:val="true"/>
        </w:rPr>
        <w:footnoteReference w:id="1149"/>
      </w:r>
      <w:r>
        <w:rPr>
          <w:rFonts w:ascii="Amiri" w:hAnsi="Amiri" w:eastAsia="Amiri" w:cs="Amiri"/>
          <w:color w:val="111111"/>
          <w:sz w:val="28"/>
          <w:sz w:val="28"/>
          <w:szCs w:val="28"/>
          <w:rtl w:val="true"/>
          <w:lang w:bidi="ar-SA"/>
        </w:rPr>
        <w:t xml:space="preserve">ناشئ من الخلط بين السبب والمسبّب ، وبين الإنشاء والمنشأ ، وما هو باقٍ هو العقد المضاف إلى العين حال وجودها ، وليس في تعلّقه بالعين من قبيل الأعراض القائمة بالموضوع ، الدائرة مداره بقاءً وارتفاعا </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أمر اعتباري مضاف إلى العين حال الوجود ، وباقٍ مع هذه الإضافة ولو تلفت العين ، وأنّ حقّ الخيار قائم بالعقد الكذائي الإنشائي ، وأنّ الفسخ حلّ </w:t>
      </w:r>
    </w:p>
    <w:p>
      <w:pPr>
        <w:pStyle w:val="BookText"/>
        <w:rPr/>
      </w:pPr>
      <w:r>
        <w:rPr>
          <w:rFonts w:ascii="Amiri" w:hAnsi="Amiri" w:eastAsia="Amiri" w:cs="Amiri"/>
          <w:color w:val="111111"/>
          <w:sz w:val="28"/>
          <w:sz w:val="28"/>
          <w:szCs w:val="28"/>
          <w:rtl w:val="true"/>
          <w:lang w:bidi="ar-SA"/>
        </w:rPr>
        <w:t xml:space="preserve">لهذا العقد الإنشائي الباقي حتّى بعد تلف العين إلى أن يفسخ ، وموجب لردّ العين التي تعلّق بها العقد إنشاءً إلى الحال الأوّل ، والعقدُ والحلُّ الإنشائيان أمر ، وترتّب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النقل واقعا ولو في اعتبار العقلاء ، أو الردّ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التلف موجبا لسقوطه وبطلانه ، من غير فرق بين تعلّق الحقّ بالعقد كما هو الأقوى ، أو بالعين ؛ فإنّ المراد بتعلّق الحقّ بها ، أنّ لذي الخيار حقّ استردادها إنشاءً ، وأمّا حقّ إرجاع العين الخارجية حقيقة إلى ملكه ، فهو أجنبيّ عن الخيار ؛ ضرورة أنّ رجوع العين حقيقة من آثار ردّ العين في الملك إنشاء ، أو حلّ العقد كذلك ، فتدبّر جيّدا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أقوى الاحتمالين ، هو تعلّق الخيار بالعقد ، فلذي الخيار حقّ فسخه ، ويتبعه رجوع العوضين إنشاءً ، ثمّ اعتبار الرجوع حقيقة لدى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الردّ الحقيقي والتمليك الحقيقي ، غير قابلين للجعل ، وليسا تحت قدرة المتعاقدين ؛ ضرورة أنّ اعتبار العقلاء أو ما هو متقوّم به ، ليس تحت اختيارهما ، وما هو تحت اختيارهما وقابل للجعل هو الإنشائي ؛ من العقد ، والحلّ ، وإيجاد موضوع حكم العقلاء</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الخيار عند العقلاء في الخيارات العقلائية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كخيار تخلّف الشرط ، والوصف ، وخيار الغبن ، والعيب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فسخ العقد كما أشرنا إليه ، وعلى ذلك يحمل كلّ دليل ورد فيه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البيّعان بالخيار</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الحيوان بالخيار</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ضرورة أنّ ما ورد في لسان الأدلّة ، يحمل على المعاني العرفية ، كما في سائر المقالات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تعليقة المحقّق الخراساني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غير معلوم ؛ لاحتمال أن يراد به جواز استرداد العين بالفسخ ، فيشكل التمسّك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للاستصحاب بعد التلف</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مرضيّ ؛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محمول على ما هو معناه عند العقلاء ، والأصحاب بما هم عقلاء ، ذهبوا إلى أنّ الخيار حقّ فسخ العقد ، وليس لهم في ذلك اصطلاح مقابل العرف والشرع ، كما لا اصطلاح للشرع مقابل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لاحتمال أن يراد به جواز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به الاسترداد الخارجي ، فلا شبهة في فساده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المراد ، الاسترداد في الملكية ، فلا يعقل أن يراد به استرداد الملكية الحقيقية ؛ لما أشرنا إليه من امتناعه ، فلا بدّ من إرادة الاسترداد الاعتباري الإنشائي ، وعلى فرضها فلا يتقوّم ذلك ببقاء العين ، بل يصحّ مع تلفها ، ويظهر وجهه بالتأمّل فيما قدّمناه هاهنا وسابقا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ورد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أخبار خيار العيب</w:t>
      </w:r>
      <w:r>
        <w:rPr>
          <w:rStyle w:val="FootnoteAnchor"/>
          <w:rtl w:val="true"/>
        </w:rPr>
        <w:footnoteReference w:id="1154"/>
      </w:r>
      <w:r>
        <w:rPr>
          <w:rFonts w:ascii="Amiri" w:hAnsi="Amiri" w:eastAsia="Amiri" w:cs="Amiri"/>
          <w:color w:val="111111"/>
          <w:sz w:val="28"/>
          <w:sz w:val="28"/>
          <w:szCs w:val="28"/>
          <w:rtl w:val="true"/>
          <w:lang w:bidi="ar-SA"/>
        </w:rPr>
        <w:t>فقد سبق أ نّه كناية عن خيار الفسخ</w:t>
      </w:r>
      <w:r>
        <w:rPr>
          <w:rStyle w:val="FootnoteAnchor"/>
          <w:rtl w:val="true"/>
        </w:rPr>
        <w:footnoteReference w:id="1155"/>
      </w:r>
      <w:r>
        <w:rPr>
          <w:rFonts w:ascii="IRNazanin" w:hAnsi="IRNazanin" w:eastAsia="IRNazanin"/>
          <w:color w:val="111111"/>
          <w:sz w:val="28"/>
          <w:sz w:val="28"/>
          <w:szCs w:val="28"/>
          <w:rtl w:val="true"/>
          <w:lang w:bidi="fa-IR"/>
        </w:rPr>
        <w:t xml:space="preserve">، فالمراد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 أن يردّها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حقّ الفسخ وعدمه ، بعد عدم معنى صحيح للردّ الخارجي ، وعدم صحّة الردّ في الملكية الحقيقية ، كما يحمل ما ورد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الخيارات الجعلية العقلائية على المعنى المعروف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 لا مانع من اشتراط الخيار على فرض وجود العين ، فيتّبع كما يتّبع الدليل الشرعي إذا دلّ على سقوطه مع تلف العين ، أو حدث فيه شيء ، كما مرّ في خيار العيب</w:t>
      </w:r>
      <w:r>
        <w:rPr>
          <w:rStyle w:val="FootnoteAnchor"/>
          <w:rtl w:val="true"/>
        </w:rPr>
        <w:footnoteReference w:id="1156"/>
      </w:r>
      <w:r>
        <w:rPr>
          <w:rFonts w:ascii="Amiri" w:hAnsi="Amiri" w:eastAsia="Amiri" w:cs="Amiri"/>
          <w:color w:val="111111"/>
          <w:sz w:val="28"/>
          <w:sz w:val="28"/>
          <w:szCs w:val="28"/>
          <w:rtl w:val="true"/>
          <w:lang w:bidi="ar-SA"/>
        </w:rPr>
        <w:t xml:space="preserve">، وأمّا التلف قبل القبض ، أو في زمان الخيار المختصّ ، فهو ليس مسقطا للخيار ، بل رافع لموضوعه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ذكرناه ، يظهر النظر في كثير من الكلمات ، ولا سيّما ما في كلمات الشيخ الأعظم</w:t>
      </w:r>
      <w:r>
        <w:rPr>
          <w:rStyle w:val="FootnoteAnchor"/>
          <w:rtl w:val="true"/>
        </w:rPr>
        <w:footnoteReference w:id="1157"/>
      </w:r>
      <w:r>
        <w:rPr>
          <w:rFonts w:ascii="Amiri" w:hAnsi="Amiri" w:eastAsia="Amiri" w:cs="Amiri"/>
          <w:color w:val="111111"/>
          <w:sz w:val="28"/>
          <w:sz w:val="28"/>
          <w:szCs w:val="28"/>
          <w:rtl w:val="true"/>
          <w:lang w:bidi="ar-SA"/>
        </w:rPr>
        <w:t>، وتعليقة السيّد الطباطبائي</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bookmarkStart w:id="693" w:name="pg15222_162636"/>
    </w:p>
    <w:p>
      <w:pPr>
        <w:pStyle w:val="Heading3"/>
        <w:numPr>
          <w:ilvl w:val="2"/>
          <w:numId w:val="1"/>
        </w:numPr>
        <w:rPr/>
      </w:pPr>
      <w:bookmarkStart w:id="694" w:name="__RefHeading___Toc3332006_2142443653"/>
      <w:bookmarkStart w:id="695" w:name="_Toc252"/>
      <w:bookmarkEnd w:id="693"/>
      <w:bookmarkEnd w:id="694"/>
      <w:r>
        <w:rPr>
          <w:rtl w:val="true"/>
        </w:rPr>
        <w:t xml:space="preserve">مسألة </w:t>
      </w:r>
      <w:r>
        <w:rPr>
          <w:rtl w:val="true"/>
        </w:rPr>
        <w:t xml:space="preserve">: </w:t>
      </w:r>
      <w:r>
        <w:rPr>
          <w:rtl w:val="true"/>
        </w:rPr>
        <w:t>هل يضمن المتبايعان ما في يدهما بعد الفسخ؟</w:t>
      </w:r>
      <w:bookmarkEnd w:id="695"/>
    </w:p>
    <w:p>
      <w:pPr>
        <w:pStyle w:val="BookText"/>
        <w:rPr/>
      </w:pPr>
      <w:r>
        <w:rPr>
          <w:rFonts w:ascii="Amiri" w:hAnsi="Amiri" w:eastAsia="Amiri" w:cs="Amiri"/>
          <w:color w:val="111111"/>
          <w:sz w:val="28"/>
          <w:sz w:val="28"/>
          <w:szCs w:val="28"/>
          <w:rtl w:val="true"/>
          <w:lang w:bidi="ar-SA"/>
        </w:rPr>
        <w:t>لو فسخت المعاملة ، فهل يضمن كلّ من الفاسخ والمفسوخ عليه ما في يده لصاحبه أم لا ؟</w:t>
      </w:r>
    </w:p>
    <w:p>
      <w:pPr>
        <w:pStyle w:val="BookText"/>
        <w:rPr/>
      </w:pPr>
      <w:r>
        <w:rPr>
          <w:rFonts w:ascii="Amiri" w:hAnsi="Amiri" w:eastAsia="Amiri" w:cs="Amiri"/>
          <w:color w:val="111111"/>
          <w:sz w:val="28"/>
          <w:sz w:val="28"/>
          <w:szCs w:val="28"/>
          <w:rtl w:val="true"/>
          <w:lang w:bidi="ar-SA"/>
        </w:rPr>
        <w:t xml:space="preserve">والمقصود بالبحث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مجرّد صيرورة ما في يده بالفسخ لصاحبه ، هل يوجب الضمان أم لا ؟ وأمّا فيما إذا صارت يده يد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حبس مال صاحبه مع مطالبته ، أو علمه بعدم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ضمانه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يبعد عدم الضمان بمجرّد الفسخ ، فيما إذا تصدّى للردّ مع الاهتمام في حفظه ، فتلف في طريقه بلا تعدّ ولا تفريط ؛ لقاعدة الإحسان ، ولعدم بُعد انصراف دليل اليد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يصر بصدد الردّ ، من دون أن يكون في البين عدوان ، بل انتظر مطالبة صاحبه لماله ، فهل هو ملحق بالعدوان في الضمان ، أو بالإحسان في عدمه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 أوجههما الضمان ؛ لإطلاق قاعدة اليد ، وعدم انصرافها إلى يد </w:t>
      </w:r>
    </w:p>
    <w:p>
      <w:pPr>
        <w:pStyle w:val="BookText"/>
        <w:rPr/>
      </w:pPr>
      <w:r>
        <w:rPr>
          <w:rFonts w:ascii="Amiri" w:hAnsi="Amiri" w:eastAsia="Amiri" w:cs="Amiri"/>
          <w:color w:val="111111"/>
          <w:sz w:val="28"/>
          <w:sz w:val="28"/>
          <w:szCs w:val="28"/>
          <w:rtl w:val="true"/>
          <w:lang w:bidi="ar-SA"/>
        </w:rPr>
        <w:t xml:space="preserve">العدوان ، ولا دليل على كونه أمانة شرعية ، كما أ نّه ليس أمانة مالكية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في المقام ، فلا تخلو من إبهام وإشكال ؛ فإنّ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مضمونة قبل الفسخ ، والأصل بقاؤه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المراد به ، التمسّك بالأصل لإثبات ضمان اليد فهو عجيب ؛ لأنّ ما ثبت سابقا هو الضمان المعاملي الساقط بالقبض ، واحتمال بقاء الكلّي ؛ بتجدّد فرد منه حال عدم فرد ، ساقط في المقام ، فلا يكون من القسم الثالث أيضا ، مع أنّ استصحاب الكلّي لإثبات الفرد مثبت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كان المراد ، إثبات عدم ما يقتضي كونها أمانة مالكية أو شرعية ، كما أشار إليه رحمه الله علیه ، فلا وجه لإثباته بأصل باطل غير جارٍ ، بل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الشكّ في كونها 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عدم هذا العنوان ؛ أي أصالة عدم كونها أمانة مالكية أو 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في هذا الأصل أيضا إشكالاً ، وإن لم يكن بوضوح الإشكال في الأصل الذي تمسّك به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مقام إثبات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قبضت مضمونة ، فإذا بطل ضمانها بالثمن المسمّى ، تعيّن ضمانها بالعوض الواقعي ، كما في البيع الفاسد</w:t>
      </w:r>
      <w:r>
        <w:rPr>
          <w:rStyle w:val="FootnoteAnchor"/>
          <w:rtl w:val="true"/>
        </w:rPr>
        <w:footnoteReference w:id="1160"/>
      </w:r>
      <w:r>
        <w:rPr>
          <w:rFonts w:ascii="Amiri" w:hAnsi="Amiri" w:eastAsia="Amiri" w:cs="Amiri"/>
          <w:color w:val="111111"/>
          <w:sz w:val="28"/>
          <w:sz w:val="28"/>
          <w:szCs w:val="28"/>
          <w:rtl w:val="true"/>
          <w:lang w:bidi="ar-SA"/>
        </w:rPr>
        <w:t xml:space="preserve">فغير سديد ؛ فإنّ ما قبضه كان ماله ، ولا معنى لضمانه ، والأخذ في مقابل الثمن لا يعدّ ضمانا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 بطلان ذلك ، لا يوجب تعيّن الضمان بالعوض الواقعي ، وتنظيره بالمقبوض بالبيع الفاسد مع الفارق ، كما 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المسألة إن كان إشكال ، فإنّما هو من جهة احتمال كون دليل اليد منصرفا إلى اليد العدوانية ، وهو مزيّف ، ولم يلتزم به الشيخ الأعظم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احتمال الاستئمان الشرعي أو المالكي ، وهو أيضا غير مرضيّ ، فالأقوى الضمان إلاّ في الصورة التي أشرنا إليها ، فإنّه محلّ إشكال فيها ، بل عدمه غير مستبعد ، واللّه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الكلام في الخيارات</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r>
        <w:rPr>
          <w:rFonts w:eastAsia="Amiri" w:cs="Amiri" w:ascii="Amiri" w:hAnsi="Amiri"/>
          <w:color w:val="111111"/>
          <w:sz w:val="28"/>
          <w:szCs w:val="28"/>
          <w:rtl w:val="true"/>
          <w:lang w:bidi="ar-SA"/>
        </w:rPr>
        <w:t xml:space="preserve">. </w:t>
      </w:r>
      <w:bookmarkStart w:id="696" w:name="pg15222_162639"/>
    </w:p>
    <w:p>
      <w:pPr>
        <w:pStyle w:val="Heading2"/>
        <w:numPr>
          <w:ilvl w:val="1"/>
          <w:numId w:val="1"/>
        </w:numPr>
        <w:rPr/>
      </w:pPr>
      <w:bookmarkStart w:id="697" w:name="__RefHeading___Toc3332008_2142443653"/>
      <w:bookmarkStart w:id="698" w:name="_Toc253"/>
      <w:bookmarkEnd w:id="696"/>
      <w:bookmarkEnd w:id="697"/>
      <w:r>
        <w:rPr>
          <w:rtl w:val="true"/>
        </w:rPr>
        <w:t>القول في النقد والنسيئة</w:t>
      </w:r>
      <w:bookmarkEnd w:id="69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9" w:name="__RefHeading___Toc3332010_2142443653"/>
      <w:bookmarkStart w:id="700" w:name="_Toc254"/>
      <w:bookmarkEnd w:id="699"/>
      <w:r>
        <w:rPr>
          <w:rtl w:val="true"/>
        </w:rPr>
        <w:t>اشارة</w:t>
      </w:r>
      <w:bookmarkEnd w:id="700"/>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1" w:name="pg15222_162641"/>
      <w:bookmarkStart w:id="702" w:name="pg15222_162641"/>
      <w:bookmarkEnd w:id="702"/>
    </w:p>
    <w:p>
      <w:pPr>
        <w:pStyle w:val="Heading3"/>
        <w:numPr>
          <w:ilvl w:val="2"/>
          <w:numId w:val="1"/>
        </w:numPr>
        <w:rPr/>
      </w:pPr>
      <w:bookmarkStart w:id="703" w:name="pg15222_162641"/>
      <w:bookmarkStart w:id="704" w:name="__RefHeading___Toc3332012_2142443653"/>
      <w:bookmarkStart w:id="705" w:name="_Toc255"/>
      <w:bookmarkEnd w:id="703"/>
      <w:bookmarkEnd w:id="704"/>
      <w:r>
        <w:rPr>
          <w:rtl w:val="true"/>
        </w:rPr>
        <w:t xml:space="preserve">مسألة </w:t>
      </w:r>
      <w:r>
        <w:rPr>
          <w:rtl w:val="true"/>
        </w:rPr>
        <w:t xml:space="preserve">: </w:t>
      </w:r>
      <w:r>
        <w:rPr>
          <w:rtl w:val="true"/>
        </w:rPr>
        <w:t>في تحقيق قولهم</w:t>
      </w:r>
      <w:r>
        <w:rPr>
          <w:rtl w:val="true"/>
        </w:rPr>
        <w:t xml:space="preserve">: </w:t>
      </w:r>
      <w:r>
        <w:rPr>
          <w:rtl w:val="true"/>
        </w:rPr>
        <w:t>إطلاق العقد يقتضي النقد</w:t>
      </w:r>
      <w:bookmarkEnd w:id="70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العقد يقتضي النقد ، فلو اشترطا تعجيل الثمن كان تأكيدا لمقتضى الإطلاق</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يقابل التقييد ، وقد يراد به ما يقابل الاشتراط ، ونسبة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أنّ نفس القرار المعاملي قد يكون مطلقا ، وقد يكون مقيّدا أو مشروطا ، ولا يمكن أن يراد من هذا الكلام ما هو ظاهره جزما ؛ فإنّ التقييد والاشتراط في العقد يوجبان فساده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الإطلاق المقتضي للتبادل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الاشتراط والتقييد المقتضيين لكونه استقباليا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مربوط بالنقد والنسيئة ، فلا محالة يكون المراد به ، أنّ العقد مع عدم اشتراط تعجيل الثمن ولا تأجيله ، يقتضي النقد </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عدّ ذلك من مقتضيات العقد مسامحة ؛ فإنّ العقد بنفسه ، لا يقتضي إلاّ </w:t>
      </w:r>
    </w:p>
    <w:p>
      <w:pPr>
        <w:pStyle w:val="BookText"/>
        <w:rPr/>
      </w:pPr>
      <w:r>
        <w:rPr>
          <w:rFonts w:ascii="Amiri" w:hAnsi="Amiri" w:eastAsia="Amiri" w:cs="Amiri"/>
          <w:color w:val="111111"/>
          <w:sz w:val="28"/>
          <w:sz w:val="28"/>
          <w:szCs w:val="28"/>
          <w:rtl w:val="true"/>
          <w:lang w:bidi="ar-SA"/>
        </w:rPr>
        <w:t>التبادل بين العوضين ، وهذا الأمر موجود في النقد والنسيئة ، وأمّا لزوم الأداء في الحال عند المطالبة، أو مطلقا، أو في الاستقبال كذلك ، فليس من مقتضيات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معنى لأن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العقد ، يقتضي أن يؤدّي مال الغير إذا طالبه ، بل الصحيح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يشترطا التأجيل في الثمن ، فالحكم العقلائي والشرعي المترتّب على نتيجة العقد ، هو وجوب أدائه حينما طالبه ، من غير أن يكون ذلك من مقتضيات العقد ، إلاّ على التأوّل والمسامحة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يظهر من رواية عمّار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اشترى من رجل جارية بثمن مسمّى ، ثمّ افترقا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البيع ، والثمن إذا لم يكونا اشترطا فهو نقد</w:t>
      </w:r>
      <w:r>
        <w:rPr>
          <w:rFonts w:eastAsia="IRNazanin" w:cs="IRNazanin"/>
          <w:color w:val="111111"/>
          <w:sz w:val="28"/>
          <w:szCs w:val="28"/>
          <w:rtl w:val="true"/>
          <w:lang w:bidi="fa-IR"/>
        </w:rPr>
        <w:t>»</w:t>
      </w:r>
      <w:r>
        <w:rPr>
          <w:rStyle w:val="FootnoteAnchor"/>
          <w:rtl w:val="true"/>
        </w:rPr>
        <w:footnoteReference w:id="1162"/>
      </w:r>
      <w:r>
        <w:rPr>
          <w:rFonts w:ascii="Amiri" w:hAnsi="Amiri" w:eastAsia="Amiri" w:cs="Amiri"/>
          <w:color w:val="111111"/>
          <w:sz w:val="28"/>
          <w:sz w:val="28"/>
          <w:szCs w:val="28"/>
          <w:rtl w:val="true"/>
          <w:lang w:bidi="ar-SA"/>
        </w:rPr>
        <w:t xml:space="preserve">إلاّ وجوب الأداء وأنّه نقد ، وأمّا أنّ ذلك من مقتضيات العقد ، أو أنّه حكم شرعي متعلّق به إذا لم يشترطا التأجيل ، فلا تدلّ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اشترطا التعجيل يكون تأسيسا ، لا تأكيدا ، وتترتّب عليه أحكام الشرط وتخلّفه ، فما في بعض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شرط التعجيل ، مؤكّد للإطلاق على الوجه المتعارف للشرط وهو الإسراع عند المطالبة ، وعدم المماطلة في الأداء</w:t>
      </w:r>
      <w:r>
        <w:rPr>
          <w:rStyle w:val="FootnoteAnchor"/>
          <w:rtl w:val="true"/>
        </w:rPr>
        <w:footnoteReference w:id="1163"/>
      </w:r>
      <w:r>
        <w:rPr>
          <w:rFonts w:ascii="Amiri" w:hAnsi="Amiri" w:eastAsia="Amiri" w:cs="Amiri"/>
          <w:color w:val="111111"/>
          <w:sz w:val="28"/>
          <w:sz w:val="28"/>
          <w:szCs w:val="28"/>
          <w:rtl w:val="true"/>
          <w:lang w:bidi="ar-SA"/>
        </w:rPr>
        <w:t xml:space="preserve">غير 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انصراف العقد إلى النقد بهذا المعنى المطلوب لهم ؛ من أ نّه إذا طالب يجب عليه الأداء</w:t>
      </w:r>
      <w:r>
        <w:rPr>
          <w:rStyle w:val="FootnoteAnchor"/>
          <w:rtl w:val="true"/>
        </w:rPr>
        <w:footnoteReference w:id="1164"/>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فغير واضحة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 إلى التبادل الفعلي ، وهذا صحيح ، لكنّه ليس من قبيل انصراف المطلق إلى بعض حصصه ، بل ظاهر العقد مطلقا هو التبادل فعلاً ، ومع عدم اشتراط التأجيل يجب ردّ مال الغير إلى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يمكن أن يقال تأييدا لكلام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البيع الذي هو التبادل الإنشائي الاعتباري ، وسيلة لدى العقلاء للأخذ والإعطاء ، ونظرهم إلى العقد آليّ للتوصّل إلى العوضين ، والتسليم والتسلّم ، وإن لم يكن مفاد العقد ، ولا كان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التبادل الإنشائي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 عليه ، بحيث يعدّ من الشرط الضمني ، ويكون الخيار عند تخلّفه ، لكنّه من الأحكام العقلائية المترتّبة على العقد ؛ في الرتبة المتأخّرة عن الحكم بحصول 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المترتّب على العقد ليس هو محض لزوم ردّ مال الغير إليه ، كردّ الأمانة أو المغصوب ، بل له حيثية زائدة ؛ وهي لزوم الوفاء بالعقد ، بحيث لو لم يف أحدهما لم يلزم الوفاء على الآخر ، وهذا من أحكام العقد بما هو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اشتراط التأجيل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النقد ، ويجوز لكلّ منهما مطالبة صاحبه بالتسليم ؛ للحقّ العقلائي زائداً على أصل الملكية ، ويجب على كلّ منهما الوفاء وجوباً عقلائياً </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تعليل العلاّمة قدّس سرّه </w:t>
      </w:r>
      <w:r>
        <w:rPr>
          <w:rStyle w:val="FootnoteAnchor"/>
          <w:rtl w:val="true"/>
        </w:rPr>
        <w:footnoteReference w:id="1165"/>
      </w:r>
      <w:r>
        <w:rPr>
          <w:rFonts w:ascii="Amiri" w:hAnsi="Amiri" w:eastAsia="Amiri" w:cs="Amiri"/>
          <w:color w:val="111111"/>
          <w:sz w:val="28"/>
          <w:sz w:val="28"/>
          <w:szCs w:val="28"/>
          <w:rtl w:val="true"/>
          <w:lang w:bidi="ar-SA"/>
        </w:rPr>
        <w:t xml:space="preserve">، غير موافق لما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إطلاق العقد يقتضي النقد</w:t>
      </w:r>
      <w:r>
        <w:rPr>
          <w:rStyle w:val="FootnoteAnchor"/>
          <w:rtl w:val="true"/>
        </w:rPr>
        <w:footnoteReference w:id="1166"/>
      </w:r>
      <w:r>
        <w:rPr>
          <w:rFonts w:ascii="Amiri" w:hAnsi="Amiri" w:eastAsia="Amiri" w:cs="Amiri"/>
          <w:color w:val="111111"/>
          <w:sz w:val="28"/>
          <w:sz w:val="28"/>
          <w:szCs w:val="28"/>
          <w:rtl w:val="true"/>
          <w:lang w:bidi="ar-SA"/>
        </w:rPr>
        <w:t xml:space="preserve">، وإن كان صحيحاً في نفسه ؛ فإنّ وجوب ردّ مال الغير إليه عند المطالبة أمر ، ووجوب الوفاء بالعقد أمر آخر ، وكون العقد بلا شرط تأجيل </w:t>
      </w:r>
    </w:p>
    <w:p>
      <w:pPr>
        <w:pStyle w:val="BookText"/>
        <w:rPr/>
      </w:pPr>
      <w:r>
        <w:rPr>
          <w:rFonts w:ascii="Amiri" w:hAnsi="Amiri" w:eastAsia="Amiri" w:cs="Amiri"/>
          <w:color w:val="111111"/>
          <w:sz w:val="28"/>
          <w:sz w:val="28"/>
          <w:szCs w:val="28"/>
          <w:rtl w:val="true"/>
          <w:lang w:bidi="ar-SA"/>
        </w:rPr>
        <w:t xml:space="preserve">الثمن ، محمولاً على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يترتّب عليه بعد تحقّقه لزوم الوفاء به مع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يظهر النظر في محكيّ كلام الشهيد الثاني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 خيار الشرط مع الإطلاق</w:t>
      </w:r>
      <w:r>
        <w:rPr>
          <w:rStyle w:val="FootnoteAnchor"/>
          <w:rtl w:val="true"/>
        </w:rPr>
        <w:footnoteReference w:id="1167"/>
      </w:r>
      <w:r>
        <w:rPr>
          <w:rFonts w:ascii="Amiri" w:hAnsi="Amiri" w:eastAsia="Amiri" w:cs="Amiri"/>
          <w:color w:val="111111"/>
          <w:sz w:val="28"/>
          <w:sz w:val="28"/>
          <w:szCs w:val="28"/>
          <w:rtl w:val="true"/>
          <w:lang w:bidi="ar-SA"/>
        </w:rPr>
        <w:t>، واستحسان الشيخ الأعظم قدّس سرّه إيّاه</w:t>
      </w:r>
      <w:r>
        <w:rPr>
          <w:rStyle w:val="FootnoteAnchor"/>
          <w:rtl w:val="true"/>
        </w:rPr>
        <w:footnoteReference w:id="1168"/>
      </w:r>
      <w:r>
        <w:rPr>
          <w:rFonts w:ascii="Amiri" w:hAnsi="Amiri" w:eastAsia="Amiri" w:cs="Amiri"/>
          <w:color w:val="111111"/>
          <w:sz w:val="28"/>
          <w:sz w:val="28"/>
          <w:szCs w:val="28"/>
          <w:rtl w:val="true"/>
          <w:lang w:bidi="ar-SA"/>
        </w:rPr>
        <w:t xml:space="preserve">؛ فإنّ العقد الإنشائي ، لم يكن مبنيّاً على ذلك ، بل هو حكم عقلائي مترتّب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ظهر أنّ اشتراط التعجيل في ضمن العقد ، ليس مؤكّداً لمقتضى العقد ، ولا للحكم العقلائي المتأخّر برتبتين ، بل الشرط تأسيس كما أشرنا إليه</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ثبوت الخيار عند التخلّف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التعجيل ؛ عملاً بالشرط ولو مع عدم المطالبة ، ولا سيّما إذا كان المشروط له غافلاً ، أو جاهلاً ، بل ومع علمه ، إلاّ إذا كان السكوت رفضاً لحقّه ، وإمهالاً لصاحبه ؛ فإنّ السكوت يمكن أن يكون لأجل حصول التخلّف ، وثبوت الخيار ، بناءً على ثبوته مع إمكان الإجبار أيضاً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الشرط محمول على التعجيل عند المطالبة</w:t>
      </w:r>
      <w:r>
        <w:rPr>
          <w:rStyle w:val="FootnoteAnchor"/>
          <w:rtl w:val="true"/>
        </w:rPr>
        <w:footnoteReference w:id="1170"/>
      </w:r>
      <w:r>
        <w:rPr>
          <w:rFonts w:ascii="Amiri" w:hAnsi="Amiri" w:eastAsia="Amiri" w:cs="Amiri"/>
          <w:color w:val="111111"/>
          <w:sz w:val="28"/>
          <w:sz w:val="28"/>
          <w:szCs w:val="28"/>
          <w:rtl w:val="true"/>
          <w:lang w:bidi="ar-SA"/>
        </w:rPr>
        <w:t xml:space="preserve">خالية عن الشاهد بعد إطلاق الشرط ، واحتمال أن يكون الشرط لأجل الاستغناء به عن المطالبة ؛ لكونها أمراً شاقّاً على الشارط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شرط التعجيل ، من الشرط المجهول الموجب للبطلان ؛ لأ نّه أمر عرفي يحمل الشرط عليه ، وفي مثله لا يكون غرراً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التعجيل على فرض كونه ذا مراتب ، محمول على التعجيل في أوّل الأزمنة ؛ أي التعجيل في التعجيل ، فإنّ أصله ثابت بلا شرط ، فهو لأمر زائد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لأنّ المطلق مقتضٍ لذلك ، كما قيل في الواجب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يحمل على التعييني العيني النفسي</w:t>
      </w:r>
      <w:r>
        <w:rPr>
          <w:rStyle w:val="FootnoteAnchor"/>
          <w:rtl w:val="true"/>
        </w:rPr>
        <w:footnoteReference w:id="1171"/>
      </w:r>
      <w:r>
        <w:rPr>
          <w:rFonts w:ascii="Amiri" w:hAnsi="Amiri" w:eastAsia="Amiri" w:cs="Amiri"/>
          <w:color w:val="111111"/>
          <w:sz w:val="28"/>
          <w:sz w:val="28"/>
          <w:szCs w:val="28"/>
          <w:rtl w:val="true"/>
          <w:lang w:bidi="ar-SA"/>
        </w:rPr>
        <w:t xml:space="preserve">فإنّ حمل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المتساوي النسبة إلى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أحدها ، بلا وجه ، وما قيل في وجهه فاسد</w:t>
      </w:r>
      <w:r>
        <w:rPr>
          <w:rStyle w:val="FootnoteAnchor"/>
          <w:rtl w:val="true"/>
        </w:rPr>
        <w:footnoteReference w:id="1172"/>
      </w:r>
      <w:r>
        <w:rPr>
          <w:rFonts w:ascii="Amiri" w:hAnsi="Amiri" w:eastAsia="Amiri" w:cs="Amiri"/>
          <w:color w:val="111111"/>
          <w:sz w:val="28"/>
          <w:sz w:val="28"/>
          <w:szCs w:val="28"/>
          <w:rtl w:val="true"/>
          <w:lang w:bidi="ar-SA"/>
        </w:rPr>
        <w:t>، كما قلنا في محلّه</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الحكم بثبوت الخيار ، هل هو موقوف على عدم إمكان الإجبار ، أم لا ؟</w:t>
      </w:r>
    </w:p>
    <w:p>
      <w:pPr>
        <w:pStyle w:val="BookText"/>
        <w:rPr/>
      </w:pPr>
      <w:r>
        <w:rPr>
          <w:rFonts w:ascii="Amiri" w:hAnsi="Amiri" w:eastAsia="Amiri" w:cs="Amiri"/>
          <w:color w:val="111111"/>
          <w:sz w:val="28"/>
          <w:sz w:val="28"/>
          <w:szCs w:val="28"/>
          <w:rtl w:val="true"/>
          <w:lang w:bidi="ar-SA"/>
        </w:rPr>
        <w:t xml:space="preserve">فيه كلام ، ولا يبعد أن لا يكون متقيّداً عند العرف ، وإن كان للشارط إلزامه على العمل ، لكن لو لم يلزمه ، وتخلّف عن الشرط ، فالخيار عرفي </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لزوم التقييد</w:t>
      </w:r>
      <w:r>
        <w:rPr>
          <w:rStyle w:val="FootnoteAnchor"/>
          <w:rtl w:val="true"/>
        </w:rPr>
        <w:footnoteReference w:id="1174"/>
      </w:r>
      <w:r>
        <w:rPr>
          <w:rFonts w:ascii="Amiri" w:hAnsi="Amiri" w:eastAsia="Amiri" w:cs="Amiri"/>
          <w:color w:val="111111"/>
          <w:sz w:val="28"/>
          <w:sz w:val="28"/>
          <w:szCs w:val="28"/>
          <w:rtl w:val="true"/>
          <w:lang w:bidi="ar-SA"/>
        </w:rPr>
        <w:t>غير ظاهر ، وعلى فرض كونه متقيّداً ، فما أفاده الشيخ الأعظم قدّس سرّه في جوابه</w:t>
      </w:r>
      <w:r>
        <w:rPr>
          <w:rStyle w:val="FootnoteAnchor"/>
          <w:rtl w:val="true"/>
        </w:rPr>
        <w:footnoteReference w:id="1175"/>
      </w:r>
      <w:r>
        <w:rPr>
          <w:rFonts w:ascii="Amiri" w:hAnsi="Amiri" w:eastAsia="Amiri" w:cs="Amiri"/>
          <w:color w:val="111111"/>
          <w:sz w:val="28"/>
          <w:sz w:val="28"/>
          <w:szCs w:val="28"/>
          <w:rtl w:val="true"/>
          <w:lang w:bidi="ar-SA"/>
        </w:rPr>
        <w:t xml:space="preserve"> متين ، وما في تعليقات بعض السادة من الإشكال عليه</w:t>
      </w:r>
      <w:r>
        <w:rPr>
          <w:rStyle w:val="FootnoteAnchor"/>
          <w:rtl w:val="true"/>
        </w:rPr>
        <w:footnoteReference w:id="1176"/>
      </w:r>
      <w:r>
        <w:rPr>
          <w:rFonts w:ascii="Amiri" w:hAnsi="Amiri" w:eastAsia="Amiri" w:cs="Amiri"/>
          <w:color w:val="111111"/>
          <w:sz w:val="28"/>
          <w:sz w:val="28"/>
          <w:szCs w:val="28"/>
          <w:rtl w:val="true"/>
          <w:lang w:bidi="ar-SA"/>
        </w:rPr>
        <w:t xml:space="preserve"> في غير محلّه ، فراجع </w:t>
      </w:r>
      <w:r>
        <w:rPr>
          <w:rFonts w:eastAsia="Amiri" w:cs="Amiri" w:ascii="Amiri" w:hAnsi="Amiri"/>
          <w:color w:val="111111"/>
          <w:sz w:val="28"/>
          <w:szCs w:val="28"/>
          <w:rtl w:val="true"/>
          <w:lang w:bidi="ar-SA"/>
        </w:rPr>
        <w:t xml:space="preserve">. </w:t>
      </w:r>
      <w:bookmarkStart w:id="706" w:name="pg15222_162646"/>
    </w:p>
    <w:p>
      <w:pPr>
        <w:pStyle w:val="Heading3"/>
        <w:numPr>
          <w:ilvl w:val="2"/>
          <w:numId w:val="1"/>
        </w:numPr>
        <w:rPr/>
      </w:pPr>
      <w:bookmarkStart w:id="707" w:name="__RefHeading___Toc3332014_2142443653"/>
      <w:bookmarkStart w:id="708" w:name="_Toc256"/>
      <w:bookmarkEnd w:id="706"/>
      <w:bookmarkEnd w:id="707"/>
      <w:r>
        <w:rPr>
          <w:rtl w:val="true"/>
        </w:rPr>
        <w:t xml:space="preserve">مسألة </w:t>
      </w:r>
      <w:r>
        <w:rPr>
          <w:rtl w:val="true"/>
        </w:rPr>
        <w:t xml:space="preserve">: </w:t>
      </w:r>
      <w:r>
        <w:rPr>
          <w:rtl w:val="true"/>
        </w:rPr>
        <w:t>في جواز اشتراط تأجيل الثمن وما يعتبر فيه</w:t>
      </w:r>
      <w:bookmarkEnd w:id="708"/>
    </w:p>
    <w:p>
      <w:pPr>
        <w:pStyle w:val="BookText"/>
        <w:rPr/>
      </w:pPr>
      <w:r>
        <w:rPr>
          <w:rFonts w:ascii="Amiri" w:hAnsi="Amiri" w:eastAsia="Amiri" w:cs="Amiri"/>
          <w:color w:val="111111"/>
          <w:sz w:val="28"/>
          <w:sz w:val="28"/>
          <w:szCs w:val="28"/>
          <w:rtl w:val="true"/>
          <w:lang w:bidi="ar-SA"/>
        </w:rPr>
        <w:t xml:space="preserve">يجوز شرط تأجيل الثمن ، ويشترط فيه أن يكون معلوماً عرفاً ؛ بحيث يخرج عن الغرر بنظر العرف ، كشهر ، أو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يلزم العلم بعدد أيّامهما ، كما لا يلزم العلم بمثاقيل الأوزان ، فلو عيّن المنّ الكذائي ، أو الكيل كذلك ؛ ممّا هو معروف عند العامّة ، ولم يعلم مثاقيله ، أو عدد صيعانه صحّ ، ولا تضرّ هذه الجهالة ؛ إذ لا يجب في رفع الغرر العلم بجميع الجهات ، كالعلم بكون الشهر تامّاً ، أو ناقصاً ، والسنة كم يوماً </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لزوم التعيين بما ذكر ، دليل نفي الغرر</w:t>
      </w:r>
      <w:r>
        <w:rPr>
          <w:rStyle w:val="FootnoteAnchor"/>
          <w:rtl w:val="true"/>
        </w:rPr>
        <w:footnoteReference w:id="1177"/>
      </w:r>
      <w:r>
        <w:rPr>
          <w:rFonts w:ascii="IRNazanin" w:hAnsi="IRNazanin" w:eastAsia="IRNazanin"/>
          <w:color w:val="111111"/>
          <w:sz w:val="28"/>
          <w:sz w:val="28"/>
          <w:szCs w:val="28"/>
          <w:rtl w:val="true"/>
          <w:lang w:bidi="fa-IR"/>
        </w:rPr>
        <w:t xml:space="preserve">على ما هو المعروف </w:t>
      </w:r>
    </w:p>
    <w:p>
      <w:pPr>
        <w:pStyle w:val="BookText"/>
        <w:rPr/>
      </w:pPr>
      <w:r>
        <w:rPr>
          <w:rFonts w:ascii="Amiri" w:hAnsi="Amiri" w:eastAsia="Amiri" w:cs="Amiri"/>
          <w:color w:val="111111"/>
          <w:sz w:val="28"/>
          <w:sz w:val="28"/>
          <w:szCs w:val="28"/>
          <w:rtl w:val="true"/>
          <w:lang w:bidi="ar-SA"/>
        </w:rPr>
        <w:t xml:space="preserve">بين الفريقين ؛ من أ نّه بمعنى الجهالة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الروايات الواردة في السلم</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عكس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أو دلالة على ذلك ؛ لأنّ المستفاد منها ، أنّ اعتبار معلومية الأجل ؛ لأجل دفع الغرر ، وأنّ الجهالة بهذا المقدار مضرّة ، فتلغى خصوصية المثمن والسلم ، فما في بعض التعليقات</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استعجابه لكلام الشيخ الأعظم قدّس سرّه </w:t>
      </w:r>
      <w:r>
        <w:rPr>
          <w:rStyle w:val="FootnoteAnchor"/>
          <w:rtl w:val="true"/>
        </w:rPr>
        <w:footnoteReference w:id="1180"/>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الأجل بين القصير والطويل ، إذا لم يكن طول الأجل بحيث يخرج شرطه عن كونه عقلائيا ، كألف سنة ونحوها ؛ ممّا يعدّ شرطه خارجا عن القرار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الصحّة أقرب</w:t>
      </w:r>
      <w:r>
        <w:rPr>
          <w:rStyle w:val="FootnoteAnchor"/>
          <w:rtl w:val="true"/>
        </w:rPr>
        <w:footnoteReference w:id="1181"/>
      </w:r>
      <w:r>
        <w:rPr>
          <w:rFonts w:ascii="Amiri" w:hAnsi="Amiri" w:eastAsia="Amiri" w:cs="Amiri"/>
          <w:color w:val="111111"/>
          <w:sz w:val="28"/>
          <w:sz w:val="28"/>
          <w:szCs w:val="28"/>
          <w:rtl w:val="true"/>
          <w:lang w:bidi="ar-SA"/>
        </w:rPr>
        <w:t xml:space="preserve">وقبله الشيخ أيضاً </w:t>
      </w:r>
      <w:r>
        <w:rPr>
          <w:rStyle w:val="FootnoteAnchor"/>
          <w:rtl w:val="true"/>
        </w:rPr>
        <w:footnoteReference w:id="1182"/>
      </w:r>
      <w:r>
        <w:rPr>
          <w:rFonts w:ascii="Amiri" w:hAnsi="Amiri" w:eastAsia="Amiri" w:cs="Amiri"/>
          <w:color w:val="111111"/>
          <w:sz w:val="28"/>
          <w:sz w:val="28"/>
          <w:szCs w:val="28"/>
          <w:rtl w:val="true"/>
          <w:lang w:bidi="ar-SA"/>
        </w:rPr>
        <w:t xml:space="preserve">، لا يخلو من إشكال ومنع ، ومجرّد حلوله بموت المشتري ، لا يجعل القرار عقلائياً ، ولا سيّما إذا احتمل عدم الحلول إلى سبعين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أدلّة تنفيذ المعاملات لمثل ذلك محلّ إشكال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الروايات ؛ من النهي عن التأخير إلى ثلاث سنين ، كرواية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Style w:val="FootnoteAnchor"/>
          <w:rtl w:val="true"/>
        </w:rPr>
        <w:footnoteReference w:id="1183"/>
      </w:r>
      <w:r>
        <w:rPr>
          <w:rFonts w:ascii="Amiri" w:hAnsi="Amiri" w:eastAsia="Amiri" w:cs="Amiri"/>
          <w:color w:val="111111"/>
          <w:sz w:val="28"/>
          <w:sz w:val="28"/>
          <w:szCs w:val="28"/>
          <w:rtl w:val="true"/>
          <w:lang w:bidi="ar-SA"/>
        </w:rPr>
        <w:t xml:space="preserve">وغيرها </w:t>
      </w:r>
      <w:r>
        <w:rPr>
          <w:rStyle w:val="FootnoteAnchor"/>
          <w:rtl w:val="true"/>
        </w:rPr>
        <w:footnoteReference w:id="1184"/>
      </w:r>
      <w:r>
        <w:rPr>
          <w:rFonts w:ascii="Amiri" w:hAnsi="Amiri" w:eastAsia="Amiri" w:cs="Amiri"/>
          <w:color w:val="111111"/>
          <w:sz w:val="28"/>
          <w:sz w:val="28"/>
          <w:szCs w:val="28"/>
          <w:rtl w:val="true"/>
          <w:lang w:bidi="ar-SA"/>
        </w:rPr>
        <w:t xml:space="preserve">، فمحمول على الكراهة أو الإرشاد ، كما يظهر بالتأمّل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جعل مدّة أزيد من عمر المشتري ، وكان الحكم الشرعي حلوله عند موته ، فالظاهر أ نّه لا إشكال فيه ، لا من جهة اللغوية ؛ فإنّه يمكن أن يكون هناك غرض عقلائي ، ولا من جهة خلاف الشرع ؛ لأنّ اشتراطها لا يرجع إلى شرط عدم الحلول عند الموت ، حتّى يكون مخالفاً للشرع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المعتبر في التعيين هاهنا ، وفي كلّ مورد يعتبر فيه ذلك ، هو الذي يرتفع به الغرر ، فلا بدّ من كونه معلوماً عند المتبايعين ، والمعلومية عند غيرهما أو في علم اللّه ، لا يرفع بها الغرر ، فجعل المدّة إلى عيد المهرجان مثلاً ، مع عدم علمهما بأنّه في أيّ شهر ، لا يصحّ </w:t>
      </w:r>
      <w:r>
        <w:rPr>
          <w:rFonts w:eastAsia="Amiri" w:cs="Amiri" w:ascii="Amiri" w:hAnsi="Amiri"/>
          <w:color w:val="111111"/>
          <w:sz w:val="28"/>
          <w:szCs w:val="28"/>
          <w:rtl w:val="true"/>
          <w:lang w:bidi="ar-SA"/>
        </w:rPr>
        <w:t xml:space="preserve">. </w:t>
      </w:r>
      <w:bookmarkStart w:id="709" w:name="pg15222_162649"/>
    </w:p>
    <w:p>
      <w:pPr>
        <w:pStyle w:val="Heading3"/>
        <w:numPr>
          <w:ilvl w:val="2"/>
          <w:numId w:val="1"/>
        </w:numPr>
        <w:rPr/>
      </w:pPr>
      <w:bookmarkStart w:id="710" w:name="__RefHeading___Toc3332016_2142443653"/>
      <w:bookmarkStart w:id="711" w:name="_Toc257"/>
      <w:bookmarkEnd w:id="709"/>
      <w:bookmarkEnd w:id="710"/>
      <w:r>
        <w:rPr>
          <w:rtl w:val="true"/>
        </w:rPr>
        <w:t xml:space="preserve">مسألة </w:t>
      </w:r>
      <w:r>
        <w:rPr>
          <w:rtl w:val="true"/>
        </w:rPr>
        <w:t xml:space="preserve">: </w:t>
      </w:r>
      <w:r>
        <w:rPr>
          <w:rtl w:val="true"/>
        </w:rPr>
        <w:t>فيما لو باع بثمن حالاًّ وبأزيد منه مؤجّلاً</w:t>
      </w:r>
      <w:bookmarkEnd w:id="711"/>
    </w:p>
    <w:p>
      <w:pPr>
        <w:pStyle w:val="Heading4"/>
        <w:numPr>
          <w:ilvl w:val="3"/>
          <w:numId w:val="1"/>
        </w:numPr>
        <w:rPr/>
      </w:pPr>
      <w:bookmarkStart w:id="712" w:name="__RefHeading___Toc3332018_2142443653"/>
      <w:bookmarkStart w:id="713" w:name="_Toc258"/>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لو باع بثمن حالاًّ ، وبأزيد منه مؤجّلاً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بعشرة يداً بيد ، وبعشرين إلى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بذلك أن يقبل أحدهما ، فالظاهر صحّته حسب القواعد ، إن قبل واحداً منهما معيّناً ؛ فإنّه ينحلّ إلى إيجابين ، ولا جهالة في شيء</w:t>
      </w:r>
    </w:p>
    <w:p>
      <w:pPr>
        <w:pStyle w:val="BookText"/>
        <w:rPr/>
      </w:pPr>
      <w:r>
        <w:rPr>
          <w:rFonts w:ascii="Amiri" w:hAnsi="Amiri" w:eastAsia="Amiri" w:cs="Amiri"/>
          <w:color w:val="111111"/>
          <w:sz w:val="28"/>
          <w:sz w:val="28"/>
          <w:szCs w:val="28"/>
          <w:rtl w:val="true"/>
          <w:lang w:bidi="ar-SA"/>
        </w:rPr>
        <w:t xml:space="preserve">منهما ، وإنّما الجهل في أ نّه يقبل هذا أو ذاك ، وهذه الجهالة غير مضرّة ؛ إذ لم يكن غرر في أصل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إذا أوجب إيجاباً واحداً ، ولم يدر حينه أ نّه هل يقبل المشتري أو لا ؟ فقبل ، أو من قبيل ما لو باع سلعة بعشرة ، وسلعة اُخرى بعشرين ولم يدر أنّ المشتري يقبل أيّهما ، فإنّه لا ينبغي الإشكال في الصحّة إن قبل واحداً منهما تعييناً ، ولا يبعد أن لا تكون هذه الصورة محطّ بحث الفقهاء </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البحث ، ما إذا أوجب البائع بنحو ما تقدّم ، وقبل المشتري بلا تعيين أحدهما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التعيين بعد القبول ، كما يظهر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في المحكيّ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تعليق البيع بأجلين وثمنين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 إلى مدّة بكذا ، وإلى اُخرى بكذا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يفسده ، فإن تراضيا بإنفاذه ، كان للبائع أقلّ الثمنين في أبعد الأجلين ؛ بدليل إجماع الطائفة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تراضيا بإنفاذه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إيجاباً وقبولاً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البيع بأجلين على التخيير ،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المتاع بدرهم نقدا ، وبدرهمين إلى شهر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بدرهم إلى شهر ، وبدرهمين إلى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ابتاع إنسان على هذا الشرط ، كان عليه أقلّ الثمنين في آخر الأجلين</w:t>
      </w:r>
      <w:r>
        <w:rPr>
          <w:rStyle w:val="FootnoteAnchor"/>
          <w:rtl w:val="true"/>
        </w:rPr>
        <w:footnoteReference w:id="118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وذيل هذه العبارة صريح ؛ في أنّ القابل قبل ما أوجبه البائع ، من دون تعيين أحدهما ، بأن قال بعد الإيجابين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واكتفى به ، وليس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عبارته الإنشاء تخييراً ؛ لصراحة المثال في خلافه </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عن آبائه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وسلم نهى عن شرطين في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اختلف في تأويل ذلك ، فقال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يقول البائع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أبيعك بالنقد بكذا ، وبالنسيئة بكذا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ويعقد البيع على هذا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إلى آخره</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وصريح هذه العبارة ، أنّ المراد عقد البيع على هذا ، ويظهر ذلك من المتون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الشرائع</w:t>
      </w:r>
      <w:r>
        <w:rPr>
          <w:rFonts w:eastAsia="Amiri" w:cs="Amiri" w:ascii="Amiri" w:hAnsi="Amiri"/>
          <w:color w:val="111111"/>
          <w:sz w:val="28"/>
          <w:szCs w:val="28"/>
          <w:rtl w:val="true"/>
          <w:lang w:bidi="ar-SA"/>
        </w:rPr>
        <w:t>»</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Style w:val="FootnoteAnchor"/>
          <w:rtl w:val="true"/>
        </w:rPr>
        <w:footnoteReference w:id="1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العبارات المنقولة عقيب المتون شرحاً </w:t>
      </w:r>
      <w:r>
        <w:rPr>
          <w:rStyle w:val="FootnoteAnchor"/>
          <w:rtl w:val="true"/>
        </w:rPr>
        <w:footnoteReference w:id="1191"/>
      </w:r>
      <w:r>
        <w:rPr>
          <w:rFonts w:ascii="Amiri" w:hAnsi="Amiri" w:eastAsia="Amiri" w:cs="Amiri"/>
          <w:color w:val="111111"/>
          <w:sz w:val="28"/>
          <w:sz w:val="28"/>
          <w:szCs w:val="28"/>
          <w:rtl w:val="true"/>
          <w:lang w:bidi="ar-SA"/>
        </w:rPr>
        <w:t xml:space="preserve">، حيث إنّ الظاهر منها ، أنّ المشهور حكموا بالبطلان في مثل الفرض ، لا فيما إذا قبل أحدهما المعيّن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البطلان ؛ لأنّ قبولهما معاً غير معقول ، والحمل على أحدهما معيّناً بلا معيّن ، وعلى أحدهما مخيّراً لا معنى له ، فيقع باطلاً ؛ للجهالة ، والتعيين بعد البيع لا يفيد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في الفرع ، هو الإيجاب على نحو التخيير ،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 المتاع بأجلين ونقدين على التخيير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هذا بدينار أو درهم عاجلاً ، أو إلى شهر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بدينارين أو درهمين إلى شهر ، أو شهور ، أو سنة ، أو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 ، فإن أمضى البيّعان ذلك بينهما ، كان للبائع أقلّ الثمنين في آخر الأجلين</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والظاهر منه أيضاً قبولهما معاً ، ولعلّ هذا فرع آخر غير الفرع المعروف ، وإن كان بحكمه في البطلان ، لا أنّه تفسير لقولهم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باع بثمن حالاًّ ، وبأزيد منه مؤجّلاً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منه هو الفرض المتقدّم ، الذي قال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فالإيجاب تخييراً باطل ، بل غير معقول ، كالإيجاب ترديداً ؛ فإنّ النقل الإنشائي بهذا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كنقل هذا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تحقّقه واعتباره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وإن قلنا في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بعث إلى هذا تعييناً ، وإلى ذاك كذلك ، وتخلّل بينهما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لإفهام المخاطب تخييره بينهما </w:t>
      </w:r>
      <w:r>
        <w:rPr>
          <w:rStyle w:val="FootnoteAnchor"/>
          <w:rtl w:val="true"/>
        </w:rPr>
        <w:footnoteReference w:id="1193"/>
      </w:r>
      <w:r>
        <w:rPr>
          <w:rFonts w:ascii="Amiri" w:hAnsi="Amiri" w:eastAsia="Amiri" w:cs="Amiri"/>
          <w:color w:val="111111"/>
          <w:sz w:val="28"/>
          <w:sz w:val="28"/>
          <w:szCs w:val="28"/>
          <w:rtl w:val="true"/>
          <w:lang w:bidi="ar-SA"/>
        </w:rPr>
        <w:t xml:space="preserve">، لكن جريان ذلك في مثل النقل الإنشائي مشكل ، بل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مثل ذلك ، لو قبل أحدهما المعيّن لا يقع صحيحاً ؛ لبطلان الإيجاب كذلك ، بل عدم معقولية النقل الكذائي ولو إنشاءً ، فضلاً عمّا إذا قبلهما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المسألة التي هي محطّ البحث تبعاً للنصّ</w:t>
      </w:r>
      <w:r>
        <w:rPr>
          <w:rStyle w:val="FootnoteAnchor"/>
          <w:rtl w:val="true"/>
        </w:rPr>
        <w:footnoteReference w:id="1194"/>
      </w:r>
      <w:r>
        <w:rPr>
          <w:rFonts w:ascii="Amiri" w:hAnsi="Amiri" w:eastAsia="Amiri" w:cs="Amiri"/>
          <w:color w:val="111111"/>
          <w:sz w:val="28"/>
          <w:sz w:val="28"/>
          <w:szCs w:val="28"/>
          <w:rtl w:val="true"/>
          <w:lang w:bidi="ar-SA"/>
        </w:rPr>
        <w:t xml:space="preserve">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المعروفة ، ما لو باع بثمن حالاًّ ، وبأزيد منه مؤجّلاً ، لا بنحو التخيير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الفرض بنحو التخيير </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تتوهّم من كلام بعضهم صورة اُخرى ، وهي الإنشاء على نحو التعليق ، </w:t>
      </w:r>
    </w:p>
    <w:p>
      <w:pPr>
        <w:pStyle w:val="BookText"/>
        <w:rPr/>
      </w:pP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المكروه أن يبيع بثمنين ؛ بقليل إن كان الثمن نقداً ، وبأكثر إن كان نسيئة</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يريد الإنشاء التعليقي ، بل يريد ما هو المعروف بينهم ، ويشهد له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ذكره</w:t>
      </w:r>
      <w:r>
        <w:rPr>
          <w:rStyle w:val="FootnoteAnchor"/>
          <w:rtl w:val="true"/>
        </w:rPr>
        <w:footnoteReference w:id="1196"/>
      </w:r>
      <w:r>
        <w:rPr>
          <w:rFonts w:ascii="Amiri" w:hAnsi="Amiri" w:eastAsia="Amiri" w:cs="Amiri"/>
          <w:color w:val="111111"/>
          <w:sz w:val="28"/>
          <w:sz w:val="28"/>
          <w:szCs w:val="28"/>
          <w:rtl w:val="true"/>
          <w:lang w:bidi="ar-SA"/>
        </w:rPr>
        <w:t xml:space="preserve">، فإنّه مع ذكر التعليق تصريحاً ، مثّل بما لا يكون فيه تعليق اصطلاحي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الإيجاب على نحو التعليق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بعشرة إن كان نقداً ، وبعشرين إن كان 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باطلاً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الإسكافي من قوله في تفسير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صفقتان في واحدة</w:t>
      </w:r>
      <w:r>
        <w:rPr>
          <w:rFonts w:eastAsia="Amiri" w:cs="Amiri" w:ascii="Amiri" w:hAnsi="Amiri"/>
          <w:color w:val="111111"/>
          <w:sz w:val="28"/>
          <w:szCs w:val="28"/>
          <w:rtl w:val="true"/>
          <w:lang w:bidi="ar-SA"/>
        </w:rPr>
        <w:t>»</w:t>
      </w:r>
      <w:r>
        <w:rPr>
          <w:rStyle w:val="FootnoteAnchor"/>
          <w:rtl w:val="true"/>
        </w:rPr>
        <w:footnoteReference w:id="1197"/>
      </w:r>
      <w:r>
        <w:rPr>
          <w:rFonts w:ascii="Amiri" w:hAnsi="Amiri" w:eastAsia="Amiri" w:cs="Amiri"/>
          <w:color w:val="111111"/>
          <w:sz w:val="28"/>
          <w:sz w:val="28"/>
          <w:szCs w:val="28"/>
          <w:rtl w:val="true"/>
          <w:lang w:bidi="ar-SA"/>
        </w:rPr>
        <w:t xml:space="preserve">وذلك بأن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بالنقد فبكذا ، وإن كان بالنسيئة فبكذا</w:t>
      </w:r>
      <w:r>
        <w:rPr>
          <w:rFonts w:eastAsia="Amiri" w:cs="Amiri" w:ascii="Amiri" w:hAnsi="Amiri"/>
          <w:color w:val="111111"/>
          <w:sz w:val="28"/>
          <w:szCs w:val="28"/>
          <w:rtl w:val="true"/>
          <w:lang w:bidi="ar-SA"/>
        </w:rPr>
        <w:t>»</w:t>
      </w:r>
      <w:r>
        <w:rPr>
          <w:rStyle w:val="FootnoteAnchor"/>
          <w:rtl w:val="true"/>
        </w:rPr>
        <w:footnoteReference w:id="1198"/>
      </w:r>
      <w:r>
        <w:rPr>
          <w:rFonts w:ascii="IRNazanin" w:hAnsi="IRNazanin" w:eastAsia="IRNazanin"/>
          <w:color w:val="111111"/>
          <w:sz w:val="28"/>
          <w:sz w:val="28"/>
          <w:szCs w:val="28"/>
          <w:rtl w:val="true"/>
          <w:lang w:bidi="fa-IR"/>
        </w:rPr>
        <w:t xml:space="preserve">فرع آخر ، ومن محتملات قوله صلی الله علیه و آله وسلم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التي جعلها بعضهم من صور المسألة ؛ أي مسألة البيع بثمنين ، وهي البيع بثمن حالاًّ ، وشرط زيادة إلى شهر مثلاً</w:t>
      </w:r>
      <w:r>
        <w:rPr>
          <w:rStyle w:val="FootnoteAnchor"/>
          <w:rtl w:val="true"/>
        </w:rPr>
        <w:footnoteReference w:id="1199"/>
      </w:r>
      <w:r>
        <w:rPr>
          <w:rFonts w:ascii="Amiri" w:hAnsi="Amiri" w:eastAsia="Amiri" w:cs="Amiri"/>
          <w:color w:val="111111"/>
          <w:sz w:val="28"/>
          <w:sz w:val="28"/>
          <w:szCs w:val="28"/>
          <w:rtl w:val="true"/>
          <w:lang w:bidi="ar-SA"/>
        </w:rPr>
        <w:t xml:space="preserve">فهي أجنبيّة عن المسألة ، وعن كلام الفقهاء ، وعن النصوص ؛ ضرورة أ نّه ليس بيعين بثمنين كما هو المبحوث عنه في كلامهم ، ولا بيعين في بيع ، أو صفقتين في واحدة ، </w:t>
      </w:r>
      <w:bookmarkStart w:id="714" w:name="pg15222_162654"/>
    </w:p>
    <w:p>
      <w:pPr>
        <w:pStyle w:val="BookText"/>
        <w:rPr/>
      </w:pPr>
      <w:bookmarkEnd w:id="714"/>
      <w:r>
        <w:rPr>
          <w:rFonts w:ascii="Amiri" w:hAnsi="Amiri" w:eastAsia="Amiri" w:cs="Amiri"/>
          <w:color w:val="111111"/>
          <w:sz w:val="28"/>
          <w:sz w:val="28"/>
          <w:szCs w:val="28"/>
          <w:rtl w:val="true"/>
          <w:lang w:bidi="ar-SA"/>
        </w:rPr>
        <w:t>ولا موافقاً لروايتي السكوني</w:t>
      </w:r>
      <w:r>
        <w:rPr>
          <w:rStyle w:val="FootnoteAnchor"/>
          <w:rtl w:val="true"/>
        </w:rPr>
        <w:footnoteReference w:id="1200"/>
      </w:r>
      <w:r>
        <w:rPr>
          <w:rFonts w:ascii="Amiri" w:hAnsi="Amiri" w:eastAsia="Amiri" w:cs="Amiri"/>
          <w:color w:val="111111"/>
          <w:sz w:val="28"/>
          <w:sz w:val="28"/>
          <w:szCs w:val="28"/>
          <w:rtl w:val="true"/>
          <w:lang w:bidi="ar-SA"/>
        </w:rPr>
        <w:t>، ومحمّد بن قيس</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كذلك وشرط ذلك بطل الشرط ، وصحّ البيع ، وكان نقداً ، وما ذكرناه إلى هنا إنّما هو بحسب القواعد </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3332020_2142443653"/>
      <w:bookmarkStart w:id="716" w:name="_Toc259"/>
      <w:bookmarkEnd w:id="715"/>
      <w:r>
        <w:rPr>
          <w:rtl w:val="true"/>
        </w:rPr>
        <w:t>حكم المسألة بحسب الأخبار</w:t>
      </w:r>
      <w:bookmarkEnd w:id="716"/>
    </w:p>
    <w:p>
      <w:pPr>
        <w:pStyle w:val="BookText"/>
        <w:rPr/>
      </w:pPr>
      <w:r>
        <w:rPr>
          <w:rFonts w:ascii="IRNazanin" w:hAnsi="IRNazanin" w:eastAsia="IRNazanin"/>
          <w:color w:val="111111"/>
          <w:sz w:val="28"/>
          <w:sz w:val="28"/>
          <w:szCs w:val="28"/>
          <w:rtl w:val="true"/>
          <w:lang w:bidi="fa-IR"/>
        </w:rPr>
        <w:t xml:space="preserve">وأمّا الأخبار الواردة ، فلا يبعد أن تكون بصدد بيان معنىً واحد ، فيمكن رفع إجمال بعضها بدلالة بعض ، فمثل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رسول اللّه صلی الله علیه و آله وسلم عن بيعين في بيع</w:t>
      </w:r>
      <w:r>
        <w:rPr>
          <w:rFonts w:eastAsia="IRNazanin" w:cs="IRNazanin"/>
          <w:color w:val="111111"/>
          <w:sz w:val="28"/>
          <w:szCs w:val="28"/>
          <w:rtl w:val="true"/>
          <w:lang w:bidi="fa-IR"/>
        </w:rPr>
        <w:t>»</w:t>
      </w:r>
      <w:r>
        <w:rPr>
          <w:rStyle w:val="FootnoteAnchor"/>
          <w:rtl w:val="true"/>
        </w:rPr>
        <w:footnoteReference w:id="120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شرطين في بيع</w:t>
      </w:r>
      <w:r>
        <w:rPr>
          <w:rFonts w:eastAsia="Amiri" w:cs="Amiri" w:ascii="Amiri" w:hAnsi="Amiri"/>
          <w:color w:val="111111"/>
          <w:sz w:val="28"/>
          <w:szCs w:val="28"/>
          <w:rtl w:val="true"/>
          <w:lang w:bidi="ar-SA"/>
        </w:rPr>
        <w:t>»</w:t>
      </w:r>
      <w:r>
        <w:rPr>
          <w:rStyle w:val="FootnoteAnchor"/>
          <w:rtl w:val="true"/>
        </w:rPr>
        <w:footnoteReference w:id="1203"/>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صفقتان في واحدة</w:t>
      </w:r>
      <w:r>
        <w:rPr>
          <w:rFonts w:eastAsia="Amiri" w:cs="Amiri" w:ascii="Amiri" w:hAnsi="Amiri"/>
          <w:color w:val="111111"/>
          <w:sz w:val="28"/>
          <w:szCs w:val="28"/>
          <w:rtl w:val="true"/>
          <w:lang w:bidi="ar-SA"/>
        </w:rPr>
        <w:t>»</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فيها إجمال ، ولم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نّها ظاهرة فيما هو المعروف ؛ من البيع بثمنين ، سيّما الرواية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الإجمال عنها بصحيحة محمّد بن قيس ، وموثّقة السكوني </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سلعة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كذا وكذا يداً بيد ، وثمنها كذا وكذا نظرةً ، فخذها بأيّ ثمن شئت ، وجعل صفقتها واحدة ، فليس له إلاّ أقلّهما وإن كانت نظرةً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ساوم بثمنين ؛ أحدهما عاجلاً ، والآخر نظرةً ، فليسمّ أحدهما قبل الصفقة</w:t>
      </w:r>
      <w:r>
        <w:rPr>
          <w:rFonts w:eastAsia="IRNazanin" w:cs="IRNazanin"/>
          <w:color w:val="111111"/>
          <w:sz w:val="28"/>
          <w:szCs w:val="28"/>
          <w:rtl w:val="true"/>
          <w:lang w:bidi="fa-IR"/>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 عن أبيه ،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قضى في رجل باع بيعاً واشترط شرطين ؛ بالنقد كذا ، وبالنسيئة كذا ، فأخذ المتاع على ذلك الشرط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بأقلّ الثمنين ، وأبعد الأجلين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إلاّ أقلّ النقدين إلى الأجل الذي أجّله بنسيئة</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مثل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صفقتان في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صلی الله علیه و آله وسلم عن شرطين في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بيعين في 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البيع بثمنين حالاًّ ونظرةً ، ويظهر من جميعها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بردّ بعضها إلى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هو الإيجاب بثمنين حالاًّ بكذا ، ونسيئة بكذا ، ولحوق القبول به كذلك من غير تعيين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رواية محمّد بن قيس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ثمنها كذا وكذا يداً بيد ، وثمنها كذا وكذا نظرة ، فخذها بأيّ ثمن شئت ، وجعل صفقتها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يوهم أنّ الأخذ هو قبول أحدهما معيّناً ، لكنّه غير صحيح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الأخذ يخالف القبول ، بل هو التسلّم بعد تمام 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صفقتها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الإبهام عنه ؛ فإنّ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اليد لتثبيت المعاملة ، فهو ظاهر أو صريح في أنّ المعاملة وقعت على ثمنين آجلاً وعاجلاً ؛ ليختار أحدهما بعد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الظاهر أنّ الروايتين نقل لقضية واحدة عن أمير المؤمنين علیه السلام ، وصريح الثانية هو أخذ المتاع على الشرط أي الثمنين ، فقبل المتاع على الشرط ليختار أحدهما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الروايات بصدد بيان أمر واحد ؛ وهو النهي عن مثل هذه المعاملة التي كانت كأ نّها معهودة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يبعد أن يكون وجه الجمع بين الروايات ، حمل ما دلّت على النهي عن بيعين في بيع ، أو شرطين في بيع ونحوهما ، على الكراهة أو التحريم ، لا البطلان ؛ بشهادة روايتي السكوني ومحمّد ، حيث تظهر منهما الصحّة فيما إذا قبلهما صفقة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قبول الإنشاء المنحلّ إلى إنشاءين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 أحدهما وهو النقد لفظا ، بل وطبعا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بالنقد ، بعد ما لم يمكن الأخذ بهما ، فالمعاملة محكومة بالصحّة في أقلّ الثمنين ، ولو أخّر الثمن إلى أبعد الأجلين </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 رواية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 له إلاّ أقلّهما وإن كانت 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 نّه لا يستحقّ إلاّ الأقلّ ولو أدّى نظرة ، وليس فيه دلالة على جواز التأخير لو طالبه ، فتستفاد منها صحّة المعاملة نقدا ، وعدم جواز المطالبة بالأكثر ولو تأخّر إلى أبعد الأجلين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رواية السكوني ، فالظاهر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بأقلّ الثمنين إلى أبعد الأجلين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يستحقّ الأقلّ في أبعد الأجلين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ظاهر التفسير الذي في ذيلها ،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إلاّ أقلّ الثمنين إلى الأجل الذي أجّله بنسيئة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بصدد بيان أ نّه لا يستحقّ إلاّ الأقلّ ولو إلى آخر المدّة ؛ أي لا يستحقّ الزيادة وإن أخّر إلى أبعد الأجلين ، وليس بصدد بيان جواز التأخير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يشعر قوله هذا ، بأ نّه ليس له إلى آخر المدّة إلاّ الأقلّ ، وأنّ له الأخذ بالأقلّ إلى آخر المدّة ، فله المطالبة في هذه المدّة ؛ إذ ليست نظرة ، فالرواية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التفسير في ذيلها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 رواية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التفسير منقول عن الصادق ، أو أبي جعفر علیهما السلام ، وتتمّة لحديث السكوني ، مع أنّ الروايتين حكاية لقضيّة واحدة ، كما هو المعلوم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فتحصّل 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الروايات ، صحّة هذه المعاملة نقدا ؛ بترجيح لحوق القبول بما هو مقدّم طبعا وذكرا ، وإلغاء القرار المتعلّق بالنسيئة ، وليس فيها خلاف القواعد المحكمة كما قالوا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القول بالبطلان واشتهاره بينهم ، إنّما هو من اجتهادهم ، لا لأمر آخر ، فلا تكون الشهرة بل الإجماع في مثل هذه المسألة حجّة ، واللّه العالم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فالعمل بالروايتين متعيّن ، بعد ما كانت إحداهما صحيحة ، والاُخرى موثّقة ، لكن يقتصر على موردهما ، فلو بيع بثمنين نسيئة يحكم بالبطلان </w:t>
      </w:r>
      <w:r>
        <w:rPr>
          <w:rFonts w:eastAsia="Amiri" w:cs="Amiri" w:ascii="Amiri" w:hAnsi="Amiri"/>
          <w:color w:val="111111"/>
          <w:sz w:val="28"/>
          <w:szCs w:val="28"/>
          <w:rtl w:val="true"/>
          <w:lang w:bidi="ar-SA"/>
        </w:rPr>
        <w:t xml:space="preserve">. </w:t>
      </w:r>
      <w:bookmarkStart w:id="717" w:name="pg15222_162658"/>
    </w:p>
    <w:p>
      <w:pPr>
        <w:pStyle w:val="Heading3"/>
        <w:numPr>
          <w:ilvl w:val="2"/>
          <w:numId w:val="1"/>
        </w:numPr>
        <w:rPr/>
      </w:pPr>
      <w:bookmarkStart w:id="718" w:name="__RefHeading___Toc3332022_2142443653"/>
      <w:bookmarkStart w:id="719" w:name="_Toc260"/>
      <w:bookmarkEnd w:id="717"/>
      <w:bookmarkEnd w:id="718"/>
      <w:r>
        <w:rPr>
          <w:rtl w:val="true"/>
        </w:rPr>
        <w:t xml:space="preserve">مسألة </w:t>
      </w:r>
      <w:r>
        <w:rPr>
          <w:rtl w:val="true"/>
        </w:rPr>
        <w:t xml:space="preserve">: </w:t>
      </w:r>
      <w:r>
        <w:rPr>
          <w:rtl w:val="true"/>
        </w:rPr>
        <w:t>في أنّ النسيئة لا تصير نقدا بإسقاط الأجل</w:t>
      </w:r>
      <w:bookmarkEnd w:id="719"/>
    </w:p>
    <w:p>
      <w:pPr>
        <w:pStyle w:val="Heading4"/>
        <w:numPr>
          <w:ilvl w:val="3"/>
          <w:numId w:val="1"/>
        </w:numPr>
        <w:rPr/>
      </w:pPr>
      <w:bookmarkStart w:id="720" w:name="__RefHeading___Toc3332024_2142443653"/>
      <w:bookmarkStart w:id="721" w:name="_Toc261"/>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 xml:space="preserve">لا إشكال في أنّ في النسيئة ، لا يستحقّ البائع مطالبة المشتري قبل حلول المدّة ، ولا يجب على المشتري الأداء قبل حلول الأجل ، ولو طالبه البائع بذلك ؛ فإنّ ذلك مقتضى القرار بينهما ، ويجب على البائع الوفاء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تبرّع المشتري بأداء الثمن قبل الأجل ، فهل يجب على البائع القبول ؟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تمحيض الكلام ، فيما إذا وقع البيع نسيئة ، بأن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اشتريت منك نسيئة إلى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وأمّا إذا كان تأخير الثمن لأجل الشرط في ضمنه ، فهو خارج عن محطّ الكلام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3332026_2142443653"/>
      <w:bookmarkStart w:id="723" w:name="_Toc262"/>
      <w:bookmarkEnd w:id="722"/>
      <w:r>
        <w:rPr>
          <w:rtl w:val="true"/>
        </w:rPr>
        <w:t>النسيئة بيع خاصّ مقابل النقد</w:t>
      </w:r>
      <w:bookmarkEnd w:id="723"/>
    </w:p>
    <w:p>
      <w:pPr>
        <w:pStyle w:val="BookText"/>
        <w:rPr/>
      </w:pPr>
      <w:r>
        <w:rPr>
          <w:rFonts w:ascii="Amiri" w:hAnsi="Amiri" w:eastAsia="Amiri" w:cs="Amiri"/>
          <w:color w:val="111111"/>
          <w:sz w:val="28"/>
          <w:sz w:val="28"/>
          <w:szCs w:val="28"/>
          <w:rtl w:val="true"/>
          <w:lang w:bidi="ar-SA"/>
        </w:rPr>
        <w:t xml:space="preserve">وقبل بيان مبنى الوجهين ، لا بدّ من التنبيه على أمر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النسيئة ، هل هي بيع متضمّن لشرط التأجيل ، أو لتقييد إطلاق </w:t>
      </w:r>
    </w:p>
    <w:p>
      <w:pPr>
        <w:pStyle w:val="BookText"/>
        <w:rPr/>
      </w:pPr>
      <w:r>
        <w:rPr>
          <w:rFonts w:ascii="Amiri" w:hAnsi="Amiri" w:eastAsia="Amiri" w:cs="Amiri"/>
          <w:color w:val="111111"/>
          <w:sz w:val="28"/>
          <w:sz w:val="28"/>
          <w:szCs w:val="28"/>
          <w:rtl w:val="true"/>
          <w:lang w:bidi="ar-SA"/>
        </w:rPr>
        <w:t>سلطنة البائع على المطالبة متى شاء ؟</w:t>
      </w:r>
    </w:p>
    <w:p>
      <w:pPr>
        <w:pStyle w:val="BookText"/>
        <w:rPr/>
      </w:pPr>
      <w:r>
        <w:rPr>
          <w:rFonts w:ascii="Amiri" w:hAnsi="Amiri" w:eastAsia="Amiri" w:cs="Amiri"/>
          <w:color w:val="111111"/>
          <w:sz w:val="28"/>
          <w:sz w:val="28"/>
          <w:szCs w:val="28"/>
          <w:rtl w:val="true"/>
          <w:lang w:bidi="ar-SA"/>
        </w:rPr>
        <w:t>أو أنّها بيع خاصّ مقابل النقد ، لا بمعنى تقييد وتخصيص للثمن ؛ بأن يكون المملوك الثمن المؤجّل ، أو الثمن رأس الأجل ، كما قال به بعض أهل التحقيق</w:t>
      </w:r>
      <w:r>
        <w:rPr>
          <w:rStyle w:val="FootnoteAnchor"/>
          <w:rtl w:val="true"/>
        </w:rPr>
        <w:footnoteReference w:id="1208"/>
      </w:r>
      <w:r>
        <w:rPr>
          <w:rFonts w:ascii="Amiri" w:hAnsi="Amiri" w:eastAsia="Amiri" w:cs="Amiri"/>
          <w:color w:val="111111"/>
          <w:sz w:val="28"/>
          <w:sz w:val="28"/>
          <w:szCs w:val="28"/>
          <w:rtl w:val="true"/>
          <w:lang w:bidi="ar-SA"/>
        </w:rPr>
        <w:t xml:space="preserve">، بل بمعنى تقييد نفس القرار المعاملي ، فالبيع نسيئة صنف من البيع مقابل النقد ، لا أ نّهما شرطان فيه ، أو قيدان في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العرفي هو ثاني الاحتمالين ، ويترتّب عليه لزوم التزام كلّ من البائع والمشتري بالقرار الواقع بينهما ، فكما ليس للبائع مطالبة المشتري قبل الأجل ؛ لأ نّه خلاف القرار ، كذلك ليس للمشتري إلزامه بالقبول قبله ؛ لأ نّه خلاف القرار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ومجرّد كون القرار في الغالب لنفع المدين ، لا يوجب جواز إلزام البائع ، ولا وجوب قبوله على خلاف القرار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النسيئة بيع متضمّن لشرط تأجيل الثمن ، أو شرط عدم مطالبة البائع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قرينة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المشروط له هو المدين ، وله حقّ التأخير وله إسقاط حقّه ، والبائع ليس له حقّ بوجه ، فلو أسقط حقّه صار البيع كالحالّ ، وسيأتي الكلام فيه في المسألة الآتية</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وأمّا الوجوه التي ذكروها فليست مرضيّة ، مثل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w:t>
      </w:r>
      <w:bookmarkStart w:id="724" w:name="pg15222_162660"/>
    </w:p>
    <w:p>
      <w:pPr>
        <w:pStyle w:val="BookText"/>
        <w:rPr/>
      </w:pPr>
      <w:bookmarkEnd w:id="724"/>
      <w:r>
        <w:rPr>
          <w:rFonts w:ascii="Amiri" w:hAnsi="Amiri" w:eastAsia="Amiri" w:cs="Amiri"/>
          <w:color w:val="111111"/>
          <w:sz w:val="28"/>
          <w:sz w:val="28"/>
          <w:szCs w:val="28"/>
          <w:rtl w:val="true"/>
          <w:lang w:bidi="ar-SA"/>
        </w:rPr>
        <w:t>التعجيل فيه منّة</w:t>
      </w:r>
      <w:r>
        <w:rPr>
          <w:rStyle w:val="FootnoteAnchor"/>
          <w:rtl w:val="true"/>
        </w:rPr>
        <w:footnoteReference w:id="1210"/>
      </w:r>
      <w:r>
        <w:rPr>
          <w:rFonts w:ascii="Amiri" w:hAnsi="Amiri" w:eastAsia="Amiri" w:cs="Amiri"/>
          <w:color w:val="111111"/>
          <w:sz w:val="28"/>
          <w:sz w:val="28"/>
          <w:szCs w:val="28"/>
          <w:rtl w:val="true"/>
          <w:lang w:bidi="ar-SA"/>
        </w:rPr>
        <w:t xml:space="preserve">فإنّه غير مطّرد ، بل في الغالب ليس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التعجيل في وفاء ماله</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أيضاً قد تكون فيه منّة ؛ لعدم استحقاقه التعجيل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التأجيل كما هو حقّ للمشتري ، يتضمّن حقّا للبائع ؛ من حيث التزامه لحفظ ماله في ذمّته ، وجعله إيّاه كالودعي ؛ فإنّ ذلك حقّ عرفا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ممنوع ؛ أمّا بناءً على ما ذكرناه في ماهية النسيئة ، فلمنع ثبوت حقّ للمشتري ، فضلاً عن البائع ، ولو فرض اعتبار حقّ للمشتري ، فإثبات حقّ للبائع ممنوع ؛ ضرورة عدم التزامه للحفظ ، بل البيع لا يقتضي إلاّ ثبوت المال في ذمّته مؤجّلاً ليس 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كون النسيئة متضمّنة لشرط التأجيل ، فلأنّ الشرط لا يقتضي إلاّ ثبوت حقّ للمشروط له ؛ وهو المشتري ، وليس البيع ولا الشرط المذكور ، متضمّنين لشرط زائد ، أو حقّ كذلك </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3332028_2142443653"/>
      <w:bookmarkStart w:id="726" w:name="_Toc263"/>
      <w:bookmarkEnd w:id="725"/>
      <w:r>
        <w:rPr>
          <w:rtl w:val="true"/>
        </w:rPr>
        <w:t>عدم سقوط التأجيل بالإسقاط</w:t>
      </w:r>
      <w:bookmarkEnd w:id="72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ما ذكرنا في 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 نّها قرار خاصّ ، لا قرار وشرط ، لا يصحّ إسقاط التأجيل ؛ لأ نّه ليس حقّا حتّى يصحّ إسقاطه ، ولا شرطا حتّى </w:t>
      </w:r>
    </w:p>
    <w:p>
      <w:pPr>
        <w:pStyle w:val="BookText"/>
        <w:rPr/>
      </w:pPr>
      <w:r>
        <w:rPr>
          <w:rFonts w:ascii="Amiri" w:hAnsi="Amiri" w:eastAsia="Amiri" w:cs="Amiri"/>
          <w:color w:val="111111"/>
          <w:sz w:val="28"/>
          <w:sz w:val="28"/>
          <w:szCs w:val="28"/>
          <w:rtl w:val="true"/>
          <w:lang w:bidi="ar-SA"/>
        </w:rPr>
        <w:t>يصحّ الإعراض عنه ، بناءً على ما أشرنا إليه في بعض المباحث ؛ من صحّته</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جريان التقايل في التأجيل محلّ إشكال ؛ لأنّ النسيئة لا تنحلّ إلى قرارين ، بل هي قرار خاصّ تصحّ الإقالة فيها في أصلها ، لا في خصوصيتها ، وحديث الانحلال في بعض المعاملات ، مخصوص بموارد يوافق فيها العرف عليه ، فالبيع النقدي لا ينحلّ إلى بيع ، وكونه نقدا ، وكذا النسيئة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توافقهما على أخذ الثمن نقدا، لكن لا تصير بذلك غير مؤجّلة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الاحتمال الآخر يصحّ الإسقاط ، ويصير حالاًّ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شككنا في أنّ النسيئة من قبيل الشرط الضمني القابل للإسقاط ، أو من قبيل الخصوصية القابلة للتقايل ، أو على نحو لا يجري فيه ذلك ، ولا ذاك ، فأصالة عدم ثبوت الحقّ ، أو الشرط الضمني ، أو الخصوصية ونحوها ، غير جارية ، لكن أصالة بقاء النسيئة بحالها ، وأصالة بقاء التأجيل ونحوهما ، لا مانع من جريانها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ذكرناه يظهر ما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صحّة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قد ثبت التأجيل في العقد اللازم ، فلا يسقط ، ولأنّ في الأجل حقّا لصاحب الدين ، ولهذا لم يجب عليه القبول قبل الأجل ، أمّا لو تقايلا في الأجل فإنّه يصحّ</w:t>
      </w:r>
      <w:r>
        <w:rPr>
          <w:rStyle w:val="FootnoteAnchor"/>
          <w:rtl w:val="true"/>
        </w:rPr>
        <w:footnoteReference w:id="1214"/>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فيه مواقع للنظر </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التأجيل في العقد اللازم فلا يسقط ، فإنّه لا دخل للزوم </w:t>
      </w:r>
    </w:p>
    <w:p>
      <w:pPr>
        <w:pStyle w:val="BookText"/>
        <w:rPr/>
      </w:pPr>
      <w:r>
        <w:rPr>
          <w:rFonts w:ascii="Amiri" w:hAnsi="Amiri" w:eastAsia="Amiri" w:cs="Amiri"/>
          <w:color w:val="111111"/>
          <w:sz w:val="28"/>
          <w:sz w:val="28"/>
          <w:szCs w:val="28"/>
          <w:rtl w:val="true"/>
          <w:lang w:bidi="ar-SA"/>
        </w:rPr>
        <w:t xml:space="preserve">العقد في ذلك ، بل التأجيل لو لم يكن حقّا ، فلا موضوع لإسقاطه وإن كان العقد غير لازم ، ويستند العدم إلى عدم المقتضي ، لا إلى وجود 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حقّا للمشروط له ، جاز إسقاطه وإن كان العقد لازما ، وقد تقدّم أنّه على فرض ثبوت الحقّ ، فإنّما هو للمشروط له ؛ وهو المشتري فقط</w:t>
      </w:r>
      <w:r>
        <w:rPr>
          <w:rStyle w:val="FootnoteAnchor"/>
          <w:rtl w:val="true"/>
        </w:rPr>
        <w:footnoteReference w:id="1215"/>
      </w:r>
      <w:r>
        <w:rPr>
          <w:rFonts w:ascii="Amiri" w:hAnsi="Amiri" w:eastAsia="Amiri" w:cs="Amiri"/>
          <w:color w:val="111111"/>
          <w:sz w:val="28"/>
          <w:sz w:val="28"/>
          <w:szCs w:val="28"/>
          <w:rtl w:val="true"/>
          <w:lang w:bidi="ar-SA"/>
        </w:rPr>
        <w:t xml:space="preserve">، مع عدم القرينة على خلاف ذلك ، كما هو المفروض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لصاحب الدين حقّا ، ولذا لم يجب عليه القبول ، فإنّه قد تقدّم عدم ثبوت الحقّ له ، وأمّا عدم وجوب القبول ، فلا يدلّ على ثبوت الحقّ ؛ إذ يمكن أن يكون لأجل عدم الدليل على وجوبه ، وسيأتي الكلام فيه</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تقايلا في الأجل فإنّه يصحّ ، إذ قد عرفت آنفا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الأجل صفة تابعة ، فلا يستقلّ بالسقوط</w:t>
      </w:r>
      <w:r>
        <w:rPr>
          <w:rStyle w:val="FootnoteAnchor"/>
          <w:rtl w:val="true"/>
        </w:rPr>
        <w:footnoteReference w:id="1217"/>
      </w:r>
      <w:r>
        <w:rPr>
          <w:rFonts w:ascii="Amiri" w:hAnsi="Amiri" w:eastAsia="Amiri" w:cs="Amiri"/>
          <w:color w:val="111111"/>
          <w:sz w:val="28"/>
          <w:sz w:val="28"/>
          <w:szCs w:val="28"/>
          <w:rtl w:val="true"/>
          <w:lang w:bidi="ar-SA"/>
        </w:rPr>
        <w:t xml:space="preserve">، كما لا يستقلّ بالثبوت فالظاهر منه أنّ الأجل صفة للثمن ، فوقع البيع بعشرة مؤجّلة ، نظير الوصف للمبيع ، كما لو باع فرسا عربيا مثلاً بكذا ، فيكون تابعا ثبوتا وسقوطا ، غير قابل للانحلال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صفة للثمن ، بل النسيئة معاملة خاصّة ، فيها تأجيل الثمن ، فالإشكال من ناحية وحدة القرار وعدم الانحلال ، لا من ناحية التبعية </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عدم الاستقلال في الثبوت ، لا يلزم منه عدمه في السقوط ؛ فإنّ الخيار </w:t>
      </w:r>
    </w:p>
    <w:p>
      <w:pPr>
        <w:pStyle w:val="BookText"/>
        <w:rPr/>
      </w:pPr>
      <w:r>
        <w:rPr>
          <w:rFonts w:ascii="Amiri" w:hAnsi="Amiri" w:eastAsia="Amiri" w:cs="Amiri"/>
          <w:color w:val="111111"/>
          <w:sz w:val="28"/>
          <w:sz w:val="28"/>
          <w:szCs w:val="28"/>
          <w:rtl w:val="true"/>
          <w:lang w:bidi="ar-SA"/>
        </w:rPr>
        <w:t xml:space="preserve">غير مستقلّ في الثبوت ، مع أ نّه مستقلّ في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بناءً على كون الأجل صفة للثمن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الثمن هو الكلّي الموصوف بأجل كذا ، نظير العبد الموصوف بكونه كاتبا ؛ على نحو الكلّي في طرف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يستقلّ بالسقوط كما أفاده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إسقاط الكتابة عن العبد الكاتب الكلّي هناك في غير محلّه ؛ فإنّ بيع الكلّي الموصوف ، لا ينحلّ إلى بيع شيء ، وكونه موصوفا ؛ فإنّ العبد غير الكاتب ، لم يتعلّق به قرار وعقد ، بل يكون مباينا للمبيع بما هو مبيع ، كما هو الشأن في الكلّيات الموصوفة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مرجع التأجيل في العقد اللازم ، إلى إسقاط حقّ المطالبة في الأجل ، فلا يعود الحقّ بإسقاط التأجيل</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منع ذلك ؛ ضرورة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ولغةً ، ليست عبارة عن إسقاط حقّ المطالبة ، بل معاملة بتأجيل الثمن ، وحكمها العقلائي والشرعي عدم استحقاق المطالبة قبل حلوله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إضافة الحقّ إلى المطالبة ، كإضافته إلى بيع المال ، والتصرّف فيه ، ونحوه ، فيقال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حقّ البيع ، وحقّ التصرّف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إثبات حقّ قابل للنقل أو الإسقاط ، بل يكون مثله من الأحكام المترتّبة على الأموال </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تحصّل ممّا مرّ ، أنّ النسيئة لا تصير نقدا بإسقاط الأجل ، وأنّ الإسقاط كعدمه بلا أثر </w:t>
      </w:r>
      <w:r>
        <w:rPr>
          <w:rFonts w:eastAsia="Amiri" w:cs="Amiri" w:ascii="Amiri" w:hAnsi="Amiri"/>
          <w:color w:val="111111"/>
          <w:sz w:val="28"/>
          <w:szCs w:val="28"/>
          <w:rtl w:val="true"/>
          <w:lang w:bidi="ar-SA"/>
        </w:rPr>
        <w:t xml:space="preserve">. </w:t>
      </w:r>
      <w:bookmarkStart w:id="727" w:name="pg15222_162664"/>
    </w:p>
    <w:p>
      <w:pPr>
        <w:pStyle w:val="Heading3"/>
        <w:numPr>
          <w:ilvl w:val="2"/>
          <w:numId w:val="1"/>
        </w:numPr>
        <w:rPr/>
      </w:pPr>
      <w:bookmarkStart w:id="728" w:name="__RefHeading___Toc3332030_2142443653"/>
      <w:bookmarkStart w:id="729" w:name="_Toc264"/>
      <w:bookmarkEnd w:id="727"/>
      <w:bookmarkEnd w:id="728"/>
      <w:r>
        <w:rPr>
          <w:rtl w:val="true"/>
        </w:rPr>
        <w:t xml:space="preserve">مسألة </w:t>
      </w:r>
      <w:r>
        <w:rPr>
          <w:rtl w:val="true"/>
        </w:rPr>
        <w:t xml:space="preserve">: </w:t>
      </w:r>
      <w:r>
        <w:rPr>
          <w:rtl w:val="true"/>
        </w:rPr>
        <w:t>في أ نّه هل يجب على الدائن قبول الدين عند تسليمه؟</w:t>
      </w:r>
      <w:bookmarkEnd w:id="729"/>
    </w:p>
    <w:p>
      <w:pPr>
        <w:pStyle w:val="Heading4"/>
        <w:numPr>
          <w:ilvl w:val="3"/>
          <w:numId w:val="1"/>
        </w:numPr>
        <w:rPr/>
      </w:pPr>
      <w:bookmarkStart w:id="730" w:name="__RefHeading___Toc3332032_2142443653"/>
      <w:bookmarkStart w:id="731" w:name="_Toc265"/>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إذا كان الثمن بل مطلق الدين حالاًّ ، أو كان مؤجّلاً وحلّ أجله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 نّه لا يشترط في تعيّنه قبض الطرف وقبوله ، بل يكفي وضعه عنده وجعله تحت قدرته ، ويتعيّن بذلك ، وليس على المدين أزيد من ذلك شيء ، كما هو كذلك عند العرف ، بل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الدين ، وردّ مال الغير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يجب ردّه ، كالوديعة ، والغصب ، فلا يجب عليه القبول ، بل وجوبه لغو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ليس له المنع عن وضعه لديه ، وجعله تحت قدرته </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باشتراط التعيّن بالقبول والقبض ، فيجب على الطرف القبول مع دفعه إليه ، لا لقاعدة الضرر ؛ ضرورة أ نّه عبارة عن النقص في النفس أو المال ، وأمّا النقص في العرض والوجاهة وأمثالهما ، فليس من الضرر ، فلا يقال في العرف لمن تعرّض لعرض الغير أو لهتكه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نّه أضرّ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لقاعدة الضرار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قلنا في محلّه</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Style w:val="FootnoteAnchor"/>
          <w:rtl w:val="true"/>
        </w:rPr>
        <w:footnoteReference w:id="1220"/>
      </w:r>
      <w:r>
        <w:rPr>
          <w:rFonts w:ascii="Amiri" w:hAnsi="Amiri" w:eastAsia="Amiri" w:cs="Amiri"/>
          <w:color w:val="111111"/>
          <w:sz w:val="28"/>
          <w:sz w:val="28"/>
          <w:szCs w:val="28"/>
          <w:rtl w:val="true"/>
          <w:lang w:bidi="ar-SA"/>
        </w:rPr>
        <w:t xml:space="preserve">في قضيّة سمرة بن جندب ، مشتمل على قاعدتين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الضرر ، وهي غير منطبقة على مورد الرواية ؛ حيث إنّ سمرة ما أضرّ بالأنصاري في ماله أو نفسه ، بل كان يدخل داره بلا استئذان ، وهو من الضرار ؛ أي التحريج عليه والهتك له ؛ ممّا ليس بضرر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فالمنطبق عليه هو قاعدة الضرار ، وقد أشرنا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استعمالها الشائع في الكتاب والحديث في التحريج وإيقاع الكلفة والحرج على الغير ، بل لعلّها لم تستعمل في القرآن الكريم في غيره ، وأنّ استعمالها في الضرر نادر ، فراجع رسالتنا في قاعدة الضرر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سلطاني نافذ في الاُمّة</w:t>
      </w:r>
      <w:r>
        <w:rPr>
          <w:rStyle w:val="FootnoteAnchor"/>
          <w:rtl w:val="true"/>
        </w:rPr>
        <w:footnoteReference w:id="1222"/>
      </w:r>
      <w:r>
        <w:rPr>
          <w:rFonts w:ascii="Amiri" w:hAnsi="Amiri" w:eastAsia="Amiri" w:cs="Amiri"/>
          <w:color w:val="111111"/>
          <w:sz w:val="28"/>
          <w:sz w:val="28"/>
          <w:szCs w:val="28"/>
          <w:rtl w:val="true"/>
          <w:lang w:bidi="ar-SA"/>
        </w:rPr>
        <w:t>، ولا دخل له في تحديد الأحكام الإلهية ، والحكومة عليها ، كما هو المعروف</w:t>
      </w:r>
      <w:r>
        <w:rPr>
          <w:rStyle w:val="FootnoteAnchor"/>
          <w:rtl w:val="true"/>
        </w:rPr>
        <w:footnoteReference w:id="1223"/>
      </w:r>
      <w:r>
        <w:rPr>
          <w:rFonts w:ascii="Amiri" w:hAnsi="Amiri" w:eastAsia="Amiri" w:cs="Amiri"/>
          <w:color w:val="111111"/>
          <w:sz w:val="28"/>
          <w:sz w:val="28"/>
          <w:szCs w:val="28"/>
          <w:rtl w:val="true"/>
          <w:lang w:bidi="ar-SA"/>
        </w:rPr>
        <w:t xml:space="preserve">، فيحرم على الاُمّة إضرار الغير وإيقاع الضرار ؛ أي الحرج عليه </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بقاء الدين مع إرادة المدين الخروج عن عهدته ، حرجا عليه ولو لم يمسّ وجاهته ، بل نفس هذا الأمر حينما أراد الخروج عن عهدته ، </w:t>
      </w:r>
    </w:p>
    <w:p>
      <w:pPr>
        <w:pStyle w:val="BookText"/>
        <w:rPr/>
      </w:pPr>
      <w:r>
        <w:rPr>
          <w:rFonts w:ascii="Amiri" w:hAnsi="Amiri" w:eastAsia="Amiri" w:cs="Amiri"/>
          <w:color w:val="111111"/>
          <w:sz w:val="28"/>
          <w:sz w:val="28"/>
          <w:szCs w:val="28"/>
          <w:rtl w:val="true"/>
          <w:lang w:bidi="ar-SA"/>
        </w:rPr>
        <w:t xml:space="preserve">أمر شاقّ عليه ، يدفع بقاعدة الضرار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كونه مستندا إلى الدائن ، فواضح على ما قرّرناه ؛ فإنّ ما هو موجب للتحريج على المدين ، هو إمساك الدائن عن قبوله عند العرض عليه ، وهذا فعل الدائن ، والمدين أقدم على أخذ الدين إلى أجل ، ولم يقدّم على هذا الأمر المشار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في بعض التعليقات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الاستناد إليه ؛ لأنّ الكون في الخارج ، والكون في الذمّة ، متضادّان ، وليس عدم الضدّ مقدّمة لوجود ضدّه ، حتّى يكون وجوده في الذمّة ، بقاءً مستندا إلى شرطه ؛ وهو عدم كونه في الخارج المستند إلى ترك القبول المستند إلى الدائن</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بمرضيّ ؛ فإنّ التحريج إنّما هو من قبيل ترك القبول عند إرادة الأداء ، فنفس الإباء عن القبول تحريج ، بل إيذاء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بحسب العادة ، وإلاّ فلو أوجب بقاء الدين الحطّ من وجاهته والمسّ بكرامته ، كان استناد الإيذاء والتحريج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قبوله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الاستناد إلى قاعدة تسلّط الناس على أنفسهم ؛ فإنّها قاعدة عقلائية ، لم يردع عنها الشارع ، بل قاعدة تسلّط الناس على أموالهم أيضا قاعدة عقلائية ، وإن وردت من الشارع الأعظم ، بناءً على أنّ الرواية الواردة فيها </w:t>
      </w:r>
      <w:r>
        <w:rPr>
          <w:rStyle w:val="FootnoteAnchor"/>
          <w:rtl w:val="true"/>
        </w:rPr>
        <w:footnoteReference w:id="1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تنفيذ للقاعدة العقلائية ، فمقتضى القاعدة سلطنته على تفريغ ذمّته من الدين </w:t>
      </w:r>
      <w:r>
        <w:rPr>
          <w:rFonts w:eastAsia="Amiri" w:cs="Amiri" w:ascii="Amiri" w:hAnsi="Amiri"/>
          <w:color w:val="111111"/>
          <w:sz w:val="28"/>
          <w:szCs w:val="28"/>
          <w:rtl w:val="true"/>
          <w:lang w:bidi="ar-SA"/>
        </w:rPr>
        <w:t xml:space="preserve">. </w:t>
      </w:r>
      <w:bookmarkStart w:id="732" w:name="pg15222_162667"/>
    </w:p>
    <w:p>
      <w:pPr>
        <w:pStyle w:val="BookText"/>
        <w:rPr/>
      </w:pPr>
      <w:bookmarkEnd w:id="732"/>
      <w:r>
        <w:rPr>
          <w:rFonts w:ascii="Amiri" w:hAnsi="Amiri" w:eastAsia="Amiri" w:cs="Amiri"/>
          <w:color w:val="111111"/>
          <w:sz w:val="28"/>
          <w:sz w:val="28"/>
          <w:szCs w:val="28"/>
          <w:rtl w:val="true"/>
          <w:lang w:bidi="ar-SA"/>
        </w:rPr>
        <w:t xml:space="preserve">ولا تعارضها سلطنة الدائن على نفسه في القبول وتركه ؛ لأنّ قاعدتها حيثية ، لا إطلاق فيها لإيقاع الضرر أو الحرج على الغير ، فلا يصحّ التمسّك بقاعدة السلطنة على المال والنفس ؛ لإيقاع الضرب على الغير ، وقد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الإباء عن القبول ضرار ، فالقاعدة قاصرة عن شمول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لزوم القبول على فرض الحاجة إليه عقلائي ، فلو راجع المدين المحاكم العقلائية ، ألزموه بالقبول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يمكن التشبّث له بقاعدة السلطنة ، هو أصل جواز إلزامه على القبض ، وأمّا جواز كون الإلزام من نفس المديون ، فيستقلّ بالإلزام ، فلا ؛ لأنّ ذلك من شؤون الحكومة والولاية ، وليس على نحو الهرج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جاز له إلزامه فقبضه ، تعيّن الكلّي ولو كان عن إكراه ؛ لأنّ المعيّن هو القبض ، لا خصوص الاختياري منه 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حديث الرفع ، نفي أثر القبض ، وجعله كلا قبض ؛ فإنّ ذلك فيما إذا لم يكن الإكراه عن حقّ ، كما في المقام </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3332034_2142443653"/>
      <w:bookmarkStart w:id="734" w:name="_Toc266"/>
      <w:bookmarkEnd w:id="733"/>
      <w:r>
        <w:rPr>
          <w:rtl w:val="true"/>
        </w:rPr>
        <w:t>إلزام الحاكم الدائن الممتنع بقبول الدين</w:t>
      </w:r>
      <w:bookmarkEnd w:id="734"/>
    </w:p>
    <w:p>
      <w:pPr>
        <w:pStyle w:val="BookText"/>
        <w:rPr/>
      </w:pPr>
      <w:r>
        <w:rPr>
          <w:rFonts w:ascii="Amiri" w:hAnsi="Amiri" w:eastAsia="Amiri" w:cs="Amiri"/>
          <w:color w:val="111111"/>
          <w:sz w:val="28"/>
          <w:sz w:val="28"/>
          <w:szCs w:val="28"/>
          <w:rtl w:val="true"/>
          <w:lang w:bidi="ar-SA"/>
        </w:rPr>
        <w:t xml:space="preserve">ثمّ بناءً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القبول ، اللازم من حرمة الترك المنهيّ عنه ؛ بدليل نفي الضرار والتحريج ، لو امتنع من القبول ، كان للحاكم بعد الرفع إليه إلزامه عليه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يمكن الإلزام ، فله أن يقبضه من قبله ، فيصير ملكا للممتنع ؛ فإنّه مقتضى ولاية الحاكم ، وقد أشرنا إلى أنّ امتناعه بغير حقّ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دليل على كونه بغير حقّ</w:t>
      </w:r>
      <w:r>
        <w:rPr>
          <w:rStyle w:val="FootnoteAnchor"/>
          <w:rtl w:val="true"/>
        </w:rPr>
        <w:footnoteReference w:id="1226"/>
      </w:r>
      <w:r>
        <w:rPr>
          <w:rFonts w:ascii="Amiri" w:hAnsi="Amiri" w:eastAsia="Amiri" w:cs="Amiri"/>
          <w:color w:val="111111"/>
          <w:sz w:val="28"/>
          <w:sz w:val="28"/>
          <w:szCs w:val="28"/>
          <w:rtl w:val="true"/>
          <w:lang w:bidi="ar-SA"/>
        </w:rPr>
        <w:t xml:space="preserve">فاسد لما تقدّم ، مع أ نّه دلّت على أمثال ذلك ، قضيّة سمرة والأنصاري ؛ حيث إنّ الأمر بالقلع مذيّلاً بأ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السلطاني لحسم مادة الفساد ، ورفع إيقاع الضرار والحرج عن الأنصاري ، ومثل هذا الحكم ثابت في الأشباه والنظائر ، كما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يتعيّن على الحاكم إلزامه بالقبول ، بل له دفع الحرج عنه ؛ إمّا بإلزام الدائن ، أو بتصدّيه للقبض ، أو بأمره بالإلقاء عنده ، وكلّ ذلك يوجب التعيين ، وصيرورته ملكا للممتنع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الأمر بالمعروف ، المتساوي فيه الحاكم وغيره</w:t>
      </w:r>
      <w:r>
        <w:rPr>
          <w:rStyle w:val="FootnoteAnchor"/>
          <w:rtl w:val="true"/>
        </w:rPr>
        <w:footnoteReference w:id="1227"/>
      </w:r>
      <w:r>
        <w:rPr>
          <w:rFonts w:ascii="Amiri" w:hAnsi="Amiri" w:eastAsia="Amiri" w:cs="Amiri"/>
          <w:color w:val="111111"/>
          <w:sz w:val="28"/>
          <w:sz w:val="28"/>
          <w:szCs w:val="28"/>
          <w:rtl w:val="true"/>
          <w:lang w:bidi="ar-SA"/>
        </w:rPr>
        <w:t xml:space="preserve">في غير محلّه ؛ فإنّ باب رفع المنازعات موكول إلى الحاكم ؛ لئلاّ يلزم الهرج ، خصوصا في مثل هذه المسألة الاجتهادية المختلفة فيها الأنظار والآراء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الولاية في مثله للفقيه</w:t>
      </w:r>
      <w:r>
        <w:rPr>
          <w:rStyle w:val="FootnoteAnchor"/>
          <w:rtl w:val="true"/>
        </w:rPr>
        <w:footnoteReference w:id="1228"/>
      </w:r>
      <w:r>
        <w:rPr>
          <w:rFonts w:ascii="Amiri" w:hAnsi="Amiri" w:eastAsia="Amiri" w:cs="Amiri"/>
          <w:color w:val="111111"/>
          <w:sz w:val="28"/>
          <w:sz w:val="28"/>
          <w:szCs w:val="28"/>
          <w:rtl w:val="true"/>
          <w:lang w:bidi="ar-SA"/>
        </w:rPr>
        <w:t xml:space="preserve">ناشئ من عدم التأمّل في سعة ولاية السلطان ، الثابتة بإطلاقها للفقيه في عصر الغيبة </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من بعض ؛ حيث يشعر كلامه بعدم ولاية الإمام علیه السلام على مثل ذلك</w:t>
      </w:r>
      <w:r>
        <w:rPr>
          <w:rStyle w:val="FootnoteAnchor"/>
          <w:rtl w:val="true"/>
        </w:rPr>
        <w:footnoteReference w:id="1229"/>
      </w:r>
      <w:r>
        <w:rPr>
          <w:rFonts w:ascii="IRNazanin" w:hAnsi="IRNazanin" w:eastAsia="IRNazanin"/>
          <w:color w:val="111111"/>
          <w:sz w:val="28"/>
          <w:sz w:val="28"/>
          <w:szCs w:val="28"/>
          <w:rtl w:val="true"/>
          <w:lang w:bidi="fa-IR"/>
        </w:rPr>
        <w:t xml:space="preserve">غفلة عن حدود ولاية رسول اللّه صلی الله علیه و آله وسلم ، المنتقلة إلى الأئمّة علیهم السلام ، وعن كيفية إعمال السلطنة في قضيّة سمرة ، فالتعيّن بأحد المذكورات في المقام ؛ لأجل </w:t>
      </w:r>
      <w:bookmarkStart w:id="735" w:name="pg15222_162669"/>
    </w:p>
    <w:p>
      <w:pPr>
        <w:pStyle w:val="BookText"/>
        <w:rPr/>
      </w:pPr>
      <w:bookmarkEnd w:id="735"/>
      <w:r>
        <w:rPr>
          <w:rFonts w:ascii="Amiri" w:hAnsi="Amiri" w:eastAsia="Amiri" w:cs="Amiri"/>
          <w:color w:val="111111"/>
          <w:sz w:val="28"/>
          <w:sz w:val="28"/>
          <w:szCs w:val="28"/>
          <w:rtl w:val="true"/>
          <w:lang w:bidi="ar-SA"/>
        </w:rPr>
        <w:t xml:space="preserve">الولاية ، لا لحكومة دليل الضرر على اشتراطه بقبض الدائن ؛ فإنّه غير مرضيّ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لم يمكن الرجوع إلى الحاكم ، ولا الاستئذان منه ، ولم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الإلقاء لديه مطلقا ، بل اعتبرنا في تعيّنه قبوله وقبضه ، أو من يقوم مقامه ، فقيام عدول المؤمنين مقام الحاكم في ذلك محلّ إشكال ؛ لعدم الدليل على ولايتهم كولاية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يجوز بل يجب على كلّ مكلّف ، دفع الظلم عن المدين ؛ بإلزام الدائن على القبول ، فيتعيّن بقبوله </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3332036_2142443653"/>
      <w:bookmarkStart w:id="737" w:name="_Toc267"/>
      <w:bookmarkEnd w:id="736"/>
      <w:r>
        <w:rPr>
          <w:rtl w:val="true"/>
        </w:rPr>
        <w:t>حكم ما لو لم يمكن الرجوع إلى الحاكم أو عدول المؤمنين</w:t>
      </w:r>
      <w:bookmarkEnd w:id="737"/>
    </w:p>
    <w:p>
      <w:pPr>
        <w:pStyle w:val="BookText"/>
        <w:rPr/>
      </w:pPr>
      <w:r>
        <w:rPr>
          <w:rFonts w:ascii="Amiri" w:hAnsi="Amiri" w:eastAsia="Amiri" w:cs="Amiri"/>
          <w:color w:val="111111"/>
          <w:sz w:val="28"/>
          <w:sz w:val="28"/>
          <w:szCs w:val="28"/>
          <w:rtl w:val="true"/>
          <w:lang w:bidi="ar-SA"/>
        </w:rPr>
        <w:t>ولو لم يمكن ذلك ، فلا طريق لبراءة ذمّة المديون ، والتشبّث بدليل نفي الضرر لرفع اعتبار القبول ، فرع صحّة المبنى ، وهو حكومته على الأدلّة الأوّلية ، كما هو المعروف بينهم ، وقد زيّفناه في مقامه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الكلّي في الذمّة بقبض عدول المؤمنين ، ولا بعزل المدين ، بل تبقى ذمّته مشغولة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يسهّل الخطب ، أنّ الإلقاء لديه يكفي في تعيّنه ، كما مرّ في أوّل المبحث</w:t>
      </w:r>
      <w:r>
        <w:rPr>
          <w:rStyle w:val="FootnoteAnchor"/>
          <w:rtl w:val="true"/>
        </w:rPr>
        <w:footnoteReference w:id="1231"/>
      </w:r>
      <w:r>
        <w:rPr>
          <w:rFonts w:ascii="Amiri" w:hAnsi="Amiri" w:eastAsia="Amiri" w:cs="Amiri"/>
          <w:color w:val="111111"/>
          <w:sz w:val="28"/>
          <w:sz w:val="28"/>
          <w:szCs w:val="28"/>
          <w:rtl w:val="true"/>
          <w:lang w:bidi="ar-SA"/>
        </w:rPr>
        <w:t xml:space="preserve">، ولا يعتبر في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تقديمه إلى الدائن ، وإقداره على 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أفاده الشيخ الأعظم قدّس سرّه في المقام ، فلا يخلو من غرابة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إجباره ، فطريق براءة الذمّة أن يعزل حقّه ، ويجعله أمانة عنده ، فإن تلف فعلى ذي الحقّ ، ولكن لم يخرج بذلك عن ملك مالكه ، فنماء المعزول له</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لا دليل على لزوم براءة ذمّته بأيّ طريق كان ، فلا معنى لصيرورة العزل ، موجبا لبراءته مع فقد الدليل عليها ، ثمّ لا وجه لبقائه على ملك المدين ، وتلفه على الدائن ، والفرار منه بتقديره آنا ما ملكا له ، حتّى يقع التلف منه</w:t>
      </w:r>
      <w:r>
        <w:rPr>
          <w:rStyle w:val="FootnoteAnchor"/>
          <w:rtl w:val="true"/>
        </w:rPr>
        <w:footnoteReference w:id="1233"/>
      </w:r>
      <w:r>
        <w:rPr>
          <w:rFonts w:ascii="IRNazanin" w:hAnsi="IRNazanin" w:eastAsia="IRNazanin"/>
          <w:color w:val="111111"/>
          <w:sz w:val="28"/>
          <w:sz w:val="28"/>
          <w:szCs w:val="28"/>
          <w:rtl w:val="true"/>
          <w:lang w:bidi="fa-IR"/>
        </w:rPr>
        <w:t xml:space="preserve">، بلا وجه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المسألة لا تحتاج إلى تلك التشبّثات والتطويلات ، فالبحث عن نمائه ، وعن تلفه ، وعن وجوب حفظه ، وعن جواز تصرّفه فيه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 تطويل بلا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ما ذكرناه في مفاد دليل الضرر والضرار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نهي سلطاني ، لا أ نّه نفي وحاكم على الأدلّة الأوّلية</w:t>
      </w:r>
      <w:r>
        <w:rPr>
          <w:rStyle w:val="FootnoteAnchor"/>
          <w:rtl w:val="true"/>
        </w:rPr>
        <w:footnoteReference w:id="1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يظهر الحال في أشباه المقام ، كما فيما ذكره في محكيّ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الحكم بكون تلف المعزول من صاحب الدين الممتنع من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في انسحاب هذا الحكم لمن أجبره الظالم على دفع نصيب شريكه الغائب في مال على جهة الإشاعة ؛ بحيث يتعيّن المدفوع للشريك بدليل نفي الضرر ، ولا يتلف منهما ، تردّدا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عدم الانسحاب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الأعظم قدّس سرّه بعد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بعموم نفي الضرر في موارد الفقه ، من دون انجباره بعمل الأصحاب ، يؤسّس فقهاً جديداً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متين ، لكنّه دليل على عدم كون مفاد الدليل ما ذكروه ، وعدم تمامية ما فرّعوا عليه ؛ من حكومته على الأدلّة ، وشاهد على ما ذكرناه ، كما تشهد به نفس الواقعة </w:t>
      </w:r>
      <w:r>
        <w:rPr>
          <w:rFonts w:eastAsia="Amiri" w:cs="Amiri" w:ascii="Amiri" w:hAnsi="Amiri"/>
          <w:color w:val="111111"/>
          <w:sz w:val="28"/>
          <w:szCs w:val="28"/>
          <w:rtl w:val="true"/>
          <w:lang w:bidi="ar-SA"/>
        </w:rPr>
        <w:t xml:space="preserve">. </w:t>
      </w:r>
      <w:bookmarkStart w:id="738" w:name="pg15222_162672"/>
    </w:p>
    <w:p>
      <w:pPr>
        <w:pStyle w:val="Heading3"/>
        <w:numPr>
          <w:ilvl w:val="2"/>
          <w:numId w:val="1"/>
        </w:numPr>
        <w:rPr/>
      </w:pPr>
      <w:bookmarkStart w:id="739" w:name="__RefHeading___Toc3332038_2142443653"/>
      <w:bookmarkStart w:id="740" w:name="_Toc268"/>
      <w:bookmarkEnd w:id="738"/>
      <w:bookmarkEnd w:id="739"/>
      <w:r>
        <w:rPr>
          <w:rtl w:val="true"/>
        </w:rPr>
        <w:t xml:space="preserve">مسألة </w:t>
      </w:r>
      <w:r>
        <w:rPr>
          <w:rtl w:val="true"/>
        </w:rPr>
        <w:t xml:space="preserve">: </w:t>
      </w:r>
      <w:r>
        <w:rPr>
          <w:rtl w:val="true"/>
        </w:rPr>
        <w:t>في عدم جواز تأجيل الثمن الحالّ بأزيد منه</w:t>
      </w:r>
      <w:bookmarkEnd w:id="740"/>
    </w:p>
    <w:p>
      <w:pPr>
        <w:pStyle w:val="Heading4"/>
        <w:numPr>
          <w:ilvl w:val="3"/>
          <w:numId w:val="1"/>
        </w:numPr>
        <w:rPr/>
      </w:pPr>
      <w:bookmarkStart w:id="741" w:name="__RefHeading___Toc3332040_2142443653"/>
      <w:bookmarkStart w:id="742" w:name="_Toc269"/>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 xml:space="preserve">لا ينبغي الإشكال في عدم جواز تأجيل الثمن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مطلق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بأزيد منه ؛ فإنّه رباً محرّم ، وكذا لو كان القرض إلى أجل ، فزاد فيه مقابل زيادة عينية أو حكمية ؛ لأ نّه من الربا عرفاً ، ولا يحلّل الربا بالتخلّص عنه بالحيلة ؛ بأن يصالحه في مقابل الإمهال بشيء ، أو بغير ذلك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تأمّل في الآيات</w:t>
      </w:r>
      <w:r>
        <w:rPr>
          <w:rStyle w:val="FootnoteAnchor"/>
          <w:rtl w:val="true"/>
        </w:rPr>
        <w:footnoteReference w:id="1236"/>
      </w:r>
      <w:r>
        <w:rPr>
          <w:rFonts w:ascii="Amiri" w:hAnsi="Amiri" w:eastAsia="Amiri" w:cs="Amiri"/>
          <w:color w:val="111111"/>
          <w:sz w:val="28"/>
          <w:sz w:val="28"/>
          <w:szCs w:val="28"/>
          <w:rtl w:val="true"/>
          <w:lang w:bidi="ar-SA"/>
        </w:rPr>
        <w:t>والروايات</w:t>
      </w:r>
      <w:r>
        <w:rPr>
          <w:rStyle w:val="FootnoteAnchor"/>
          <w:rtl w:val="true"/>
        </w:rPr>
        <w:footnoteReference w:id="1237"/>
      </w:r>
      <w:r>
        <w:rPr>
          <w:rFonts w:ascii="Amiri" w:hAnsi="Amiri" w:eastAsia="Amiri" w:cs="Amiri"/>
          <w:color w:val="111111"/>
          <w:sz w:val="28"/>
          <w:sz w:val="28"/>
          <w:szCs w:val="28"/>
          <w:rtl w:val="true"/>
          <w:lang w:bidi="ar-SA"/>
        </w:rPr>
        <w:t xml:space="preserve">الواردة في باب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السحت الذي يستجلب من المفاسد والمشاكل ما لا يحصى ، ولقد عدّه اللّه تعالى في كتابه من الظلم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xml:space="preserve">وما ورد في الروايات من التشديد عليه ، وأنّ الدرهم منه كذا وكذا </w:t>
      </w:r>
      <w:r>
        <w:rPr>
          <w:rStyle w:val="FootnoteAnchor"/>
          <w:rtl w:val="true"/>
        </w:rPr>
        <w:footnoteReference w:id="1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أ نّه </w:t>
      </w:r>
    </w:p>
    <w:p>
      <w:pPr>
        <w:pStyle w:val="BookText"/>
        <w:rPr/>
      </w:pPr>
      <w:r>
        <w:rPr>
          <w:rFonts w:ascii="Amiri" w:hAnsi="Amiri" w:eastAsia="Amiri" w:cs="Amiri"/>
          <w:color w:val="111111"/>
          <w:sz w:val="28"/>
          <w:sz w:val="28"/>
          <w:szCs w:val="28"/>
          <w:rtl w:val="true"/>
          <w:lang w:bidi="ar-SA"/>
        </w:rPr>
        <w:t>لا يحلّ ولا يجوز بالتخلّص منه بتغيير العبارة أو العنوان، مع بقاء واقع الربا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وهبه عشرين ديناراً ؛ ليقرضه ألفاً إلى شهر ، حرم ولو لم يكن في القرض شرط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المقام وإن لم يكن شرط الزيادة في القرض ، وإنّما زاد شيئاً لتأخير الثمن أو القرض ، لكنّه محرّم ؛ إمّا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كما هو كذلك عرفاً ، أو لانسحاب مفسدة الربا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بوجه من الوجوه التخلّص منه بالحيل التي ذكروها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ذكرناه إنّما هو في الربا القرضي ، وأمّا قضيّة بيع المثل بالمثل ، فهو أمر آخر غير مربوط بالربا ، وإن اُطلق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في محلّه</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على الحكم رواية محمّد بن مسلم ،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يكون عليه دين إلى أجل مسمّى ، فيأتيه غريمه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أنقدني من الذي لي كذا وكذا ، وأضع لك بقيّته ،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أنقدني بعضاً ، وأمدّ لك في الأجل فيما بقي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به بأساً ما لم يزد على رأس ماله شيئاً ،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رُؤُوسُ أَمْوَالِكُمْ لاَ تَظْلِمُونَ وَلاَ تُظْلَمُونَ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ظاهرة الدلالة في أنّ الزيادة على رؤوس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بإعطائها </w:t>
      </w:r>
      <w:bookmarkStart w:id="743" w:name="pg15222_162674"/>
    </w:p>
    <w:p>
      <w:pPr>
        <w:pStyle w:val="BookText"/>
        <w:rPr/>
      </w:pPr>
      <w:bookmarkEnd w:id="743"/>
      <w:r>
        <w:rPr>
          <w:rFonts w:ascii="Amiri" w:hAnsi="Amiri" w:eastAsia="Amiri" w:cs="Amiri"/>
          <w:color w:val="111111"/>
          <w:sz w:val="28"/>
          <w:sz w:val="28"/>
          <w:szCs w:val="28"/>
          <w:rtl w:val="true"/>
          <w:lang w:bidi="ar-SA"/>
        </w:rPr>
        <w:t xml:space="preserve">للتأجيل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 ، وأ نّها من الظلم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البَيْعَ وَحَرَّمَ الرِّبَوا</w:t>
      </w:r>
      <w:r>
        <w:rPr>
          <w:rFonts w:eastAsia="Amiri" w:cs="Amiri" w:ascii="Amiri" w:hAnsi="Amiri"/>
          <w:color w:val="111111"/>
          <w:sz w:val="28"/>
          <w:szCs w:val="28"/>
          <w:rtl w:val="true"/>
          <w:lang w:bidi="ar-SA"/>
        </w:rPr>
        <w:t>)</w:t>
      </w:r>
      <w:r>
        <w:rPr>
          <w:rStyle w:val="FootnoteAnchor"/>
          <w:rtl w:val="true"/>
        </w:rPr>
        <w:footnoteReference w:id="1244"/>
      </w:r>
      <w:r>
        <w:rPr>
          <w:rFonts w:ascii="Amiri" w:hAnsi="Amiri" w:eastAsia="Amiri" w:cs="Amiri"/>
          <w:color w:val="111111"/>
          <w:sz w:val="28"/>
          <w:sz w:val="28"/>
          <w:szCs w:val="28"/>
          <w:rtl w:val="true"/>
          <w:lang w:bidi="ar-SA"/>
        </w:rPr>
        <w:t>نزل في زيادة المال لزيادة الأجل في الديون الحالّة</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أيّده الشيخ الأعظم قدّس سرّه </w:t>
      </w:r>
      <w:r>
        <w:rPr>
          <w:rStyle w:val="FootnoteAnchor"/>
          <w:rtl w:val="true"/>
        </w:rPr>
        <w:footnoteReference w:id="1246"/>
      </w:r>
      <w:r>
        <w:rPr>
          <w:rFonts w:ascii="Amiri" w:hAnsi="Amiri" w:eastAsia="Amiri" w:cs="Amiri"/>
          <w:color w:val="111111"/>
          <w:sz w:val="28"/>
          <w:sz w:val="28"/>
          <w:szCs w:val="28"/>
          <w:rtl w:val="true"/>
          <w:lang w:bidi="ar-SA"/>
        </w:rPr>
        <w:t>، بالأخبار الواردة في تعليم الحيل</w:t>
      </w:r>
      <w:r>
        <w:rPr>
          <w:rStyle w:val="FootnoteAnchor"/>
          <w:rtl w:val="true"/>
        </w:rPr>
        <w:footnoteReference w:id="1247"/>
      </w:r>
      <w:r>
        <w:rPr>
          <w:rFonts w:ascii="Amiri" w:hAnsi="Amiri" w:eastAsia="Amiri" w:cs="Amiri"/>
          <w:color w:val="111111"/>
          <w:sz w:val="28"/>
          <w:sz w:val="28"/>
          <w:szCs w:val="28"/>
          <w:rtl w:val="true"/>
          <w:lang w:bidi="ar-SA"/>
        </w:rPr>
        <w:t>ولنا في تلك الروايات تأمّل وكلام قد ذكرناه بتفصيله في محلّه</w:t>
      </w:r>
      <w:r>
        <w:rPr>
          <w:rStyle w:val="FootnoteAnchor"/>
          <w:rtl w:val="true"/>
        </w:rPr>
        <w:footnoteReference w:id="1248"/>
      </w:r>
      <w:r>
        <w:rPr>
          <w:rFonts w:ascii="IRNazanin" w:hAnsi="IRNazanin" w:eastAsia="IRNazanin"/>
          <w:color w:val="111111"/>
          <w:sz w:val="28"/>
          <w:sz w:val="28"/>
          <w:szCs w:val="28"/>
          <w:rtl w:val="true"/>
          <w:lang w:bidi="fa-IR"/>
        </w:rPr>
        <w:t xml:space="preserve">، وإجماله </w:t>
      </w:r>
      <w:r>
        <w:rPr>
          <w:rFonts w:eastAsia="IRNazanin" w:cs="IRNazanin"/>
          <w:color w:val="111111"/>
          <w:sz w:val="28"/>
          <w:szCs w:val="28"/>
          <w:rtl w:val="true"/>
          <w:lang w:bidi="fa-IR"/>
        </w:rPr>
        <w:t>:</w:t>
      </w:r>
    </w:p>
    <w:p>
      <w:pPr>
        <w:pStyle w:val="Heading4"/>
        <w:numPr>
          <w:ilvl w:val="3"/>
          <w:numId w:val="1"/>
        </w:numPr>
        <w:rPr/>
      </w:pPr>
      <w:bookmarkStart w:id="744" w:name="__RefHeading___Toc3332042_2142443653"/>
      <w:bookmarkStart w:id="745" w:name="_Toc270"/>
      <w:bookmarkEnd w:id="744"/>
      <w:r>
        <w:rPr>
          <w:rtl w:val="true"/>
        </w:rPr>
        <w:t>بحث في أخبار تعليم حيل الربا</w:t>
      </w:r>
      <w:bookmarkEnd w:id="74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الروايات الواردة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بعض منها ، وكون مرجع جملة منها محمّد بن إسحاق بن عمّار</w:t>
      </w:r>
      <w:r>
        <w:rPr>
          <w:rStyle w:val="FootnoteAnchor"/>
          <w:rtl w:val="true"/>
        </w:rPr>
        <w:footnoteReference w:id="1249"/>
      </w:r>
      <w:r>
        <w:rPr>
          <w:rFonts w:ascii="Amiri" w:hAnsi="Amiri" w:eastAsia="Amiri" w:cs="Amiri"/>
          <w:color w:val="111111"/>
          <w:sz w:val="28"/>
          <w:sz w:val="28"/>
          <w:szCs w:val="28"/>
          <w:rtl w:val="true"/>
          <w:lang w:bidi="ar-SA"/>
        </w:rPr>
        <w:t>، الذي قال الصدوق بوقفه</w:t>
      </w:r>
      <w:r>
        <w:rPr>
          <w:rStyle w:val="FootnoteAnchor"/>
          <w:rtl w:val="true"/>
        </w:rPr>
        <w:footnoteReference w:id="1250"/>
      </w:r>
      <w:r>
        <w:rPr>
          <w:rFonts w:ascii="Amiri" w:hAnsi="Amiri" w:eastAsia="Amiri" w:cs="Amiri"/>
          <w:color w:val="111111"/>
          <w:sz w:val="28"/>
          <w:sz w:val="28"/>
          <w:szCs w:val="28"/>
          <w:rtl w:val="true"/>
          <w:lang w:bidi="ar-SA"/>
        </w:rPr>
        <w:t>، وتوقّف العلاّمة في حديثه</w:t>
      </w:r>
      <w:r>
        <w:rPr>
          <w:rStyle w:val="FootnoteAnchor"/>
          <w:rtl w:val="true"/>
        </w:rPr>
        <w:footnoteReference w:id="1251"/>
      </w:r>
      <w:r>
        <w:rPr>
          <w:rFonts w:ascii="Amiri" w:hAnsi="Amiri" w:eastAsia="Amiri" w:cs="Amiri"/>
          <w:color w:val="111111"/>
          <w:sz w:val="28"/>
          <w:sz w:val="28"/>
          <w:szCs w:val="28"/>
          <w:rtl w:val="true"/>
          <w:lang w:bidi="ar-SA"/>
        </w:rPr>
        <w:t>، ومعارضتها لبعض الروايات</w:t>
      </w:r>
      <w:r>
        <w:rPr>
          <w:rStyle w:val="FootnoteAnchor"/>
          <w:rtl w:val="true"/>
        </w:rPr>
        <w:footnoteReference w:id="1252"/>
      </w:r>
      <w:r>
        <w:rPr>
          <w:rFonts w:ascii="Amiri" w:hAnsi="Amiri" w:eastAsia="Amiri" w:cs="Amiri"/>
          <w:color w:val="111111"/>
          <w:sz w:val="28"/>
          <w:sz w:val="28"/>
          <w:szCs w:val="28"/>
          <w:rtl w:val="true"/>
          <w:lang w:bidi="ar-SA"/>
        </w:rPr>
        <w:t xml:space="preserve">، واختلاف متونها في الجملة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مخالفة للكتاب الذي عدّ الربا ظلماً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الزيادة في المال للزيادة في الأجل بأيّ نحو كان ، يعدّ في العرف رباً ، ولا فرق بين إعطاء عشرة دنانير مثلاً ، في مقابل زيادة الأجل ، الذي هو الربا عرفاً وبحسب الروايات ، وبين بيع ما يساوي درهماً بعشرة دنانير ، في مقابل ازدياد الأجل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ومخالفة أيضا للتعليلات الواردة في الأخبار ،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حرّم اللّه عزّ وجلّ الربا ؛ لكيلا يمتنع الناس من اصطناع المعروف</w:t>
      </w:r>
      <w:r>
        <w:rPr>
          <w:rFonts w:eastAsia="IRNazanin" w:cs="IRNazanin"/>
          <w:color w:val="111111"/>
          <w:sz w:val="28"/>
          <w:szCs w:val="28"/>
          <w:rtl w:val="true"/>
          <w:lang w:bidi="fa-IR"/>
        </w:rPr>
        <w:t>»</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الربا حلالاً لترك الناس التجارات</w:t>
      </w:r>
      <w:r>
        <w:rPr>
          <w:rFonts w:eastAsia="IRNazanin" w:cs="IRNazanin"/>
          <w:color w:val="111111"/>
          <w:sz w:val="28"/>
          <w:szCs w:val="28"/>
          <w:rtl w:val="true"/>
          <w:lang w:bidi="fa-IR"/>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وعلّة تحريم الربا بالنسيئة ، لعلّة ذهاب المعروف ، وتلف الأموال ، ورغبة الناس في الربح ، وتركهم القرض ، والقرض صنائع المعروف ، ولما في ذلك من الفساد ، والظلم ، وفناء الأموال</w:t>
      </w:r>
      <w:r>
        <w:rPr>
          <w:rFonts w:eastAsia="IRNazanin" w:cs="IRNazanin"/>
          <w:color w:val="111111"/>
          <w:sz w:val="28"/>
          <w:szCs w:val="28"/>
          <w:rtl w:val="true"/>
          <w:lang w:bidi="fa-IR"/>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ترى يدفع الظلم والفساد وفناء الأموال ؛ باختلاف كلمة ، مع بقاء ذلك بحاله ؟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وحكي أنّ من ألفاظ رسول اللّه صلی الله علیه و آله وسلم الموجزة التي لم يسبق إليها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 </w:t>
      </w:r>
    </w:p>
    <w:p>
      <w:pPr>
        <w:pStyle w:val="BookText"/>
        <w:rPr/>
      </w:pPr>
      <w:r>
        <w:rPr>
          <w:rFonts w:ascii="Amiri" w:hAnsi="Amiri" w:eastAsia="Amiri" w:cs="Amiri"/>
          <w:color w:val="111111"/>
          <w:sz w:val="28"/>
          <w:sz w:val="28"/>
          <w:szCs w:val="28"/>
          <w:rtl w:val="true"/>
          <w:lang w:bidi="ar-SA"/>
        </w:rPr>
        <w:t>المكاسب كسب الربا</w:t>
      </w:r>
      <w:r>
        <w:rPr>
          <w:rFonts w:eastAsia="Amiri" w:cs="Amiri" w:ascii="Amiri" w:hAnsi="Amiri"/>
          <w:color w:val="111111"/>
          <w:sz w:val="28"/>
          <w:szCs w:val="28"/>
          <w:rtl w:val="true"/>
          <w:lang w:bidi="ar-SA"/>
        </w:rPr>
        <w:t>»</w:t>
      </w:r>
      <w:r>
        <w:rPr>
          <w:rStyle w:val="FootnoteAnchor"/>
          <w:rtl w:val="true"/>
        </w:rPr>
        <w:footnoteReference w:id="1256"/>
      </w:r>
      <w:r>
        <w:rPr>
          <w:rFonts w:ascii="Amiri" w:hAnsi="Amiri" w:eastAsia="Amiri" w:cs="Amiri"/>
          <w:color w:val="111111"/>
          <w:sz w:val="28"/>
          <w:sz w:val="28"/>
          <w:szCs w:val="28"/>
          <w:rtl w:val="true"/>
          <w:lang w:bidi="ar-SA"/>
        </w:rPr>
        <w:t xml:space="preserve">والظاهر صدقه على هذه الحيل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في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وسلم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إنّ القوم سيفتنون بأموالهم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ويستحلّون حرامه بالشبهات الكاذبة ، والأهواء الساهية ، فيستحلّون الخمر بالنبيذ ، والسحت بالهديّة ، والربا بالبيع</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 xml:space="preserve">فهل يكون استحلال الربا بالبيع ، غير هذه الحيل المنسوبة إلى المعصوم علیه السلام ، اللازم تنزيهه عنها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في نفس تلك الروايات ، ما هو شاهد على عدم صدورها منهم علیهم السلام ، فإنّ ابن إسحاق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يروي عن الرضا علیه السلام أ 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أمرني أبي ففعلت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الحيلة المذكورة ، واُخرى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أبي الحسن علیه السلام عين ذلك</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مسعدة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فعل أبي ، وأمرني أن أفعل ذلك في شيء كان عليه</w:t>
      </w:r>
      <w:r>
        <w:rPr>
          <w:rFonts w:eastAsia="IRNazanin" w:cs="IRNazanin"/>
          <w:color w:val="111111"/>
          <w:sz w:val="28"/>
          <w:szCs w:val="28"/>
          <w:rtl w:val="true"/>
          <w:lang w:bidi="fa-IR"/>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أستبعد أن تكون تلك الروايات من دسّ المخالفين ؛ لتشويه سمعة الأئمّة الطاهرين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أستبعد ذلك في الروايات الواردة في باب بيع العنب أو التمر ممّن يعلم أنّه يصنعه خمراً ، حيث ورد فيها عن أبي عبداللّه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ألسنا نبيع تمرنا ممّن يجعله شراباً خبيثاً </w:t>
      </w:r>
      <w:r>
        <w:rPr>
          <w:rStyle w:val="FootnoteAnchor"/>
          <w:rtl w:val="true"/>
        </w:rPr>
        <w:footnoteReference w:id="1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نبيع تمرنا ممّن نعلم أ نّه يصنعه خمراً</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ما ورد من التشديد في أمر الخمر ، واللعن على أصناف ، حتّى الغارس والحارس والحامل</w:t>
      </w:r>
      <w:r>
        <w:rPr>
          <w:rStyle w:val="FootnoteAnchor"/>
          <w:rtl w:val="true"/>
        </w:rPr>
        <w:footnoteReference w:id="1262"/>
      </w:r>
      <w:r>
        <w:rPr>
          <w:rFonts w:ascii="IRNazanin" w:hAnsi="IRNazanin" w:eastAsia="IRNazanin"/>
          <w:color w:val="111111"/>
          <w:sz w:val="28"/>
          <w:sz w:val="28"/>
          <w:szCs w:val="28"/>
          <w:rtl w:val="true"/>
          <w:lang w:bidi="fa-IR"/>
        </w:rPr>
        <w:t xml:space="preserve">؛ لكونهم معينين على هذا الحرام الخبيث ، أفلا يكون البيع ممّن يعلم أ نّه يجعله خمراً ، إعانة على ذلك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ممّا لا يعقل صدوره من المعصوم علیه السلام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العمل بمثل تلك الروايات ، جرأة على المولى ؛ لمخالفة مضمونها للكتاب والسنّة </w:t>
      </w:r>
      <w:r>
        <w:rPr>
          <w:rFonts w:eastAsia="Amiri" w:cs="Amiri" w:ascii="Amiri" w:hAnsi="Amiri"/>
          <w:color w:val="111111"/>
          <w:sz w:val="28"/>
          <w:szCs w:val="28"/>
          <w:rtl w:val="true"/>
          <w:lang w:bidi="ar-SA"/>
        </w:rPr>
        <w:t xml:space="preserve">. </w:t>
      </w:r>
      <w:bookmarkStart w:id="746" w:name="pg15222_162678"/>
    </w:p>
    <w:p>
      <w:pPr>
        <w:pStyle w:val="Heading3"/>
        <w:numPr>
          <w:ilvl w:val="2"/>
          <w:numId w:val="1"/>
        </w:numPr>
        <w:rPr/>
      </w:pPr>
      <w:bookmarkStart w:id="747" w:name="__RefHeading___Toc3332044_2142443653"/>
      <w:bookmarkStart w:id="748" w:name="_Toc271"/>
      <w:bookmarkEnd w:id="746"/>
      <w:bookmarkEnd w:id="747"/>
      <w:r>
        <w:rPr>
          <w:rtl w:val="true"/>
        </w:rPr>
        <w:t xml:space="preserve">مسألة </w:t>
      </w:r>
      <w:r>
        <w:rPr>
          <w:rtl w:val="true"/>
        </w:rPr>
        <w:t xml:space="preserve">: </w:t>
      </w:r>
      <w:r>
        <w:rPr>
          <w:rtl w:val="true"/>
        </w:rPr>
        <w:t>في صور بيع المبتاع بالثمن المؤجّل</w:t>
      </w:r>
      <w:bookmarkEnd w:id="748"/>
    </w:p>
    <w:p>
      <w:pPr>
        <w:pStyle w:val="Heading4"/>
        <w:numPr>
          <w:ilvl w:val="3"/>
          <w:numId w:val="1"/>
        </w:numPr>
        <w:rPr/>
      </w:pPr>
      <w:bookmarkStart w:id="749" w:name="__RefHeading___Toc3332046_2142443653"/>
      <w:bookmarkStart w:id="750" w:name="_Toc272"/>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إذا ابتاع عيناً شخصية بثمن مؤجّل ، جاز بيعه من بائعه وغيره ، قبل حلول الأجل وبعده ، بجنس الثمن وغيره ، مساوياً له ، أو زائداً عليه ، أو ناقصاً ، حالاًّ أو مؤجّلاً ، سواء اشترط أحد المتعاملين على صاحبه في البيع الأوّل قبوله منه بمعاملة ثانية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حسب ما تقتضيه القواعد العقلائية ، والإطلاقات ، والعمومات ، كتاباً وسنّة </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إشكال فيه ، إلاّ فيما إذا اشترط أحدهما على صاحبه قبوله منه ببيع جديد ، فإنّه قد يتوهّم أنّ البطلان حينئذٍ موافق للقواعد ، وسيأتي الكلام فيه</w:t>
      </w:r>
      <w:r>
        <w:rPr>
          <w:rStyle w:val="FootnoteAnchor"/>
          <w:rtl w:val="true"/>
        </w:rPr>
        <w:footnoteReference w:id="1263"/>
      </w:r>
      <w:r>
        <w:rPr>
          <w:rFonts w:ascii="Amiri" w:hAnsi="Amiri" w:eastAsia="Amiri" w:cs="Amiri"/>
          <w:color w:val="111111"/>
          <w:sz w:val="28"/>
          <w:sz w:val="28"/>
          <w:szCs w:val="28"/>
          <w:rtl w:val="true"/>
          <w:lang w:bidi="ar-SA"/>
        </w:rPr>
        <w:t xml:space="preserve">، وإنّما الإشكال في بعض صور المسألة </w:t>
      </w:r>
      <w:r>
        <w:rPr>
          <w:rFonts w:eastAsia="Amiri" w:cs="Amiri" w:ascii="Amiri" w:hAnsi="Amiri"/>
          <w:color w:val="111111"/>
          <w:sz w:val="28"/>
          <w:szCs w:val="28"/>
          <w:rtl w:val="true"/>
          <w:lang w:bidi="ar-SA"/>
        </w:rPr>
        <w:t xml:space="preserve">: </w:t>
      </w:r>
      <w:bookmarkStart w:id="751" w:name="pg15222_162679"/>
    </w:p>
    <w:p>
      <w:pPr>
        <w:pStyle w:val="Heading4"/>
        <w:numPr>
          <w:ilvl w:val="3"/>
          <w:numId w:val="1"/>
        </w:numPr>
        <w:rPr/>
      </w:pPr>
      <w:bookmarkStart w:id="752" w:name="__RefHeading___Toc3332048_2142443653"/>
      <w:bookmarkStart w:id="753" w:name="_Toc273"/>
      <w:bookmarkEnd w:id="751"/>
      <w:bookmarkEnd w:id="752"/>
      <w:r>
        <w:rPr>
          <w:rtl w:val="true"/>
        </w:rPr>
        <w:t>حكم بيع المبتاع بالثمن المؤجّل بعد حلوله بنقصان</w:t>
      </w:r>
      <w:bookmarkEnd w:id="753"/>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إلى الشيخ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 نّه إذا باعه من البائع بعد الحلول بنقصان ، لم يكن صحيحا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وعبارة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مشتبهة المراد ؛ إذ من المحتمل أن يكون مراده الإقالة ، ويشهد له أنّ المتعارف بين الناس في مثل المفروض ، ردّ ما باعه ، لا بيعه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باع الشيء بأجل ، ثمّ حضر الأجل ولم يكن مع المشتري ما يعطيه إيّاه ، جاز له أن يأخذ منه ما كان باعه إيّاه ، من غير نقصان من ثمنه ، فإن أخذه بنقصان ممّا باع له ، لم يكن ذلك صحيحاً ، ولزمه ثمنه الذي كان أعطاه له ، فإن أخذ من المبتاع متاعاً آخر بقيمته في الحال ، لم يكن بذلك بأس</w:t>
      </w:r>
      <w:r>
        <w:rPr>
          <w:rStyle w:val="FootnoteAnchor"/>
          <w:rtl w:val="true"/>
        </w:rPr>
        <w:footnoteReference w:id="1265"/>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والمحتمل أن يكون مراده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أخذه بنقصان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الإقالة بالنقصان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لزمه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منه تحقّق الإقالة ، وفساد قرار النقصان ، فلذلك لزمه ثمنه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أخذ من المبتاع متاعاً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فلكون ذلك بيعاً جديداً ، لا إقالة </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عنه هذا القول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 نّه استدلّ عليه برواية </w:t>
      </w:r>
    </w:p>
    <w:p>
      <w:pPr>
        <w:pStyle w:val="BookText"/>
        <w:rPr/>
      </w:pPr>
      <w:r>
        <w:rPr>
          <w:rFonts w:ascii="Amiri" w:hAnsi="Amiri" w:eastAsia="Amiri" w:cs="Amiri"/>
          <w:color w:val="111111"/>
          <w:sz w:val="28"/>
          <w:sz w:val="28"/>
          <w:szCs w:val="28"/>
          <w:rtl w:val="true"/>
          <w:lang w:bidi="ar-SA"/>
        </w:rPr>
        <w:t>خالد بن الحجّاج ورواية عبدالصمد</w:t>
      </w:r>
      <w:r>
        <w:rPr>
          <w:rStyle w:val="FootnoteAnchor"/>
          <w:rtl w:val="true"/>
        </w:rPr>
        <w:footnoteReference w:id="1266"/>
      </w:r>
      <w:r>
        <w:rPr>
          <w:rFonts w:ascii="Amiri" w:hAnsi="Amiri" w:eastAsia="Amiri" w:cs="Amiri"/>
          <w:color w:val="111111"/>
          <w:sz w:val="28"/>
          <w:sz w:val="28"/>
          <w:szCs w:val="28"/>
          <w:rtl w:val="true"/>
          <w:lang w:bidi="ar-SA"/>
        </w:rPr>
        <w:t>الآتيتين</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 لم يستدلّ بهما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المسألة ، بل بعد ما روى رواية خالد ، ورواية عبيد بن زرارة الدالّة على الجواز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ينافي خبر عبيد الخبر الأوّل ؛ لأنّ ما تضمّن هذا الخبر من جواز ذلك ، إنّما يجوز إذا أخذ ذلك منه الطعام ، كما كان باعه إيّاه من غير زيادة ، والنهي الذي في الخبر الأوّل ، متوجّه إلى من يأخذ الطعام أكثر ممّا أعطاه ، فيؤدّي ذلك إلى الربا ، وذلك لا يجوز على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رواية عبدالصمد شاهداً لما قاله</w:t>
      </w:r>
      <w:r>
        <w:rPr>
          <w:rStyle w:val="FootnoteAnchor"/>
          <w:rtl w:val="true"/>
        </w:rPr>
        <w:footnoteReference w:id="1268"/>
      </w:r>
      <w:r>
        <w:rPr>
          <w:rFonts w:ascii="Amiri" w:hAnsi="Amiri" w:eastAsia="Amiri" w:cs="Amiri"/>
          <w:color w:val="111111"/>
          <w:sz w:val="28"/>
          <w:sz w:val="28"/>
          <w:szCs w:val="28"/>
          <w:rtl w:val="true"/>
          <w:lang w:bidi="ar-SA"/>
        </w:rPr>
        <w:t>، فالاستدلال إنّما هو لمسألة اُخرى ؛ هي بيع الطعام الربوي ، وسيأتي الكلام فيه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جواز بيع المؤجّل مطلقاً من صاحبه ، ومن غيره ، حلّ أجله أو لا ، بزيادة أو نقيصة ، بجنسه أو بغيره ؛ للأدلّة العامّة ، والقاعدة العقلائية ، والروايات الخاصّة ، كرواية بشّار بن يسار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عبداللّه علیه السلام عن الرجل يبيع المتاع بنساء ، فيشتريه من صاحبه الذي يبيعه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لا بأس به</w:t>
      </w:r>
      <w:r>
        <w:rPr>
          <w:rFonts w:eastAsia="IRNazanin" w:cs="IRNazanin"/>
          <w:color w:val="111111"/>
          <w:sz w:val="28"/>
          <w:szCs w:val="28"/>
          <w:rtl w:val="true"/>
          <w:lang w:bidi="fa-IR"/>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متاعي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متاعك ، ولا بقرك ، ولا غنمك</w:t>
      </w:r>
      <w:r>
        <w:rPr>
          <w:rFonts w:eastAsia="Amiri" w:cs="Amiri" w:ascii="Amiri" w:hAnsi="Amiri"/>
          <w:color w:val="111111"/>
          <w:sz w:val="28"/>
          <w:szCs w:val="28"/>
          <w:rtl w:val="true"/>
          <w:lang w:bidi="ar-SA"/>
        </w:rPr>
        <w:t>»</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فموردها الاشتراء من صاحبه ، ومقتضى ترك الاستفصال جوازه ولو مع التفاوت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أصل الاشتراء من صاحبه ، لا كيفية الاشتراء ، فهي مهملة من هذه الجهة ، فلا تدلّ على جواز البيع مع التفاوت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ابن حازم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كان له على رجل دراهم ؛ من ثمن غنم اشتراها منه ، فأتى الطالب المطلوب يتقاضاه ، فقال له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أبيعك هذا الغنم بدراهمك التي لك عندي ، فرضي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جواز البيع من صاحبه بالنقصان ؛ لأنّ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على رجل دراهم ؛ من ثمن غنم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أنّ الدراهم بعض الثمن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المحتمل أن يكون المراد ، أنّ عليه دراهم من قبل ثمن الغنم ، لا أ نّها بعض الثمن ، ومع ذلك الاحتمال يسقط الاستدلال بها على صحّة البيع منه بنقصان ، وأمّا أصل الصحّة فلا كلام فيها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الظاهر من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هذا الغنم ، غير الغنم الذي اشتراه ، فتأمّل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ورواية الحسين بن المنذر ، قال 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يجيئني الرجل فيطلب العينة ، فأشتري له المتاع مرابحة ، ثمّ أبيعه إيّاه ، ثمّ أشتريه منه مكاني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بالخيار ؛ إن شاء باع ، وإن شاء لم يبع ، وكنت أنت بالخيار ؛ إن شئت اشتريت ، وإن شئت لم تشتر ،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المسجد يزعمون أنّ هذا فاسد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به بعد أشهر 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تقديم وتأخير ، فلا بأس</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إطلاقها يقتضي الجواز مع النقص أو الزيادة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بصدد بيان حكم أصل الاشتراء في مكانه ، مقابل قول أهل المسجد ، فهي مهملة لا إطلاق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الاشتراء في مكانه ملازم للاختلاف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ممنوع ، وعلى فرض تسليمه ، فالاشتراء في مكانه ملازم للاختلاف بالزيادة ، لا بالنقيصة ، فلا تنافي قول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احتمالات ، تخرج الرواية على بعضها عمّا نحن بصدده </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والمحكيّ عن عبداللّه بن جعفر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باع ثوباً بعشرة دراهم ، ثمّ اشتراه بخمسة دراهم ، أيحلّ ؟ </w:t>
      </w:r>
      <w:bookmarkStart w:id="754" w:name="pg15222_162683"/>
    </w:p>
    <w:p>
      <w:pPr>
        <w:pStyle w:val="BookText"/>
        <w:rPr/>
      </w:pPr>
      <w:bookmarkEnd w:id="75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يشترط ورضيا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علي بن جعفر في كتابه مثلها ، إلاّ أ 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بعشرة دراهم إلى أجل ، ثمّ اشتراه بخمسة دراهم بنقد</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فإنّها تدلّ على جواز الاشتراء بالنقيصة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 تنافي قول الشيخ رحمه الله علیه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جواز الاشتراء بنقصان ؛ فيما إذا حلّ الوقت ، والرواية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علي بن جعفر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أجنبيّة عن قوله ، وعلى 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ظاهرة في النقد ، مع أنّ الظاهر صحّة ما في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إلى أنّ الاختلاف المذكور ، يسقط الاستدلال بهما على ردّ الشيخ رحمه الله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رواية يعقوب بن شعيب وعبيد بن زرارة ، فيأتي الكلام فيها </w:t>
      </w:r>
      <w:r>
        <w:rPr>
          <w:rStyle w:val="FootnoteAnchor"/>
          <w:rtl w:val="true"/>
        </w:rPr>
        <w:footnoteReference w:id="1274"/>
      </w:r>
      <w:r>
        <w:rPr>
          <w:rFonts w:ascii="Amiri" w:hAnsi="Amiri" w:eastAsia="Amiri" w:cs="Amiri"/>
          <w:color w:val="111111"/>
          <w:sz w:val="28"/>
          <w:sz w:val="28"/>
          <w:szCs w:val="28"/>
          <w:rtl w:val="true"/>
          <w:lang w:bidi="ar-SA"/>
        </w:rPr>
        <w:t xml:space="preserve">، فالعمدة في الباب هي الأدلّة العامّة كتاباً وسنّةً </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3332050_2142443653"/>
      <w:bookmarkStart w:id="756" w:name="_Toc274"/>
      <w:bookmarkEnd w:id="755"/>
      <w:r>
        <w:rPr>
          <w:rtl w:val="true"/>
        </w:rPr>
        <w:t>الروايات الدالّة على عدم جواز بيع المبتاع بالثمن المؤجّل</w:t>
      </w:r>
      <w:bookmarkEnd w:id="75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مقابل الأدلّة العامّة المجوّزة إلاّ رواية خالد بن الحجّاج ، وعبدالصمد ابن بشير ، ولم يتمسّك بهما الشيخ رحمه الله علیه للصورة المبحوث عنها ، بل تمسّك بهما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لصورة اُخرى ؛ هي بيع الطعام بتأخير ، واشتراء الطعام عند حلول الأجل ، وقد حمل الطعام على الجنس الربوي ، حيث ادّعى لزوم الربا ، </w:t>
      </w:r>
    </w:p>
    <w:p>
      <w:pPr>
        <w:pStyle w:val="BookText"/>
        <w:rPr/>
      </w:pPr>
      <w:r>
        <w:rPr>
          <w:rFonts w:ascii="Amiri" w:hAnsi="Amiri" w:eastAsia="Amiri" w:cs="Amiri"/>
          <w:color w:val="111111"/>
          <w:sz w:val="28"/>
          <w:sz w:val="28"/>
          <w:szCs w:val="28"/>
          <w:rtl w:val="true"/>
          <w:lang w:bidi="ar-SA"/>
        </w:rPr>
        <w:t>كما مرّ نقله منه</w:t>
      </w:r>
      <w:r>
        <w:rPr>
          <w:rStyle w:val="FootnoteAnchor"/>
          <w:rtl w:val="true"/>
        </w:rPr>
        <w:footnoteReference w:id="1275"/>
      </w:r>
      <w:r>
        <w:rPr>
          <w:rFonts w:ascii="Amiri" w:hAnsi="Amiri" w:eastAsia="Amiri" w:cs="Amiri"/>
          <w:color w:val="111111"/>
          <w:sz w:val="28"/>
          <w:sz w:val="28"/>
          <w:szCs w:val="28"/>
          <w:rtl w:val="true"/>
          <w:lang w:bidi="ar-SA"/>
        </w:rPr>
        <w:t xml:space="preserve">، ولم يذكر لما أفاده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xml:space="preserve">رواية ؛ 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استبصاره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وأمّا بيع الطعام ؛ أي الجنس الربوي بدراهم ، ثمّ أخذ طعام أكثر ممّا أعطاه ، فقد استدلّ الشيخ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لبطلانه برواية خالد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 عن رجل بعته طعاماً بتأخير إلى أجل مسمّى ، فلمّا جاء الأجل أخذته بدراهمي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عندي دراهم ، ولكن عندي طعام فاشتره منّي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تشتره منه ؛ فإنّه لا خير فيه</w:t>
      </w:r>
      <w:r>
        <w:rPr>
          <w:rFonts w:eastAsia="IRNazanin" w:cs="IRNazanin"/>
          <w:color w:val="111111"/>
          <w:sz w:val="28"/>
          <w:szCs w:val="28"/>
          <w:rtl w:val="true"/>
          <w:lang w:bidi="fa-IR"/>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عبدالصمد بن بشير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محمّد بن القاسم الحنّاط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 أبيع الطعام من الرجل إلى أجل ، فأجييء وقد تغيّر الطعام من سعره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منه بسعر يومه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إفهم أصلحك اللّه ، إنّه طعامي الذي اشتراه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منه حتّى يبيعه ويعطيك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 رخّص لي فرددت عليه ، فشدّد عليّ</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جمع بينهما وبين رواية يعقوب وعبيد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عبداللّه علیه السلام عن </w:t>
      </w:r>
    </w:p>
    <w:p>
      <w:pPr>
        <w:pStyle w:val="BookText"/>
        <w:rPr/>
      </w:pPr>
      <w:r>
        <w:rPr>
          <w:rFonts w:ascii="Amiri" w:hAnsi="Amiri" w:eastAsia="Amiri" w:cs="Amiri"/>
          <w:color w:val="111111"/>
          <w:sz w:val="28"/>
          <w:sz w:val="28"/>
          <w:szCs w:val="28"/>
          <w:rtl w:val="true"/>
          <w:lang w:bidi="ar-SA"/>
        </w:rPr>
        <w:t xml:space="preserve">رجل ، باع طعاماً بدراهم إلى أجل ، فلمّا بلغ الأجل تقاضاه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دراهم ، خذ منّي طعاماً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 إنّما له دراهمه ، يأخذ بها ما شاء</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الخبر الأوّل ؛ أي خبر خالد ، ثمّ أتى بالعبارة المتقدّم نقلها </w:t>
      </w:r>
      <w:r>
        <w:rPr>
          <w:rStyle w:val="FootnoteAnchor"/>
          <w:rtl w:val="true"/>
        </w:rPr>
        <w:footnoteReference w:id="1280"/>
      </w:r>
      <w:r>
        <w:rPr>
          <w:rFonts w:ascii="Amiri" w:hAnsi="Amiri" w:eastAsia="Amiri" w:cs="Amiri"/>
          <w:color w:val="111111"/>
          <w:sz w:val="28"/>
          <w:sz w:val="28"/>
          <w:szCs w:val="28"/>
          <w:rtl w:val="true"/>
          <w:lang w:bidi="ar-SA"/>
        </w:rPr>
        <w:t xml:space="preserve">، فحمل رواية الجواز على المساواة ، ورواية المنع على أخذ الطعام أكثر ممّا أعطاه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ذلك إلى الربا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بما في جمعه من التكلّف ، وعدم عقلائيته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رواية خالد ظاهرة في الجواز مع الكراهة ، ورواية يعقوب دالّة على جواز اشتراء طعام بدراهمه التي عليه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 دراهمه ، يأخذ بها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الوفاء بغير الجنس</w:t>
      </w:r>
      <w:r>
        <w:rPr>
          <w:rStyle w:val="FootnoteAnchor"/>
          <w:rtl w:val="true"/>
        </w:rPr>
        <w:footnoteReference w:id="1282"/>
      </w:r>
      <w:r>
        <w:rPr>
          <w:rFonts w:ascii="Amiri" w:hAnsi="Amiri" w:eastAsia="Amiri" w:cs="Amiri"/>
          <w:color w:val="111111"/>
          <w:sz w:val="28"/>
          <w:sz w:val="28"/>
          <w:szCs w:val="28"/>
          <w:rtl w:val="true"/>
          <w:lang w:bidi="ar-SA"/>
        </w:rPr>
        <w:t xml:space="preserve">خلاف ظاهرها ، لو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خلاف صريحها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دالّة على جواز الاشتراء ، وأعمّ من طعامه وطعام آخر ، ورواية عبد الصمد أعمّ من الأخذ بالإقالة والاشتراء ، فيتعارضان ، والترجيح للجواز بوجوه </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بالجنس الربوي ؛ فإنّه كلّ ما يؤكل بحسب اللغة</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 xml:space="preserve">والعرف ، وإن استعمل في البرّ أيضاً </w:t>
      </w:r>
      <w:r>
        <w:rPr>
          <w:rStyle w:val="FootnoteAnchor"/>
          <w:rtl w:val="true"/>
        </w:rPr>
        <w:footnoteReference w:id="1284"/>
      </w:r>
      <w:r>
        <w:rPr>
          <w:rFonts w:ascii="IRNazanin" w:hAnsi="IRNazanin" w:eastAsia="IRNazanin"/>
          <w:color w:val="111111"/>
          <w:sz w:val="28"/>
          <w:sz w:val="28"/>
          <w:szCs w:val="28"/>
          <w:rtl w:val="true"/>
          <w:lang w:bidi="fa-IR"/>
        </w:rPr>
        <w:t xml:space="preserve">، فحينئذٍ تكون رواية المنع مخالفة لفتوى الشيخ رحمه الله علیه أيضاً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والحمل على خصوص البرّ</w:t>
      </w:r>
      <w:r>
        <w:rPr>
          <w:rStyle w:val="FootnoteAnchor"/>
          <w:rtl w:val="true"/>
        </w:rPr>
        <w:footnoteReference w:id="1285"/>
      </w:r>
      <w:r>
        <w:rPr>
          <w:rFonts w:ascii="Amiri" w:hAnsi="Amiri" w:eastAsia="Amiri" w:cs="Amiri"/>
          <w:color w:val="111111"/>
          <w:sz w:val="28"/>
          <w:sz w:val="28"/>
          <w:szCs w:val="28"/>
          <w:rtl w:val="true"/>
          <w:lang w:bidi="ar-SA"/>
        </w:rPr>
        <w:t xml:space="preserve">بلا وجه ، مع أ نّه على فرضه ، يكون أخصّ من مدّعاه ، إن كان مدّعاه مطلق الجنس الربوي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علي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 له على آخر تمر أو شعير أو حنطة ، أيأخذ بقيمته دراهم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 دراهم فسد ؛ لأنّ الأصل الذي يشتري به دراهم ، فلا يصلح دراهم بدراهم</w:t>
      </w:r>
      <w:r>
        <w:rPr>
          <w:rFonts w:eastAsia="Amiri" w:cs="Amiri" w:ascii="Amiri" w:hAnsi="Amiri"/>
          <w:color w:val="111111"/>
          <w:sz w:val="28"/>
          <w:szCs w:val="28"/>
          <w:rtl w:val="true"/>
          <w:lang w:bidi="ar-SA"/>
        </w:rPr>
        <w:t>»</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مضافاً إلى كونها خلاف القواعد ، ومعارضتها بغيرها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الأصل الذي يشتري به دراهم ، فلا يصلح دراهم بدراهم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يعمل به أحد ، مع أ نّها ليست فيها دلالة على منع خصوص صورة التفاضل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 ظاهرها لا يخلو من اضطراب ؛ فإنّ ظاهر السؤال أنّ التمر أو الشعير أو نحوهما ، على عهدة الرجل ، وهذا أعمّ من أن كان اشتراها بالدرهم ، فالجواب أخصّ من السؤال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يحمل على أنّ ما يشترى بالدراهم ، لا يجوز فيه ذلك ، وإن لم </w:t>
      </w:r>
      <w:bookmarkStart w:id="757" w:name="pg15222_162687"/>
    </w:p>
    <w:p>
      <w:pPr>
        <w:pStyle w:val="BookText"/>
        <w:rPr/>
      </w:pPr>
      <w:bookmarkEnd w:id="757"/>
      <w:r>
        <w:rPr>
          <w:rFonts w:ascii="IRNazanin" w:hAnsi="IRNazanin" w:eastAsia="IRNazanin"/>
          <w:color w:val="111111"/>
          <w:sz w:val="28"/>
          <w:sz w:val="28"/>
          <w:szCs w:val="28"/>
          <w:rtl w:val="true"/>
          <w:lang w:bidi="fa-IR"/>
        </w:rPr>
        <w:t xml:space="preserve">يشتر بها فعلاً ، كما لا يبعد أن يكون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الأصل الذي يشتري به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ذلك ، وعليه فيكون الخبر مهجوراً بلا شبهة ، فلا بدّ من ردّ علمه إلى أهله </w:t>
      </w:r>
      <w:r>
        <w:rPr>
          <w:rFonts w:eastAsia="IRNazanin" w:cs="IRNazanin"/>
          <w:color w:val="111111"/>
          <w:sz w:val="28"/>
          <w:szCs w:val="28"/>
          <w:rtl w:val="true"/>
          <w:lang w:bidi="fa-IR"/>
        </w:rPr>
        <w:t>.</w:t>
      </w:r>
    </w:p>
    <w:p>
      <w:pPr>
        <w:pStyle w:val="Heading4"/>
        <w:numPr>
          <w:ilvl w:val="3"/>
          <w:numId w:val="1"/>
        </w:numPr>
        <w:rPr/>
      </w:pPr>
      <w:bookmarkStart w:id="758" w:name="__RefHeading___Toc3332052_2142443653"/>
      <w:bookmarkStart w:id="759" w:name="_Toc275"/>
      <w:bookmarkEnd w:id="758"/>
      <w:r>
        <w:rPr>
          <w:rtl w:val="true"/>
        </w:rPr>
        <w:t>حكم ما لو باع شيئاً بشرط أن يبيعه منه</w:t>
      </w:r>
      <w:bookmarkEnd w:id="759"/>
    </w:p>
    <w:p>
      <w:pPr>
        <w:pStyle w:val="BookText"/>
        <w:rPr/>
      </w:pPr>
      <w:r>
        <w:rPr>
          <w:rFonts w:ascii="Amiri" w:hAnsi="Amiri" w:eastAsia="Amiri" w:cs="Amiri"/>
          <w:color w:val="111111"/>
          <w:sz w:val="28"/>
          <w:sz w:val="28"/>
          <w:szCs w:val="28"/>
          <w:rtl w:val="true"/>
          <w:lang w:bidi="ar-SA"/>
        </w:rPr>
        <w:t xml:space="preserve">بقيت صورة اُخرى ؛ وهي ما إذا باع شيئاً بشرط أن يبيعه منه ، وقد نسب إلى المشهور بطلانها </w:t>
      </w:r>
      <w:r>
        <w:rPr>
          <w:rStyle w:val="FootnoteAnchor"/>
          <w:rtl w:val="true"/>
        </w:rPr>
        <w:footnoteReference w:id="1287"/>
      </w:r>
      <w:r>
        <w:rPr>
          <w:rFonts w:ascii="Amiri" w:hAnsi="Amiri" w:eastAsia="Amiri" w:cs="Amiri"/>
          <w:color w:val="111111"/>
          <w:sz w:val="28"/>
          <w:sz w:val="28"/>
          <w:szCs w:val="28"/>
          <w:rtl w:val="true"/>
          <w:lang w:bidi="ar-SA"/>
        </w:rPr>
        <w:t>، والشهرة غير ثابتة ، وعلى فرض الثبوت ، لا تكون حجّة في المسألة التي ورد فيها النصّ ، وتمسّك فيها الأصحاب به تارة</w:t>
      </w:r>
      <w:r>
        <w:rPr>
          <w:rStyle w:val="FootnoteAnchor"/>
          <w:rtl w:val="true"/>
        </w:rPr>
        <w:footnoteReference w:id="1288"/>
      </w:r>
      <w:r>
        <w:rPr>
          <w:rFonts w:ascii="IRNazanin" w:hAnsi="IRNazanin" w:eastAsia="IRNazanin"/>
          <w:color w:val="111111"/>
          <w:sz w:val="28"/>
          <w:sz w:val="28"/>
          <w:szCs w:val="28"/>
          <w:rtl w:val="true"/>
          <w:lang w:bidi="fa-IR"/>
        </w:rPr>
        <w:t>، وبلزوم الدور اُخرى</w:t>
      </w:r>
      <w:r>
        <w:rPr>
          <w:rStyle w:val="FootnoteAnchor"/>
          <w:rtl w:val="true"/>
        </w:rPr>
        <w:footnoteReference w:id="1289"/>
      </w:r>
      <w:r>
        <w:rPr>
          <w:rFonts w:ascii="Amiri" w:hAnsi="Amiri" w:eastAsia="Amiri" w:cs="Amiri"/>
          <w:color w:val="111111"/>
          <w:sz w:val="28"/>
          <w:sz w:val="28"/>
          <w:szCs w:val="28"/>
          <w:rtl w:val="true"/>
          <w:lang w:bidi="ar-SA"/>
        </w:rPr>
        <w:t>، وبعدم القصد ثالثة</w:t>
      </w:r>
      <w:r>
        <w:rPr>
          <w:rStyle w:val="FootnoteAnchor"/>
          <w:rtl w:val="true"/>
        </w:rPr>
        <w:footnoteReference w:id="1290"/>
      </w:r>
      <w:r>
        <w:rPr>
          <w:rFonts w:ascii="Amiri" w:hAnsi="Amiri" w:eastAsia="Amiri" w:cs="Amiri"/>
          <w:color w:val="111111"/>
          <w:sz w:val="28"/>
          <w:sz w:val="28"/>
          <w:szCs w:val="28"/>
          <w:rtl w:val="true"/>
          <w:lang w:bidi="ar-SA"/>
        </w:rPr>
        <w:t xml:space="preserve">، وبإمكان دعوى عدم عقلائية تلك المعاملة 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الدور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كلّ من المشتري والبائع ، تتوقّف على ملكية الآخر ، فهو واضح الدفع ؛ فإنّ الشرط ليس بمعنى التعليق ، كما هو واضح </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 إذا كان بنحو شرط النتيجة ، كان محالاً ؛ لأنّ مقتضى العقد المشروط بشرط النتيجة ، حصول مضمونهما معاً عند تمامية الإيجاب </w:t>
      </w:r>
    </w:p>
    <w:p>
      <w:pPr>
        <w:pStyle w:val="BookText"/>
        <w:rPr/>
      </w:pPr>
      <w:r>
        <w:rPr>
          <w:rFonts w:ascii="Amiri" w:hAnsi="Amiri" w:eastAsia="Amiri" w:cs="Amiri"/>
          <w:color w:val="111111"/>
          <w:sz w:val="28"/>
          <w:sz w:val="28"/>
          <w:szCs w:val="28"/>
          <w:rtl w:val="true"/>
          <w:lang w:bidi="ar-SA"/>
        </w:rPr>
        <w:t>والقبول ، ويستحيل دخول المبيع في ملك المشتري وخروجه عنه إلى البائع ؛ في آنٍ واحد ، وكذا دخوله في ملكهما معاً في آنٍ واحد ؛ فإنّ لازم الأوّل اجتماع النقيضين ، ولازم الثاني اجتماع الضدّين</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الغضّ عمّا في عدّه الأوّل من اجتماع النقيضين ، مع أ نّه أيضاً من قبيل الضدّين ؛ إذ نقيض الدخول عدمه ، لا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شرط النتيجة في المقام هو شرط الانتقال ، ولا يعقل ذلك الشرط إلاّ إذا كان المراد الانتقال منه بعد الانتقال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بشرط أن ينتقل المبيع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أ نّه بعد الانتقال إليك ينتقل إليّ ، فالانتقال الأوّل موضوع الانتقال الثاني ، فلا يلزم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مثل هذا القرار والشرط ، خارج عن الشروط العقلائية ، إلاّ أن يفرض في مورد جهة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القصد فغير مسموعة ؛ إذ المراد بهذا الشرط ليس شرط بيعه فوراً ، فلا مانع من تعلّق القصد به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النظر في دعوى عدم عقلائيته ، مع أ نّه قد يكون في شرط البيع فوراً ، أغراض 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المقام بعض النصوص ، كرواية الحسين بن المنذر المتقدّمة</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ضعفها </w:t>
      </w:r>
      <w:r>
        <w:rPr>
          <w:rStyle w:val="FootnoteAnchor"/>
          <w:rtl w:val="true"/>
        </w:rPr>
        <w:footnoteReference w:id="1293"/>
      </w:r>
      <w:r>
        <w:rPr>
          <w:rFonts w:ascii="Amiri" w:hAnsi="Amiri" w:eastAsia="Amiri" w:cs="Amiri"/>
          <w:color w:val="111111"/>
          <w:sz w:val="28"/>
          <w:sz w:val="28"/>
          <w:szCs w:val="28"/>
          <w:rtl w:val="true"/>
          <w:lang w:bidi="ar-SA"/>
        </w:rPr>
        <w:t xml:space="preserve">، وعدم ثبوت الجابر ؛ لعدم ثبوت الشهرة أوّلاً ، وعدم </w:t>
      </w:r>
    </w:p>
    <w:p>
      <w:pPr>
        <w:pStyle w:val="BookText"/>
        <w:rPr/>
      </w:pPr>
      <w:r>
        <w:rPr>
          <w:rFonts w:ascii="IRNazanin" w:hAnsi="IRNazanin" w:eastAsia="IRNazanin"/>
          <w:color w:val="111111"/>
          <w:sz w:val="28"/>
          <w:sz w:val="28"/>
          <w:szCs w:val="28"/>
          <w:rtl w:val="true"/>
          <w:lang w:bidi="fa-IR"/>
        </w:rPr>
        <w:t xml:space="preserve">ثبوت استناد المشهور إليها ثانياً ، واحتمال 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بالخيار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إلى آخره ، هو الرضا بالبيع ، كما صرّح بذلك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 xml:space="preserve">في نفس تلك المسألة ، واحتمال أن يكون البيع والشراء في مكان واحد بالاشتراط ؛ للتخلّص عن الربا ، كما لعلّه المتعارف عند آكلي الربا المريدين للتمشّي في عملهم مع الشريعة بتخيّلهم ، وقد وقع في رواية الشيباني ما يظهر منه أنّ نحو ذلك من الربا </w:t>
      </w:r>
      <w:r>
        <w:rPr>
          <w:rStyle w:val="FootnoteAnchor"/>
          <w:rtl w:val="true"/>
        </w:rPr>
        <w:footnoteReference w:id="1295"/>
      </w:r>
      <w:r>
        <w:rPr>
          <w:rFonts w:ascii="Amiri" w:hAnsi="Amiri" w:eastAsia="Amiri" w:cs="Amiri"/>
          <w:color w:val="111111"/>
          <w:sz w:val="28"/>
          <w:sz w:val="28"/>
          <w:szCs w:val="28"/>
          <w:rtl w:val="true"/>
          <w:lang w:bidi="ar-SA"/>
        </w:rPr>
        <w:t xml:space="preserve">، 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أخصّ من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والتفصيل بين البيع في مكانه وغيره ، ممّا لا قائل به ظاهراً ، فالرواية مهجورة بظاهرها ، وكيف كان ، لا يمكن رفع اليد عن القواعد بمثلها </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الحال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احتمال التخلّص من الربا فيها أقرب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 الظاهر منهما مع الغضّ عمّا ذكرنا ، هو بطلان البيع الثاني ، بل يمكن دعوى ظهورهما في صحّة الأوّل ، وكان المدّعى بطلانه ، فهما على خلاف المدّعى أدلّ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فيما لو اشترط عليه البيع فوراً وفي مكانه ، كما هو الظاهر من الرواية الثانية ، وصريح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لم يتعلّق بالبيع ، بل تعلّق بالربا ، فتأمّل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فالأشبه صحّة البيع مطلقاً ، وطريق الاحتياط واضح ، واللّه العالم </w:t>
      </w:r>
      <w:r>
        <w:rPr>
          <w:rFonts w:eastAsia="Amiri" w:cs="Amiri" w:ascii="Amiri" w:hAnsi="Amiri"/>
          <w:color w:val="111111"/>
          <w:sz w:val="28"/>
          <w:szCs w:val="28"/>
          <w:rtl w:val="true"/>
          <w:lang w:bidi="ar-SA"/>
        </w:rPr>
        <w:t xml:space="preserve">. </w:t>
      </w:r>
      <w:bookmarkStart w:id="760" w:name="pg15222_162691"/>
    </w:p>
    <w:p>
      <w:pPr>
        <w:pStyle w:val="Heading2"/>
        <w:numPr>
          <w:ilvl w:val="1"/>
          <w:numId w:val="1"/>
        </w:numPr>
        <w:rPr/>
      </w:pPr>
      <w:bookmarkStart w:id="761" w:name="__RefHeading___Toc3332054_2142443653"/>
      <w:bookmarkStart w:id="762" w:name="_Toc276"/>
      <w:bookmarkEnd w:id="760"/>
      <w:bookmarkEnd w:id="761"/>
      <w:r>
        <w:rPr>
          <w:rtl w:val="true"/>
        </w:rPr>
        <w:t>القول في القبض</w:t>
      </w:r>
      <w:bookmarkEnd w:id="76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3" w:name="__RefHeading___Toc3332056_2142443653"/>
      <w:bookmarkStart w:id="764" w:name="_Toc277"/>
      <w:bookmarkEnd w:id="763"/>
      <w:r>
        <w:rPr>
          <w:rtl w:val="true"/>
        </w:rPr>
        <w:t>اشارة</w:t>
      </w:r>
      <w:bookmarkEnd w:id="764"/>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5" w:name="pg15222_162693"/>
      <w:bookmarkStart w:id="766" w:name="pg15222_162693"/>
      <w:bookmarkEnd w:id="766"/>
    </w:p>
    <w:p>
      <w:pPr>
        <w:pStyle w:val="Heading3"/>
        <w:numPr>
          <w:ilvl w:val="2"/>
          <w:numId w:val="1"/>
        </w:numPr>
        <w:rPr/>
      </w:pPr>
      <w:bookmarkStart w:id="767" w:name="pg15222_162693"/>
      <w:bookmarkStart w:id="768" w:name="__RefHeading___Toc3332058_2142443653"/>
      <w:bookmarkStart w:id="769" w:name="_Toc278"/>
      <w:bookmarkEnd w:id="767"/>
      <w:bookmarkEnd w:id="768"/>
      <w:r>
        <w:rPr>
          <w:rtl w:val="true"/>
        </w:rPr>
        <w:t>المراد من القبض لغةً واصطلاحاً</w:t>
      </w:r>
      <w:bookmarkEnd w:id="769"/>
    </w:p>
    <w:p>
      <w:pPr>
        <w:pStyle w:val="Heading4"/>
        <w:numPr>
          <w:ilvl w:val="3"/>
          <w:numId w:val="1"/>
        </w:numPr>
        <w:rPr/>
      </w:pPr>
      <w:bookmarkStart w:id="770" w:name="__RefHeading___Toc3332060_2142443653"/>
      <w:bookmarkStart w:id="771" w:name="_Toc279"/>
      <w:bookmarkEnd w:id="770"/>
      <w:r>
        <w:rPr>
          <w:rtl w:val="true"/>
        </w:rPr>
        <w:t>المعنى اللغوي للقبض</w:t>
      </w:r>
      <w:bookmarkEnd w:id="771"/>
    </w:p>
    <w:p>
      <w:pPr>
        <w:pStyle w:val="BookText"/>
        <w:rPr/>
      </w:pPr>
      <w:r>
        <w:rPr>
          <w:rFonts w:ascii="Amiri" w:hAnsi="Amiri" w:eastAsia="Amiri" w:cs="Amiri"/>
          <w:color w:val="111111"/>
          <w:sz w:val="28"/>
          <w:sz w:val="28"/>
          <w:szCs w:val="28"/>
          <w:rtl w:val="true"/>
          <w:lang w:bidi="ar-SA"/>
        </w:rPr>
        <w:t>وهو الأخذ بالكفّ أو باليد على ما في اللغة</w:t>
      </w:r>
      <w:r>
        <w:rPr>
          <w:rStyle w:val="FootnoteAnchor"/>
          <w:rtl w:val="true"/>
        </w:rPr>
        <w:footnoteReference w:id="1296"/>
      </w:r>
      <w:r>
        <w:rPr>
          <w:rFonts w:ascii="Amiri" w:hAnsi="Amiri" w:eastAsia="Amiri" w:cs="Amiri"/>
          <w:color w:val="111111"/>
          <w:sz w:val="28"/>
          <w:sz w:val="28"/>
          <w:szCs w:val="28"/>
          <w:rtl w:val="true"/>
          <w:lang w:bidi="ar-SA"/>
        </w:rPr>
        <w:t xml:space="preserve">، والذي يظهر من التأمّل في موارد استعماله الحقيقي والمناسبات اللغوية ، أنّ القبض بالمعنى المصدري هو الأخذ بالقبضة ، والإقباض هو جعل الشيء في قبضته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والقبضة إمّا نفس الكفّ في حال انقباضها ، أو المأخوذ بها في حاله ، كما هو الظاهر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فَقَبَضْتُ قَبْضَةً مِنْ أَ ثَرِ الرَّسُولِ</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وكذا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 على القبضة ففي النار</w:t>
      </w:r>
      <w:r>
        <w:rPr>
          <w:rFonts w:eastAsia="IRNazanin" w:cs="IRNazanin"/>
          <w:color w:val="111111"/>
          <w:sz w:val="28"/>
          <w:szCs w:val="28"/>
          <w:rtl w:val="true"/>
          <w:lang w:bidi="fa-IR"/>
        </w:rPr>
        <w:t>»</w:t>
      </w:r>
      <w:r>
        <w:rPr>
          <w:rStyle w:val="FootnoteAnchor"/>
          <w:rtl w:val="true"/>
        </w:rPr>
        <w:footnoteReference w:id="1298"/>
      </w:r>
      <w:r>
        <w:rPr>
          <w:rFonts w:ascii="Amiri" w:hAnsi="Amiri" w:eastAsia="Amiri" w:cs="Amiri"/>
          <w:color w:val="111111"/>
          <w:sz w:val="28"/>
          <w:sz w:val="28"/>
          <w:szCs w:val="28"/>
          <w:rtl w:val="true"/>
          <w:lang w:bidi="ar-SA"/>
        </w:rPr>
        <w:t xml:space="preserve">أي اللحية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الصدقة ، تعطي المسكين القبضة بعد القبضة</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 xml:space="preserve">الزكاة ، أبواب زكاة الغلاّت ،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2" w:name="pg15222_162694"/>
    </w:p>
    <w:p>
      <w:pPr>
        <w:pStyle w:val="BookText"/>
        <w:rPr/>
      </w:pPr>
      <w:bookmarkEnd w:id="772"/>
      <w:r>
        <w:rPr>
          <w:rFonts w:ascii="Amiri" w:hAnsi="Amiri" w:eastAsia="Amiri" w:cs="Amiri"/>
          <w:color w:val="111111"/>
          <w:sz w:val="28"/>
          <w:sz w:val="28"/>
          <w:szCs w:val="28"/>
          <w:rtl w:val="true"/>
          <w:lang w:bidi="ar-SA"/>
        </w:rPr>
        <w:t xml:space="preserve">والمقبض من السيف وقبضته محلّ يقبض ؛ أي ما وقع في قبضتك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غير ذلك من الاستعمالات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معناه الحقيقي أخذ الشيء بقبضتك ؛ أي كفّك مقبوضة ، مقابل كونها مبسوطة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القبض والإقباض ليسا كالوجود والإيجاد ؛ لأنّ الإقباض جعل الشيء في قبضة غيره ، والقبض أخذه بقبضته ، وهما غير متلازمين ، فضلاً عن أن يكونا واحداً حقيقة ، ومختلفين اعتبارا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يقبض الشيء من دون إقباض من أحد ، كما أ نّه قد يتحقّق الإقباض من دون تحقّق القبض ، كما لو جعل شيئاً في حال نوم الشخص في قبضته ؛ إذ لا يتحقّق منه الأخذ بقبضته ، بل يقع فيها </w:t>
      </w:r>
      <w:r>
        <w:rPr>
          <w:rFonts w:eastAsia="Amiri" w:cs="Amiri" w:ascii="Amiri" w:hAnsi="Amiri"/>
          <w:color w:val="111111"/>
          <w:sz w:val="28"/>
          <w:szCs w:val="28"/>
          <w:rtl w:val="true"/>
          <w:lang w:bidi="ar-SA"/>
        </w:rPr>
        <w:t>.</w:t>
      </w:r>
    </w:p>
    <w:p>
      <w:pPr>
        <w:pStyle w:val="Heading4"/>
        <w:numPr>
          <w:ilvl w:val="3"/>
          <w:numId w:val="1"/>
        </w:numPr>
        <w:rPr/>
      </w:pPr>
      <w:bookmarkStart w:id="773" w:name="__RefHeading___Toc3332062_2142443653"/>
      <w:bookmarkStart w:id="774" w:name="_Toc280"/>
      <w:bookmarkEnd w:id="773"/>
      <w:r>
        <w:rPr>
          <w:rtl w:val="true"/>
        </w:rPr>
        <w:t>معنى القبض في المعاملات</w:t>
      </w:r>
      <w:bookmarkEnd w:id="774"/>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القبض في الموارد التي يكون له فيها حكم في المعاملات ونحوها ، لم يستعمل بمعناه الحقيقي ؛ لقيام القرينة العامّة العقلائية فيها على التوسّع ، بل وقيام القرينة اللفظية عليه في كلّ مورد ورد فيه القبض بعنوانه موضوعاً للحكم ، حتّى في بيع الصرف الذي فيه الدنانير والدراهم ؛ ضرورة عدم اعتبار القبض بالمعنى الحقيقي اللغوي فيه ، بل لا يعتبر الأخذ باليد أيضاً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علیه السلام في بعض روايات بيع الصرف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يدفع إليه الورق ، ويقبض منه </w:t>
      </w:r>
    </w:p>
    <w:p>
      <w:pPr>
        <w:pStyle w:val="BookText"/>
        <w:rPr/>
      </w:pPr>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 xml:space="preserve">ليس المراد منهما إلاّ الأخذ والإعطاء عرفاً ، فلو وضعه عنده ، وعمل صاحبه كذلك ، صحّ الدفع والقبض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يبتاع رجل فضّة بذهب إلاّ يداً بيد</w:t>
      </w:r>
      <w:r>
        <w:rPr>
          <w:rFonts w:eastAsia="Amiri" w:cs="Amiri" w:ascii="Amiri" w:hAnsi="Amiri"/>
          <w:color w:val="111111"/>
          <w:sz w:val="28"/>
          <w:szCs w:val="28"/>
          <w:rtl w:val="true"/>
          <w:lang w:bidi="ar-SA"/>
        </w:rPr>
        <w:t>»</w:t>
      </w:r>
      <w:r>
        <w:rPr>
          <w:rStyle w:val="FootnoteAnchor"/>
          <w:rtl w:val="true"/>
        </w:rPr>
        <w:footnoteReference w:id="1301"/>
      </w:r>
      <w:r>
        <w:rPr>
          <w:rFonts w:ascii="Amiri" w:hAnsi="Amiri" w:eastAsia="Amiri" w:cs="Amiri"/>
          <w:color w:val="111111"/>
          <w:sz w:val="28"/>
          <w:sz w:val="28"/>
          <w:szCs w:val="28"/>
          <w:rtl w:val="true"/>
          <w:lang w:bidi="ar-SA"/>
        </w:rPr>
        <w:t xml:space="preserve">ليس المراد منه إلاّ التكنية عن النقد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تفارقه حتّى تأخذ منه</w:t>
      </w:r>
      <w:r>
        <w:rPr>
          <w:rFonts w:eastAsia="IRNazanin" w:cs="IRNazanin"/>
          <w:color w:val="111111"/>
          <w:sz w:val="28"/>
          <w:szCs w:val="28"/>
          <w:rtl w:val="true"/>
          <w:lang w:bidi="fa-IR"/>
        </w:rPr>
        <w:t>»</w:t>
      </w:r>
      <w:r>
        <w:rPr>
          <w:rStyle w:val="FootnoteAnchor"/>
          <w:rtl w:val="true"/>
        </w:rPr>
        <w:footnoteReference w:id="1302"/>
      </w:r>
      <w:r>
        <w:rPr>
          <w:rFonts w:ascii="Amiri" w:hAnsi="Amiri" w:eastAsia="Amiri" w:cs="Amiri"/>
          <w:color w:val="111111"/>
          <w:sz w:val="28"/>
          <w:sz w:val="28"/>
          <w:szCs w:val="28"/>
          <w:rtl w:val="true"/>
          <w:lang w:bidi="ar-SA"/>
        </w:rPr>
        <w:t xml:space="preserve">ليس المراد إلاّ الأخذ العقلائي العرفي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القبض هو الأخذ ، فلو كان الذهب في كيس أو صندوق ، ووضعه عنده ، وجعله تحت يده ، صدق الأخذ وسائر العناوين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وأولى بذلك القبض الواقع بعنوانه في سائر الأبواب ، كباب الرهن ، والهبة ، والوقف، والبيع في التلف قبل القبض، ونحو ذلك؛ فإنّ المبيع والمرهون والموهوب والموقوف غالباً أو في كثير من الموارد ، ليس ممّا يؤخذ بالقبضة واليد ، ففي تلك الموارد قامت القرينة القطعية على عدم اعتبار القبض بمعناه الحقيقي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1303"/>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ما قبضت </w:t>
      </w:r>
      <w:r>
        <w:rPr>
          <w:rFonts w:eastAsia="Amiri" w:cs="Amiri" w:ascii="Amiri" w:hAnsi="Amiri"/>
          <w:color w:val="111111"/>
          <w:sz w:val="28"/>
          <w:szCs w:val="28"/>
          <w:rtl w:val="true"/>
          <w:lang w:bidi="ar-SA"/>
        </w:rPr>
        <w:t>. . .»</w:t>
      </w:r>
      <w:r>
        <w:rPr>
          <w:rStyle w:val="FootnoteAnchor"/>
          <w:rtl w:val="true"/>
        </w:rPr>
        <w:footnoteReference w:id="1304"/>
      </w:r>
      <w:r>
        <w:rPr>
          <w:rFonts w:ascii="Amiri" w:hAnsi="Amiri" w:eastAsia="Amiri" w:cs="Amiri"/>
          <w:color w:val="111111"/>
          <w:sz w:val="28"/>
          <w:sz w:val="28"/>
          <w:szCs w:val="28"/>
          <w:rtl w:val="true"/>
          <w:lang w:bidi="ar-SA"/>
        </w:rPr>
        <w:t xml:space="preserve">وفي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اليد ما جنت </w:t>
      </w:r>
      <w:r>
        <w:rPr>
          <w:rFonts w:eastAsia="Amiri" w:cs="Amiri" w:ascii="Amiri" w:hAnsi="Amiri"/>
          <w:color w:val="111111"/>
          <w:sz w:val="28"/>
          <w:szCs w:val="28"/>
          <w:rtl w:val="true"/>
          <w:lang w:bidi="ar-SA"/>
        </w:rPr>
        <w:t>. . .»</w:t>
      </w:r>
      <w:r>
        <w:rPr>
          <w:rStyle w:val="FootnoteAnchor"/>
          <w:rtl w:val="true"/>
        </w:rPr>
        <w:footnoteReference w:id="1305"/>
      </w:r>
      <w:r>
        <w:rPr>
          <w:rFonts w:ascii="Amiri" w:hAnsi="Amiri" w:eastAsia="Amiri" w:cs="Amiri"/>
          <w:color w:val="111111"/>
          <w:sz w:val="28"/>
          <w:sz w:val="28"/>
          <w:szCs w:val="28"/>
          <w:rtl w:val="true"/>
          <w:lang w:bidi="ar-SA"/>
        </w:rPr>
        <w:t xml:space="preserve">ليس دالاًّ على اعتبار القبض باليد والأخذ والاجتناء بها ، بل القرينة قائمة على التوسعة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القبض المعتبر في المعاملات ونحوها ، مختلفاً بحسب الموارد ، ولا يكون المراد بالإقباض إلاّ الردّ والتأدية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الرهن الذي ورد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w:t>
      </w:r>
      <w:r>
        <w:rPr>
          <w:rStyle w:val="FootnoteAnchor"/>
          <w:rtl w:val="true"/>
        </w:rPr>
        <w:footnoteReference w:id="130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Style w:val="FootnoteAnchor"/>
          <w:rtl w:val="true"/>
        </w:rPr>
        <w:footnoteReference w:id="1307"/>
      </w:r>
      <w:r>
        <w:rPr>
          <w:rFonts w:ascii="Amiri" w:hAnsi="Amiri" w:eastAsia="Amiri" w:cs="Amiri"/>
          <w:color w:val="111111"/>
          <w:sz w:val="28"/>
          <w:sz w:val="28"/>
          <w:szCs w:val="28"/>
          <w:rtl w:val="true"/>
          <w:lang w:bidi="ar-SA"/>
        </w:rPr>
        <w:t xml:space="preserve">إذا جعل المرهون تحت اختيار المرتهن وقدرته ، تحقّق القبض 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يتحقّق به القبض الموجب للخروج عن الضمان ، المستفاد من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xml:space="preserve">، وكذا في غيره من الموارد ، ولا يعتبر أزيد ممّا ذكر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إشكال في عدم اعتبار القبض بمعناه الحقيقي ، حتّى فيما اعتبر فيه </w:t>
      </w:r>
    </w:p>
    <w:p>
      <w:pPr>
        <w:pStyle w:val="BookText"/>
        <w:rPr/>
      </w:pPr>
      <w:r>
        <w:rPr>
          <w:rFonts w:ascii="Amiri" w:hAnsi="Amiri" w:eastAsia="Amiri" w:cs="Amiri"/>
          <w:color w:val="111111"/>
          <w:sz w:val="28"/>
          <w:sz w:val="28"/>
          <w:szCs w:val="28"/>
          <w:rtl w:val="true"/>
          <w:lang w:bidi="ar-SA"/>
        </w:rPr>
        <w:t xml:space="preserve">القبض بعنوانه ، كما لا ينبغي الإشكال في صدقه عرفاً بالمعنى المجازي الموسّع ، مع تحقّق التأدية ، والأخذ ، والإعطاء ، والردّ وأمثالها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تعذّر المعنى الحقيقي في جميع الأبواب ، لا وجه للأخذ به في بعض المصاديق ، كالدنانير ، والأحجار الكريمة ، ونحوهما ؛ لأنّ استعماله في جميع الأبواب على نسق واحد ، ويكون استعماله فيما يمكن فيه إرادة الحقيقة ، نحو استعماله فيما يتعذّر فيه المعنى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ما يمكن فيه تحقّق المعنى الحقيقي ، لم يتفوّه باعتباره أحد من الفقهاء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جعله في كفّه ، وجعله مقبوضاً ، فاعتبار الأخذ باليد أو الجارحة ، واضح الإشكال والفساد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الحمل على ما يناسب المعنى العرفي والاعتبار العقلائي ، وليس في اعتبارهم في القبض والتسليم والتحويل وما شابه ذلك ، إلاّ معنى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والأنسب بالمعنى الحقيقي بحسب العرف وموارد الاستعمال ، هو الاستيلاء والاستبداد به ، من غير حاجة إلى ضمّ التصرّف الخارجي ؛ لأنّ الاستعمال الشائع في القبضة والقبض والمقبوض ونحوها ، هو الأخذ بما يعمّ الاستيلاء والأخذ باليد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w:t>
      </w:r>
      <w:r>
        <w:rPr>
          <w:rStyle w:val="FootnoteAnchor"/>
          <w:rtl w:val="true"/>
        </w:rPr>
        <w:footnoteReference w:id="1309"/>
      </w:r>
      <w:r>
        <w:rPr>
          <w:rFonts w:ascii="Amiri" w:hAnsi="Amiri" w:eastAsia="Amiri" w:cs="Amiri"/>
          <w:color w:val="111111"/>
          <w:sz w:val="28"/>
          <w:sz w:val="28"/>
          <w:szCs w:val="28"/>
          <w:rtl w:val="true"/>
          <w:lang w:bidi="ar-SA"/>
        </w:rPr>
        <w:t xml:space="preserve">وكقولهم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في قبضة فلان</w:t>
      </w:r>
      <w:r>
        <w:rPr>
          <w:rFonts w:eastAsia="Amiri" w:cs="Amiri" w:ascii="Amiri" w:hAnsi="Amiri"/>
          <w:color w:val="111111"/>
          <w:sz w:val="28"/>
          <w:szCs w:val="28"/>
          <w:rtl w:val="true"/>
          <w:lang w:bidi="ar-SA"/>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عنوان القبض والتسلّم والتحويل ، صادق في غير المنقول بنفس الاستيلاء الحاصل بالتخلية ، وجعله تحت يده يفعل به ما يشاء ، كذلك صادق </w:t>
      </w:r>
      <w:bookmarkStart w:id="775" w:name="pg15222_162698"/>
    </w:p>
    <w:p>
      <w:pPr>
        <w:pStyle w:val="BookText"/>
        <w:rPr/>
      </w:pPr>
      <w:bookmarkEnd w:id="775"/>
      <w:r>
        <w:rPr>
          <w:rFonts w:ascii="Amiri" w:hAnsi="Amiri" w:eastAsia="Amiri" w:cs="Amiri"/>
          <w:color w:val="111111"/>
          <w:sz w:val="28"/>
          <w:sz w:val="28"/>
          <w:szCs w:val="28"/>
          <w:rtl w:val="true"/>
          <w:lang w:bidi="ar-SA"/>
        </w:rPr>
        <w:t xml:space="preserve">في المنقول كائناً ما كان ، وفي أيّ مورد اُخذ عنوانه موضوعاً للحكم </w:t>
      </w:r>
      <w:r>
        <w:rPr>
          <w:rFonts w:eastAsia="Amiri" w:cs="Amiri" w:ascii="Amiri" w:hAnsi="Amiri"/>
          <w:color w:val="111111"/>
          <w:sz w:val="28"/>
          <w:szCs w:val="28"/>
          <w:rtl w:val="true"/>
          <w:lang w:bidi="ar-SA"/>
        </w:rPr>
        <w:t>.</w:t>
      </w:r>
    </w:p>
    <w:p>
      <w:pPr>
        <w:pStyle w:val="Heading4"/>
        <w:numPr>
          <w:ilvl w:val="3"/>
          <w:numId w:val="1"/>
        </w:numPr>
        <w:rPr/>
      </w:pPr>
      <w:bookmarkStart w:id="776" w:name="__RefHeading___Toc3332064_2142443653"/>
      <w:bookmarkStart w:id="777" w:name="_Toc281"/>
      <w:bookmarkEnd w:id="776"/>
      <w:r>
        <w:rPr>
          <w:rtl w:val="true"/>
        </w:rPr>
        <w:t>كفاية مجرّد الاستيلاء في الخروج عن ضمان المبيع</w:t>
      </w:r>
      <w:bookmarkEnd w:id="777"/>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 الموجب لرفع الضمان ، يحصل بمجرّد ما ذكر ، ولو لم يكن القابض راضياً ، بل مع إظهار الكراهة ، وفي غيره يحصل مع الإذن بلا إشكال ، ومع الرضا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كفاية الاستيلاء في الخروج عن ضمان المبيع المنوط بقبضه ؛ تمسّكاً برواية عقبة بن خالد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اشترى متاعاً من رجل وأوجبه ، غير أ نّه ترك المتاع عنده ، ولم يقبضه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آتيك غداً إن شاء اللّه ، فسرق المتاع ، من مال من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 حتّى يُقبض المتاع ، ويخرجه من بيته ، فإذا أخرجه من بيته فالمبتاع ضامن لحقّه ، حتّى يردّ ماله إليه</w:t>
      </w:r>
      <w:r>
        <w:rPr>
          <w:rFonts w:eastAsia="Amiri" w:cs="Amiri" w:ascii="Amiri" w:hAnsi="Amiri"/>
          <w:color w:val="111111"/>
          <w:sz w:val="28"/>
          <w:szCs w:val="28"/>
          <w:rtl w:val="true"/>
          <w:lang w:bidi="ar-SA"/>
        </w:rPr>
        <w:t>»</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 xml:space="preserve">؛ وسائل الشيعة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التجارة ، أبواب الخيار ، 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صدرها ظاهر بل صريح في عدم الكفاية ؛ فإنّ ترك المتاع عنده باختياره ، يتضمّن السلطنة والاستيلاء على الترك والأخذ ، ومع ذلك نفي عنه القبض ، فيعلم أنّ الاستيلاء غير القبض</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وأنت خبير بما فيه ؛ ضرورة أنّ القدرة على سلب استيلاء الغير ، غير الاستيلاء على المتاع ، ومفاد الرواية أنّ المشتري بعد الاشتراء ، ترك المتاع على حاله تحت استيلاء البائع ، وإن كان قادراً على سلبه ، ومثل ذلك لا يكون قبضاً ، ولم يقل أحد ممّن يقول بكفاية استيلاء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القدرة على الاستيلاء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ذيلها ظاهر في كفاية الاستيلاء ، وجعل البائع المتاع تحت استيلائه ؛ فإنّ الظاهر من سياق الكلام ،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يقبض المتاع ، ويخرجه من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الإقباض والإخراج ؛ أي فعل البائع ، والظاهر من الإخراج من بيته هو الإخراج عن تحت استيلائه ، وجعله تحت استيلاء المشتري ، فكأنّ ذلك تفسير للقبض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ولهذا 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ذكر القبض ، ومن المعلوم أنّ الإخراج عن البيت ، لا موضوعية له ، بل المراد الإخراج من تحت استيلائه وسلطنته ، وإدخاله في استيلاء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فالرواية مؤكّدة لكفاية الاستيلاء والاستبداد ، ومفسّرة للقبض ، وشارحة للمراد في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w:t>
      </w:r>
      <w:r>
        <w:rPr>
          <w:rFonts w:eastAsia="Amiri" w:cs="Amiri" w:ascii="Amiri" w:hAnsi="Amiri"/>
          <w:color w:val="111111"/>
          <w:sz w:val="28"/>
          <w:szCs w:val="28"/>
          <w:rtl w:val="true"/>
          <w:lang w:bidi="ar-SA"/>
        </w:rPr>
        <w:t>»</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قلناه 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تؤدّيه</w:t>
      </w:r>
      <w:r>
        <w:rPr>
          <w:rFonts w:eastAsia="Amiri" w:cs="Amiri" w:ascii="Amiri" w:hAnsi="Amiri"/>
          <w:color w:val="111111"/>
          <w:sz w:val="28"/>
          <w:szCs w:val="28"/>
          <w:rtl w:val="true"/>
          <w:lang w:bidi="ar-SA"/>
        </w:rPr>
        <w:t>»</w:t>
      </w:r>
      <w:r>
        <w:rPr>
          <w:rStyle w:val="FootnoteAnchor"/>
          <w:rtl w:val="true"/>
        </w:rPr>
        <w:footnoteReference w:id="1313"/>
      </w:r>
      <w:r>
        <w:rPr>
          <w:rFonts w:ascii="Amiri" w:hAnsi="Amiri" w:eastAsia="Amiri" w:cs="Amiri"/>
          <w:color w:val="111111"/>
          <w:sz w:val="28"/>
          <w:sz w:val="28"/>
          <w:szCs w:val="28"/>
          <w:rtl w:val="true"/>
          <w:lang w:bidi="ar-SA"/>
        </w:rPr>
        <w:t xml:space="preserve">فإنّ الخروج عن الضمان علّق فيه على التأدية ، ومن البعيد أن يكون الخروج عنه في البابين مختلفاً ، فكما أنّ التأدية الموجبة للخروج عنه ، صادقة مع </w:t>
      </w:r>
    </w:p>
    <w:p>
      <w:pPr>
        <w:pStyle w:val="BookText"/>
        <w:rPr/>
      </w:pPr>
      <w:r>
        <w:rPr>
          <w:rFonts w:ascii="Amiri" w:hAnsi="Amiri" w:eastAsia="Amiri" w:cs="Amiri"/>
          <w:color w:val="111111"/>
          <w:sz w:val="28"/>
          <w:sz w:val="28"/>
          <w:szCs w:val="28"/>
          <w:rtl w:val="true"/>
          <w:lang w:bidi="ar-SA"/>
        </w:rPr>
        <w:t xml:space="preserve">جعله تحت استيلائه ، والتخلية بينه وبين المأخوذ ؛ بحيث له أن يفعل فيه ما يشاء ، كذلك القبض ؛ فإنّه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اعتبار التصرّف الخارجي والنقل ونحوهما ، غير مرضيّ ، ولم يدلّ عليه دليل ، بل العرف على خلافه ، والشواهد في شتات الروايات على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كالتعبير 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تارة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w:t>
      </w:r>
      <w:r>
        <w:rPr>
          <w:rFonts w:eastAsia="Amiri" w:cs="Amiri" w:ascii="Amiri" w:hAnsi="Amiri"/>
          <w:color w:val="111111"/>
          <w:sz w:val="28"/>
          <w:szCs w:val="28"/>
          <w:rtl w:val="true"/>
          <w:lang w:bidi="ar-SA"/>
        </w:rPr>
        <w:t>»</w:t>
      </w:r>
      <w:r>
        <w:rPr>
          <w:rStyle w:val="FootnoteAnchor"/>
          <w:rtl w:val="true"/>
        </w:rPr>
        <w:footnoteReference w:id="1315"/>
      </w:r>
      <w:r>
        <w:rPr>
          <w:rFonts w:ascii="Amiri" w:hAnsi="Amiri" w:eastAsia="Amiri" w:cs="Amiri"/>
          <w:color w:val="111111"/>
          <w:sz w:val="28"/>
          <w:sz w:val="28"/>
          <w:szCs w:val="28"/>
          <w:rtl w:val="true"/>
          <w:lang w:bidi="ar-SA"/>
        </w:rPr>
        <w:t xml:space="preserve">اُخرى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التأدية</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xml:space="preserve">ثالثة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Style w:val="FootnoteAnchor"/>
          <w:rtl w:val="true"/>
        </w:rPr>
        <w:footnoteReference w:id="1317"/>
      </w:r>
      <w:r>
        <w:rPr>
          <w:rFonts w:ascii="Amiri" w:hAnsi="Amiri" w:eastAsia="Amiri" w:cs="Amiri"/>
          <w:color w:val="111111"/>
          <w:sz w:val="28"/>
          <w:sz w:val="28"/>
          <w:szCs w:val="28"/>
          <w:rtl w:val="true"/>
          <w:lang w:bidi="ar-SA"/>
        </w:rPr>
        <w:t xml:space="preserve">رابعة ،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w:t>
      </w:r>
      <w:r>
        <w:rPr>
          <w:rStyle w:val="FootnoteAnchor"/>
          <w:rtl w:val="true"/>
        </w:rPr>
        <w:footnoteReference w:id="1319"/>
      </w:r>
      <w:r>
        <w:rPr>
          <w:rFonts w:ascii="IRNazanin" w:hAnsi="IRNazanin" w:eastAsia="IRNazanin"/>
          <w:color w:val="111111"/>
          <w:sz w:val="28"/>
          <w:sz w:val="28"/>
          <w:szCs w:val="28"/>
          <w:rtl w:val="true"/>
          <w:lang w:bidi="fa-IR"/>
        </w:rPr>
        <w:t xml:space="preserve">ونحوهما </w:t>
      </w:r>
      <w:r>
        <w:rPr>
          <w:rStyle w:val="FootnoteAnchor"/>
          <w:rtl w:val="true"/>
        </w:rPr>
        <w:footnoteReference w:id="1320"/>
      </w:r>
      <w:r>
        <w:rPr>
          <w:rFonts w:ascii="Amiri" w:hAnsi="Amiri" w:eastAsia="Amiri" w:cs="Amiri"/>
          <w:color w:val="111111"/>
          <w:sz w:val="28"/>
          <w:sz w:val="28"/>
          <w:szCs w:val="28"/>
          <w:rtl w:val="true"/>
          <w:lang w:bidi="ar-SA"/>
        </w:rPr>
        <w:t xml:space="preserve">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يشرف المتأمّل على القطع بأنّ المراد منها معنىً واحد ، وهو ما فهمه العرف منها ؛ من كفاية الاستيلاء والاستبداد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كلّ باب من المراجعة والتأمّل في لسان الأدلّة ، وما ذكرناه هو القاعدة الكلّية ، إلاّ أن يدلّ دليل على خلافه </w:t>
      </w:r>
      <w:r>
        <w:rPr>
          <w:rFonts w:eastAsia="Amiri" w:cs="Amiri" w:ascii="Amiri" w:hAnsi="Amiri"/>
          <w:color w:val="111111"/>
          <w:sz w:val="28"/>
          <w:szCs w:val="28"/>
          <w:rtl w:val="true"/>
          <w:lang w:bidi="ar-SA"/>
        </w:rPr>
        <w:t xml:space="preserve">. </w:t>
      </w:r>
      <w:bookmarkStart w:id="778" w:name="pg15222_162701"/>
    </w:p>
    <w:p>
      <w:pPr>
        <w:pStyle w:val="Heading4"/>
        <w:numPr>
          <w:ilvl w:val="3"/>
          <w:numId w:val="1"/>
        </w:numPr>
        <w:rPr/>
      </w:pPr>
      <w:bookmarkStart w:id="779" w:name="__RefHeading___Toc3332066_2142443653"/>
      <w:bookmarkStart w:id="780" w:name="_Toc282"/>
      <w:bookmarkEnd w:id="778"/>
      <w:bookmarkEnd w:id="779"/>
      <w:r>
        <w:rPr>
          <w:rtl w:val="true"/>
        </w:rPr>
        <w:t>في كفاية الكيل والوزن في تحقّق القبض</w:t>
      </w:r>
      <w:bookmarkEnd w:id="780"/>
    </w:p>
    <w:p>
      <w:p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الدليل على الخلاف في المكيل والموزون ، وأنّ القبض فيهما بالكيل والوزن مستشهداً بروايات</w:t>
      </w:r>
      <w:r>
        <w:rPr>
          <w:rStyle w:val="FootnoteAnchor"/>
          <w:rtl w:val="true"/>
        </w:rPr>
        <w:footnoteReference w:id="1321"/>
      </w:r>
      <w:r>
        <w:rPr>
          <w:rFonts w:ascii="Amiri" w:hAnsi="Amiri" w:eastAsia="Amiri" w:cs="Amiri"/>
          <w:color w:val="111111"/>
          <w:sz w:val="28"/>
          <w:sz w:val="28"/>
          <w:szCs w:val="28"/>
          <w:rtl w:val="true"/>
          <w:lang w:bidi="ar-SA"/>
        </w:rPr>
        <w:t xml:space="preserve">ليس في شيء منها ، ما يدلّ على أنّ الكيل أو الوزن بمجرّده قبض ، وإن لم يجعلهما تحت استيلاء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ما يدلّ على قيام كيل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مساس بالمشتري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قبضه ، بل مثل ذلك قطعي الفساد ، ولم يدلّ عليه 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تمسّكوا به لذلك 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 يبيع البيع قبل أن يقبضه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كيل أو وزن ، فلا تبعه حتّى تكيله أو تزنه ، إلاّ أن تولّيه الذي قام عليه</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الحلبي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قال في الرجل يبتاع الطعام ، ثمّ يبيعه قبل أن يكال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ذلك</w:t>
      </w:r>
      <w:r>
        <w:rPr>
          <w:rFonts w:eastAsia="IRNazanin" w:cs="IRNazanin"/>
          <w:color w:val="111111"/>
          <w:sz w:val="28"/>
          <w:szCs w:val="28"/>
          <w:rtl w:val="true"/>
          <w:lang w:bidi="fa-IR"/>
        </w:rPr>
        <w:t>»</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متاعاً فيه كيل أو وزن ، </w:t>
      </w:r>
    </w:p>
    <w:p>
      <w:pPr>
        <w:pStyle w:val="BookText"/>
        <w:rPr/>
      </w:pPr>
      <w:r>
        <w:rPr>
          <w:rFonts w:ascii="Amiri" w:hAnsi="Amiri" w:eastAsia="Amiri" w:cs="Amiri"/>
          <w:color w:val="111111"/>
          <w:sz w:val="28"/>
          <w:sz w:val="28"/>
          <w:szCs w:val="28"/>
          <w:rtl w:val="true"/>
          <w:lang w:bidi="ar-SA"/>
        </w:rPr>
        <w:t>فلا تبعه حتّى تقبضه إلاّ أن تولّيه ، فإذا لم يكن فيه كيل أو وزن فبعه</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اشترى طعاماً ، ثمّ باعه قبل أن يكيله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يبيع كيلاً أو وزناً قبل أن يكيله أو يزنه</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غير ذلك</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شيئاً منها لا يدلّ على أنّ القبض هو الكيل والوزن ، فإن كان المدّعى أ نّهما قبض ولو لم يجعل تحت اختيار المشتري واستيلائه ، فلا دلالة فيها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المدّعى كفاية الكيل بحضرة المشتري ، فلا إشكال فيه ، لا لأنّ الكيل قبض ، بل لأنّ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جعله تحت استيلائه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بالكيل على النحو المتعارف ؛ من كيل البائع وجعل المكيل عند المشتري ، فمفاد تلك الأخبار ، يؤيّد القاعدة الكلّية التي أشرنا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كراهة بيع المكيل والموزون قبل الكيل والوزن ، أو حرمته ، أو شرطيتهما لصحّته ، فهي أمر آخر غير مربوط بالمقام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الجمع بين ما اشتمل على النهي عن بيعهما قبل القبض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كصحيحة منصور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ما اشتمل على النهي عن بيعهما قبل الكيل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الكيل والوزن هو القبض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غير محلّها ، إن كان المراد حصوله بمجرّد الكيل بلا مساس بالمشتري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المراد حصوله بهما ، إذا كان بمحضر منه ورضاً وقبول منه ، فلا إشكال في حصوله ، لكن يكون الكيل مقدّمة لما هو القبض حقيقة ؛ وهو استيلاء المشتري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تسليم أنّ مفاد تلك الروايات بعد الجمع بينها ، وبعد استثناء التولّي ، هو أنّ الكيل قبض ، بل لو فرض ورود دليل على أنّ الكيل قبض ، أو أ نّه يكفي في القبض الكيل ، فهو من أقوى الشواهد على ما ذكرناه ؛ من أنّ القبض هو الاستيلاء على الشيء ، والإقباض هو جعل الشيء تحت استيلائه ؛ ضرورة أنّ المراد بأنّ الكيل قبض ، ليس كيل البائع في نفسه ؛ بلا دخل للمشتري ، ولا حضور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ما هو الشائع المتداول بين المتعاملين ؛ من كيل الطعام عند البيع ، أو بعده ، أو قبله ، وجعله في متناول يد المشتري وتحت استيلائه ، وبه يحصل القبض المعتبر حسب ما قدّمناه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هذا استثناء عمّا قيل في باب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لا يكتفى بالاستيلاء ، بل لا بدّ من التصرّف بوجه</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إنّا قد تعرّضنا لجانب من مفاد الروايات الواردة في المكيل والموزون في محلّه</w:t>
      </w:r>
      <w:r>
        <w:rPr>
          <w:rStyle w:val="FootnoteAnchor"/>
          <w:rtl w:val="true"/>
        </w:rPr>
        <w:footnoteReference w:id="1329"/>
      </w:r>
      <w:r>
        <w:rPr>
          <w:rFonts w:ascii="Amiri" w:hAnsi="Amiri" w:eastAsia="Amiri" w:cs="Amiri"/>
          <w:color w:val="111111"/>
          <w:sz w:val="28"/>
          <w:sz w:val="28"/>
          <w:szCs w:val="28"/>
          <w:rtl w:val="true"/>
          <w:lang w:bidi="ar-SA"/>
        </w:rPr>
        <w:t xml:space="preserve">، فراجع حتّى يتّضح الحال فيما نقله الشيخ الأعظم قدّس سرّه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الفرع الثاني</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اتّضح ممّا ذكرناه ، الحال في السفينة المبتاعة المشحونة بأمتعة البائع أو غيره</w:t>
      </w:r>
      <w:r>
        <w:rPr>
          <w:rStyle w:val="FootnoteAnchor"/>
          <w:rtl w:val="true"/>
        </w:rPr>
        <w:footnoteReference w:id="1331"/>
      </w:r>
      <w:r>
        <w:rPr>
          <w:rFonts w:ascii="Amiri" w:hAnsi="Amiri" w:eastAsia="Amiri" w:cs="Amiri"/>
          <w:color w:val="111111"/>
          <w:sz w:val="28"/>
          <w:sz w:val="28"/>
          <w:szCs w:val="28"/>
          <w:rtl w:val="true"/>
          <w:lang w:bidi="ar-SA"/>
        </w:rPr>
        <w:t xml:space="preserve">، وأنّ القبض الذي هو الاستيلاء ، لا يتوقّف على شيء غيره ، وهو يحصل بالاستيلاء على السفينة ، سواء كانت مشحونة بمال البائع أم لا </w:t>
      </w:r>
      <w:r>
        <w:rPr>
          <w:rFonts w:eastAsia="Amiri" w:cs="Amiri" w:ascii="Amiri" w:hAnsi="Amiri"/>
          <w:color w:val="111111"/>
          <w:sz w:val="28"/>
          <w:szCs w:val="28"/>
          <w:rtl w:val="true"/>
          <w:lang w:bidi="ar-SA"/>
        </w:rPr>
        <w:t xml:space="preserve">. </w:t>
      </w:r>
      <w:bookmarkStart w:id="781" w:name="pg15222_162705"/>
    </w:p>
    <w:p>
      <w:pPr>
        <w:pStyle w:val="Heading2"/>
        <w:numPr>
          <w:ilvl w:val="1"/>
          <w:numId w:val="1"/>
        </w:numPr>
        <w:rPr/>
      </w:pPr>
      <w:bookmarkStart w:id="782" w:name="__RefHeading___Toc3332068_2142443653"/>
      <w:bookmarkStart w:id="783" w:name="_Toc283"/>
      <w:bookmarkEnd w:id="781"/>
      <w:bookmarkEnd w:id="782"/>
      <w:r>
        <w:rPr>
          <w:rtl w:val="true"/>
        </w:rPr>
        <w:t>القول في وجوب التسليم</w:t>
      </w:r>
      <w:bookmarkEnd w:id="78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4" w:name="__RefHeading___Toc3332070_2142443653"/>
      <w:bookmarkStart w:id="785" w:name="_Toc284"/>
      <w:bookmarkEnd w:id="784"/>
      <w:r>
        <w:rPr>
          <w:rtl w:val="true"/>
        </w:rPr>
        <w:t>اشارة</w:t>
      </w:r>
      <w:bookmarkEnd w:id="785"/>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15222_162707"/>
      <w:bookmarkStart w:id="787" w:name="pg15222_162707"/>
      <w:bookmarkEnd w:id="787"/>
    </w:p>
    <w:p>
      <w:pPr>
        <w:pStyle w:val="Heading3"/>
        <w:numPr>
          <w:ilvl w:val="2"/>
          <w:numId w:val="1"/>
        </w:numPr>
        <w:rPr/>
      </w:pPr>
      <w:bookmarkStart w:id="788" w:name="pg15222_162707"/>
      <w:bookmarkStart w:id="789" w:name="__RefHeading___Toc3332072_2142443653"/>
      <w:bookmarkStart w:id="790" w:name="_Toc285"/>
      <w:bookmarkEnd w:id="788"/>
      <w:bookmarkEnd w:id="789"/>
      <w:r>
        <w:rPr>
          <w:rtl w:val="true"/>
        </w:rPr>
        <w:t xml:space="preserve">مسألة </w:t>
      </w:r>
      <w:r>
        <w:rPr>
          <w:rtl w:val="true"/>
        </w:rPr>
        <w:t xml:space="preserve">: </w:t>
      </w:r>
      <w:r>
        <w:rPr>
          <w:rtl w:val="true"/>
        </w:rPr>
        <w:t>في وجوب تسليم المثمن والثمن وآثاره</w:t>
      </w:r>
      <w:bookmarkEnd w:id="790"/>
    </w:p>
    <w:p>
      <w:pPr>
        <w:pStyle w:val="Heading4"/>
        <w:numPr>
          <w:ilvl w:val="3"/>
          <w:numId w:val="1"/>
        </w:numPr>
        <w:rPr/>
      </w:pPr>
      <w:bookmarkStart w:id="791" w:name="__RefHeading___Toc3332074_2142443653"/>
      <w:bookmarkStart w:id="792" w:name="_Toc286"/>
      <w:bookmarkEnd w:id="791"/>
      <w:r>
        <w:rPr>
          <w:rtl w:val="true"/>
        </w:rPr>
        <w:t>اشارة</w:t>
      </w:r>
      <w:bookmarkEnd w:id="792"/>
    </w:p>
    <w:p>
      <w:pPr>
        <w:pStyle w:val="BookText"/>
        <w:rPr/>
      </w:pPr>
      <w:r>
        <w:rPr>
          <w:rFonts w:ascii="Amiri" w:hAnsi="Amiri" w:eastAsia="Amiri" w:cs="Amiri"/>
          <w:color w:val="111111"/>
          <w:sz w:val="28"/>
          <w:sz w:val="28"/>
          <w:szCs w:val="28"/>
          <w:rtl w:val="true"/>
          <w:lang w:bidi="ar-SA"/>
        </w:rPr>
        <w:t>يجب على كلّ من المتبايعين تسليم ما وقع عليه العقد ؛ وذلك لا لأجل مجرّد وجوب ردّ مال الغير إليه ، حتّى يترتّب عليه وجوب التسليم على كلّ منهما وإن امتنع الآخر عن التسليم ؛ فإنّ إمساك مال الغير ظلم ، وظلم أحدهما لا يستلزم جواز الظلم على الآخر ، كما هو المحكيّ عن الأردبيلي</w:t>
      </w:r>
      <w:r>
        <w:rPr>
          <w:rStyle w:val="FootnoteAnchor"/>
          <w:rtl w:val="true"/>
        </w:rPr>
        <w:footnoteReference w:id="1332"/>
      </w:r>
      <w:r>
        <w:rPr>
          <w:rFonts w:ascii="IRNazanin" w:hAnsi="IRNazanin" w:eastAsia="IRNazanin"/>
          <w:color w:val="111111"/>
          <w:sz w:val="28"/>
          <w:sz w:val="28"/>
          <w:szCs w:val="28"/>
          <w:rtl w:val="true"/>
          <w:lang w:bidi="fa-IR"/>
        </w:rPr>
        <w:t xml:space="preserve">، واستجوده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لأجل بناء عقود المعاوضات على تسليم كلّ منهما ما عنده في قبال تسليم الآخر ؛ بدعوى أ نّه من الشروط الضمنية التي التزمها المتعاملان ، كما عليه جمع من المحقّقين</w:t>
      </w:r>
      <w:r>
        <w:rPr>
          <w:rStyle w:val="FootnoteAnchor"/>
          <w:rtl w:val="true"/>
        </w:rPr>
        <w:footnoteReference w:id="1334"/>
      </w:r>
      <w:r>
        <w:rPr>
          <w:rFonts w:ascii="Amiri" w:hAnsi="Amiri" w:eastAsia="Amiri" w:cs="Amiri"/>
          <w:color w:val="111111"/>
          <w:sz w:val="28"/>
          <w:sz w:val="28"/>
          <w:szCs w:val="28"/>
          <w:rtl w:val="true"/>
          <w:lang w:bidi="ar-SA"/>
        </w:rPr>
        <w:t xml:space="preserve">؛ ضرورة عدم اشتمال البيع إلاّ على التمليك بالعوض تمليكاً إنشائياً فقط ، بلا التزام بأمر آخر </w:t>
      </w:r>
      <w:r>
        <w:rPr>
          <w:rFonts w:eastAsia="Amiri" w:cs="Amiri" w:ascii="Amiri" w:hAnsi="Amiri"/>
          <w:color w:val="111111"/>
          <w:sz w:val="28"/>
          <w:szCs w:val="28"/>
          <w:rtl w:val="true"/>
          <w:lang w:bidi="ar-SA"/>
        </w:rPr>
        <w:t xml:space="preserve">. </w:t>
      </w:r>
      <w:bookmarkStart w:id="793" w:name="pg15222_162708"/>
    </w:p>
    <w:p>
      <w:pPr>
        <w:pStyle w:val="BookText"/>
        <w:rPr/>
      </w:pPr>
      <w:bookmarkEnd w:id="793"/>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مساواة العوضين في القيمة</w:t>
      </w:r>
      <w:r>
        <w:rPr>
          <w:rStyle w:val="FootnoteAnchor"/>
          <w:rtl w:val="true"/>
        </w:rPr>
        <w:footnoteReference w:id="1335"/>
      </w:r>
      <w:r>
        <w:rPr>
          <w:rFonts w:ascii="Amiri" w:hAnsi="Amiri" w:eastAsia="Amiri" w:cs="Amiri"/>
          <w:color w:val="111111"/>
          <w:sz w:val="28"/>
          <w:sz w:val="28"/>
          <w:szCs w:val="28"/>
          <w:rtl w:val="true"/>
          <w:lang w:bidi="ar-SA"/>
        </w:rPr>
        <w:t xml:space="preserve">، وعدم العيب فيهما </w:t>
      </w:r>
      <w:r>
        <w:rPr>
          <w:rStyle w:val="FootnoteAnchor"/>
          <w:rtl w:val="true"/>
        </w:rPr>
        <w:footnoteReference w:id="1336"/>
      </w:r>
      <w:r>
        <w:rPr>
          <w:rFonts w:ascii="Amiri" w:hAnsi="Amiri" w:eastAsia="Amiri" w:cs="Amiri"/>
          <w:color w:val="111111"/>
          <w:sz w:val="28"/>
          <w:sz w:val="28"/>
          <w:szCs w:val="28"/>
          <w:rtl w:val="true"/>
          <w:lang w:bidi="ar-SA"/>
        </w:rPr>
        <w:t>، وتسليم كلّ منهما عند تسليم الآخر</w:t>
      </w:r>
      <w:r>
        <w:rPr>
          <w:rStyle w:val="FootnoteAnchor"/>
          <w:rtl w:val="true"/>
        </w:rPr>
        <w:footnoteReference w:id="1337"/>
      </w:r>
      <w:r>
        <w:rPr>
          <w:rFonts w:ascii="Amiri" w:hAnsi="Amiri" w:eastAsia="Amiri" w:cs="Amiri"/>
          <w:color w:val="111111"/>
          <w:sz w:val="28"/>
          <w:sz w:val="28"/>
          <w:szCs w:val="28"/>
          <w:rtl w:val="true"/>
          <w:lang w:bidi="ar-SA"/>
        </w:rPr>
        <w:t xml:space="preserve">، من الشروط الضمنية الموجبة لثبوت حقّ لهما في المقام ، ولثبوت الخيار عند التخلّف غير وجيه ؛ لكونه مخالفاً للوجدان في المعاملات ، ولارتكاز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لأنّ التسليم والتسلّم ، من الأحكام العقلائية المترتّبة على البيع ، حتّى صحّ بلحاظه أن يقال توسّعاً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البيع هو الأخذ والإعطاء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البيع طريق للوصول إلى العوضين ، كما أنّ البيع الإنشائي للوصول إلى الملكية العقلائية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وذاك من الدواعي العقلائية ، من دون أن يكون هنا تقييد والتزام في نفس المعاوضة ، ومن الأحكام الواضحة العقلائية اللازمة العمل ، إلاّ أن يدلّ دليل شرعي على الردع </w:t>
      </w:r>
      <w:r>
        <w:rPr>
          <w:rFonts w:eastAsia="Amiri" w:cs="Amiri" w:ascii="Amiri" w:hAnsi="Amiri"/>
          <w:color w:val="111111"/>
          <w:sz w:val="28"/>
          <w:szCs w:val="28"/>
          <w:rtl w:val="true"/>
          <w:lang w:bidi="ar-SA"/>
        </w:rPr>
        <w:t>.</w:t>
      </w:r>
    </w:p>
    <w:p>
      <w:pPr>
        <w:pStyle w:val="Heading4"/>
        <w:numPr>
          <w:ilvl w:val="3"/>
          <w:numId w:val="1"/>
        </w:numPr>
        <w:rPr/>
      </w:pPr>
      <w:bookmarkStart w:id="794" w:name="__RefHeading___Toc3332076_2142443653"/>
      <w:bookmarkStart w:id="795" w:name="_Toc287"/>
      <w:bookmarkEnd w:id="794"/>
      <w:r>
        <w:rPr>
          <w:rtl w:val="true"/>
        </w:rPr>
        <w:t>الآثار المترتّبة على وجوب التسليم</w:t>
      </w:r>
      <w:bookmarkEnd w:id="795"/>
    </w:p>
    <w:p>
      <w:pPr>
        <w:pStyle w:val="BookText"/>
        <w:rPr/>
      </w:pPr>
      <w:r>
        <w:rPr>
          <w:rFonts w:ascii="Amiri" w:hAnsi="Amiri" w:eastAsia="Amiri" w:cs="Amiri"/>
          <w:color w:val="111111"/>
          <w:sz w:val="28"/>
          <w:sz w:val="28"/>
          <w:szCs w:val="28"/>
          <w:rtl w:val="true"/>
          <w:lang w:bidi="ar-SA"/>
        </w:rPr>
        <w:t xml:space="preserve">ويترتّب على ذلك عند العقلاء ، حقّ الامتناع إذا امتنع صاحبه من التسليم ، كما أنّ لكلّ منهما حقّ المطالبة ، لا لكونه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لا يستلزم ما ذكر </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لكونه حقّاً عقلائياً مترتّباً على المعاوضة ، فإذا امتنع أحدهما أو كلاهما من التسليم ، ورجعا إلى الحاكم ، يجبره عليه ، لا من باب الأمر بالمعروف ، بل </w:t>
      </w:r>
    </w:p>
    <w:p>
      <w:pPr>
        <w:pStyle w:val="BookText"/>
        <w:rPr/>
      </w:pPr>
      <w:r>
        <w:rPr>
          <w:rFonts w:ascii="Amiri" w:hAnsi="Amiri" w:eastAsia="Amiri" w:cs="Amiri"/>
          <w:color w:val="111111"/>
          <w:sz w:val="28"/>
          <w:sz w:val="28"/>
          <w:szCs w:val="28"/>
          <w:rtl w:val="true"/>
          <w:lang w:bidi="ar-SA"/>
        </w:rPr>
        <w:t xml:space="preserve">من باب ثبوت الحقّ لكلّ منهما ، والمرجع فيه هو الحاكم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يترتّب عليه عدم حقّ المطالبة ، إذا امتنع عن أداء حقّ صاحبه ؛ إذ حقّه بنظر العرف متقيّد ، لا مطلق ، فليس له أن يطالب صاحبه بماله وهو لا يسلّم عوضه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أحدهما أو كلاهما ، ولم يمكن الإجبار ، فإن كان ذلك من نيّتهما حال العقد بطل ؛ لأ نّه غير عقلائي ، وإلاّ ففي الامتناع المطلق يحتمل انحلال العقد ، ويحتمل ثبوت الخيار ، وهو الأرجح ، وليس الخيار للشرط الضمني ، بل هو خيار آخر ثابت عند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أحدهما ، فإن كان هو البائع ، كان للمشتري خيار الامتناع ، وإن كان هو المشتري ، كان للبائع خيار التأخير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كلّ منهما باذلاً ، لكن اختلفا في التقدّم والتأخّر ؛ لغرض عقلائي ، اُجبرا على التسليم ، وليس لأحدهما حقّ التقدّم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 نّه يجبر البائع أوّلاً على تسليم المبيع ، ثمّ يجبر المشتري على تسليم الثمن ، سواء كان الثمن عيناً ، أو في الذمّة ؛ لأنّ الثمن إنّما يستحقّ على المبيع ، فيجب أوّلاً تسليم المبيع ليستحقّ الثمن</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وجيه ، وتعليله ضعيف ؛ إذ كما أنّ الثمن يستحقّ على المبيع ، كذلك المبيع يستحقّ في قبال الثمن ؛ وذلك لأنّ الملكية الإنشائية وكذا الحقيقية ، لا إشكال في حصولهما بالنسبة إليهما في رتبة واحدة ، وتقديم المبيع في اللفظ غالباً ، </w:t>
      </w:r>
    </w:p>
    <w:p>
      <w:pPr>
        <w:pStyle w:val="BookText"/>
        <w:rPr/>
      </w:pPr>
      <w:r>
        <w:rPr>
          <w:rFonts w:ascii="Amiri" w:hAnsi="Amiri" w:eastAsia="Amiri" w:cs="Amiri"/>
          <w:color w:val="111111"/>
          <w:sz w:val="28"/>
          <w:sz w:val="28"/>
          <w:szCs w:val="28"/>
          <w:rtl w:val="true"/>
          <w:lang w:bidi="ar-SA"/>
        </w:rPr>
        <w:t xml:space="preserve">لا يوجب تقديم حصول ملكيته على ملكية الثمن ، ولا تقديم حكم أحدهما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فهما على السواء في المالكية ، وفي الأحكام المترتّبة على المعاوضة ، ومنها وجوب تسليم كلّ منهما مال صاحبه ، فهذا حكم عقلائي مترتّب على المعاوضة ، مقدّم على دليل السلطنة ، وحرمة حبس مال الغير العقلائيين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حرمة الحبس ، إنّما هي فيما إذا لم يكن بحقّ ، كما أ نّه لا سلطان له فيما إذا كان الحبس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المشتري يجبر على البدأة ، فيما إذا كان الثمن كلّياً ؛ لأنّ حقّ المشتري متعيّن في المبيع ، فيؤمر بدفع الثمن ؛ ليتعيّن حقّ البائع أيضاً </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دليل على هذا المدّعى ، وإنّما الواجب دفع العوض الكلّي بدفع الفرد ، وأمّا تقدّم الدفع ؛ ليتعيّن الحقّ فيه ، فلا وجه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قبض البائع مقدّماً ، يوجب تفويت حقّ آخر منه ؛ وهو حقّ خيار التأخير</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 غير ثابت فعلاً ، غاية ما هنا أ نّه يحتمل تحقّقه في المستقبل ، ومثله لا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رفع موضوع الحقّ </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المفروض عدم التأخير لأ نّهما لم يختلفا في أصل التسليم ، بل في البدأة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ذكرنا في وجه المسألة ، يظهر الحكم فيما إذا كان أحد العوضين مؤجّلاً ، ففي مثله يكون الحكم العقلائي غير المردوع ، ثابتاً من حين حلول الأجل ، فلكلّ منهما الامتناع مع امتناع الآخر ؛ لأنّ ذلك مقتضى المعاوضة بحسب الحكم العقلائي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يجز الامتناع قبل حلوله ؛ لعدم حقّ عقلائي له ما دام الأجل باقياً ، وبعد ما حلّ الأجل ثبت الحكم المتعلّق بالمعاوضة ؛ وهو جواز امتناع دفع العوض مع امتناع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الحكم لأجل الالتزام الضمني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 التزامان ، فلا بدّ من ردّ مال الغير ولو امتنع عن ردّ ماله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ثابت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للتسليم المعاوضي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ما أجّله صاحب الحقّ إلى زمان حلوله ، وبقي ما بعده ، وليس ذلك من قبيل عموم العامّ والمخصّص ، حتّى يبحث عن أنّ المورد ، هل من موارد التمسّك بالعامّ ، أو من موارد استصحاب حكم المخصّص ؟</w:t>
      </w:r>
    </w:p>
    <w:p>
      <w:pPr>
        <w:pStyle w:val="BookText"/>
        <w:rPr/>
      </w:pPr>
      <w:r>
        <w:rPr>
          <w:rFonts w:ascii="Amiri" w:hAnsi="Amiri" w:eastAsia="Amiri" w:cs="Amiri"/>
          <w:color w:val="111111"/>
          <w:sz w:val="28"/>
          <w:sz w:val="28"/>
          <w:szCs w:val="28"/>
          <w:rtl w:val="true"/>
          <w:lang w:bidi="ar-SA"/>
        </w:rPr>
        <w:t xml:space="preserve">فلو قبض الممتنع ما في يد صاحبه فعل حراماً ، وكان لصاحبه استرجاعه ، لكنّ المأخوذ ليس غصباً ، ولا بحكمه ، فله التصرّف فيه ؛ لأنّ الحقّ تعلّق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حقّ الحبس والامتناع من التسليم مع امتناع صاحبه ، نظير حقّ الخيار المتعلّق بالعقد ، لا بالعين </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فرض ترتّب أثر على الإقباض أو القبض بحقّ ، لم يترتّب على ذلك القبض </w:t>
      </w:r>
      <w:r>
        <w:rPr>
          <w:rFonts w:eastAsia="Amiri" w:cs="Amiri" w:ascii="Amiri" w:hAnsi="Amiri"/>
          <w:color w:val="111111"/>
          <w:sz w:val="28"/>
          <w:szCs w:val="28"/>
          <w:rtl w:val="true"/>
          <w:lang w:bidi="ar-SA"/>
        </w:rPr>
        <w:t xml:space="preserve">. </w:t>
      </w:r>
      <w:bookmarkStart w:id="796" w:name="pg15222_162712"/>
    </w:p>
    <w:p>
      <w:pPr>
        <w:pStyle w:val="Heading3"/>
        <w:numPr>
          <w:ilvl w:val="2"/>
          <w:numId w:val="1"/>
        </w:numPr>
        <w:rPr/>
      </w:pPr>
      <w:bookmarkStart w:id="797" w:name="__RefHeading___Toc3332078_2142443653"/>
      <w:bookmarkStart w:id="798" w:name="_Toc288"/>
      <w:bookmarkEnd w:id="796"/>
      <w:bookmarkEnd w:id="797"/>
      <w:r>
        <w:rPr>
          <w:rtl w:val="true"/>
        </w:rPr>
        <w:t xml:space="preserve">مسألة </w:t>
      </w:r>
      <w:r>
        <w:rPr>
          <w:rtl w:val="true"/>
        </w:rPr>
        <w:t xml:space="preserve">: </w:t>
      </w:r>
      <w:r>
        <w:rPr>
          <w:rtl w:val="true"/>
        </w:rPr>
        <w:t>في وجوب تفريغ البائع للمبيع من أمواله</w:t>
      </w:r>
      <w:bookmarkEnd w:id="798"/>
    </w:p>
    <w:p>
      <w:pPr>
        <w:pStyle w:val="Heading4"/>
        <w:numPr>
          <w:ilvl w:val="3"/>
          <w:numId w:val="1"/>
        </w:numPr>
        <w:rPr/>
      </w:pPr>
      <w:bookmarkStart w:id="799" w:name="__RefHeading___Toc3332080_2142443653"/>
      <w:bookmarkStart w:id="800" w:name="_Toc289"/>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يجب على البائع تفريغ المبيع من أمواله ، 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التسليم أم لا ؛ لأنّ إشغال مال الغير بدون إذنه ، غير جائز ، وكذا لو كان مشغولاً بمال غيره بإذنه ، وجب عليه وعلى الغير تفريغه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الوجوب ثابت من حين تمامية العقد ، إلى زمان التسليم وإلى ما بعده ، ما دام الاشتغال بلا إذن من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إلزام البائع وغيره على التفريغ ، أو إفراغه إذا امتنع صاحبه وإن تضرّر به ، وعلى مالكه اُجرة التفريغ ، كما أنّ عليه اُجرة مثل زمان الإشغال ، كلّ ذلك من لوازم التصرّف في مال الغير بلا إذنه ، وإشغاله له ، بل هذا الإشغال تفويت للمنافع ، واستيفاء لها </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اشتغل المبيع بمال البائع ، بلا اختيار منه ، ولم يمكنه التفريغ ، أو تصدّى له فوراً ، ولكن طالت مدّته ، فالظاهر عدم ثبوت الاُجرة ؛ لعدم تفويت منه ، وعدم الاستيفاء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هل يكون للتفريغ زائداً على وجوبه لما ذكر ، وجوب آخر تستتبعه المعاوضة ، كوجوب التسليم المترتّب على المعاوضة ،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حكم عقلائي غير الحكم الشرعي بوجوب ردّ مال الغير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مقتضى إطلاق العقد والتزام المتعاملين</w:t>
      </w:r>
      <w:r>
        <w:rPr>
          <w:rStyle w:val="FootnoteAnchor"/>
          <w:rtl w:val="true"/>
        </w:rPr>
        <w:footnoteReference w:id="134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على القول به ، فهل هنا التزامان مستقلاّن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التزام التسليم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التزام التفريغ عند التسليم ؟</w:t>
      </w:r>
    </w:p>
    <w:p>
      <w:pPr>
        <w:pStyle w:val="BookText"/>
        <w:rPr/>
      </w:pPr>
      <w:r>
        <w:rPr>
          <w:rFonts w:ascii="Amiri" w:hAnsi="Amiri" w:eastAsia="Amiri" w:cs="Amiri"/>
          <w:color w:val="111111"/>
          <w:sz w:val="28"/>
          <w:sz w:val="28"/>
          <w:szCs w:val="28"/>
          <w:rtl w:val="true"/>
          <w:lang w:bidi="ar-SA"/>
        </w:rPr>
        <w:t xml:space="preserve">وعلى المختار ، هنا حكمان عقلائيان مستقلاّن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التسليم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الإفراغ عنده ؟</w:t>
      </w:r>
    </w:p>
    <w:p>
      <w:pPr>
        <w:pStyle w:val="BookText"/>
        <w:rPr/>
      </w:pPr>
      <w:r>
        <w:rPr>
          <w:rFonts w:ascii="Amiri" w:hAnsi="Amiri" w:eastAsia="Amiri" w:cs="Amiri"/>
          <w:color w:val="111111"/>
          <w:sz w:val="28"/>
          <w:sz w:val="28"/>
          <w:szCs w:val="28"/>
          <w:rtl w:val="true"/>
          <w:lang w:bidi="ar-SA"/>
        </w:rPr>
        <w:t>أو أنّ هنا التزاماً واحداً ، أو حكماً واحداً متقيّداً ؛ بحيث لو سلّم المبيع غير فارغ ، لم يقع التسليم ، ولم يتحقّق القبض ؟</w:t>
      </w:r>
    </w:p>
    <w:p>
      <w:pPr>
        <w:pStyle w:val="BookText"/>
        <w:rPr/>
      </w:pPr>
      <w:r>
        <w:rPr>
          <w:rFonts w:ascii="Amiri" w:hAnsi="Amiri" w:eastAsia="Amiri" w:cs="Amiri"/>
          <w:color w:val="111111"/>
          <w:sz w:val="28"/>
          <w:sz w:val="28"/>
          <w:szCs w:val="28"/>
          <w:rtl w:val="true"/>
          <w:lang w:bidi="ar-SA"/>
        </w:rPr>
        <w:t xml:space="preserve">لا إشكال في عدم التزام هنا من المتعاملين في أصل التسليم ، فكيف في التفريغ عن المزاحم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إشكال في عدم حكمين مستقلّين عقلائيين ، بحيث يترتّب على كلّ منهما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الواحد المقيّد ، ففيه تأمّل وإشكال ، والظاهر عدم ثبوته ، فلو سلّم العين مشغولة صحّ وتحقّق التسليم ، وليس للمشتري حبس الثمن ، ولا حقّ الامتناع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أفاده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التسليم بدون التفريغ كالعدم</w:t>
      </w:r>
      <w:r>
        <w:rPr>
          <w:rStyle w:val="FootnoteAnchor"/>
          <w:rtl w:val="true"/>
        </w:rPr>
        <w:footnoteReference w:id="1343"/>
      </w:r>
      <w:bookmarkStart w:id="801" w:name="pg15222_162714"/>
    </w:p>
    <w:p>
      <w:pPr>
        <w:pStyle w:val="BookText"/>
        <w:rPr/>
      </w:pPr>
      <w:bookmarkEnd w:id="801"/>
      <w:r>
        <w:rPr>
          <w:rFonts w:ascii="Amiri" w:hAnsi="Amiri" w:eastAsia="Amiri" w:cs="Amiri"/>
          <w:color w:val="111111"/>
          <w:sz w:val="28"/>
          <w:sz w:val="28"/>
          <w:szCs w:val="28"/>
          <w:rtl w:val="true"/>
          <w:lang w:bidi="ar-SA"/>
        </w:rPr>
        <w:t xml:space="preserve">غير واضح ، بل الظاهر أنّ التسليم مع التفريغ والاشتغال سواء ؛ فإنّه عبارة عن جعله تحت استيلائه ، وهو حاصل حتّى مع الاشتغال بمال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امتنع البائع عن التفريغ ، ولم يمكن إلزامه ، أو كان مشغولاً بمال غاصب لم يمكن إلزامه ، ولم يمكن في الصورتين التفريغ ، كان له الخيار ، على ما يأتي بيانه في الفرع الآتي </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3332082_2142443653"/>
      <w:bookmarkStart w:id="803" w:name="_Toc290"/>
      <w:bookmarkEnd w:id="802"/>
      <w:r>
        <w:rPr>
          <w:rtl w:val="true"/>
        </w:rPr>
        <w:t>حكم ما لو كان المبيع أرضاً مشغولة بزرع البائع</w:t>
      </w:r>
      <w:bookmarkEnd w:id="803"/>
    </w:p>
    <w:p>
      <w:pPr>
        <w:pStyle w:val="BookText"/>
        <w:rPr/>
      </w:pPr>
      <w:r>
        <w:rPr>
          <w:rFonts w:ascii="Amiri" w:hAnsi="Amiri" w:eastAsia="Amiri" w:cs="Amiri"/>
          <w:color w:val="111111"/>
          <w:sz w:val="28"/>
          <w:sz w:val="28"/>
          <w:szCs w:val="28"/>
          <w:rtl w:val="true"/>
          <w:lang w:bidi="ar-SA"/>
        </w:rPr>
        <w:t xml:space="preserve">ولو كان المبيع أرضاً مشغولة بالزرع للبائع ، فإن بلغ حصاده يجب عليه الحصاد والتفريغ ، ومع الامتناع يجبر عليه ، ومع عدم إمكانه حصده المشتري ، وأخذ اُجرة الحصاد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يبلغ ، فإن كان زرعها بعد البيع وقبل التسليم ، فهو خارج عن محلّ البحث ؛ لكونه غاصباً يعامل معه معاملة الغاصب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مشغولة به حين البيع ، فإن علم به المشتري ، فلا خيار له ولا القلع بلا إشكال ، لكن له اُجرة الأرض إن لم تقم قرينة على البناء على بقائه مجّاناً </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جهل به فله خيار الفسخ ، والظاهر أ نّه خيار مستقلّ عقلائي ، فيه مناط خيار العيب ؛ فإنّ العين المشغولة التي لا يمكن الانتفاع بها ، مساوقة لما فيها نقص مانع عن الانتفاع ، فكما أنّ خيار العيب هناك عقلائي ، وإن كان التخيير بين الفسخ والأرش بالتعبّد من الشارع الأعظم ، كذلك الخيار في المورد عقلائي ملحق بخيار العيب ، ولكن لا أرش فيه ؛ لاختصاصه بمورد نقص الخلقة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 نّه من قبيل تخلّف الوصف</w:t>
      </w:r>
      <w:r>
        <w:rPr>
          <w:rStyle w:val="FootnoteAnchor"/>
          <w:rtl w:val="true"/>
        </w:rPr>
        <w:footnoteReference w:id="1344"/>
      </w:r>
      <w:r>
        <w:rPr>
          <w:rFonts w:ascii="IRNazanin" w:hAnsi="IRNazanin" w:eastAsia="IRNazanin"/>
          <w:color w:val="111111"/>
          <w:sz w:val="28"/>
          <w:sz w:val="28"/>
          <w:szCs w:val="28"/>
          <w:rtl w:val="true"/>
          <w:lang w:bidi="fa-IR"/>
        </w:rPr>
        <w:t>، أو تخلّف الشرط</w:t>
      </w:r>
      <w:r>
        <w:rPr>
          <w:rStyle w:val="FootnoteAnchor"/>
          <w:rtl w:val="true"/>
        </w:rPr>
        <w:footnoteReference w:id="1345"/>
      </w:r>
      <w:r>
        <w:rPr>
          <w:rFonts w:ascii="Amiri" w:hAnsi="Amiri" w:eastAsia="Amiri" w:cs="Amiri"/>
          <w:color w:val="111111"/>
          <w:sz w:val="28"/>
          <w:sz w:val="28"/>
          <w:szCs w:val="28"/>
          <w:rtl w:val="true"/>
          <w:lang w:bidi="ar-SA"/>
        </w:rPr>
        <w:t xml:space="preserve">، وما قيل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الخصوصيات التي تتعلّق بها الأغراض النوعية لنوع المتعاملين ، بمنزلة القرينة النوعية على إرادتها في مورد العقد ، فتكون كالتوصيف المذكور ، أو كالالتزام الضمني بها ، فتخلّف مثل هذا الوصف أو الالتزام ، يوجب الخيار ؛ لأنّ لزوم العقد والحال هذه ، يوجب الضرر ، وهو نقض الغرض المعاملي ، وإن لم يكن ضرراً مالياً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بوجيه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صيرورة ما تعلّقت به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كالدواعي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أو التزاماً في المعاملة ، وإلاّ لوجب ثبوت الخيار في موارد لا يلتزم به أحد حتّى القائل ، ككون الفاكهة حلوةً ، وكون الدواء مفيداً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فالصفات الكمالية وإن كانت متعلّقة للأغراض النوعية في المعاملات لنوع المتعاملين ، وكانت من الدواعي إلى المعاملة ، إلاّ أ نّها بمجرّد ذلك ، لا خيار فيها</w:t>
      </w:r>
    </w:p>
    <w:p>
      <w:pPr>
        <w:pStyle w:val="BookText"/>
        <w:rPr/>
      </w:pPr>
      <w:r>
        <w:rPr>
          <w:rFonts w:ascii="Amiri" w:hAnsi="Amiri" w:eastAsia="Amiri" w:cs="Amiri"/>
          <w:color w:val="111111"/>
          <w:sz w:val="28"/>
          <w:sz w:val="28"/>
          <w:szCs w:val="28"/>
          <w:rtl w:val="true"/>
          <w:lang w:bidi="ar-SA"/>
        </w:rPr>
        <w:t xml:space="preserve">عند التخلّف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الالتزام الضمني الذي تكرّر منهم في كثير من الموارد ، لا عين ولا أثر له عند العقلاء في معاملاتهم </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خيار التخلّف على فرضه عقلائي ، ليس مدركه دليل نفي </w:t>
      </w:r>
      <w:bookmarkStart w:id="804" w:name="pg15222_162716"/>
    </w:p>
    <w:p>
      <w:pPr>
        <w:pStyle w:val="BookText"/>
        <w:rPr/>
      </w:pPr>
      <w:bookmarkEnd w:id="804"/>
      <w:r>
        <w:rPr>
          <w:rFonts w:ascii="Amiri" w:hAnsi="Amiri" w:eastAsia="Amiri" w:cs="Amiri"/>
          <w:color w:val="111111"/>
          <w:sz w:val="28"/>
          <w:sz w:val="28"/>
          <w:szCs w:val="28"/>
          <w:rtl w:val="true"/>
          <w:lang w:bidi="ar-SA"/>
        </w:rPr>
        <w:t>الضرر ، وقد مرّ منهم أنّ دليله لا يثبت الخيار بالمعنى المقصود منه</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مجرّد نقض الأغراض ليس بضرر عرفاً ، ولا 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الخيار ثابت في المقام بلا إشكال ، لكنّه ليس لما ذكروه ، بل الوجه فيه ما ذكرناه ؛ من كون المقام ملحقاً بالعيب عند العقلاء</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5" w:name="__RefHeading___Toc3332084_2142443653"/>
      <w:bookmarkStart w:id="806" w:name="_Toc291"/>
      <w:bookmarkEnd w:id="805"/>
      <w:r>
        <w:rPr>
          <w:rtl w:val="true"/>
        </w:rPr>
        <w:t>عدم جواز قلع زرع البائع ولا إلزامه به</w:t>
      </w:r>
      <w:bookmarkEnd w:id="806"/>
    </w:p>
    <w:p>
      <w:pPr>
        <w:pStyle w:val="BookText"/>
        <w:rPr/>
      </w:pPr>
      <w:r>
        <w:rPr>
          <w:rFonts w:ascii="Amiri" w:hAnsi="Amiri" w:eastAsia="Amiri" w:cs="Amiri"/>
          <w:color w:val="111111"/>
          <w:sz w:val="28"/>
          <w:sz w:val="28"/>
          <w:szCs w:val="28"/>
          <w:rtl w:val="true"/>
          <w:lang w:bidi="ar-SA"/>
        </w:rPr>
        <w:t xml:space="preserve">وليس للمشتري قلع الزرع ، ولا إلزام البائع بقلعه ؛ لأ نّه عرق محترم لغير ظالم ، ودليل السلطنة على الأموال حيثي كما مرّ منّا </w:t>
      </w:r>
      <w:r>
        <w:rPr>
          <w:rStyle w:val="FootnoteAnchor"/>
          <w:rtl w:val="true"/>
        </w:rPr>
        <w:footnoteReference w:id="1349"/>
      </w:r>
      <w:r>
        <w:rPr>
          <w:rFonts w:ascii="Amiri" w:hAnsi="Amiri" w:eastAsia="Amiri" w:cs="Amiri"/>
          <w:color w:val="111111"/>
          <w:sz w:val="28"/>
          <w:sz w:val="28"/>
          <w:szCs w:val="28"/>
          <w:rtl w:val="true"/>
          <w:lang w:bidi="ar-SA"/>
        </w:rPr>
        <w:t xml:space="preserve">، فلا إطلاق له للإضرار بالغير ، فكما لا يسوّغ دليل السلطنة للبائع ، بقاء زرعه في مال الغير ، كذلك لا يسوّغ للمشتري ، قلع مال الغير والإضرار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حكومة دليل نفي الضرر</w:t>
      </w:r>
      <w:r>
        <w:rPr>
          <w:rStyle w:val="FootnoteAnchor"/>
          <w:rtl w:val="true"/>
        </w:rPr>
        <w:footnoteReference w:id="1350"/>
      </w:r>
      <w:r>
        <w:rPr>
          <w:rFonts w:ascii="IRNazanin" w:hAnsi="IRNazanin" w:eastAsia="IRNazanin"/>
          <w:color w:val="111111"/>
          <w:sz w:val="28"/>
          <w:sz w:val="28"/>
          <w:szCs w:val="28"/>
          <w:rtl w:val="true"/>
          <w:lang w:bidi="fa-IR"/>
        </w:rPr>
        <w:t xml:space="preserve">على قاعدة السلطنة ، على فرض إطلاقها ؛ فإنّ دليله نهي سلطاني من رسول اللّه صلی الله علیه و آله وسلم ، أو شرعي من اللّه ، مقدّم على دليل السلطنة ، لا على سائر الأدلّة الأوّلية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هنا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لا يوجب دفع الأرش رفع النهي عن الإضرار ؛ فإنّه مترتّب عليه </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لو خالف وقلع ، ثبت عليه الأرش مع ارتكابه الحرام ، فالقلع خلاف </w:t>
      </w:r>
    </w:p>
    <w:p>
      <w:pPr>
        <w:pStyle w:val="BookText"/>
        <w:rPr/>
      </w:pPr>
      <w:r>
        <w:rPr>
          <w:rFonts w:ascii="IRNazanin" w:hAnsi="IRNazanin" w:eastAsia="IRNazanin"/>
          <w:color w:val="111111"/>
          <w:sz w:val="28"/>
          <w:sz w:val="28"/>
          <w:szCs w:val="28"/>
          <w:rtl w:val="true"/>
          <w:lang w:bidi="fa-IR"/>
        </w:rPr>
        <w:t xml:space="preserve">احترام مال المسلم ، وخلاف نهي النبي صلی الله علیه و 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الإبقاء بلا اُجرة ، خلاف احترام مال المسلم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الإبقاء إضرار ، والاُجرة جابرة فاسد ؛ لأنّ بقاء الزرع في الأرض ، ليس من فعل البائع ، وما هو من فعله زرعه فيها ، وهو واقع في ملكه قبل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بقاؤه فليس كذلك ، ومجرّد قدرته على القلع ، لا يوجب صيرورة البقاء فعلاً له ، وإلاّ لوجب أن يكون فعلاً لجميع الناس القادرين عليه ، فالقلع إضرار بالبائع ، والإبقاء ليس كذلك ، والاُجرة ثابتة لاحترام مال المشتري ، وجمع بين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مفاد دليل نفي الضرر نفي الأحكام الضررية ، كان كلّ من القلع والإبقاء ضررياً ، وكلّ من الأرش والاُجرة جابراً له ؛ ضرورة أنّ بقاء الزرع في الأرض ، استيفاء لمنافعها ، وتفويت على صاحب الأرض ، وجوازه ضرر منفيّ ، كما أنّ جواز القلع ضرر منفيّ فيتعارضان ، وما في بعض التعليقات مع طوله</w:t>
      </w:r>
      <w:r>
        <w:rPr>
          <w:rStyle w:val="FootnoteAnchor"/>
          <w:rtl w:val="true"/>
        </w:rPr>
        <w:footnoteReference w:id="1351"/>
      </w:r>
      <w:r>
        <w:rPr>
          <w:rFonts w:ascii="Amiri" w:hAnsi="Amiri" w:eastAsia="Amiri" w:cs="Amiri"/>
          <w:color w:val="111111"/>
          <w:sz w:val="28"/>
          <w:sz w:val="28"/>
          <w:szCs w:val="28"/>
          <w:rtl w:val="true"/>
          <w:lang w:bidi="ar-SA"/>
        </w:rPr>
        <w:t xml:space="preserve">غير مرضيّ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ممّا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الخيار للمشتري ، واُجرة المثل مع عدم إعماله ، ولو أراد البائع القلع ، لم يكن للمشتري منعه ، فعلى البائع الاستجازة من المشتري في الإبقاء ولو بالاُجرة ، ولو لم يجبه على ذلك ، كان له القلع ، وتخليص ماله بغير إجازة ، ولو لم يتمكّن سقطت اُجرة الأرض </w:t>
      </w:r>
      <w:r>
        <w:rPr>
          <w:rFonts w:eastAsia="Amiri" w:cs="Amiri" w:ascii="Amiri" w:hAnsi="Amiri"/>
          <w:color w:val="111111"/>
          <w:sz w:val="28"/>
          <w:szCs w:val="28"/>
          <w:rtl w:val="true"/>
          <w:lang w:bidi="ar-SA"/>
        </w:rPr>
        <w:t xml:space="preserve">. </w:t>
      </w:r>
      <w:bookmarkStart w:id="807" w:name="pg15222_162718"/>
    </w:p>
    <w:p>
      <w:pPr>
        <w:pStyle w:val="BookText"/>
        <w:rPr/>
      </w:pPr>
      <w:bookmarkEnd w:id="807"/>
      <w:r>
        <w:rPr>
          <w:rFonts w:ascii="Amiri" w:hAnsi="Amiri" w:eastAsia="Amiri" w:cs="Amiri"/>
          <w:color w:val="111111"/>
          <w:sz w:val="28"/>
          <w:sz w:val="28"/>
          <w:szCs w:val="28"/>
          <w:rtl w:val="true"/>
          <w:lang w:bidi="ar-SA"/>
        </w:rPr>
        <w:t xml:space="preserve">ولو قلع يجب عليه طمّ الأرض وإصلاحها ، ولا يبعد أن يكون الحكم في أمثال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مثل هدم البيوت والجدر ؛ ممّا يمكن إعادته على ما كان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الإعادة ، إلاّ أن يرضى المالك بالقيمة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عدم جواز إلزامه على القيمة لو أراد الإعادة على ما هو عليه ، فقول الشيخ الأعظم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اُلحق مطلقاً بالقيمي فله وجه</w:t>
      </w:r>
      <w:r>
        <w:rPr>
          <w:rStyle w:val="FootnoteAnchor"/>
          <w:rtl w:val="true"/>
        </w:rPr>
        <w:footnoteReference w:id="1352"/>
      </w:r>
      <w:r>
        <w:rPr>
          <w:rFonts w:ascii="Amiri" w:hAnsi="Amiri" w:eastAsia="Amiri" w:cs="Amiri"/>
          <w:color w:val="111111"/>
          <w:sz w:val="28"/>
          <w:sz w:val="28"/>
          <w:szCs w:val="28"/>
          <w:rtl w:val="true"/>
          <w:lang w:bidi="ar-SA"/>
        </w:rPr>
        <w:t xml:space="preserve">غير مرضيّ ، ودليل الضمان عقلائي أنفذه الشارع الأقدس ، ولا يقتضي الدليل زائداً على ما ذكرناه ، وبعدُ فالمسألة محتاجة إلى التأمّل </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3332086_2142443653"/>
      <w:bookmarkStart w:id="809" w:name="_Toc292"/>
      <w:bookmarkEnd w:id="808"/>
      <w:r>
        <w:rPr>
          <w:rtl w:val="true"/>
        </w:rPr>
        <w:t>حكم ما لو امتنع البائع من تسليم المبيع</w:t>
      </w:r>
      <w:bookmarkEnd w:id="809"/>
    </w:p>
    <w:p>
      <w:pPr>
        <w:pStyle w:val="BookText"/>
        <w:rPr/>
      </w:pPr>
      <w:r>
        <w:rPr>
          <w:rFonts w:ascii="Amiri" w:hAnsi="Amiri" w:eastAsia="Amiri" w:cs="Amiri"/>
          <w:color w:val="111111"/>
          <w:sz w:val="28"/>
          <w:sz w:val="28"/>
          <w:szCs w:val="28"/>
          <w:rtl w:val="true"/>
          <w:lang w:bidi="ar-SA"/>
        </w:rPr>
        <w:t xml:space="preserve">ثمّ إنّه لو امتنع البائع من التسليم ، فإن كان بغير حقّ ، فلا إشكال في كونه غاصباً ، وتجري عليه آثار الغصب ، وعليه الاُجرة والنفقة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بحقّ ، كما لو كان امتناعه لامتناع المشتري من تسليم الثمن ، فبالنسبة للمنافع لو أتلفها ، كما لو أتلف الثمرة ، أو استوفاها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سكن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ضامناً لها ، وعليه عوضها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تلفت لا بتقصير منه ، أو فاتت المنفعة بلا استيفاء ، كما لو بقيت الدار خالية ، والدابّة معطّلة ، فهل عليه ضمان ما تلف أو فات من المنافع ، أم لا ؟</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وجهان ، أوجههما العدم ؛ لانصراف دليل اليد ، عن اليد التي وقعت على مال الغير أو بقيت عليه ؛ بحقّ عقلائي أو شرعي ، ولا سيّما في مثل المورد ، الذي كان </w:t>
      </w:r>
    </w:p>
    <w:p>
      <w:pPr>
        <w:pStyle w:val="BookText"/>
        <w:rPr/>
      </w:pPr>
      <w:r>
        <w:rPr>
          <w:rFonts w:ascii="Amiri" w:hAnsi="Amiri" w:eastAsia="Amiri" w:cs="Amiri"/>
          <w:color w:val="111111"/>
          <w:sz w:val="28"/>
          <w:sz w:val="28"/>
          <w:szCs w:val="28"/>
          <w:rtl w:val="true"/>
          <w:lang w:bidi="ar-SA"/>
        </w:rPr>
        <w:t xml:space="preserve">البقاء فيه بتقصير من صاحب المال ، إن لم تصدق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عمّا إذا صدقت عليه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مثله أمانة شرعية</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الفوات تحت يده إتلاف ومع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الضمان ؛ تشبّثاً بقصور قاعدة اليد عن الأمانة الشرعية</w:t>
      </w:r>
      <w:r>
        <w:rPr>
          <w:rStyle w:val="FootnoteAnchor"/>
          <w:rtl w:val="true"/>
        </w:rPr>
        <w:footnoteReference w:id="1354"/>
      </w:r>
      <w:r>
        <w:rPr>
          <w:rFonts w:ascii="Amiri" w:hAnsi="Amiri" w:eastAsia="Amiri" w:cs="Amiri"/>
          <w:color w:val="111111"/>
          <w:sz w:val="28"/>
          <w:sz w:val="28"/>
          <w:szCs w:val="28"/>
          <w:rtl w:val="true"/>
          <w:lang w:bidi="ar-SA"/>
        </w:rPr>
        <w:t xml:space="preserve">ففي غير محلّه ؛ لأنّ دليل الإتلاف ليس فيه قيد ، وكون الحبس بحقّ ، لا يوجب أن يكون الإتلاف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الذي يسهّل الخطب ، أنّ الفوات تحت يده ليس إتلافاً ، فالضمان لو كان ، إنّما هو ضمان اليد ، لا الإتلاف ، وفي غير المورد إذا منع المالك عن استيفاء منفعة ملكه ، يثبت الضمان العقلائي ، وإن لم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الإتلاف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الامتناع عند الامتناع ، ملازم لجوازه بلا ضمان الاُجرة ، وإلاّ فربّما يحتال المشتري بالتوسّل بالامتناع ؛ لأخذ الاُجرة بسهولة ، فيمتنع عن الثمن ليأخذها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لحفظ مثل الدار نفقة ، فعلى المشتري ، كما أنّ نفقة الدابّة عليه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طلب من البائع الانتفاع بماله وهو في يده ، ففي وجوب إجابته وجهان ، أشبههما بالقواعد الوجوب ، وإن أمكنت المناقشة فيه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جواز الامتناع عن تسليم العين ، جواز الامتناع عن الانتفاع بها ، وفيه كلام </w:t>
      </w:r>
      <w:r>
        <w:rPr>
          <w:rFonts w:eastAsia="Amiri" w:cs="Amiri" w:ascii="Amiri" w:hAnsi="Amiri"/>
          <w:color w:val="111111"/>
          <w:sz w:val="28"/>
          <w:szCs w:val="28"/>
          <w:rtl w:val="true"/>
          <w:lang w:bidi="ar-SA"/>
        </w:rPr>
        <w:t xml:space="preserve">.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5222_162721"/>
      <w:bookmarkStart w:id="811" w:name="pg15222_162721"/>
      <w:bookmarkEnd w:id="811"/>
    </w:p>
    <w:p>
      <w:pPr>
        <w:pStyle w:val="Heading2"/>
        <w:numPr>
          <w:ilvl w:val="1"/>
          <w:numId w:val="1"/>
        </w:numPr>
        <w:rPr/>
      </w:pPr>
      <w:bookmarkStart w:id="812" w:name="pg15222_162721"/>
      <w:bookmarkStart w:id="813" w:name="__RefHeading___Toc3332088_2142443653"/>
      <w:bookmarkStart w:id="814" w:name="_Toc293"/>
      <w:bookmarkEnd w:id="812"/>
      <w:bookmarkEnd w:id="813"/>
      <w:r>
        <w:rPr>
          <w:rtl w:val="true"/>
        </w:rPr>
        <w:t>القول في أحكام القبض</w:t>
      </w:r>
      <w:bookmarkEnd w:id="814"/>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5" w:name="__RefHeading___Toc3332090_2142443653"/>
      <w:bookmarkStart w:id="816" w:name="_Toc294"/>
      <w:bookmarkEnd w:id="815"/>
      <w:r>
        <w:rPr>
          <w:rtl w:val="true"/>
        </w:rPr>
        <w:t>اشارة</w:t>
      </w:r>
      <w:bookmarkEnd w:id="81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15222_162723"/>
      <w:bookmarkStart w:id="818" w:name="pg15222_162723"/>
      <w:bookmarkEnd w:id="818"/>
    </w:p>
    <w:p>
      <w:pPr>
        <w:pStyle w:val="Heading3"/>
        <w:numPr>
          <w:ilvl w:val="2"/>
          <w:numId w:val="1"/>
        </w:numPr>
        <w:rPr/>
      </w:pPr>
      <w:bookmarkStart w:id="819" w:name="pg15222_162723"/>
      <w:bookmarkStart w:id="820" w:name="__RefHeading___Toc3332092_2142443653"/>
      <w:bookmarkStart w:id="821" w:name="_Toc295"/>
      <w:bookmarkEnd w:id="819"/>
      <w:bookmarkEnd w:id="820"/>
      <w:r>
        <w:rPr>
          <w:rtl w:val="true"/>
        </w:rPr>
        <w:t>مسألة في ضمان المبيع على المشتري بعد القبض</w:t>
      </w:r>
      <w:bookmarkEnd w:id="821"/>
    </w:p>
    <w:p>
      <w:pPr>
        <w:pStyle w:val="Heading4"/>
        <w:numPr>
          <w:ilvl w:val="3"/>
          <w:numId w:val="1"/>
        </w:numPr>
        <w:rPr/>
      </w:pPr>
      <w:bookmarkStart w:id="822" w:name="__RefHeading___Toc3332094_2142443653"/>
      <w:bookmarkStart w:id="823" w:name="_Toc296"/>
      <w:bookmarkEnd w:id="822"/>
      <w:r>
        <w:rPr>
          <w:rtl w:val="true"/>
        </w:rPr>
        <w:t>اشارة</w:t>
      </w:r>
      <w:bookmarkEnd w:id="823"/>
    </w:p>
    <w:p>
      <w:pPr>
        <w:pStyle w:val="BookText"/>
        <w:rPr/>
      </w:pPr>
      <w:r>
        <w:rPr>
          <w:rFonts w:ascii="Amiri" w:hAnsi="Amiri" w:eastAsia="Amiri" w:cs="Amiri"/>
          <w:color w:val="111111"/>
          <w:sz w:val="28"/>
          <w:sz w:val="28"/>
          <w:szCs w:val="28"/>
          <w:rtl w:val="true"/>
          <w:lang w:bidi="ar-SA"/>
        </w:rPr>
        <w:t xml:space="preserve">من أحكام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ضمان المبيع إلى المشتري القابض ؛ إذ يكون قبل القبض على البائع ، وهو في الجملة ممّا لا كلام فيه </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3332096_2142443653"/>
      <w:bookmarkStart w:id="825" w:name="_Toc297"/>
      <w:bookmarkEnd w:id="824"/>
      <w:r>
        <w:rPr>
          <w:rtl w:val="true"/>
        </w:rPr>
        <w:t>في أنّ الضمان في المقام ضمان المعاوضة</w:t>
      </w:r>
      <w:bookmarkEnd w:id="825"/>
    </w:p>
    <w:p>
      <w:pPr>
        <w:pStyle w:val="BookText"/>
        <w:rPr/>
      </w:pPr>
      <w:r>
        <w:rPr>
          <w:rFonts w:ascii="Amiri" w:hAnsi="Amiri" w:eastAsia="Amiri" w:cs="Amiri"/>
          <w:color w:val="111111"/>
          <w:sz w:val="28"/>
          <w:sz w:val="28"/>
          <w:szCs w:val="28"/>
          <w:rtl w:val="true"/>
          <w:lang w:bidi="ar-SA"/>
        </w:rPr>
        <w:t xml:space="preserve">وإنّما الكلام في أ نّه مضمون عليه بالضمان المعاوضي ، أو أ نّه مضمون عليه بالضمان الواقعي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يحتمل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مضمون عليه بضمان اليد ؛ أي الضمان الواقعي ، بدعوى أ نّه تحت يده ، من غير أن يكون أمانة شرعية أو مالكية </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وبدعوى ظهور النبوي المعروف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مبيع تلف قبل قبضه فهو من مال بائعه</w:t>
      </w:r>
      <w:r>
        <w:rPr>
          <w:rFonts w:eastAsia="Amiri" w:cs="Amiri" w:ascii="Amiri" w:hAnsi="Amiri"/>
          <w:color w:val="111111"/>
          <w:sz w:val="28"/>
          <w:szCs w:val="28"/>
          <w:rtl w:val="true"/>
          <w:lang w:bidi="ar-SA"/>
        </w:rPr>
        <w:t>»</w:t>
      </w:r>
      <w:r>
        <w:rPr>
          <w:rStyle w:val="FootnoteAnchor"/>
          <w:rtl w:val="true"/>
        </w:rPr>
        <w:footnoteReference w:id="1355"/>
      </w:r>
      <w:r>
        <w:rPr>
          <w:rFonts w:ascii="Amiri" w:hAnsi="Amiri" w:eastAsia="Amiri" w:cs="Amiri"/>
          <w:color w:val="111111"/>
          <w:sz w:val="28"/>
          <w:sz w:val="28"/>
          <w:szCs w:val="28"/>
          <w:rtl w:val="true"/>
          <w:lang w:bidi="ar-SA"/>
        </w:rPr>
        <w:t xml:space="preserve">في ذلك ؛ فإنّ الضمير المنفصل يرجع إلى التلف المستفاد من الفعل ، </w:t>
      </w:r>
    </w:p>
    <w:p>
      <w:pPr>
        <w:pStyle w:val="BookText"/>
        <w:rPr/>
      </w:pPr>
      <w:r>
        <w:rPr>
          <w:rFonts w:ascii="Amiri" w:hAnsi="Amiri" w:eastAsia="Amiri" w:cs="Amiri"/>
          <w:color w:val="111111"/>
          <w:sz w:val="28"/>
          <w:sz w:val="28"/>
          <w:szCs w:val="28"/>
          <w:rtl w:val="true"/>
          <w:lang w:bidi="ar-SA"/>
        </w:rPr>
        <w:t xml:space="preserve">فيكون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تلفه من مال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اُخرى عن أنّ ضمانه عليه مثلاً أو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فرض تسليم رجوعه إلى المبيع الذي تلف ، فبما أ نّه لا يمكن الأخذ بظاهره ، فلا بدّ من الحمل على أنّ خسارته من ماله ، وهو عبارة اُخرى عن الضمان بأحدهما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تنافيهما رواية عقبة بن خالد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اشترى متاعاً من رجل وأوجبه ، غير أ نّه ترك المتاع عنده ولم يقبضه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آتيك غداً إن شاء اللّه ، فسرق المتاع ، من مال من يكون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 حتّى يقبض المتاع ، ويخرجه من بيته ، فإذا أخرجه من بيته ، فالمبتاع ضامن لحقّه حتّى يردّ ماله إليه</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السؤال عن الضمان المعهود ، وإلاّ فبعد تحقّق البيع ، لا يحتمل بحسب العادة أن يكون التلف واقعاً على مال البائع مع خروجه عن ملكه ، والانفساخُ بالتلف أو تقديره آناً ما قبل التلف ، أمر مخالف لفهم العقلاء </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في ارتكاز السائل احتمال أنّ وقوع التلف في يده ، موجب للضمان مع احتمال عدمه ، فكأ 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السرقة التي هي الخسارة ، من مال من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 نّها من مال البائع إلى أن يقبض المتاع</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الإجماعات المدّعاة</w:t>
      </w:r>
      <w:r>
        <w:rPr>
          <w:rStyle w:val="FootnoteAnchor"/>
          <w:rtl w:val="true"/>
        </w:rPr>
        <w:footnoteReference w:id="13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فرض اعتبارها ، والغضّ عن أ نّها ليست حجّة في مثل المسألة التي ورد فيها النبوي المشهور ، والرواية المتقدّمة ، وتمسّك الأصحاب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انعقدت على العنوان المأخوذ في النبوي ، الذي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بظهوره في ضمان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التفريع في بعض العبارات ؛ بأ نّه يرجع إلى ثمنه</w:t>
      </w:r>
      <w:r>
        <w:rPr>
          <w:rStyle w:val="FootnoteAnchor"/>
          <w:rtl w:val="true"/>
        </w:rPr>
        <w:footnoteReference w:id="1358"/>
      </w:r>
      <w:r>
        <w:rPr>
          <w:rFonts w:ascii="Amiri" w:hAnsi="Amiri" w:eastAsia="Amiri" w:cs="Amiri"/>
          <w:color w:val="111111"/>
          <w:sz w:val="28"/>
          <w:sz w:val="28"/>
          <w:szCs w:val="28"/>
          <w:rtl w:val="true"/>
          <w:lang w:bidi="ar-SA"/>
        </w:rPr>
        <w:t xml:space="preserve">، فلم ينعقد عليه إجماع ، مضافاً إلى عدم إمكان الانفساخ بلا سبب ، وليس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آناً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التخلّص عن الأمر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مالية الشيء بعد تلفه وملكيته من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تعبّد شرعي ، وهو كما يحتمل أن يكون بالانفساخ ، يحتمل أن يكون بالضمان ، وأنّ خسارته من ماله مثلاً أو 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تأييده بالروايات الواردة في خيار الحيوان ؛ بأنّ التلف في زمان الخيار ، مضمون على البائع ، حيث كان 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الضمان على البائع</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xml:space="preserve">وهو ظاهر في الضمان المعهود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بعضها </w:t>
      </w:r>
      <w:r>
        <w:rPr>
          <w:rStyle w:val="FootnoteAnchor"/>
          <w:rtl w:val="true"/>
        </w:rPr>
        <w:footnoteReference w:id="1360"/>
      </w:r>
      <w:r>
        <w:rPr>
          <w:rFonts w:ascii="Amiri" w:hAnsi="Amiri" w:eastAsia="Amiri" w:cs="Amiri"/>
          <w:color w:val="111111"/>
          <w:sz w:val="28"/>
          <w:sz w:val="28"/>
          <w:szCs w:val="28"/>
          <w:rtl w:val="true"/>
          <w:lang w:bidi="ar-SA"/>
        </w:rPr>
        <w:t xml:space="preserve">كان التعبير عين ما في النبوي ، فيحمل على الضمان </w:t>
      </w:r>
    </w:p>
    <w:p>
      <w:pPr>
        <w:pStyle w:val="BookText"/>
        <w:rPr/>
      </w:pPr>
      <w:r>
        <w:rPr>
          <w:rFonts w:ascii="Amiri" w:hAnsi="Amiri" w:eastAsia="Amiri" w:cs="Amiri"/>
          <w:color w:val="111111"/>
          <w:sz w:val="28"/>
          <w:sz w:val="28"/>
          <w:szCs w:val="28"/>
          <w:rtl w:val="true"/>
          <w:lang w:bidi="ar-SA"/>
        </w:rPr>
        <w:t xml:space="preserve">المعهود ، ويستفاد منه حكم المقام ، هذا غاية ما يمكن أن يستدلّ لهذا الاحتمال أو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شمول دليل اليد للمورد ممنوع ، بعد فرض أ نّه لم يصدر منه الإفراط ولا التفريط ، ولم يماطل في القبض الواجب عليه ، فإنّه حينئذٍ محسن بحفظه ، لا سبيل عليه ، ولأ نّه أمانة شرعية في يده ، بل دليل اليد منصرف عن مثله بلا شبهة ، فالقاعدة تقتضي عدم ضمان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النبوي ، فلا شبهة في ظهوره في رجوع الضمير إلى المبيع ؛ فإنّه موضوع للسؤال عن أ نّه إذا تلف فما حكمه ؟ وسيق الكلام لبيان حكمه فالإرجاع إلى التلف تكلّف بلا قيام قرينة ، بل مع القرينة على خلافه تعسّف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نّه على هذا الفرض ، ظاهر في أنّ التلف وقع من ماله ؛ أي ماله تلف ، وحمله على لزوم الجبران بمال آخر ، وأنّ عليه جبران خسارته ، تكلّف ، بل على هذا الاحتمال ، يرفع الإشكال عن ظاهر الكلام ؛ حيث يوهم أنّ المبيع حال التلف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أرجعنا الضمير إلى التلف المستفاد من الفعل ، يستفاد ما عليه المشهور بلا ورود إشكال عليه ؛ فإنّ مفاده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مبيع تلف ، يكون تلفه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وقوعه على ماله ، لا كونه حال التلف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لزوم الإرجاع إليه ؛ لقيام القرينة العقلية على عدم صحّة الرجوع إلى المبيع ، ولا مرجع بعده إلاّ التلف المستفاد من الفعل ، فيكون النبوي ظاهراً في القول المعروف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إمكان الرجوع إلى المبيع ، دليل على الرجوع إلى </w:t>
      </w:r>
    </w:p>
    <w:p>
      <w:pPr>
        <w:pStyle w:val="BookText"/>
        <w:rPr/>
      </w:pPr>
      <w:r>
        <w:rPr>
          <w:rFonts w:ascii="Amiri" w:hAnsi="Amiri" w:eastAsia="Amiri" w:cs="Amiri"/>
          <w:color w:val="111111"/>
          <w:sz w:val="28"/>
          <w:sz w:val="28"/>
          <w:szCs w:val="28"/>
          <w:rtl w:val="true"/>
          <w:lang w:bidi="ar-SA"/>
        </w:rPr>
        <w:t xml:space="preserve">التلف ، فيستفاد منه الضمان المعهود في غير محلّها ؛ لأنّ الرجوع إليه يؤكّد 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عقبة ظاهرة كالصريحة ، في أنّ السرقة من مال البائع ، ودعوى أنّ السؤال عن الضمان المعهود ؛ لعدم احتمال السائل أنّ التلف من مال البائع ، بعد خروجه عن ملكه تخرّص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اشتهار النبوي الظاهر في أنّ التلف من مال البائع ، أوجب السؤال ، فلا عذر في ردّ الظاهر الذي هو كالصريح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السرقة من مال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بالاحتمال الذي يمكن أن يكون مرجوحاً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الانفساخ بلا سبب مدفوعة بأنّ الأسباب في الاعتباريات ، هي موضوعات للاعتبار العقلائي أو الشرعي ، وليست أسباباً تكوينية ، فلا مانع من كون التلف ، موضوعاً لاعتبار الشارع انفساخ العقد آناً ما قبل التلف ، أو لحكمه بانفساخه قبل تلفه ، ولا يحتاج إلى سبب تكويني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والتأييد بروايات خيار الحيوان في غير محلّه ، وقد ذكرنا في البحث حول التلف في زمان الخيار شطراً وافياً من الكلام ، يستفاد منه عكس ما ذكر من التأييد</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ينبغي الإشكال ، في أنّ الضمان المعاوضي ، كان مشهوراً من زمن شيخ الطائفة قدّس سرّه إلى الأعصار المتأخّرة من غير نكير ، وهي شاهدة على أ نّهم أخذوا الحكم من الشارع الأقدس يداً بيد </w:t>
      </w:r>
      <w:r>
        <w:rPr>
          <w:rFonts w:eastAsia="Amiri" w:cs="Amiri" w:ascii="Amiri" w:hAnsi="Amiri"/>
          <w:color w:val="111111"/>
          <w:sz w:val="28"/>
          <w:szCs w:val="28"/>
          <w:rtl w:val="true"/>
          <w:lang w:bidi="ar-SA"/>
        </w:rPr>
        <w:t xml:space="preserve">. </w:t>
      </w:r>
      <w:bookmarkStart w:id="826" w:name="pg15222_162728"/>
    </w:p>
    <w:p>
      <w:pPr>
        <w:pStyle w:val="BookText"/>
        <w:rPr/>
      </w:pPr>
      <w:bookmarkEnd w:id="826"/>
      <w:r>
        <w:rPr>
          <w:rFonts w:ascii="Amiri" w:hAnsi="Amiri" w:eastAsia="Amiri" w:cs="Amiri"/>
          <w:color w:val="111111"/>
          <w:sz w:val="28"/>
          <w:sz w:val="28"/>
          <w:szCs w:val="28"/>
          <w:rtl w:val="true"/>
          <w:lang w:bidi="ar-SA"/>
        </w:rPr>
        <w:t>ولو استشكل في ذلك ، فلا أقلّ من كونها شاهدة على أنّ الظاهر المتفاهم من النبوي</w:t>
      </w:r>
      <w:r>
        <w:rPr>
          <w:rStyle w:val="FootnoteAnchor"/>
          <w:rtl w:val="true"/>
        </w:rPr>
        <w:footnoteReference w:id="1362"/>
      </w:r>
      <w:r>
        <w:rPr>
          <w:rFonts w:ascii="Amiri" w:hAnsi="Amiri" w:eastAsia="Amiri" w:cs="Amiri"/>
          <w:color w:val="111111"/>
          <w:sz w:val="28"/>
          <w:sz w:val="28"/>
          <w:szCs w:val="28"/>
          <w:rtl w:val="true"/>
          <w:lang w:bidi="ar-SA"/>
        </w:rPr>
        <w:t>والرواية</w:t>
      </w:r>
      <w:r>
        <w:rPr>
          <w:rStyle w:val="FootnoteAnchor"/>
          <w:rtl w:val="true"/>
        </w:rPr>
        <w:footnoteReference w:id="1363"/>
      </w:r>
      <w:r>
        <w:rPr>
          <w:rFonts w:ascii="Amiri" w:hAnsi="Amiri" w:eastAsia="Amiri" w:cs="Amiri"/>
          <w:color w:val="111111"/>
          <w:sz w:val="28"/>
          <w:sz w:val="28"/>
          <w:szCs w:val="28"/>
          <w:rtl w:val="true"/>
          <w:lang w:bidi="ar-SA"/>
        </w:rPr>
        <w:t xml:space="preserve">عرفاً عند أهل اللسان والتحقيق ، هو الضمان المعاوضي </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3332098_2142443653"/>
      <w:bookmarkStart w:id="828" w:name="_Toc298"/>
      <w:bookmarkEnd w:id="827"/>
      <w:r>
        <w:rPr>
          <w:rtl w:val="true"/>
        </w:rPr>
        <w:t>انفساخ العقد حقيقة آناً ما قبل التلف</w:t>
      </w:r>
      <w:bookmarkEnd w:id="828"/>
    </w:p>
    <w:p>
      <w:pPr>
        <w:pStyle w:val="BookText"/>
        <w:rPr/>
      </w:pPr>
      <w:r>
        <w:rPr>
          <w:rFonts w:ascii="Amiri" w:hAnsi="Amiri" w:eastAsia="Amiri" w:cs="Amiri"/>
          <w:color w:val="111111"/>
          <w:sz w:val="28"/>
          <w:sz w:val="28"/>
          <w:szCs w:val="28"/>
          <w:rtl w:val="true"/>
          <w:lang w:bidi="ar-SA"/>
        </w:rPr>
        <w:t>ثمّ على القول بالضمان المعاوضي اللازم منه رجوع الثمن إلى المشتري ، فهل ينفسخ العقد حقيقة آناً ما قبل التلف كما هو المشهور</w:t>
      </w:r>
      <w:r>
        <w:rPr>
          <w:rStyle w:val="FootnoteAnchor"/>
          <w:rtl w:val="true"/>
        </w:rPr>
        <w:footnoteReference w:id="1364"/>
      </w:r>
      <w:r>
        <w:rPr>
          <w:rFonts w:ascii="IRNazanin" w:hAnsi="IRNazanin" w:eastAsia="IRNazanin"/>
          <w:color w:val="111111"/>
          <w:sz w:val="28"/>
          <w:sz w:val="28"/>
          <w:szCs w:val="28"/>
          <w:rtl w:val="true"/>
          <w:lang w:bidi="fa-IR"/>
        </w:rPr>
        <w:t>، أو من الأصل</w:t>
      </w:r>
      <w:r>
        <w:rPr>
          <w:rStyle w:val="FootnoteAnchor"/>
          <w:rtl w:val="true"/>
        </w:rPr>
        <w:footnoteReference w:id="1365"/>
      </w:r>
      <w:r>
        <w:rPr>
          <w:rFonts w:ascii="Amiri" w:hAnsi="Amiri" w:eastAsia="Amiri" w:cs="Amiri"/>
          <w:color w:val="111111"/>
          <w:sz w:val="28"/>
          <w:sz w:val="28"/>
          <w:szCs w:val="28"/>
          <w:rtl w:val="true"/>
          <w:lang w:bidi="ar-SA"/>
        </w:rPr>
        <w:t>، أو يكشف التلف عن بطلان العقد رأساً؛ بأن تكون صحّته مشروطة بعدم التلف قبله؟</w:t>
      </w:r>
    </w:p>
    <w:p>
      <w:pPr>
        <w:pStyle w:val="BookText"/>
        <w:rPr/>
      </w:pPr>
      <w:r>
        <w:rPr>
          <w:rFonts w:ascii="Amiri" w:hAnsi="Amiri" w:eastAsia="Amiri" w:cs="Amiri"/>
          <w:color w:val="111111"/>
          <w:sz w:val="28"/>
          <w:sz w:val="28"/>
          <w:szCs w:val="28"/>
          <w:rtl w:val="true"/>
          <w:lang w:bidi="ar-SA"/>
        </w:rPr>
        <w:t>أو لا يكون هنا انفساخ ، ولا بطلان حقيقة ، بل الشارع تعبّد بأحدهما حكماً ، فحكم بأ نّه بحكم الانفساخ آناً ما قبل التلف ، أو من الأصل ، أو تعبّد بترتيب آثار البطلان رأساً ؟</w:t>
      </w:r>
    </w:p>
    <w:p>
      <w:pPr>
        <w:pStyle w:val="BookText"/>
        <w:rPr/>
      </w:pPr>
      <w:r>
        <w:rPr>
          <w:rFonts w:ascii="Amiri" w:hAnsi="Amiri" w:eastAsia="Amiri" w:cs="Amiri"/>
          <w:color w:val="111111"/>
          <w:sz w:val="28"/>
          <w:sz w:val="28"/>
          <w:szCs w:val="28"/>
          <w:rtl w:val="true"/>
          <w:lang w:bidi="ar-SA"/>
        </w:rPr>
        <w:t xml:space="preserve">والأوجه من بين الاحتمالات ، ما هو المعروف بين الأصحاب ؛ لأنّ حمل النبوي والرواية على التعبّد ، وترتيب الآثار ، خلاف ظاهرهما ، ويحتاج إلى الدعوى المعتبرة في المجاز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والبطلان من الأصل ؛ بدعوى الاشتراط والتقيّد ، مخالف لإطلاق أدلّة صحّة البيع ونفوذه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الانفساخ من الأصل ؛ فإنّه مخالف للأدلّة والاُصول ، فلا يجوز رفع اليد عنها إلاّ بمقدار الضرورة ، وهو الانفساخ آناً ما قبل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أدلّة صحّة العقد ولزومه ، نفوذه ولزومه ؛ من غير تقييد بزمان دون زمان ، خرج منه آناً ما قبل التلف يقيناً ؛ إمّا لخروجه مطلقاً ، أو في خصوص هذا الزمان ، وفي الزائد على المتيقّن يكون محتمل البقاء على نفوذه ولزومه ، فيؤخذ بالإطلاق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بقاءه إلى زمان ما قبل التلف ، مقتضى الاستصحاب ، بعد كون البطلان من رأس خلاف الأدلّة ؛ لأنّ المتيقّن خروج ما قبل التلف ، وفيما عداه محتمل ، فيجري فيه الأصل ، وليس في النبوي والرواية ، دلالة على الانفساخ من الأصل ، ولا إطلاق فيهما من هذه الجهة ، فالحكم المشهور موافق للتحقيق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ذكرناه في التلف في زمان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الحمل على التعبّد</w:t>
      </w:r>
      <w:r>
        <w:rPr>
          <w:rStyle w:val="FootnoteAnchor"/>
          <w:rtl w:val="true"/>
        </w:rPr>
        <w:footnoteReference w:id="1366"/>
      </w:r>
      <w:r>
        <w:rPr>
          <w:rFonts w:ascii="Amiri" w:hAnsi="Amiri" w:eastAsia="Amiri" w:cs="Amiri"/>
          <w:color w:val="111111"/>
          <w:sz w:val="28"/>
          <w:sz w:val="28"/>
          <w:szCs w:val="28"/>
          <w:rtl w:val="true"/>
          <w:lang w:bidi="ar-SA"/>
        </w:rPr>
        <w:t>، فإنّما هو لقيام قرينة هناك عليه ؛ وهي أنّ العيب الحادث أيضاً مضمون على البائع فراجع ، وسيأتي الكلام في ضمان الأوصاف التالفة قبل القبض</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الدليل على الانفساخ الحقيقي قبل التلف ، تكون المنافع إلى زمان الانفساخ للمشتري ، ومن حال التلف تترتّب جميع آثار الملك الحقيقي للبائع ، فله الانتفاع بالتالف ، وإذا كانت له منفعة فهي له </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الادّعائية ، اللازم منها ترتيب آثار كون التلف من ماله ، فلا مجال لترتيب آثار الملك عليه ؛ لأنّ الادّعاء على أنّ التلف من ملكه ، لا أنّ </w:t>
      </w:r>
      <w:bookmarkStart w:id="829" w:name="pg15222_162730"/>
    </w:p>
    <w:p>
      <w:pPr>
        <w:pStyle w:val="BookText"/>
        <w:rPr/>
      </w:pPr>
      <w:bookmarkEnd w:id="829"/>
      <w:r>
        <w:rPr>
          <w:rFonts w:ascii="Amiri" w:hAnsi="Amiri" w:eastAsia="Amiri" w:cs="Amiri"/>
          <w:color w:val="111111"/>
          <w:sz w:val="28"/>
          <w:sz w:val="28"/>
          <w:szCs w:val="28"/>
          <w:rtl w:val="true"/>
          <w:lang w:bidi="ar-SA"/>
        </w:rPr>
        <w:t xml:space="preserve">التالف ملكه ، فلا بدّ من الاقتصار على مورد التعبّد ، فليس للبائع الانتفاع بالتالف ، ولا يجب عليه تجهيز العبد الذي مات قبل القبض ، بل يكون ذلك للمشتري ، وذاك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الضمان المعاوضي المذكور ، ليس من الحقوق القابلة للإسقاط ؛ فإنّ انفساخ العقد ورجوع العوضين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بانفساخه حقيقة أو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الشرعية غير القابلة للإسقاط والإبراء والنقل ؛ ممّا يجري في الحقوق ، كما أنّ اشتراط عدم الانفساخ عند التلف ، مخالف للشرع ، فلا نفوذ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الرافع لهذا الضمان هو القبض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الاستيلاء على المبيع والاستقلال به ، لا جعله في قبضة البائع ، فالتخلية بلا حصول استيلاء للقابض ، ليست بقبض ، ومعه يصدق القبض عرفاً بلا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القرينة في النبوي</w:t>
      </w:r>
      <w:r>
        <w:rPr>
          <w:rStyle w:val="FootnoteAnchor"/>
          <w:rtl w:val="true"/>
        </w:rPr>
        <w:footnoteReference w:id="1369"/>
      </w:r>
      <w:r>
        <w:rPr>
          <w:rFonts w:ascii="Amiri" w:hAnsi="Amiri" w:eastAsia="Amiri" w:cs="Amiri"/>
          <w:color w:val="111111"/>
          <w:sz w:val="28"/>
          <w:sz w:val="28"/>
          <w:szCs w:val="28"/>
          <w:rtl w:val="true"/>
          <w:lang w:bidi="ar-SA"/>
        </w:rPr>
        <w:t xml:space="preserve">على أنّ القبض ليس بالمعنى الحقيقي ؛ وهي عموم الحكم لكلّ مبيع ، ومنه الدار ، والبستان ، ونحوهما ، فلا ينبغي الإشكال في أنّ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الاستيلاء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للضمان </w:t>
      </w:r>
      <w:r>
        <w:rPr>
          <w:rFonts w:eastAsia="Amiri" w:cs="Amiri" w:ascii="Amiri" w:hAnsi="Amiri"/>
          <w:color w:val="111111"/>
          <w:sz w:val="28"/>
          <w:szCs w:val="28"/>
          <w:rtl w:val="true"/>
          <w:lang w:bidi="ar-SA"/>
        </w:rPr>
        <w:t>.</w:t>
      </w:r>
    </w:p>
    <w:p>
      <w:pPr>
        <w:pStyle w:val="Heading4"/>
        <w:numPr>
          <w:ilvl w:val="3"/>
          <w:numId w:val="1"/>
        </w:numPr>
        <w:rPr/>
      </w:pPr>
      <w:bookmarkStart w:id="830" w:name="__RefHeading___Toc3332100_2142443653"/>
      <w:bookmarkStart w:id="831" w:name="_Toc299"/>
      <w:bookmarkEnd w:id="830"/>
      <w:r>
        <w:rPr>
          <w:rtl w:val="true"/>
        </w:rPr>
        <w:t>المراد بالنبوي هو التلف العرفي ولو مع عدم إقباض البائع</w:t>
      </w:r>
      <w:bookmarkEnd w:id="831"/>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النبوي هو التلف العرفي ، وتشهد به رواية عقبة</w:t>
      </w:r>
      <w:r>
        <w:rPr>
          <w:rStyle w:val="FootnoteAnchor"/>
          <w:rtl w:val="true"/>
        </w:rPr>
        <w:footnoteReference w:id="1370"/>
      </w:r>
      <w:r>
        <w:rPr>
          <w:rFonts w:ascii="Amiri" w:hAnsi="Amiri" w:eastAsia="Amiri" w:cs="Amiri"/>
          <w:color w:val="111111"/>
          <w:sz w:val="28"/>
          <w:sz w:val="28"/>
          <w:szCs w:val="28"/>
          <w:rtl w:val="true"/>
          <w:lang w:bidi="ar-SA"/>
        </w:rPr>
        <w:t xml:space="preserve">، فيشمل الغرق والسرقة ونحوهما ؛ ممّا يعدّ عند العرف تلفاً ، </w:t>
      </w:r>
    </w:p>
    <w:p>
      <w:pPr>
        <w:pStyle w:val="BookText"/>
        <w:rPr/>
      </w:pPr>
      <w:r>
        <w:rPr>
          <w:rFonts w:ascii="Amiri" w:hAnsi="Amiri" w:eastAsia="Amiri" w:cs="Amiri"/>
          <w:color w:val="111111"/>
          <w:sz w:val="28"/>
          <w:sz w:val="28"/>
          <w:szCs w:val="28"/>
          <w:rtl w:val="true"/>
          <w:lang w:bidi="ar-SA"/>
        </w:rPr>
        <w:t xml:space="preserve">فيما إذا كان بحيث لا يرجى عوده ، ومنه انفلات الطير وفرار الوحش ، إذا لم يرج عودهما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اتّفق العود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قبله فانفسخ العقد ، أو حكم به شرعاً ، وأنّ العود نظير الإحياء بعد الموت والتلف الحقيقي ، فالحكم كما لم 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المذكورات ، يتوقّف على عدم العود ، وأنّ اليأس عنه اُخذ على نحو الطريقية ، فمع انكشاف الخلاف ينكشف عدم الانفساخ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الموضوع في النبوي هو التلف قبل القبض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استيلاء القابض على المبيع ، وهو صادق ولو مع عدم إقباض البائع ، وعدم إذنه ، فلا إشكال في انتقال الضمان إلى المشتري بالقبض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عقبة بن خالد</w:t>
      </w:r>
      <w:r>
        <w:rPr>
          <w:rStyle w:val="FootnoteAnchor"/>
          <w:rtl w:val="true"/>
        </w:rPr>
        <w:footnoteReference w:id="1371"/>
      </w:r>
      <w:r>
        <w:rPr>
          <w:rFonts w:ascii="Amiri" w:hAnsi="Amiri" w:eastAsia="Amiri" w:cs="Amiri"/>
          <w:color w:val="111111"/>
          <w:sz w:val="28"/>
          <w:sz w:val="28"/>
          <w:szCs w:val="28"/>
          <w:rtl w:val="true"/>
          <w:lang w:bidi="ar-SA"/>
        </w:rPr>
        <w:t xml:space="preserve">، وإن كانت توهّم دخالة الإقباض ، أو كونه تمام الموضوع ، لكنّ الأقوى هو ما ذكرناه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الإقباض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يساعده فهم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إلى حصول القبض عرفاً ، ومع الاحتمال لا ترفع اليد عن إطلاق النبوي</w:t>
      </w:r>
      <w:r>
        <w:rPr>
          <w:rStyle w:val="FootnoteAnchor"/>
          <w:rtl w:val="true"/>
        </w:rPr>
        <w:footnoteReference w:id="1372"/>
      </w:r>
      <w:r>
        <w:rPr>
          <w:rFonts w:ascii="Amiri" w:hAnsi="Amiri" w:eastAsia="Amiri" w:cs="Amiri"/>
          <w:color w:val="111111"/>
          <w:sz w:val="28"/>
          <w:sz w:val="28"/>
          <w:szCs w:val="28"/>
          <w:rtl w:val="true"/>
          <w:lang w:bidi="ar-SA"/>
        </w:rPr>
        <w:t xml:space="preserve">، بل ما هو المستند الأصيل للحكم ، هو النبوي المشهور المفتى به </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قبضه بلا حقّ ، واستردّه البائع فتلف ، فهل هو من التلف قبل القبض ، أو من التلف بعده ؟ وجهان ، أوجههما الثاني ، هذا كلّه حكم التلف </w:t>
      </w:r>
      <w:r>
        <w:rPr>
          <w:rFonts w:eastAsia="Amiri" w:cs="Amiri" w:ascii="Amiri" w:hAnsi="Amiri"/>
          <w:color w:val="111111"/>
          <w:sz w:val="28"/>
          <w:szCs w:val="28"/>
          <w:rtl w:val="true"/>
          <w:lang w:bidi="ar-SA"/>
        </w:rPr>
        <w:t xml:space="preserve">. </w:t>
      </w:r>
      <w:bookmarkStart w:id="832" w:name="pg15222_162732"/>
    </w:p>
    <w:p>
      <w:pPr>
        <w:pStyle w:val="Heading4"/>
        <w:numPr>
          <w:ilvl w:val="3"/>
          <w:numId w:val="1"/>
        </w:numPr>
        <w:rPr/>
      </w:pPr>
      <w:bookmarkStart w:id="833" w:name="__RefHeading___Toc3332102_2142443653"/>
      <w:bookmarkStart w:id="834" w:name="_Toc300"/>
      <w:bookmarkEnd w:id="832"/>
      <w:bookmarkEnd w:id="833"/>
      <w:r>
        <w:rPr>
          <w:rtl w:val="true"/>
        </w:rPr>
        <w:t>حكم إتلاف المشتري للمبيع</w:t>
      </w:r>
      <w:bookmarkEnd w:id="834"/>
    </w:p>
    <w:p>
      <w:pPr>
        <w:pStyle w:val="BookText"/>
        <w:rPr/>
      </w:pPr>
      <w:r>
        <w:rPr>
          <w:rFonts w:ascii="Amiri" w:hAnsi="Amiri" w:eastAsia="Amiri" w:cs="Amiri"/>
          <w:color w:val="111111"/>
          <w:sz w:val="28"/>
          <w:sz w:val="28"/>
          <w:szCs w:val="28"/>
          <w:rtl w:val="true"/>
          <w:lang w:bidi="ar-SA"/>
        </w:rPr>
        <w:t xml:space="preserve">وأمّا الإتلاف ، فإمّا أن يكون من المشتري ، وإمّا أن يكون من البائع ، أو من الأجنبيّ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مفاد النبوي والرواية ، أعمّ من التلف ، بدعوى أنّ الإتلاف محقّق للتلف ، ويصدق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تلف بإتلاف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الحكم حينئذٍ كما تقدّم في التلف</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إمكان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بمناسبات الحكم والموضوع ، يفهم العرف أنّ الموضوع عدم وصول المبيع إلى المشتري وتعذّره ، من غير فرق بين التلف والإتلاف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التلف مطلقاً ، لا يعقل وقوعه بلا سبب يكون هو المتلف ، فالتلف بجميع أنحائه يكون تلفاً بإتلاف ، غاية الأمر أنّ السبب قد يكون مختاراً ويصحّ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وقد لا يكون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وتشهد لعموم الحكم رواية عقبة ؛ حيث إنّ السرقة بما أ نّها تلف عرفي ، ثبت عليها حكم التلف ، وهي فعل السارق ، 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نّه أتلف المبيع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بدّ من الحكم في إتلاف المشتري ، بانفساخ العقد آناً ما قبله ، ووقوع الإتلاف على مال البائع ، فيكون المشتري ضامناً له بالغرامة ، والبائع ضامناً للثمن المسمّى </w:t>
      </w:r>
      <w:r>
        <w:rPr>
          <w:rFonts w:eastAsia="Amiri" w:cs="Amiri" w:ascii="Amiri" w:hAnsi="Amiri"/>
          <w:color w:val="111111"/>
          <w:sz w:val="28"/>
          <w:szCs w:val="28"/>
          <w:rtl w:val="true"/>
          <w:lang w:bidi="ar-SA"/>
        </w:rPr>
        <w:t xml:space="preserve">. </w:t>
      </w:r>
      <w:bookmarkStart w:id="835" w:name="pg15222_162733"/>
    </w:p>
    <w:p>
      <w:pPr>
        <w:pStyle w:val="BookText"/>
        <w:rPr/>
      </w:pPr>
      <w:bookmarkEnd w:id="835"/>
      <w:r>
        <w:rPr>
          <w:rFonts w:ascii="Amiri" w:hAnsi="Amiri" w:eastAsia="Amiri" w:cs="Amiri"/>
          <w:color w:val="111111"/>
          <w:sz w:val="28"/>
          <w:sz w:val="28"/>
          <w:szCs w:val="28"/>
          <w:rtl w:val="true"/>
          <w:lang w:bidi="ar-SA"/>
        </w:rPr>
        <w:t xml:space="preserve">وإن قلنا بانصراف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إتلاف المشتري صاحب السلعة ، وإن لم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بانصرافه عن إتلاف الأجنبيّ أو البائع ، فعلى المشتري الثمن المسمّى ، وليست على البائع غرامة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الشكّ في ذلك ، يكون مقتضى الاُصول بقاء العقد ، وبقاء العين ملكاً للمشتري ، والثمن ملكاً للبائع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انصراف الدليل عن إتلاف المشتري ، ورواية عقبة وردت في إتلاف الأجنبيّ ، ولا يمكن إلغاء الخصوصية ، لأنّ له خصوصية ، فالحكم بسقوط الضمان الذي نفي عنه الخلاف ، في محلّه </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3332104_2142443653"/>
      <w:bookmarkStart w:id="837" w:name="_Toc301"/>
      <w:bookmarkEnd w:id="836"/>
      <w:r>
        <w:rPr>
          <w:rtl w:val="true"/>
        </w:rPr>
        <w:t>حكم إتلاف البائع للمبيع</w:t>
      </w:r>
      <w:bookmarkEnd w:id="837"/>
    </w:p>
    <w:p>
      <w:pPr>
        <w:pStyle w:val="BookText"/>
        <w:rPr/>
      </w:pPr>
      <w:r>
        <w:rPr>
          <w:rFonts w:ascii="Amiri" w:hAnsi="Amiri" w:eastAsia="Amiri" w:cs="Amiri"/>
          <w:color w:val="111111"/>
          <w:sz w:val="28"/>
          <w:sz w:val="28"/>
          <w:szCs w:val="28"/>
          <w:rtl w:val="true"/>
          <w:lang w:bidi="ar-SA"/>
        </w:rPr>
        <w:t xml:space="preserve">وممّا ذكر يظهر الحال في إتلاف البائع ؛ فإنّه مع القول بانصراف النبوي عن الإتلاف ، فعلى البائع غرامة مال المشتري ، وعليه ثمن المبيع ، ومع القول بعدمه ينفسخ العقد قبل الإتلاف ، فلا غرامة عليه ، وإنّما عليه الثمن المسمّى للمشتري ، ومع الشكّ يعمل على مقتضى الاُصول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باجتماع السببين ؛ سبب إتلاف مال الغير ، وسبب الانفساخ</w:t>
      </w:r>
      <w:r>
        <w:rPr>
          <w:rStyle w:val="FootnoteAnchor"/>
          <w:rtl w:val="true"/>
        </w:rPr>
        <w:footnoteReference w:id="1374"/>
      </w:r>
      <w:r>
        <w:rPr>
          <w:rFonts w:ascii="Amiri" w:hAnsi="Amiri" w:eastAsia="Amiri" w:cs="Amiri"/>
          <w:color w:val="111111"/>
          <w:sz w:val="28"/>
          <w:sz w:val="28"/>
          <w:szCs w:val="28"/>
          <w:rtl w:val="true"/>
          <w:lang w:bidi="ar-SA"/>
        </w:rPr>
        <w:t xml:space="preserve">، فضعيف ؛ لامتناع اجتماعهما ، لأدائه إلى اجتماع النقيضين ؛ أي الانفساخ وعدمه ، والتردّد بين هذا وذاك ممكن ، لكن يرجع معه إلى الاُصول كما تقدّم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انصراف النبوي عن إتلاف البائع أيضاً ، ورواية عقبة في إتلاف </w:t>
      </w:r>
      <w:bookmarkStart w:id="838" w:name="pg15222_162734"/>
    </w:p>
    <w:p>
      <w:pPr>
        <w:pStyle w:val="BookText"/>
        <w:rPr/>
      </w:pPr>
      <w:bookmarkEnd w:id="838"/>
      <w:r>
        <w:rPr>
          <w:rFonts w:ascii="Amiri" w:hAnsi="Amiri" w:eastAsia="Amiri" w:cs="Amiri"/>
          <w:color w:val="111111"/>
          <w:sz w:val="28"/>
          <w:sz w:val="28"/>
          <w:szCs w:val="28"/>
          <w:rtl w:val="true"/>
          <w:lang w:bidi="ar-SA"/>
        </w:rPr>
        <w:t xml:space="preserve">الأجنبيّ ، وإلغاء الخصوصية مشكل أو ممنوع ، والحكم على خلاف القاعدة ، لا بدّ فيه من أن يقتصر على مورده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للمشتري حينئذٍ خيار الفسخ ؛ لتعذّر تسليمه ؟</w:t>
      </w:r>
    </w:p>
    <w:p>
      <w:pPr>
        <w:pStyle w:val="BookText"/>
        <w:rPr/>
      </w:pPr>
      <w:r>
        <w:rPr>
          <w:rFonts w:ascii="Amiri" w:hAnsi="Amiri" w:eastAsia="Amiri" w:cs="Amiri"/>
          <w:color w:val="111111"/>
          <w:sz w:val="28"/>
          <w:sz w:val="28"/>
          <w:szCs w:val="28"/>
          <w:rtl w:val="true"/>
          <w:lang w:bidi="ar-SA"/>
        </w:rPr>
        <w:t xml:space="preserve">الظاهر ذلك ؛ فإنّ خيار تعذّر التسليم عقلائي ، ولا فرق فيه بين وجود العين وتلفها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الخيار بمورد إمكان التسليم في نفسه ، وعدم التمكّن منه فعلاً</w:t>
      </w:r>
      <w:r>
        <w:rPr>
          <w:rStyle w:val="FootnoteAnchor"/>
          <w:rtl w:val="true"/>
        </w:rPr>
        <w:footnoteReference w:id="1375"/>
      </w:r>
      <w:r>
        <w:rPr>
          <w:rFonts w:ascii="Amiri" w:hAnsi="Amiri" w:eastAsia="Amiri" w:cs="Amiri"/>
          <w:color w:val="111111"/>
          <w:sz w:val="28"/>
          <w:sz w:val="28"/>
          <w:szCs w:val="28"/>
          <w:rtl w:val="true"/>
          <w:lang w:bidi="ar-SA"/>
        </w:rPr>
        <w:t xml:space="preserve">في غير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إتلاف الأجنبيّ ، فمع الغضّ عن رواية عقبة أو الإشكال في سندها ، يكون الحكم كما مرّ ، وأمّا مع النظر إليها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بجبر سندها بعمل الأصحاب ، فينفسخ العقد ، كما لو تلف قبل القبض </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3332106_2142443653"/>
      <w:bookmarkStart w:id="840" w:name="_Toc302"/>
      <w:bookmarkEnd w:id="839"/>
      <w:r>
        <w:rPr>
          <w:rtl w:val="true"/>
        </w:rPr>
        <w:t>عدم جواز حبس القيمة المضمونة إلى دفع المشتري للثمن</w:t>
      </w:r>
      <w:bookmarkEnd w:id="840"/>
    </w:p>
    <w:p>
      <w:pPr>
        <w:pStyle w:val="BookText"/>
        <w:rPr/>
      </w:pPr>
      <w:r>
        <w:rPr>
          <w:rFonts w:ascii="Amiri" w:hAnsi="Amiri" w:eastAsia="Amiri" w:cs="Amiri"/>
          <w:color w:val="111111"/>
          <w:sz w:val="28"/>
          <w:sz w:val="28"/>
          <w:szCs w:val="28"/>
          <w:rtl w:val="true"/>
          <w:lang w:bidi="ar-SA"/>
        </w:rPr>
        <w:t>ثمّ إنّه في كلّ مورد تكون للمشتري القيمة على البائع ، هل له حبس القيمة على الثمن ، كما له حبس العين ، أم لا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الأقوى العدم ؛ لعدم الدليل عليه ، فإنّ جواز الحبس إن كان لحكم العقلاء به في طرفي المعاوضة ، فلا شبهة في أنّ القيمة ليست طرفاً ، وما وقع في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وقوع العقد على العين بشؤونها </w:t>
      </w:r>
      <w:r>
        <w:rPr>
          <w:rStyle w:val="FootnoteAnchor"/>
          <w:rtl w:val="true"/>
        </w:rPr>
        <w:footnoteReference w:id="1376"/>
      </w:r>
      <w:r>
        <w:rPr>
          <w:rFonts w:ascii="Amiri" w:hAnsi="Amiri" w:eastAsia="Amiri" w:cs="Amiri"/>
          <w:color w:val="111111"/>
          <w:sz w:val="28"/>
          <w:sz w:val="28"/>
          <w:szCs w:val="28"/>
          <w:rtl w:val="true"/>
          <w:lang w:bidi="ar-SA"/>
        </w:rPr>
        <w:t>غير مرضيّ ، قد مرّ الكلام فيه في محلّه</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 كان للالتزام الضمني من المتعاقدين ، فلا شبهة في عدم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بالنسبة إلى العوضين ، لا قيمتهما ، أو مثلهما ، مع أنّ الالتزام المذكور لا أساس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الالتزام ليس إلاّ للتحفّظ على ماله ؛ لئلاّ يذهب هدراً خارجاً مع عدم تسلّم عوضه ، وهذا المعنى موجود في القيمة ، وهي في الحقيقة مالية ماله ، وبها العبرة في المعاملات ، لا بأشخاص الأموال</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يرجع إلى محصّل ، لا لمجرّد منع أصل الالتزام ، بل لأ نّه مع تسليمه لا التزام إلاّ بالنسبة إلى العوضين ، وأمّا بالنسبة إلى المالية ، فمن الضروري أن لا التزام بالمالية المشتركة بين العين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بالقيمة في عرض الالتزام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يلزم منه الجمع بين العين وبدلها أو التخيير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ظاهر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والالتزام بها في طول الالتزام بالعين ؛ بأن يلتزم كلّ على ردّ العين ، وعلى فرض عدمه على ردّ بدلها ، ممّا لا ينبغي التفوّه به ، ولا دليل على ثبوت حكم المبدل للبدل ، فالأقوى عدم جواز الحبس </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مرّ ظهر حال ما لو كان إتلاف البائع ، بعد ما قبض المشتري بغير إذنه ، وكان له الاسترداد ، حيث إنّ إتلافه وقع بعد القبض ، فلا يشمله النبوي</w:t>
      </w:r>
      <w:r>
        <w:rPr>
          <w:rStyle w:val="FootnoteAnchor"/>
          <w:rtl w:val="true"/>
        </w:rPr>
        <w:footnoteReference w:id="1379"/>
      </w:r>
      <w:r>
        <w:rPr>
          <w:rFonts w:ascii="Amiri" w:hAnsi="Amiri" w:eastAsia="Amiri" w:cs="Amiri"/>
          <w:color w:val="111111"/>
          <w:sz w:val="28"/>
          <w:sz w:val="28"/>
          <w:szCs w:val="28"/>
          <w:rtl w:val="true"/>
          <w:lang w:bidi="ar-SA"/>
        </w:rPr>
        <w:t xml:space="preserve">بل تكون عليه الغرامة للمشتري ، وعلى المشتري الثمن المسمّى ، هذا كلّه في تلف المبيع </w:t>
      </w:r>
      <w:r>
        <w:rPr>
          <w:rFonts w:eastAsia="Amiri" w:cs="Amiri" w:ascii="Amiri" w:hAnsi="Amiri"/>
          <w:color w:val="111111"/>
          <w:sz w:val="28"/>
          <w:szCs w:val="28"/>
          <w:rtl w:val="true"/>
          <w:lang w:bidi="ar-SA"/>
        </w:rPr>
        <w:t xml:space="preserve">. </w:t>
      </w:r>
      <w:bookmarkStart w:id="841" w:name="pg15222_162736"/>
    </w:p>
    <w:p>
      <w:pPr>
        <w:pStyle w:val="Heading4"/>
        <w:numPr>
          <w:ilvl w:val="3"/>
          <w:numId w:val="1"/>
        </w:numPr>
        <w:rPr/>
      </w:pPr>
      <w:bookmarkStart w:id="842" w:name="__RefHeading___Toc3332108_2142443653"/>
      <w:bookmarkStart w:id="843" w:name="_Toc303"/>
      <w:bookmarkEnd w:id="841"/>
      <w:bookmarkEnd w:id="842"/>
      <w:r>
        <w:rPr>
          <w:rtl w:val="true"/>
        </w:rPr>
        <w:t>حكم تلف عوض المبيع المعيّن قبل قبضه</w:t>
      </w:r>
      <w:bookmarkEnd w:id="843"/>
    </w:p>
    <w:p>
      <w:pPr>
        <w:pStyle w:val="BookText"/>
        <w:rPr/>
      </w:pPr>
      <w:r>
        <w:rPr>
          <w:rFonts w:ascii="Amiri" w:hAnsi="Amiri" w:eastAsia="Amiri" w:cs="Amiri"/>
          <w:color w:val="111111"/>
          <w:sz w:val="28"/>
          <w:sz w:val="28"/>
          <w:szCs w:val="28"/>
          <w:rtl w:val="true"/>
          <w:lang w:bidi="ar-SA"/>
        </w:rPr>
        <w:t>وأمّا تلف عوض المبيع المعيّن قبل قبضه ، فهل يلحق بتلف المبيع فيما مرّ ، أو لا ؟</w:t>
      </w:r>
    </w:p>
    <w:p>
      <w:pPr>
        <w:pStyle w:val="BookText"/>
        <w:rPr/>
      </w:pPr>
      <w:r>
        <w:rPr>
          <w:rFonts w:ascii="Amiri" w:hAnsi="Amiri" w:eastAsia="Amiri" w:cs="Amiri"/>
          <w:color w:val="111111"/>
          <w:sz w:val="28"/>
          <w:sz w:val="28"/>
          <w:szCs w:val="28"/>
          <w:rtl w:val="true"/>
          <w:lang w:bidi="ar-SA"/>
        </w:rPr>
        <w:t xml:space="preserve">أو يفصّل بين ما إذا كان من النقد فلا يلحق ، وبين ما إذا كان من العروض ، فيلحق تلفه قبل القبض حكم تلف المبيع قبل القبض ، وذلك لأنّ في الثاني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العوضين ، ويصدق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محلّه</w:t>
      </w:r>
      <w:r>
        <w:rPr>
          <w:rStyle w:val="FootnoteAnchor"/>
          <w:rtl w:val="true"/>
        </w:rPr>
        <w:footnoteReference w:id="1380"/>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مبادلة مال بمال ، أو تمليك عين بعوض ، وهما صادقان على كلّ من العوضين ؟</w:t>
      </w:r>
    </w:p>
    <w:p>
      <w:pPr>
        <w:pStyle w:val="BookText"/>
        <w:rPr/>
      </w:pPr>
      <w:r>
        <w:rPr>
          <w:rFonts w:ascii="Amiri" w:hAnsi="Amiri" w:eastAsia="Amiri" w:cs="Amiri"/>
          <w:color w:val="111111"/>
          <w:sz w:val="28"/>
          <w:sz w:val="28"/>
          <w:szCs w:val="28"/>
          <w:rtl w:val="true"/>
          <w:lang w:bidi="ar-SA"/>
        </w:rPr>
        <w:t xml:space="preserve">فإذا باع ناقة بجمل ، أو بادلها به ، يصدق على كلّ منهما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 من المتعاملين بائعاً ومشترياً ، فلا ينبغي الإشكال في صدق النبوي</w:t>
      </w:r>
      <w:r>
        <w:rPr>
          <w:rStyle w:val="FootnoteAnchor"/>
          <w:rtl w:val="true"/>
        </w:rPr>
        <w:footnoteReference w:id="1381"/>
      </w:r>
      <w:r>
        <w:rPr>
          <w:rFonts w:ascii="Amiri" w:hAnsi="Amiri" w:eastAsia="Amiri" w:cs="Amiri"/>
          <w:color w:val="111111"/>
          <w:sz w:val="28"/>
          <w:sz w:val="28"/>
          <w:szCs w:val="28"/>
          <w:rtl w:val="true"/>
          <w:lang w:bidi="ar-SA"/>
        </w:rPr>
        <w:t xml:space="preserve">عليهما ، وثبوت الحكم لهما </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والمعاملات الواقعة في عصر النبي صلی الله علیه و آله وسلم ومصره ، لو لم تكن جميعها من مبادلات الأعيان بالأعيان ، فلا إشكال في أ نّها كانت متعارفة وشائعة ؛ بحيث لم يكن ينقدح في ذهن السامع من قوله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مبيع تلف قبل قبضه </w:t>
      </w:r>
      <w:r>
        <w:rPr>
          <w:rFonts w:eastAsia="IRNazanin" w:cs="IRNazanin"/>
          <w:color w:val="111111"/>
          <w:sz w:val="28"/>
          <w:szCs w:val="28"/>
          <w:rtl w:val="true"/>
          <w:lang w:bidi="fa-IR"/>
        </w:rPr>
        <w:t>. . .»</w:t>
      </w:r>
      <w:r>
        <w:rPr>
          <w:rStyle w:val="FootnoteAnchor"/>
          <w:rtl w:val="true"/>
        </w:rPr>
        <w:footnoteReference w:id="1382"/>
      </w:r>
      <w:r>
        <w:rPr>
          <w:rFonts w:ascii="Amiri" w:hAnsi="Amiri" w:eastAsia="Amiri" w:cs="Amiri"/>
          <w:color w:val="111111"/>
          <w:sz w:val="28"/>
          <w:sz w:val="28"/>
          <w:szCs w:val="28"/>
          <w:rtl w:val="true"/>
          <w:lang w:bidi="ar-SA"/>
        </w:rPr>
        <w:t xml:space="preserve">إلاّ عموم الحكم لطرفي المبادلة ؛ لعدم تعارف البيع بالأثمان ، ولا سيّما في عصر صدور الحديث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كان الثمن من النقدين ونحوهما ، ففي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خفاء ، وعلى فرض تسليم الصدق ، فيمكن القول بالانصراف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كلمات القوم المحكيّة في كتاب الشيخ الأعظم قدّس سرّه من الصدق</w:t>
      </w:r>
      <w:r>
        <w:rPr>
          <w:rStyle w:val="FootnoteAnchor"/>
          <w:rtl w:val="true"/>
        </w:rPr>
        <w:footnoteReference w:id="1383"/>
      </w:r>
      <w:r>
        <w:rPr>
          <w:rFonts w:ascii="Amiri" w:hAnsi="Amiri" w:eastAsia="Amiri" w:cs="Amiri"/>
          <w:color w:val="111111"/>
          <w:sz w:val="28"/>
          <w:sz w:val="28"/>
          <w:szCs w:val="28"/>
          <w:rtl w:val="true"/>
          <w:lang w:bidi="ar-SA"/>
        </w:rPr>
        <w:t xml:space="preserve">، إنّما هو في فرض مبادلة عين بعين ، فلا دلالة في كلماتهم على الصدق في الأثمان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جرى الحكم في العوضين فيما إذا كانا من الأعيان ، فمن البعيد جدّاً التفصيل بين النقد وغيره ، بل المناسبات العقلائية توجب تعميم الحكم لهما ، ويؤيّده ذيل رواية عقبة</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باب المناقشة في دلالتها واسع ؛ لاحتمالات فيها ، لعلّ أقربها بفهم العرف ، أ نّه بعد قبض المبيع ، ضامن للثمن إلى أن يردّه ، وليس في ذكر الظاهر مكان الضمير دلالة على غير ذلك ؛ إذ مثله كثير في الكلمات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لا يبعد أن يكون المتفاهم من الرواية ، كون الثمن في مورد السؤال كلّياً ، ولا يقاس عصر الصادقين علیهما السلام ، بعصر النبي صلی الله علیه و آله وسلم ؛ فإنّ في عصرهما كان النقد رائجاً ، لكنّ المعاملة بالنقد الخارجي نادرة جدّاً </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الحكم في الصورة الاُولى من الصورتين المتقدّمتين ، ولا يبعد في الصورة الثانية ، وقد حكي عدم الخلاف في المسألة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 xml:space="preserve">. </w:t>
      </w:r>
      <w:bookmarkStart w:id="844" w:name="pg15222_162738"/>
    </w:p>
    <w:p>
      <w:pPr>
        <w:pStyle w:val="Heading4"/>
        <w:numPr>
          <w:ilvl w:val="3"/>
          <w:numId w:val="1"/>
        </w:numPr>
        <w:rPr/>
      </w:pPr>
      <w:bookmarkStart w:id="845" w:name="__RefHeading___Toc3332110_2142443653"/>
      <w:bookmarkStart w:id="846" w:name="_Toc304"/>
      <w:bookmarkEnd w:id="844"/>
      <w:bookmarkEnd w:id="845"/>
      <w:r>
        <w:rPr>
          <w:rtl w:val="true"/>
        </w:rPr>
        <w:t>عدم إلحاق سائر المعاوضات بالبيع</w:t>
      </w:r>
      <w:bookmarkEnd w:id="846"/>
    </w:p>
    <w:p>
      <w:pPr>
        <w:pStyle w:val="BookText"/>
        <w:rPr/>
      </w:pPr>
      <w:r>
        <w:rPr>
          <w:rFonts w:ascii="Amiri" w:hAnsi="Amiri" w:eastAsia="Amiri" w:cs="Amiri"/>
          <w:color w:val="111111"/>
          <w:sz w:val="28"/>
          <w:sz w:val="28"/>
          <w:szCs w:val="28"/>
          <w:rtl w:val="true"/>
          <w:lang w:bidi="ar-SA"/>
        </w:rPr>
        <w:t xml:space="preserve">ثمّ إنّه لا وجه لإلحاق سائر المعاوضات بالبيع في الحكم المتقدّم ؛ لعدم شمول الدليل لها ، وعدم إمكان إلغاء الخصوصية ، بعد أن كان الحكم على خلاف الاُصول والقواعد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البيع وغيره عقلائي ؛ فإنّه إذا تلف المبيع مثلاً في يد البائع قبل قبضه ، يكون بناء العقلاء على ردّ الثمن ، أو عدم تأديته ، من غير رجوع إلى الغرامة</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مسموعة ؛ لعدم ثبوت هذا البناء على نحو يمكن أن يثبت به حكم مخالف للقاعدة والاُصول الشرعية ، فالتجاوز عن مورد النصّ بلا 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ومجرّد ذكر العلاّمة رحمه الله علیه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فرعاً يستفاد منه حكمه بثبوته لمطلق المعاوضات</w:t>
      </w:r>
      <w:r>
        <w:rPr>
          <w:rStyle w:val="FootnoteAnchor"/>
          <w:rtl w:val="true"/>
        </w:rPr>
        <w:footnoteReference w:id="1387"/>
      </w:r>
      <w:r>
        <w:rPr>
          <w:rFonts w:ascii="Amiri" w:hAnsi="Amiri" w:eastAsia="Amiri" w:cs="Amiri"/>
          <w:color w:val="111111"/>
          <w:sz w:val="28"/>
          <w:sz w:val="28"/>
          <w:szCs w:val="28"/>
          <w:rtl w:val="true"/>
          <w:lang w:bidi="ar-SA"/>
        </w:rPr>
        <w:t xml:space="preserve">، لا يدلّ على تسالم الفريقين </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3332112_2142443653"/>
      <w:bookmarkStart w:id="848" w:name="_Toc305"/>
      <w:bookmarkEnd w:id="847"/>
      <w:r>
        <w:rPr>
          <w:rtl w:val="true"/>
        </w:rPr>
        <w:t>حكم تلف بعض المبيع قبل القبض</w:t>
      </w:r>
      <w:bookmarkEnd w:id="848"/>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تلف بعض المبيع قبل القبض ، فإن كان ممّا يكون مبيعاً مستقلاًّ في الواقع وإن كان جزءاً بحسب الإنشاء ؛ بحيث كان العقد منحلاًّ في الواقع إلى عقود ، والبيع إلى بيوع ومبيعات ، كما لو ساوم أشياء مختلفة ، وكان لكلّ منها قيمة خاصّة ، ثمّ نقلها بعقد واحد ، فلا إشكال في تعدّد البيع والمبيع ، </w:t>
      </w:r>
    </w:p>
    <w:p>
      <w:pPr>
        <w:pStyle w:val="BookText"/>
        <w:rPr/>
      </w:pPr>
      <w:r>
        <w:rPr>
          <w:rFonts w:ascii="Amiri" w:hAnsi="Amiri" w:eastAsia="Amiri" w:cs="Amiri"/>
          <w:color w:val="111111"/>
          <w:sz w:val="28"/>
          <w:sz w:val="28"/>
          <w:szCs w:val="28"/>
          <w:rtl w:val="true"/>
          <w:lang w:bidi="ar-SA"/>
        </w:rPr>
        <w:t xml:space="preserve">وفي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سلعة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ولا كلام فيه ، ولعلّه خارج عن محطّ بحثهم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إشكال في أنّ الأجزاء التي لا يقسّط عليها الثمن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كعين الدابّة ويدها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يتعدّد بتعدّدها البيع والمبيع ، ولا ينحلّ البيع بالنسبة إليها إلى بيوع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يكون تلفها موجباً لتعيّب المبيع ، كفقد الأوصاف ، ويأتي الكلام فيها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الكلام في الأجزاء التي يقسّط عليها الثمن لبّاً ، ولكن لم تكن بمثابة الصورة الاُولى ، كبيع منّ من السمن ، وكيل من الحنطة ، وبيع الدار والبستان ، وأنّ البيع هل ينحلّ بالنسبة إليها إلى بيوع متعدّدة حسب الأجزاء الفرضية والكسور المشاعة ، وهل هنا تمليكات عديدة ، وقرارات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البيع والقرار والتمليك والنقل ، واحد ينقل به الدار ، ونقل الدار نقل مجموعها ؟ وهذا هو الحقّ الحقيق بالتصديق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الأوّل الذي التزم به جمع من المحقّقين</w:t>
      </w:r>
      <w:r>
        <w:rPr>
          <w:rStyle w:val="FootnoteAnchor"/>
          <w:rtl w:val="true"/>
        </w:rPr>
        <w:footnoteReference w:id="1389"/>
      </w:r>
      <w:r>
        <w:rPr>
          <w:rFonts w:ascii="Amiri" w:hAnsi="Amiri" w:eastAsia="Amiri" w:cs="Amiri"/>
          <w:color w:val="111111"/>
          <w:sz w:val="28"/>
          <w:sz w:val="28"/>
          <w:szCs w:val="28"/>
          <w:rtl w:val="true"/>
          <w:lang w:bidi="ar-SA"/>
        </w:rPr>
        <w:t xml:space="preserve">، فمع أ نّه مخالف للاعتبار العقلائي ، لازمه أن ينتقل الجزء الواحد مرّات كثيرة ، فالدار تنتقل تارة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نفسها المشتملة على الأجزاء الفرضية والمشاعة ، وتنتقل الأجزاء بنقلها ، والأجزاء تنتقل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المعيّن الفرضي ،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الإشاعة </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التأمّل فيه والمحاسبة ، يعلم لزوم تعلّق بيوع غير متناهية على كلّ جزء ؛ </w:t>
      </w:r>
    </w:p>
    <w:p>
      <w:pPr>
        <w:pStyle w:val="BookText"/>
        <w:rPr/>
      </w:pPr>
      <w:r>
        <w:rPr>
          <w:rFonts w:ascii="Amiri" w:hAnsi="Amiri" w:eastAsia="Amiri" w:cs="Amiri"/>
          <w:color w:val="111111"/>
          <w:sz w:val="28"/>
          <w:sz w:val="28"/>
          <w:szCs w:val="28"/>
          <w:rtl w:val="true"/>
          <w:lang w:bidi="ar-SA"/>
        </w:rPr>
        <w:t xml:space="preserve">بالعناوين غير المتناهية ، ولازمه غررية أكثر تلك البيوع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تلك الموارد ، ليس المنشأ إلاّ بيعاً واحداً ، وقراراً فارداً ، وتمليكاً واحداً ، ونقلاً واحداً ، به تنقل الدار ، فالأجزاء المشاعة والمفروضة ، منقولة بنقل الكلّ ومملوكة بتملّكه ، والوجدان أصدق شاهد على عدم تعلّق قصود كثيرة في بيع الدار ، وعلى عدم وجود قرارات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الانفساخ بالنسبة إلى الأجزاء المشاعة أو غير المشاعة ممتنعاً ؛ لأ نّه فرع تعلّق العقد بها ، فلا ينبغي الإشكال في خروج تلف الأجزاء عن مفاد النبوي</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العرف بمناسبات مغروسة في أذهانهم ، يفهمون حكم الأجزاء بتنقيح المناط القطعي ، وعلى ذلك لا بدّ من الالتزام بالانفساخ التعبّدي ؛ في كلّ من تلف الكلّ ، وتلف الجزء ، بعد عدم إمكان الالتزام بالانفساخ الحقيقي في تلف الأجزاء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وعدم جواز التفكيك بينهما ؛ إمّا لعدم إمكانه ، أو لعدم مساعدة العرف عليه ، ولازم إطلاق الانفساخ التعبّدي ، ترتيب جميع آثار الانفساخ الحقيقي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القول بأنّ للشارع الأقدس الحكم بالانفساخ الحقيقي ؛ بالنسبة إلى الجزء الفائت ، ومصحّحه إضافة البيع الإنشائي إلى الأجزاء بنحو من الاعتبار ، وإن لم يتعلّق العقد والقرار إلاّ بالمجموع والكلّ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القول باعتبار الشارع وقوع التلف كلاًّ أو بعضاً قبل العقد وفي مال </w:t>
      </w:r>
      <w:bookmarkStart w:id="849" w:name="pg15222_162741"/>
    </w:p>
    <w:p>
      <w:pPr>
        <w:pStyle w:val="BookText"/>
        <w:rPr/>
      </w:pPr>
      <w:bookmarkEnd w:id="849"/>
      <w:r>
        <w:rPr>
          <w:rFonts w:ascii="Amiri" w:hAnsi="Amiri" w:eastAsia="Amiri" w:cs="Amiri"/>
          <w:color w:val="111111"/>
          <w:sz w:val="28"/>
          <w:sz w:val="28"/>
          <w:szCs w:val="28"/>
          <w:rtl w:val="true"/>
          <w:lang w:bidi="ar-SA"/>
        </w:rPr>
        <w:t xml:space="preserve">المالك ، فيكون العقد بحسب هذا الاعتبار والتعبّد ، واقعاً على التالف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حقيقة ، بل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التلف ، ومقتضاه رجوع تمام الثمن مع تلف الكلّ ، وبعضه مع تلف البعض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بناءً على استفادة الحكم في الأجزاء من الدليل ، وإلاّ فيختصّ بتلف المبيع ، وهو الكلّ ، لا جزؤه </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3332114_2142443653"/>
      <w:bookmarkStart w:id="851" w:name="_Toc306"/>
      <w:bookmarkEnd w:id="850"/>
      <w:r>
        <w:rPr>
          <w:rtl w:val="true"/>
        </w:rPr>
        <w:t>حكم تلف أوصاف المبيع قبل القبض</w:t>
      </w:r>
      <w:bookmarkEnd w:id="851"/>
    </w:p>
    <w:p>
      <w:pPr>
        <w:pStyle w:val="BookText"/>
        <w:rPr/>
      </w:pPr>
      <w:r>
        <w:rPr>
          <w:rFonts w:ascii="Amiri" w:hAnsi="Amiri" w:eastAsia="Amiri" w:cs="Amiri"/>
          <w:color w:val="111111"/>
          <w:sz w:val="28"/>
          <w:sz w:val="28"/>
          <w:szCs w:val="28"/>
          <w:rtl w:val="true"/>
          <w:lang w:bidi="ar-SA"/>
        </w:rPr>
        <w:t>وأمّا تلف الأوصاف أو ما هو نظيرها ؛ ممّا لا يقسّط عليه الثمن ، ويكون ممّا يوجب تعيّب المبيع ، فلو قام عليه دليل ، لجاء فيه ما ذكرناه في التلف في زمن الخيار</w:t>
      </w:r>
      <w:r>
        <w:rPr>
          <w:rStyle w:val="FootnoteAnchor"/>
          <w:rtl w:val="true"/>
        </w:rPr>
        <w:footnoteReference w:id="1391"/>
      </w:r>
      <w:r>
        <w:rPr>
          <w:rFonts w:ascii="Amiri" w:hAnsi="Amiri" w:eastAsia="Amiri" w:cs="Amiri"/>
          <w:color w:val="111111"/>
          <w:sz w:val="28"/>
          <w:sz w:val="28"/>
          <w:szCs w:val="28"/>
          <w:rtl w:val="true"/>
          <w:lang w:bidi="ar-SA"/>
        </w:rPr>
        <w:t xml:space="preserve">، حيث دلّ الدليل على ضمان العيب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مجرّد تصوّر المصحّح للضمان ، فلا يوجب الحكم به ما لم يقم عليه دليل ، ولم يدلّ في المقام دليل على ضمان الأوصاف ، ولا على ضمان الأجزاء التي هي مثلها ، والتقدير في النبوي ؛ بأن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مبيع تلف بذاته ، أو بوصفه وشؤونه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خلاف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أفاده الشيخ الأعظم قدّس سرّه </w:t>
      </w:r>
      <w:r>
        <w:rPr>
          <w:rStyle w:val="FootnoteAnchor"/>
          <w:rtl w:val="true"/>
        </w:rPr>
        <w:footnoteReference w:id="1392"/>
      </w:r>
      <w:r>
        <w:rPr>
          <w:rFonts w:ascii="Amiri" w:hAnsi="Amiri" w:eastAsia="Amiri" w:cs="Amiri"/>
          <w:color w:val="111111"/>
          <w:sz w:val="28"/>
          <w:sz w:val="28"/>
          <w:szCs w:val="28"/>
          <w:rtl w:val="true"/>
          <w:lang w:bidi="ar-SA"/>
        </w:rPr>
        <w:t xml:space="preserve">مجرّد تصوّر لا دليل عليه في مقام الإثبات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 لمّا كان مضموناً ، فكذا الجزء والوصف</w:t>
      </w:r>
      <w:r>
        <w:rPr>
          <w:rStyle w:val="FootnoteAnchor"/>
          <w:rtl w:val="true"/>
        </w:rPr>
        <w:footnoteReference w:id="1393"/>
      </w:r>
      <w:r>
        <w:rPr>
          <w:rFonts w:ascii="Amiri" w:hAnsi="Amiri" w:eastAsia="Amiri" w:cs="Amiri"/>
          <w:color w:val="111111"/>
          <w:sz w:val="28"/>
          <w:sz w:val="28"/>
          <w:szCs w:val="28"/>
          <w:rtl w:val="true"/>
          <w:lang w:bidi="ar-SA"/>
        </w:rPr>
        <w:t xml:space="preserve">واضح البطلان ، حتّى على القول بالقياس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وقياس المقام بالتلف في زمان الخيار</w:t>
      </w:r>
      <w:r>
        <w:rPr>
          <w:rStyle w:val="FootnoteAnchor"/>
          <w:rtl w:val="true"/>
        </w:rPr>
        <w:footnoteReference w:id="1394"/>
      </w:r>
      <w:r>
        <w:rPr>
          <w:rFonts w:ascii="Amiri" w:hAnsi="Amiri" w:eastAsia="Amiri" w:cs="Amiri"/>
          <w:color w:val="111111"/>
          <w:sz w:val="28"/>
          <w:sz w:val="28"/>
          <w:szCs w:val="28"/>
          <w:rtl w:val="true"/>
          <w:lang w:bidi="ar-SA"/>
        </w:rPr>
        <w:t xml:space="preserve">باطل ، بل مع الفارق ، فالردّ بلا دليل ، فضلاً عن التخيير بينه وبين الأرش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والتشبّث بدليل نفي الضرر</w:t>
      </w:r>
      <w:r>
        <w:rPr>
          <w:rStyle w:val="FootnoteAnchor"/>
          <w:rtl w:val="true"/>
        </w:rPr>
        <w:footnoteReference w:id="1395"/>
      </w:r>
      <w:r>
        <w:rPr>
          <w:rFonts w:ascii="Amiri" w:hAnsi="Amiri" w:eastAsia="Amiri" w:cs="Amiri"/>
          <w:color w:val="111111"/>
          <w:sz w:val="28"/>
          <w:sz w:val="28"/>
          <w:szCs w:val="28"/>
          <w:rtl w:val="true"/>
          <w:lang w:bidi="ar-SA"/>
        </w:rPr>
        <w:t xml:space="preserve">مع بطلانه من أساسه ، لا وجه له في المقام الذي كان التلف فيه ، واقعاً على مال المشتري وفي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الأرش ضرر على البائع ، فلو قام إجماع على الردّ يؤخذ به ، ولا يحتاج إلى تطويل في وجهه ، لكنّه غير معلوم ، هذا كلّه إذا تعيّب بآفة سماوية </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لو تعيّب بفعل أحد ، فلا بدّ من الحكم على مقتضى القواعد ، فإن كان بفعل المشتري فلا أثر له ، وإن كان بفعل البائع أو الأجنبيّ ، فعليه الضمان </w:t>
      </w:r>
      <w:r>
        <w:rPr>
          <w:rFonts w:eastAsia="Amiri" w:cs="Amiri" w:ascii="Amiri" w:hAnsi="Amiri"/>
          <w:color w:val="111111"/>
          <w:sz w:val="28"/>
          <w:szCs w:val="28"/>
          <w:rtl w:val="true"/>
          <w:lang w:bidi="ar-SA"/>
        </w:rPr>
        <w:t xml:space="preserve">. </w:t>
      </w:r>
      <w:bookmarkStart w:id="852" w:name="pg15222_162743"/>
    </w:p>
    <w:p>
      <w:pPr>
        <w:pStyle w:val="Heading3"/>
        <w:numPr>
          <w:ilvl w:val="2"/>
          <w:numId w:val="1"/>
        </w:numPr>
        <w:rPr/>
      </w:pPr>
      <w:bookmarkStart w:id="853" w:name="__RefHeading___Toc3332116_2142443653"/>
      <w:bookmarkStart w:id="854" w:name="_Toc307"/>
      <w:bookmarkEnd w:id="852"/>
      <w:bookmarkEnd w:id="853"/>
      <w:r>
        <w:rPr>
          <w:rtl w:val="true"/>
        </w:rPr>
        <w:t xml:space="preserve">مسألة </w:t>
      </w:r>
      <w:r>
        <w:rPr>
          <w:rtl w:val="true"/>
        </w:rPr>
        <w:t xml:space="preserve">: </w:t>
      </w:r>
      <w:r>
        <w:rPr>
          <w:rtl w:val="true"/>
        </w:rPr>
        <w:t>في بيع ما يكال ويوزن قبل قبضه</w:t>
      </w:r>
      <w:bookmarkEnd w:id="854"/>
    </w:p>
    <w:p>
      <w:pPr>
        <w:pStyle w:val="Heading4"/>
        <w:numPr>
          <w:ilvl w:val="3"/>
          <w:numId w:val="1"/>
        </w:numPr>
        <w:rPr/>
      </w:pPr>
      <w:bookmarkStart w:id="855" w:name="__RefHeading___Toc3332118_2142443653"/>
      <w:bookmarkStart w:id="856" w:name="_Toc308"/>
      <w:bookmarkEnd w:id="855"/>
      <w:r>
        <w:rPr>
          <w:rtl w:val="true"/>
        </w:rPr>
        <w:t>اشارة</w:t>
      </w:r>
      <w:bookmarkEnd w:id="856"/>
    </w:p>
    <w:p>
      <w:pPr>
        <w:pStyle w:val="BookText"/>
        <w:rPr/>
      </w:pPr>
      <w:r>
        <w:rPr>
          <w:rFonts w:ascii="Amiri" w:hAnsi="Amiri" w:eastAsia="Amiri" w:cs="Amiri"/>
          <w:color w:val="111111"/>
          <w:sz w:val="28"/>
          <w:sz w:val="28"/>
          <w:szCs w:val="28"/>
          <w:rtl w:val="true"/>
          <w:lang w:bidi="ar-SA"/>
        </w:rPr>
        <w:t xml:space="preserve">اختلفت كلمات الأصحاب في بيع ما يكال ويوزن قبل قبضه ، كما اختلفت الأخبار في ذلك ، وقد وردت جملة منها في البيع قبل القبض ، وجملة منها في البيع قبل الكيل والوزن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رجوع الطائفتين إلى أمر واحد ؛ إمّا برجوع القبض إلى الكيل والوزن ، أو بالعكس ؛ لأنّ المتعارف حصول القبض بالكيل ، وتحقّق الكيل إذا تحقّق القبض ، فهما متلازمان عادة ، والظاهر أنّ المراد في الطائفتين حصول القبض ، فترجع الطائفة الثانية إلى الاُولى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على ذلك صحيحة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الرجل ، يبيع البيع قبل أن يقبضه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كيل أو وزن فلا تبعه حتّى تكيله أو تزنه ، إلاّ أن تولّيه الذي قام عليه</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bookmarkStart w:id="857" w:name="pg15222_162744"/>
    </w:p>
    <w:p>
      <w:pPr>
        <w:pStyle w:val="BookText"/>
        <w:rPr/>
      </w:pPr>
      <w:bookmarkEnd w:id="857"/>
      <w:r>
        <w:rPr>
          <w:rFonts w:ascii="IRNazanin" w:hAnsi="IRNazanin" w:eastAsia="IRNazanin"/>
          <w:color w:val="111111"/>
          <w:sz w:val="28"/>
          <w:sz w:val="28"/>
          <w:szCs w:val="28"/>
          <w:rtl w:val="true"/>
          <w:lang w:bidi="fa-IR"/>
        </w:rPr>
        <w:t xml:space="preserve">حيث إنّ السائل سأل عن بيعه قبل قبضه ، فأجاب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تبعه حتّى تكيله أو تزنه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ذلك ظاهر الدلالة على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القبض كناية ، وإرجاع السؤال إلى الكيل بعيد جدّاً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وروايةُ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رجل اشترى طعاماً ، ثمّ باعه قبل أن يكيله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يبيع كيلاً أو وزناً قبل أن يكيله أو يزنه ، إلاّ أن يولّيه كما اشتراه ، إذا لم يربح فيه أو يضع ، وما كان من شيء عنده ليس بكيل ولا وزن ، فلا بأس أن يبيعه قبل أن يقبضه</w:t>
      </w:r>
      <w:r>
        <w:rPr>
          <w:rFonts w:eastAsia="Amiri" w:cs="Amiri" w:ascii="Amiri" w:hAnsi="Amiri"/>
          <w:color w:val="111111"/>
          <w:sz w:val="28"/>
          <w:szCs w:val="28"/>
          <w:rtl w:val="true"/>
          <w:lang w:bidi="ar-SA"/>
        </w:rPr>
        <w:t>»</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الصدر هو القبض كناية ؛ للتلازم بينهما في الغالب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الروايات الواردة في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تعرّضت للقبض ، أو للكيل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البيع قبل القبض ، فلا بدّ من ملاحظة المجموع والجمع بينها </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3332120_2142443653"/>
      <w:bookmarkStart w:id="859" w:name="_Toc309"/>
      <w:bookmarkEnd w:id="858"/>
      <w:r>
        <w:rPr>
          <w:rtl w:val="true"/>
        </w:rPr>
        <w:t>الروايات الواردة في بيع المتاع قبل قبضه</w:t>
      </w:r>
      <w:bookmarkEnd w:id="859"/>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دلالة جملة من الروايات لولا القرينة ، على بطلان البيع قبل القبض ؛ فإنّ النواهي المتعلّقة بالبيع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يتوقّع منه ترتّب الأثر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عرفاً في الإرشاد إلى الفساد ، لا بمعنى الظهور اللفظي اللغوي ؛ </w:t>
      </w:r>
    </w:p>
    <w:p>
      <w:pPr>
        <w:pStyle w:val="BookText"/>
        <w:rPr/>
      </w:pPr>
      <w:r>
        <w:rPr>
          <w:rFonts w:ascii="Amiri" w:hAnsi="Amiri" w:eastAsia="Amiri" w:cs="Amiri"/>
          <w:color w:val="111111"/>
          <w:sz w:val="28"/>
          <w:sz w:val="28"/>
          <w:szCs w:val="28"/>
          <w:rtl w:val="true"/>
          <w:lang w:bidi="ar-SA"/>
        </w:rPr>
        <w:t xml:space="preserve">فإنّ النهي لم يوضع إلاّ للزجر ، بل بمعنى أنّ تعلّقه بما ذكر ، يوجب فهم الإرشاد إلى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شاملة لجميع أنواع البيع ، من غير فرق بين المكيل والموزون وغيرهما ، ومن غير فرق بين المرابحة والتولية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كموثّقة عمّار ، عن أبي عبداللّه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صلی الله علیه و آله وسلم رجلاً من أصحابه والياً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بعثتك إلى أهل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أهل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فانههم عن بيع ما لم يقبض ، وعن شرطين في بيع ، وعن ربح ما لم يضمن</w:t>
      </w:r>
      <w:r>
        <w:rPr>
          <w:rFonts w:eastAsia="IRNazanin" w:cs="IRNazanin"/>
          <w:color w:val="111111"/>
          <w:sz w:val="28"/>
          <w:szCs w:val="28"/>
          <w:rtl w:val="true"/>
          <w:lang w:bidi="fa-IR"/>
        </w:rPr>
        <w:t>»</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مناهي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عن بيع ما لم يضمن</w:t>
      </w:r>
      <w:r>
        <w:rPr>
          <w:rFonts w:eastAsia="IRNazanin" w:cs="IRNazanin"/>
          <w:color w:val="111111"/>
          <w:sz w:val="28"/>
          <w:szCs w:val="28"/>
          <w:rtl w:val="true"/>
          <w:lang w:bidi="fa-IR"/>
        </w:rPr>
        <w:t>»</w:t>
      </w:r>
      <w:r>
        <w:rPr>
          <w:rStyle w:val="FootnoteAnchor"/>
          <w:rtl w:val="true"/>
        </w:rPr>
        <w:footnoteReference w:id="1399"/>
      </w:r>
      <w:r>
        <w:rPr>
          <w:rFonts w:ascii="Amiri" w:hAnsi="Amiri" w:eastAsia="Amiri" w:cs="Amiri"/>
          <w:color w:val="111111"/>
          <w:sz w:val="28"/>
          <w:sz w:val="28"/>
          <w:szCs w:val="28"/>
          <w:rtl w:val="true"/>
          <w:lang w:bidi="ar-SA"/>
        </w:rPr>
        <w:t xml:space="preserve">بناءً على أنّ المراد به قبل القبض ، فإنّه لا ضمان قبله على المشتري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غياث بن إبراهيم ، عن جعفر ، عن أبيه ، عن علي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نّه كره بيع صكّ الورق حتّى يقبض</w:t>
      </w:r>
      <w:r>
        <w:rPr>
          <w:rFonts w:eastAsia="IRNazanin" w:cs="IRNazanin"/>
          <w:color w:val="111111"/>
          <w:sz w:val="28"/>
          <w:szCs w:val="28"/>
          <w:rtl w:val="true"/>
          <w:lang w:bidi="fa-IR"/>
        </w:rPr>
        <w:t>»</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الصكّ 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كالسجلّ ، يكتب في المعاملات ، نقل أنّ الرؤساء في القديم ، كانوا يكتبون كتباً في عطاياهم لرعيتهم </w:t>
      </w:r>
    </w:p>
    <w:p>
      <w:pPr>
        <w:pStyle w:val="BookText"/>
        <w:rPr/>
      </w:pPr>
      <w:r>
        <w:rPr>
          <w:rFonts w:ascii="Amiri" w:hAnsi="Amiri" w:eastAsia="Amiri" w:cs="Amiri"/>
          <w:color w:val="111111"/>
          <w:sz w:val="28"/>
          <w:sz w:val="28"/>
          <w:szCs w:val="28"/>
          <w:rtl w:val="true"/>
          <w:lang w:bidi="ar-SA"/>
        </w:rPr>
        <w:t>على شيء من الورق ، فيبيعونها معجّلاً قبل قبضها ، فجاء في الشرع النهي عن ذلك ؛ لعدم القبض</w:t>
      </w:r>
      <w:r>
        <w:rPr>
          <w:rStyle w:val="FootnoteAnchor"/>
          <w:rtl w:val="true"/>
        </w:rPr>
        <w:footnoteReference w:id="140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العطايا المسجّلة ، إمّا أعمّ من المكيل والموزون ، أو مخصوصة بغيرهما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تختصّ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المكيل والموزون وغيرهما ، فإنّه مطلق ما يؤكل على ما في اللغة</w:t>
      </w:r>
      <w:r>
        <w:rPr>
          <w:rStyle w:val="FootnoteAnchor"/>
          <w:rtl w:val="true"/>
        </w:rPr>
        <w:footnoteReference w:id="1402"/>
      </w:r>
      <w:r>
        <w:rPr>
          <w:rFonts w:ascii="IRNazanin" w:hAnsi="IRNazanin" w:eastAsia="IRNazanin"/>
          <w:color w:val="111111"/>
          <w:sz w:val="28"/>
          <w:sz w:val="28"/>
          <w:szCs w:val="28"/>
          <w:rtl w:val="true"/>
          <w:lang w:bidi="fa-IR"/>
        </w:rPr>
        <w:t xml:space="preserve">، وربّما يستعمل في البرّ ، كرواية حزام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ابتعت طعاماً من طعام الصدقة ، فاُربحت فيه قبل أن أقبضه ، فأردت بيعه ، فسألت النبي 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تبعه حتّى تقبضه</w:t>
      </w:r>
      <w:r>
        <w:rPr>
          <w:rFonts w:eastAsia="IRNazanin" w:cs="IRNazanin"/>
          <w:color w:val="111111"/>
          <w:sz w:val="28"/>
          <w:szCs w:val="28"/>
          <w:rtl w:val="true"/>
          <w:lang w:bidi="fa-IR"/>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وسلم في الجواب إن كان مطلقاً وإن كان السؤال في مورد الربح ، يعمّ بيع التولية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السؤال أيضاً مطلقاً ، وإن كانت الواقعة في المرابحة ، وإلاّ كما هو الظاهر ، اختصّ بالمرابحة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ويعمّ مطلق الطعام ، سواء كان فيه كيل ووزن أو لا ، ونحوها رواية علي بن جعفر</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روايات الباب</w:t>
      </w:r>
      <w:r>
        <w:rPr>
          <w:rStyle w:val="FootnoteAnchor"/>
          <w:rtl w:val="true"/>
        </w:rPr>
        <w:footnoteReference w:id="1405"/>
      </w:r>
      <w:r>
        <w:rPr>
          <w:rFonts w:ascii="Amiri" w:hAnsi="Amiri" w:eastAsia="Amiri" w:cs="Amiri"/>
          <w:color w:val="111111"/>
          <w:sz w:val="28"/>
          <w:sz w:val="28"/>
          <w:szCs w:val="28"/>
          <w:rtl w:val="true"/>
          <w:lang w:bidi="ar-SA"/>
        </w:rPr>
        <w:t xml:space="preserve">في المكيل بقرينة ، لا يوجب </w:t>
      </w:r>
    </w:p>
    <w:p>
      <w:pPr>
        <w:pStyle w:val="BookText"/>
        <w:rPr/>
      </w:pPr>
      <w:r>
        <w:rPr>
          <w:rFonts w:ascii="Amiri" w:hAnsi="Amiri" w:eastAsia="Amiri" w:cs="Amiri"/>
          <w:color w:val="111111"/>
          <w:sz w:val="28"/>
          <w:sz w:val="28"/>
          <w:szCs w:val="28"/>
          <w:rtl w:val="true"/>
          <w:lang w:bidi="ar-SA"/>
        </w:rPr>
        <w:t xml:space="preserve">حمل غيره عليه بلا قرينة 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 ضمّ الثمرة إلى الطعام ، وهي إمّا خصوص التي في الشجرة ، فلا تكون من المكيل والموزون فعلاً ، وإمّا أعمّ منها ، مع أنّ بعض الأثمار ليس بمكيل ولا موزون ، بل من المعدود ، كرواية سماعة</w:t>
      </w:r>
      <w:r>
        <w:rPr>
          <w:rStyle w:val="FootnoteAnchor"/>
          <w:rtl w:val="true"/>
        </w:rPr>
        <w:footnoteReference w:id="1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يبيع الطعام أو الثمرة ، وقد كان اشتراها ولم يقبضها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حتّى يقبضها ، إلاّ أن يكون معه قوم يشاركهم ، فيخرجه بعضهم من نصيبه من شركته بربح ، أو يولّيه بعضهم ، فلا بأس</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 فيها يعمّ المكيل والموزون وغيره ، وقد استثنى الموردين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مختصّة بالمكيل على نحو الإطلاق ، من غير استثناء التولية ، كصحيحة الحلبي ، عن أبي عبداللّه علیه السلام أ 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يبتاع الطعام ، ثمّ يبيعه قبل أن يكال </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bookmarkStart w:id="860" w:name="pg15222_162748"/>
    </w:p>
    <w:p>
      <w:pPr>
        <w:pStyle w:val="BookText"/>
        <w:rPr/>
      </w:pPr>
      <w:bookmarkEnd w:id="860"/>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تختصّ بالمكيل ، أو به وبالموزون ، مع التفصيل فيها بين المرابحة والتولية ، كصحيحة علي بن جعفر المصرّحة بالتفصيل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سأل أخاه موسى بن جعفر علیه السلام عن الرجل يشتري الطعام ، أيصلح بيعه قبل أن يقبضه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ربح لم يصلح حتّى يقبض ، وإن كان يولّيه فلا بأس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وسألته عن الرجل يشتري الطعام ، أيحلّ له أن يولّي منه قبل أن يقبضه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يربح عليه شيئاً فلا بأس ، فإن ربح فلا بيع حتّى يقبضه</w:t>
      </w:r>
      <w:r>
        <w:rPr>
          <w:rFonts w:eastAsia="Amiri" w:cs="Amiri" w:ascii="Amiri" w:hAnsi="Amiri"/>
          <w:color w:val="111111"/>
          <w:sz w:val="28"/>
          <w:szCs w:val="28"/>
          <w:rtl w:val="true"/>
          <w:lang w:bidi="ar-SA"/>
        </w:rPr>
        <w:t>»</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ونحوها صحيحة منصور</w:t>
      </w:r>
      <w:r>
        <w:rPr>
          <w:rStyle w:val="FootnoteAnchor"/>
          <w:rtl w:val="true"/>
        </w:rPr>
        <w:footnoteReference w:id="1410"/>
      </w:r>
      <w:r>
        <w:rPr>
          <w:rFonts w:ascii="Amiri" w:hAnsi="Amiri" w:eastAsia="Amiri" w:cs="Amiri"/>
          <w:color w:val="111111"/>
          <w:sz w:val="28"/>
          <w:sz w:val="28"/>
          <w:szCs w:val="28"/>
          <w:rtl w:val="true"/>
          <w:lang w:bidi="ar-SA"/>
        </w:rPr>
        <w:t>ومعاوية بن وهب</w:t>
      </w:r>
      <w:r>
        <w:rPr>
          <w:rStyle w:val="FootnoteAnchor"/>
          <w:rtl w:val="true"/>
        </w:rPr>
        <w:footnoteReference w:id="1411"/>
      </w:r>
      <w:r>
        <w:rPr>
          <w:rFonts w:ascii="Amiri" w:hAnsi="Amiri" w:eastAsia="Amiri" w:cs="Amiri"/>
          <w:color w:val="111111"/>
          <w:sz w:val="28"/>
          <w:sz w:val="28"/>
          <w:szCs w:val="28"/>
          <w:rtl w:val="true"/>
          <w:lang w:bidi="ar-SA"/>
        </w:rPr>
        <w:t xml:space="preserve">وإن كان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مع استثناء المواضعة أيضاً ، كرواية أبي بصير</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3332122_2142443653"/>
      <w:bookmarkStart w:id="862" w:name="_Toc310"/>
      <w:bookmarkEnd w:id="861"/>
      <w:r>
        <w:rPr>
          <w:rtl w:val="true"/>
        </w:rPr>
        <w:t>القرائن الدالّة على إرادة الكراهة</w:t>
      </w:r>
      <w:bookmarkEnd w:id="862"/>
    </w:p>
    <w:p>
      <w:pPr>
        <w:pStyle w:val="BookText"/>
        <w:rPr/>
      </w:pPr>
      <w:r>
        <w:rPr>
          <w:rFonts w:ascii="Amiri" w:hAnsi="Amiri" w:eastAsia="Amiri" w:cs="Amiri"/>
          <w:color w:val="111111"/>
          <w:sz w:val="28"/>
          <w:sz w:val="28"/>
          <w:szCs w:val="28"/>
          <w:rtl w:val="true"/>
          <w:lang w:bidi="ar-SA"/>
        </w:rPr>
        <w:t>وكيف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الغضّ عمّا يقابلها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على الكراهة</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موثّقة عمّار</w:t>
      </w:r>
      <w:r>
        <w:rPr>
          <w:rStyle w:val="FootnoteAnchor"/>
          <w:rtl w:val="true"/>
        </w:rPr>
        <w:footnoteReference w:id="1413"/>
      </w:r>
      <w:r>
        <w:rPr>
          <w:rFonts w:ascii="IRNazanin" w:hAnsi="IRNazanin" w:eastAsia="IRNazanin"/>
          <w:color w:val="111111"/>
          <w:sz w:val="28"/>
          <w:sz w:val="28"/>
          <w:szCs w:val="28"/>
          <w:rtl w:val="true"/>
          <w:lang w:bidi="fa-IR"/>
        </w:rPr>
        <w:t xml:space="preserve">، من بعث رسول اللّه صلی الله علیه و آله وسلم الوالي إلى مكّة ، وأمره </w:t>
      </w:r>
    </w:p>
    <w:p>
      <w:pPr>
        <w:pStyle w:val="BookText"/>
        <w:rPr/>
      </w:pPr>
      <w:r>
        <w:rPr>
          <w:rFonts w:ascii="Amiri" w:hAnsi="Amiri" w:eastAsia="Amiri" w:cs="Amiri"/>
          <w:color w:val="111111"/>
          <w:sz w:val="28"/>
          <w:sz w:val="28"/>
          <w:szCs w:val="28"/>
          <w:rtl w:val="true"/>
          <w:lang w:bidi="ar-SA"/>
        </w:rPr>
        <w:t xml:space="preserve">بنهيهم عن بيع ما لم يقبض بنحو الإطلاق ، مع أ نّه لا منع في غير المكيل والموزون والطعام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كالثياب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الإطلاق والتقييد في مثله غير جارية بلا إشكال ، وإنّما يجريان في الأحكام القانونية ، وأمّا في المورد الواردة فيه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هو بعث للوالي إلى طائفة ، وأمره بنهيهم فعلاً بنحو الإطلاق عن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إطلاق يقيّد بغيره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كلّ مورد كان من هذا القبيل ، لا يكون ذلك الجمع عرفياً ، بل يقع التعارض بينه وبين المقيّد ، فلا بدّ من الحمل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إشكال فيه ؛ فإنّ كراهة بيع ما لا يقبض وما لا يضمن الذي ورد في رواية اُخرى بنحو الإطلاق ، لا مانع من القول بها ؛ فإنّ للكراهة مراتب ، بعضها أشدّ من بعض ، فيجمع بين مثله وبين الموارد التي نفي فيها البأس عن غير المكيل ، على نفي شدّة الكراهة ، ولولا غير هذا الشاهد ، لتعيّن الحمل على الكراهة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النهي التنزيهي في مناهي النبي ، غير 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ذيل الموثّقة ؛ من النهي عن ربح ما لم يضمن ، مع أ نّه ليس على الإطلاق ممنوعاً ، ولا يجري فيه الجمع بالإطلاق والتقييد ؛ لما مرّ من عدم عقلائيته ، ولا سيّما مع الإشعار أو الدلالة على العلّية ، وأمّا الحمل على الكراهة</w:t>
      </w:r>
    </w:p>
    <w:p>
      <w:pPr>
        <w:pStyle w:val="BookText"/>
        <w:rPr/>
      </w:pPr>
      <w:r>
        <w:rPr>
          <w:rFonts w:ascii="IRNazanin" w:hAnsi="IRNazanin" w:eastAsia="IRNazanin"/>
          <w:color w:val="111111"/>
          <w:sz w:val="28"/>
          <w:sz w:val="28"/>
          <w:szCs w:val="28"/>
          <w:rtl w:val="true"/>
          <w:lang w:bidi="fa-IR"/>
        </w:rPr>
        <w:t xml:space="preserve">فلا مانع منه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فيظهر من الموثّقة ، كراهة بيع ما لم يقبض مطلقاً ، وكراهة ربح ما لم يقبض </w:t>
      </w:r>
    </w:p>
    <w:p>
      <w:pPr>
        <w:pStyle w:val="BookText"/>
        <w:rPr/>
      </w:pPr>
      <w:r>
        <w:rPr>
          <w:rFonts w:ascii="Amiri" w:hAnsi="Amiri" w:eastAsia="Amiri" w:cs="Amiri"/>
          <w:color w:val="111111"/>
          <w:sz w:val="28"/>
          <w:sz w:val="28"/>
          <w:szCs w:val="28"/>
          <w:rtl w:val="true"/>
          <w:lang w:bidi="ar-SA"/>
        </w:rPr>
        <w:t xml:space="preserve">كذلك ، فالكراهة في بيع المرابحة قبل القبض أشدّ ؛ لكونها من جهتين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مناهي النبي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ونهى عن بيع ما لا يضمن</w:t>
      </w:r>
      <w:r>
        <w:rPr>
          <w:rFonts w:eastAsia="IRNazanin" w:cs="IRNazanin"/>
          <w:color w:val="111111"/>
          <w:sz w:val="28"/>
          <w:szCs w:val="28"/>
          <w:rtl w:val="true"/>
          <w:lang w:bidi="fa-IR"/>
        </w:rPr>
        <w:t>»</w:t>
      </w:r>
      <w:r>
        <w:rPr>
          <w:rStyle w:val="FootnoteAnchor"/>
          <w:rtl w:val="true"/>
        </w:rPr>
        <w:footnoteReference w:id="1414"/>
      </w:r>
      <w:r>
        <w:rPr>
          <w:rFonts w:ascii="Amiri" w:hAnsi="Amiri" w:eastAsia="Amiri" w:cs="Amiri"/>
          <w:color w:val="111111"/>
          <w:sz w:val="28"/>
          <w:sz w:val="28"/>
          <w:szCs w:val="28"/>
          <w:rtl w:val="true"/>
          <w:lang w:bidi="ar-SA"/>
        </w:rPr>
        <w:t xml:space="preserve">المشعر بل الدالّ ، على أنّ علّة النهي هو عدم الضمان ، مع أ نّه محقّق في مطلق ما لم يقبض ، فالعلّة موجودة في الجميع ، والتقييد في مثله مرجوح ، والحمل على الكراهة 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موثّقة سماعة</w:t>
      </w:r>
      <w:r>
        <w:rPr>
          <w:rStyle w:val="FootnoteAnchor"/>
          <w:rtl w:val="true"/>
        </w:rPr>
        <w:footnoteReference w:id="1415"/>
      </w:r>
      <w:r>
        <w:rPr>
          <w:rFonts w:ascii="Amiri" w:hAnsi="Amiri" w:eastAsia="Amiri" w:cs="Amiri"/>
          <w:color w:val="111111"/>
          <w:sz w:val="28"/>
          <w:sz w:val="28"/>
          <w:szCs w:val="28"/>
          <w:rtl w:val="true"/>
          <w:lang w:bidi="ar-SA"/>
        </w:rPr>
        <w:t xml:space="preserve">من الجمع بين الطعام والثمرة في النهي عن البيع قبل القبض ، حيث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بنفسها ظاهرة في الثمرة على الشجرة ، أو في تلك الرواية ؛ لمكان المقابلة بينها وبين الطعام ، مع أنّ الثمرة على الشجرة ، ليست من المكيل والموزون ، ولا منع في بيعها قبل القبض ، وأمّا الكراهة فلا مانع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التعبيرات الواردة فيها ممّا تناسب الكراهة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في صحيحة الحلبي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r>
        <w:rPr>
          <w:rStyle w:val="FootnoteAnchor"/>
          <w:rtl w:val="true"/>
        </w:rPr>
        <w:footnoteReference w:id="1416"/>
      </w:r>
      <w:r>
        <w:rPr>
          <w:rFonts w:ascii="Amiri" w:hAnsi="Amiri" w:eastAsia="Amiri" w:cs="Amiri"/>
          <w:color w:val="111111"/>
          <w:sz w:val="28"/>
          <w:sz w:val="28"/>
          <w:szCs w:val="28"/>
          <w:rtl w:val="true"/>
          <w:lang w:bidi="ar-SA"/>
        </w:rPr>
        <w:t xml:space="preserve">فإنّ المفهوم منه أ نّه جائز ، لكن ليس صالحاً له ، وإلاّ ففي الحكم الشرعي الإلزامي لا يعبّر بمثله ، فهو مناسب للإرشاد إلى مصلحته ، أو للكراهة ؛ فإنّ أمرها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فيها ، وحمل النهي على الكراهة ، أهون من حمل مثله على الحرمة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الحمل على الكراهة في النواهي ، وعلى الاستحباب في الأوامر ، أمر هيّن </w:t>
      </w:r>
    </w:p>
    <w:p>
      <w:pPr>
        <w:pStyle w:val="BookText"/>
        <w:rPr/>
      </w:pPr>
      <w:r>
        <w:rPr>
          <w:rFonts w:ascii="Amiri" w:hAnsi="Amiri" w:eastAsia="Amiri" w:cs="Amiri"/>
          <w:color w:val="111111"/>
          <w:sz w:val="28"/>
          <w:sz w:val="28"/>
          <w:szCs w:val="28"/>
          <w:rtl w:val="true"/>
          <w:lang w:bidi="ar-SA"/>
        </w:rPr>
        <w:t xml:space="preserve">في نفسه ؛ لعدم الدلالة فيهما على الوجوب والحرمة وضعاً ولفظاً ، وإنّما الحمل على الوجوب والحرمة ؛ لأجل تمامية حجّة المولى ببعثه وزجره ، ومن الواضح أ نّه ترفع الحجّة بأدنى 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الأمر من قبيل تقديم الظاهر والأظهر ؛ فإنّ ذلك إنّما يصحّ في الدلالات اللفظية اللغوية ، وليس فيهما دلالة لفظية لغوية على الحرمة والوجوب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إشكال في أنّ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يعجبني</w:t>
      </w:r>
      <w:r>
        <w:rPr>
          <w:rFonts w:eastAsia="IRNazanin" w:cs="IRNazanin"/>
          <w:color w:val="111111"/>
          <w:sz w:val="28"/>
          <w:szCs w:val="28"/>
          <w:rtl w:val="true"/>
          <w:lang w:bidi="fa-IR"/>
        </w:rPr>
        <w:t>»</w:t>
      </w:r>
      <w:r>
        <w:rPr>
          <w:rStyle w:val="FootnoteAnchor"/>
          <w:rtl w:val="true"/>
        </w:rPr>
        <w:footnoteReference w:id="1417"/>
      </w:r>
      <w:r>
        <w:rPr>
          <w:rFonts w:ascii="Amiri" w:hAnsi="Amiri" w:eastAsia="Amiri" w:cs="Amiri"/>
          <w:color w:val="111111"/>
          <w:sz w:val="28"/>
          <w:sz w:val="28"/>
          <w:szCs w:val="28"/>
          <w:rtl w:val="true"/>
          <w:lang w:bidi="ar-SA"/>
        </w:rPr>
        <w:t xml:space="preserve">الظاهر في الكراهة عرفاً مقدّم على النواهي ؛ لقطع الحجّة به ، وعدم الظهور فيها رأساً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الشديد في الروايات كما يظهر للمراجع ، ممّا يرتفع بالحمل على الكراهة ، والالتزام بالمراتب فيها ، وأمر الكراهة 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ذكرناه ، لا تصل النوبة إلى الجمع بين الروايات الناهية وبين ما يعارضها ، مثل صحيحة الحلبي</w:t>
      </w:r>
      <w:r>
        <w:rPr>
          <w:rStyle w:val="FootnoteAnchor"/>
          <w:rtl w:val="true"/>
        </w:rPr>
        <w:footnoteReference w:id="14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البأس عن بيعها مع الربح ، بل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لموثّقة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المشتملة على النهي عن بيعها قبل القبض مرابحة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ومثل رواية الكرخي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الطعام من الرجل ، ثمّ أبيعه من رجل آخر قبل أن أكتاله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 وكيلك حتّى يشهد كيله إذا قبضته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فيه دلالة على كون المبيع كلّياً ، بل إمّا كان شخصياً ، كما لا يبعد بحسب المتفاهم العرفي ، وكان اشتراؤه بإخبار البائع أو بعلمه بكيله ، وإمّا كان السؤال أعمّ 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ورواية جميل ،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الرجل يشتري الطعام ، ثمّ يبيعه قبل أن يقبضه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ويوكّل الرجل المشتري منه بقبضه وكيله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يوكّل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سؤال آخر ، فصدرها صريح في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فتحصّل من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أقربية الجمع بين شتاتها ؛ بالحمل على الكراهة ومراتبها ، والظاهر عدم الفرق في الحكم بين بيع الكلّي وغيره </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في مقام الجمع وإن كان فيه بعض مخالفة للظاهر ، لكنّه أرجح من عمل الإطلاق والتقييد ، والحمل على الحرمة أو البطلان ، كما لا يخفى على المنصف </w:t>
      </w:r>
      <w:r>
        <w:rPr>
          <w:rFonts w:eastAsia="Amiri" w:cs="Amiri" w:ascii="Amiri" w:hAnsi="Amiri"/>
          <w:color w:val="111111"/>
          <w:sz w:val="28"/>
          <w:szCs w:val="28"/>
          <w:rtl w:val="true"/>
          <w:lang w:bidi="ar-SA"/>
        </w:rPr>
        <w:t xml:space="preserve">. </w:t>
      </w:r>
      <w:bookmarkStart w:id="863" w:name="pg15222_162753"/>
    </w:p>
    <w:p>
      <w:pPr>
        <w:pStyle w:val="Heading4"/>
        <w:numPr>
          <w:ilvl w:val="3"/>
          <w:numId w:val="1"/>
        </w:numPr>
        <w:rPr/>
      </w:pPr>
      <w:bookmarkStart w:id="864" w:name="__RefHeading___Toc3332124_2142443653"/>
      <w:bookmarkStart w:id="865" w:name="_Toc311"/>
      <w:bookmarkEnd w:id="863"/>
      <w:bookmarkEnd w:id="864"/>
      <w:r>
        <w:rPr>
          <w:rtl w:val="true"/>
        </w:rPr>
        <w:t>شمول النهي عن بيع ما لم يقبض للمبيع والثمن</w:t>
      </w:r>
      <w:bookmarkEnd w:id="865"/>
    </w:p>
    <w:p>
      <w:pPr>
        <w:pStyle w:val="BookText"/>
        <w:rPr/>
      </w:pPr>
      <w:r>
        <w:rPr>
          <w:rFonts w:ascii="Amiri" w:hAnsi="Amiri" w:eastAsia="Amiri" w:cs="Amiri"/>
          <w:color w:val="111111"/>
          <w:sz w:val="28"/>
          <w:sz w:val="28"/>
          <w:szCs w:val="28"/>
          <w:rtl w:val="true"/>
          <w:lang w:bidi="ar-SA"/>
        </w:rPr>
        <w:t>ثمّ إنّ مقتضى إطلاق موثّقة عمّار المتقدّمة</w:t>
      </w:r>
      <w:r>
        <w:rPr>
          <w:rStyle w:val="FootnoteAnchor"/>
          <w:rtl w:val="true"/>
        </w:rPr>
        <w:footnoteReference w:id="1421"/>
      </w:r>
      <w:r>
        <w:rPr>
          <w:rFonts w:ascii="Amiri" w:hAnsi="Amiri" w:eastAsia="Amiri" w:cs="Amiri"/>
          <w:color w:val="111111"/>
          <w:sz w:val="28"/>
          <w:sz w:val="28"/>
          <w:szCs w:val="28"/>
          <w:rtl w:val="true"/>
          <w:lang w:bidi="ar-SA"/>
        </w:rPr>
        <w:t>عدم الفرق في الحكم بين المبيع والثمن ، وقد مرّ أنّ عمل الجمع بالإطلاق والتقييد ، لا يجري في مثله</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 ما ورد</w:t>
      </w:r>
      <w:r>
        <w:rPr>
          <w:rStyle w:val="FootnoteAnchor"/>
          <w:rtl w:val="true"/>
        </w:rPr>
        <w:footnoteReference w:id="1423"/>
      </w:r>
      <w:r>
        <w:rPr>
          <w:rFonts w:ascii="Amiri" w:hAnsi="Amiri" w:eastAsia="Amiri" w:cs="Amiri"/>
          <w:color w:val="111111"/>
          <w:sz w:val="28"/>
          <w:sz w:val="28"/>
          <w:szCs w:val="28"/>
          <w:rtl w:val="true"/>
          <w:lang w:bidi="ar-SA"/>
        </w:rPr>
        <w:t xml:space="preserve">من الروايات في المبيع وإن كان مورد السؤال والجواب فيها هو المبيع ، لكنّها لم يظهر منها الاختصاص به ، فلا مانع من الأخذ بالموثّقة وبالأخبار الواردة في المبيع ، وقد رجّحنا ثبوت الكراهة لمطلق ما لم يقبض ولو لم يكن مكيلاً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إمكان استفادة حكم الثمن أيضاً من نهيه 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بيع ما لم يضمن</w:t>
      </w:r>
      <w:r>
        <w:rPr>
          <w:rFonts w:eastAsia="IRNazanin" w:cs="IRNazanin"/>
          <w:color w:val="111111"/>
          <w:sz w:val="28"/>
          <w:szCs w:val="28"/>
          <w:rtl w:val="true"/>
          <w:lang w:bidi="fa-IR"/>
        </w:rPr>
        <w:t>»</w:t>
      </w:r>
      <w:r>
        <w:rPr>
          <w:rStyle w:val="FootnoteAnchor"/>
          <w:rtl w:val="true"/>
        </w:rPr>
        <w:footnoteReference w:id="1424"/>
      </w:r>
      <w:r>
        <w:rPr>
          <w:rFonts w:ascii="Amiri" w:hAnsi="Amiri" w:eastAsia="Amiri" w:cs="Amiri"/>
          <w:color w:val="111111"/>
          <w:sz w:val="28"/>
          <w:sz w:val="28"/>
          <w:szCs w:val="28"/>
          <w:rtl w:val="true"/>
          <w:lang w:bidi="ar-SA"/>
        </w:rPr>
        <w:t>بناءً على عموم الحكم بعدم الضمان قبل القبض للثمن ، كما مرّ الكلام فيه</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المبادلة إذا وقعت بين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حنطة بشعير وحمار ببقر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يصدق على كلّ من العوضين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1426"/>
      </w:r>
      <w:r>
        <w:rPr>
          <w:rFonts w:ascii="Amiri" w:hAnsi="Amiri" w:eastAsia="Amiri" w:cs="Amiri"/>
          <w:color w:val="111111"/>
          <w:sz w:val="28"/>
          <w:sz w:val="28"/>
          <w:szCs w:val="28"/>
          <w:rtl w:val="true"/>
          <w:lang w:bidi="ar-SA"/>
        </w:rPr>
        <w:t xml:space="preserve">، والتفصيل بينه وبين المبادلة بالنقود بعيد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ذلك ، لا يحتاج في الحكم إلى الاستدلال بما حكي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 ولا بما في ذيل صحيحة الحلبي</w:t>
      </w:r>
      <w:r>
        <w:rPr>
          <w:rStyle w:val="FootnoteAnchor"/>
          <w:rtl w:val="true"/>
        </w:rPr>
        <w:footnoteReference w:id="1428"/>
      </w:r>
      <w:r>
        <w:rPr>
          <w:rFonts w:ascii="Amiri" w:hAnsi="Amiri" w:eastAsia="Amiri" w:cs="Amiri"/>
          <w:color w:val="111111"/>
          <w:sz w:val="28"/>
          <w:sz w:val="28"/>
          <w:szCs w:val="28"/>
          <w:rtl w:val="true"/>
          <w:lang w:bidi="ar-SA"/>
        </w:rPr>
        <w:t>كما تشبّث به بعض المحشّين ، واستشكل فيه</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العجيب عدم استدلالهم بالموثّقة ، بل قال بعض أهل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من طرقنا ما يدلّ على المنع عن بيع ما لم يقبض مطلقاً ، حتّى يسري حكم المبيع إلى الثمن</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الرواية الموثّقة من طرقنا </w:t>
      </w:r>
      <w:r>
        <w:rPr>
          <w:rStyle w:val="FootnoteAnchor"/>
          <w:rtl w:val="true"/>
        </w:rPr>
        <w:footnoteReference w:id="1431"/>
      </w:r>
      <w:r>
        <w:rPr>
          <w:rFonts w:ascii="IRNazanin" w:hAnsi="IRNazanin" w:eastAsia="IRNazanin"/>
          <w:color w:val="111111"/>
          <w:sz w:val="28"/>
          <w:sz w:val="28"/>
          <w:szCs w:val="28"/>
          <w:rtl w:val="true"/>
          <w:lang w:bidi="fa-IR"/>
        </w:rPr>
        <w:t xml:space="preserve">، وكذا الرواية الواردة في مناهي النبي صلی الله علیه و آله وسلم من طرقنا </w:t>
      </w:r>
      <w:r>
        <w:rPr>
          <w:rStyle w:val="FootnoteAnchor"/>
          <w:rtl w:val="true"/>
        </w:rPr>
        <w:footnoteReference w:id="1432"/>
      </w:r>
      <w:r>
        <w:rPr>
          <w:rFonts w:ascii="Amiri" w:hAnsi="Amiri" w:eastAsia="Amiri" w:cs="Amiri"/>
          <w:color w:val="111111"/>
          <w:sz w:val="28"/>
          <w:sz w:val="28"/>
          <w:szCs w:val="28"/>
          <w:rtl w:val="true"/>
          <w:lang w:bidi="ar-SA"/>
        </w:rPr>
        <w:t>، المشتملة على بيع ما لم يضمن ، وإن كان في طريقها ضعف</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 xml:space="preserve">. </w:t>
      </w:r>
      <w:bookmarkStart w:id="866" w:name="pg15222_162755"/>
    </w:p>
    <w:p>
      <w:pPr>
        <w:pStyle w:val="BookText"/>
        <w:rPr/>
      </w:pPr>
      <w:bookmarkEnd w:id="866"/>
      <w:r>
        <w:rPr>
          <w:rFonts w:ascii="IRNazanin" w:hAnsi="IRNazanin" w:eastAsia="IRNazanin"/>
          <w:color w:val="111111"/>
          <w:sz w:val="28"/>
          <w:sz w:val="28"/>
          <w:szCs w:val="28"/>
          <w:rtl w:val="true"/>
          <w:lang w:bidi="fa-IR"/>
        </w:rPr>
        <w:t xml:space="preserve">واحتمال كون أمر النبي صلی الله علیه و آله وسلم ، والي مكّة بالنهي عن المذكورات ، من مختصّات أهل مكّة مقطوع البطلان ، كاحتمال كون تلك النواهي من الأحكام السلطانية ، لا الشرعية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أنّ الحكم التنزيهي السلطاني بعيد في نفسه ، مضافاً إلى أنّ أحكامه السلطانية ، نافذة في الاُمّة إلى الأبد </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3332126_2142443653"/>
      <w:bookmarkStart w:id="868" w:name="_Toc312"/>
      <w:bookmarkEnd w:id="867"/>
      <w:r>
        <w:rPr>
          <w:rtl w:val="true"/>
        </w:rPr>
        <w:t>شمول النهي لجميع أسباب النقل</w:t>
      </w:r>
      <w:bookmarkEnd w:id="868"/>
    </w:p>
    <w:p>
      <w:pPr>
        <w:pStyle w:val="BookText"/>
        <w:rPr/>
      </w:pPr>
      <w:r>
        <w:rPr>
          <w:rFonts w:ascii="IRNazanin" w:hAnsi="IRNazanin" w:eastAsia="IRNazanin"/>
          <w:color w:val="111111"/>
          <w:sz w:val="28"/>
          <w:sz w:val="28"/>
          <w:szCs w:val="28"/>
          <w:rtl w:val="true"/>
          <w:lang w:bidi="fa-IR"/>
        </w:rPr>
        <w:t xml:space="preserve">ثمّ إنّ مقتضى إطلاق الموثّقة ، ثبوت الحكم لكلّ ما انتقل إليه ولم يقبضه ، سواء انتقل بالبيع ، أو بغيره من المعاوضات ، بل وبغيرها كالإرث والصداق ؛ فإنّ النهي عن بيع ما لم يقبض شامل للجميع ، وإن احتمل انصرافه إلى المضمونات قبل القبض ، ويستأنس له بما في رواية مناهي النبي صلی الله علیه و آله وسلم من النهي عن بيع ما لم يضمن ، وبما في ذيل موثّقة عمّار من النهي عن ربح ما لم يضمن ، وبعدم إشارة في الروايات الكثيرة الواردة في الباب إلى غير ما انتقل بالبيع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الانصراف غير ظاهر ، والاستئناس بما ذكر غير مفيد ، والأمر سهل حيث يكون الحكم على سبيل الكراهة ، هذا كلّه في بيع غير المقبوض </w:t>
      </w:r>
      <w:r>
        <w:rPr>
          <w:rFonts w:eastAsia="Amiri" w:cs="Amiri" w:ascii="Amiri" w:hAnsi="Amiri"/>
          <w:color w:val="111111"/>
          <w:sz w:val="28"/>
          <w:szCs w:val="28"/>
          <w:rtl w:val="true"/>
          <w:lang w:bidi="ar-SA"/>
        </w:rPr>
        <w:t>.</w:t>
      </w:r>
    </w:p>
    <w:p>
      <w:pPr>
        <w:pStyle w:val="Heading4"/>
        <w:numPr>
          <w:ilvl w:val="3"/>
          <w:numId w:val="1"/>
        </w:numPr>
        <w:rPr/>
      </w:pPr>
      <w:bookmarkStart w:id="869" w:name="__RefHeading___Toc3332128_2142443653"/>
      <w:bookmarkStart w:id="870" w:name="_Toc313"/>
      <w:bookmarkEnd w:id="869"/>
      <w:r>
        <w:rPr>
          <w:rtl w:val="true"/>
        </w:rPr>
        <w:t>حكم نقل غير المقبوض بغير البيع</w:t>
      </w:r>
      <w:bookmarkEnd w:id="870"/>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نقل غير المقبوض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انتقل إليه ببيع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البيع ، فلا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عن بيع ما لم يضمن المشعر بالعلّية ، يستفاد منه أنّ </w:t>
      </w:r>
    </w:p>
    <w:p>
      <w:pPr>
        <w:pStyle w:val="BookText"/>
        <w:rPr/>
      </w:pPr>
      <w:r>
        <w:rPr>
          <w:rFonts w:ascii="Amiri" w:hAnsi="Amiri" w:eastAsia="Amiri" w:cs="Amiri"/>
          <w:color w:val="111111"/>
          <w:sz w:val="28"/>
          <w:sz w:val="28"/>
          <w:szCs w:val="28"/>
          <w:rtl w:val="true"/>
          <w:lang w:bidi="ar-SA"/>
        </w:rPr>
        <w:t xml:space="preserve">عدم الضمان ، موجب للمنع تنزيهاً عن مطلق الانتقال ، بل مناسبة الحكم والموضوع أيضاً تقتضيه ، وفيه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النهي عن بيع ما لم يقبض تنزيهي</w:t>
      </w:r>
      <w:r>
        <w:rPr>
          <w:rStyle w:val="FootnoteAnchor"/>
          <w:rtl w:val="true"/>
        </w:rPr>
        <w:footnoteReference w:id="1434"/>
      </w:r>
      <w:r>
        <w:rPr>
          <w:rFonts w:ascii="Amiri" w:hAnsi="Amiri" w:eastAsia="Amiri" w:cs="Amiri"/>
          <w:color w:val="111111"/>
          <w:sz w:val="28"/>
          <w:sz w:val="28"/>
          <w:szCs w:val="28"/>
          <w:rtl w:val="true"/>
          <w:lang w:bidi="ar-SA"/>
        </w:rPr>
        <w:t xml:space="preserve">، لا داعي إلى بسط الكلام في الفروع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 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بيع ما لم يقبض مطلقاً مكروه ، سواء كان الانتقال إليه بالبيع أو بغيره ، وعرفت أنّ في نقل ذلك بغير البيع ، وجهاً للكراهة قابلاً للمناقشة ، فيستخرج ممّا ذكر جميع ما ذكروه في فروع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 وظاهراً وباطناً ، والصلاة والسلام على النبي الأعظم ، وعلى أوصيائه الهداة المهديّين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تسويده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جوار مرقد مولانا أمير المؤمنين ، سلام اللّه عليه وعلى أبنائه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ابتلينا ببليّات نزلت بالإسلام والمسلمين ، أرجو من اللّه تعالى أن يمنّ علينا برفعها ، وينظر إلينا نظرة رحمة وإن كنّا مستحقّين ؛ لتقصيرنا في القيام بالوظائف التي على كاهلنا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عاملنا بلطفك ، لا بعدلك </w:t>
      </w:r>
      <w:r>
        <w:rPr>
          <w:rFonts w:eastAsia="Amiri" w:cs="Amiri" w:ascii="Amiri" w:hAnsi="Amiri"/>
          <w:color w:val="111111"/>
          <w:sz w:val="28"/>
          <w:szCs w:val="28"/>
          <w:rtl w:val="true"/>
          <w:lang w:bidi="ar-SA"/>
        </w:rPr>
        <w:t xml:space="preserve">. </w:t>
      </w:r>
      <w:bookmarkStart w:id="871" w:name="pg15222_162757"/>
    </w:p>
    <w:p>
      <w:pPr>
        <w:pStyle w:val="Heading2"/>
        <w:numPr>
          <w:ilvl w:val="1"/>
          <w:numId w:val="1"/>
        </w:numPr>
        <w:rPr/>
      </w:pPr>
      <w:bookmarkStart w:id="872" w:name="__RefHeading___Toc3332130_2142443653"/>
      <w:bookmarkStart w:id="873" w:name="_Toc314"/>
      <w:bookmarkEnd w:id="871"/>
      <w:bookmarkEnd w:id="872"/>
      <w:r>
        <w:rPr>
          <w:rtl w:val="true"/>
        </w:rPr>
        <w:t>الفهارس العامّة</w:t>
      </w:r>
      <w:bookmarkEnd w:id="873"/>
    </w:p>
    <w:p>
      <w:pPr>
        <w:pStyle w:val="Heading3"/>
        <w:numPr>
          <w:ilvl w:val="2"/>
          <w:numId w:val="1"/>
        </w:numPr>
        <w:rPr/>
      </w:pPr>
      <w:bookmarkStart w:id="874" w:name="__RefHeading___Toc3332132_2142443653"/>
      <w:bookmarkStart w:id="875" w:name="_Toc315"/>
      <w:bookmarkEnd w:id="874"/>
      <w:r>
        <w:rPr>
          <w:rtl w:val="true"/>
        </w:rPr>
        <w:t>اشارة</w:t>
      </w:r>
      <w:bookmarkEnd w:id="8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6" w:name="pg15222_162759"/>
      <w:bookmarkStart w:id="877" w:name="pg15222_162759"/>
      <w:bookmarkEnd w:id="877"/>
    </w:p>
    <w:p>
      <w:pPr>
        <w:pStyle w:val="Heading3"/>
        <w:numPr>
          <w:ilvl w:val="2"/>
          <w:numId w:val="1"/>
        </w:numPr>
        <w:rPr/>
      </w:pPr>
      <w:bookmarkStart w:id="878" w:name="pg15222_162759"/>
      <w:bookmarkStart w:id="879" w:name="__RefHeading___Toc3332134_2142443653"/>
      <w:bookmarkStart w:id="880" w:name="_Toc316"/>
      <w:bookmarkEnd w:id="878"/>
      <w:bookmarkEnd w:id="879"/>
      <w:r>
        <w:rPr/>
        <w:t>1</w:t>
      </w:r>
      <w:r>
        <w:rPr>
          <w:rtl w:val="true"/>
        </w:rPr>
        <w:t xml:space="preserve">- </w:t>
      </w:r>
      <w:r>
        <w:rPr>
          <w:rtl w:val="true"/>
        </w:rPr>
        <w:t>فهرس الآيات الكريمة</w:t>
      </w:r>
      <w:bookmarkEnd w:id="880"/>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 وَحَرَّمَ الرِّبوا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فَلَكُمْ رُءُوسُ أَمْوَالِكُمْ لاَ تَظْلِمُونَ وَلاَ تُظْلَمُونَ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فَرِهَانٌ مَقْبُوضَةٌ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فَانْكِحُوا مَا طَابَ لَكُمْ مِنَ ا لنِّسَاءِ مَثْنَى وَثُلاَثَ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قَلَّ مِنْهُ أَوْ 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 تُوهُنَّ أُجُورَهُنَّ فَرِيضَةً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وَاللاَّتِى تَخَافُونَ نُشُوزَهُنَّ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قُتِلَ مَظْلُوماً فَقَدْ جَعَلْنَا لِوَلِيِّهِ سُلْطَاناً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فَقَبَضْتُ قَبْضَةً مِنْ أَ ثَرِ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 لْأَيَامَى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النَّبِىُّ إِنَّا أَحْلَلْنَا لَكَ أَزْوَاجَكَ اللاَّتِى آ تَيْتَ 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جَمِيعاً قَبْضَتُهُ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 يُّهَا النَّبِىُّ لِمَ تُحَرِّمُ مَا أَحَلَّ اللّه‌ُ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1" w:name="pg15222_162763"/>
      <w:bookmarkStart w:id="882" w:name="pg15222_162763"/>
      <w:bookmarkEnd w:id="882"/>
    </w:p>
    <w:p>
      <w:pPr>
        <w:pStyle w:val="Heading3"/>
        <w:numPr>
          <w:ilvl w:val="2"/>
          <w:numId w:val="1"/>
        </w:numPr>
        <w:rPr/>
      </w:pPr>
      <w:bookmarkStart w:id="883" w:name="pg15222_162763"/>
      <w:bookmarkStart w:id="884" w:name="__RefHeading___Toc3332136_2142443653"/>
      <w:bookmarkStart w:id="885" w:name="_Toc317"/>
      <w:bookmarkEnd w:id="883"/>
      <w:bookmarkEnd w:id="884"/>
      <w:r>
        <w:rPr/>
        <w:t>2</w:t>
      </w:r>
      <w:r>
        <w:rPr>
          <w:rtl w:val="true"/>
        </w:rPr>
        <w:t xml:space="preserve">- </w:t>
      </w:r>
      <w:r>
        <w:rPr>
          <w:rtl w:val="true"/>
        </w:rPr>
        <w:t>فهرس الأحاديث الشريفة</w:t>
      </w:r>
      <w:bookmarkEnd w:id="885"/>
    </w:p>
    <w:p>
      <w:pPr>
        <w:pStyle w:val="BookText"/>
        <w:rPr/>
      </w:pPr>
      <w:r>
        <w:rPr>
          <w:rFonts w:ascii="IRNazanin" w:hAnsi="IRNazanin" w:eastAsia="IRNazanin"/>
          <w:color w:val="111111"/>
          <w:sz w:val="28"/>
          <w:sz w:val="28"/>
          <w:szCs w:val="28"/>
          <w:rtl w:val="true"/>
          <w:lang w:bidi="fa-IR"/>
        </w:rPr>
        <w:t xml:space="preserve">أخذ مقنعتها ، ووضعها على رأسها ، واعتزالها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إذا أحدث فيه شيئاً يمضي عليه البيع ، ويردّ عليه بقدر ما نقص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إذا اشتريت متاعاً فيه كيل أو وزن ، فلا تبعه حتّى تقبضه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إذا ربح لم يصلح حتّى يقبض ، وإن كان يولّيه فلا بأس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إذا قوّمه دراهم فسد ؛ لأنّ الأصل الذي يشتري به دراهم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كان بالخيار ؛ إن شاء باع ، وإن شاء لم يبع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إذا لم يربح عليه شيئاً فلا بأس ، فإن ربح فلا بيع حتّى يقبضه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إذا لم يشترط ورضيا فلا بأس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اذهب فتزوّج وتسرّ ؛ فإنّ ذلك ليس بشيء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اذهب وتزوّج وتسرّ ؛ فإنّ ذلك ليس بشيء ، وليس شيء عليك ولا عليها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أرادت عائشة أن تشتري بريرة ، فاشترط مواليها عليها ولاءها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استمتعتم إلى أجل مسمّى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ألسنا نبيع تمرنا ممّن يجعله شراباً خبيثاً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إنّ البيع لازم لا يردّها ، ويأخذ أرش العيب </w:t>
      </w:r>
      <w:r>
        <w:rPr>
          <w:rFonts w:eastAsia="Amiri" w:cs="Amiri" w:ascii="Amiri" w:hAnsi="Amiri"/>
          <w:color w:val="111111"/>
          <w:sz w:val="28"/>
          <w:szCs w:val="28"/>
          <w:lang w:bidi="ar-SA"/>
        </w:rPr>
        <w:t>57</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البيع لازم ، ويأخذ أرش العيب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الحدّ لا يورث كما تورث الديَة والمال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إنّ الخسارة ليست عليك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أنّ الشرط باطل مع مخالفته للكتاب </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 xml:space="preserve">أنّ الضمان على البائع </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أنّ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شروطهم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إنّ المسلمين عند شروطهم ، إلاّ شرطاً حرّم حلالاً ، أو أحلّ حراماً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إنّ النبي حرّمها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إنّ ثمنها كذا وكذا يداً بيد ، وثمنها كذا وكذا نظرة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إن حدث بالحيوان حدث فهو من مال البائع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حدث بالحيوان حدث قبل ثلاثة أيّام ، فهو من مال البائع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تورث الشفعة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أنّ رسول اللّه صلی الله علیه و آله وسلم نهى عن شرطين في بيع </w:t>
      </w:r>
      <w:r>
        <w:rPr>
          <w:rFonts w:eastAsia="IRNazanin" w:cs="IRNazanin"/>
          <w:color w:val="111111"/>
          <w:sz w:val="28"/>
          <w:szCs w:val="28"/>
          <w:rtl w:val="true"/>
          <w:lang w:bidi="fa-IR"/>
        </w:rPr>
        <w:t xml:space="preserve">. . .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إن شاء استرجع فضل ماله وأخذ الأرض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إن شاء بعدُ أمسكها ، وإن شاء سرّحها إلى أهلها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إن شاء وفى لها بما اشترط ، وإن شاء أمسكها ، واتّخذ عليها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أنّ شرط اللّه قبل شرطكم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أنّ شرط اللّه قبل شرطكم ، فإن شاء وفى لها بما اشترط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إن كان الثوب قد قطع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كان الشيء قائماً بعينه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كان الشيء قائماً بعينه ردّ على صاحبه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إن كان الشيء قائماً بعينه ردّه على صاحبه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إن كان الشيء قائماً بعينه ردّه عليه ، وأخذ الثمن </w:t>
      </w:r>
      <w:r>
        <w:rPr>
          <w:rFonts w:eastAsia="Amiri" w:cs="Amiri" w:ascii="Amiri" w:hAnsi="Amiri"/>
          <w:color w:val="111111"/>
          <w:sz w:val="28"/>
          <w:szCs w:val="28"/>
          <w:lang w:bidi="ar-SA"/>
        </w:rPr>
        <w:t>46</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بينهما شرط أ يّاما معدودة ، فهلك في يد المشتري قبل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كان جاز الشرط فهو ضامن ، وإن كان دخل وادياً لم يوثقها فهو ضامن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إن كان قائماً بعينه ردّه على صاحبه ، وأخذ الثمن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كان مثلها تحيض ولم يكن ذلك من كبر ، فهذا عيب تردّ منه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إن كان يعلم أنّ ذلك يكون في الزيت ، لم يرده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 لامس ، أو قبّل ، أو نظر منها إلى ما كان يحرم عليه قبل الشراء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إنّما حرّم اللّه عزّ وجلّ الربا ؛ لكيلا يمتنع الناس من اصطناع المعروف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إنّما له دراهمه ، يأخذ بها ما شاء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إنّما هذا تقديم وتأخير ، فلا بأس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أ نّه فعل أبي ، وأمرني أن أفعل ذلك في شيء كان عليه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أ نّه كره بيع صكّ الورق حتّى يقبض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إنّهنّ مستأجرات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 نّى يكون هذا، واللّه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أيّما رجل اشترى شيئاً وبه عيب أو عوار ، ولم يتبرّأ إليه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أيّما رجل اشترى شيئاً وبه عيب وعوار ، ولم يتبرّأ إليه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بئس ما صنع ، وما كان يدريه ما يقع في قلبه بالليل والنهار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بأ نّها من مال البائع إلى أن يقبض المتاع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البيّعان بالخيار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البيّعان بالخيار ما لم يفترقا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البيّنة على المدّعي ، واليمين على المدّعى عليه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تردّ الجارية من 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الجنون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تردّ الحبلى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تزوّج منهنّ ألفاً ، فإنّهنّ مستأجرات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التقبيل ، واللمس ، والنظر إلى ما لا يحلّ له </w:t>
      </w:r>
      <w:r>
        <w:rPr>
          <w:rFonts w:eastAsia="Amiri" w:cs="Amiri" w:ascii="Amiri" w:hAnsi="Amiri"/>
          <w:color w:val="111111"/>
          <w:sz w:val="28"/>
          <w:szCs w:val="28"/>
          <w:lang w:bidi="ar-SA"/>
        </w:rPr>
        <w:t>15</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تقوّم ما بين العيب والصحّة ، فيردّ على المبتاع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تقوّم وبها الداء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تقوّم وهي صحيحة ، وتقوّم وبها الداء ، ثمّ يردّ البائع على المبتاع 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حتّى يصير البيع للمشتري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حتّى يصير المبيع للمشتري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حتّى يصير المبيع 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حتّى يقبض المتاع ، ويخرجه من بيته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حتّى ينقضي الشرط ثلاثة أيّام ، ويصير المبيع للمشتري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الحدّ لا يورث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خذ منه بسعر يومه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الخراج بالضمان </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الربح بينهما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ردّ إلى الكتاب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سرقة المتاع من مال صاحبه حتّى يقبضه ، ويخرجه من بيته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شرّ المكاسب كسب الربا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شرط اللّه آكد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شرط اللّه قبل شرطكم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شرط اللّه قبل شرطكم ، إن شاء وفى بشرطه ، وإن شاء أمسك امرأته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الشرط جائز بين المسلمين ؛ ما لم يمنع منه كتاب أو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شرط له البائع أو لم يشترط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صاحب الحيوان بالخيار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صيرورة المبيع للمشتري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صيرورة المبيع له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على البائع حتّى ينقضي الشرط ثلاثة أيّام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البائع ضمانه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على اليد ما أخذت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على اليد ما أخذت حتّى تؤدّيه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على اليد ما جنت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على اليد ما قبضت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فأحدث فيه بعد ما قبضه شيئاً ، ثمّ علم بذلك العوار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فإنّ المسلمين عند شروطهم ، إلاّ شرطاً حرّم حلالاً ، أو أحلّ حراماً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فانههم عن بيع ما لم يقبض ، وعن شرطين في بيع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فضل ما بين الصحّة والعيب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فقضى علي علیه السلام أنّ على الرجل النفقة ، وبيده الجماع والطلاق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فلا تبعه حتّى تكيله أو تزنه </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فلا تفارقه حتّى تأخذ منه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فليتمّ للمرأة شرطها ؛ فإنّ رسول اللّه صلی الله علیه و 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فليس له إلاّ أقلّهما وإن كانت نظرة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فهو من مال البائع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فهو من مال بائعه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باع سلعة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ثمنها كذا وكذا يداً بيد </w:t>
      </w:r>
      <w:r>
        <w:rPr>
          <w:rFonts w:eastAsia="IRNazanin" w:cs="IRNazanin"/>
          <w:color w:val="111111"/>
          <w:sz w:val="28"/>
          <w:szCs w:val="28"/>
          <w:rtl w:val="true"/>
          <w:lang w:bidi="fa-IR"/>
        </w:rPr>
        <w:t xml:space="preserve">. .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 التي ليست بحبلى إذا وطأها صاحبها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قضاء اللّه أحقّ ، وشرطه أوثق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قضى أمير المؤمنين علیه السلام في امرأة تزوّجها رجل ، وشرط عليها </w:t>
      </w:r>
      <w:r>
        <w:rPr>
          <w:rFonts w:eastAsia="IRNazanin" w:cs="IRNazanin"/>
          <w:color w:val="111111"/>
          <w:sz w:val="28"/>
          <w:szCs w:val="28"/>
          <w:rtl w:val="true"/>
          <w:lang w:bidi="fa-IR"/>
        </w:rPr>
        <w:t xml:space="preserve">. . .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قضى أمير المؤمنين علیه السلام في رجل اشترى جارية فوطأها ، ثمّ وجد </w:t>
      </w:r>
      <w:r>
        <w:rPr>
          <w:rFonts w:eastAsia="IRNazanin" w:cs="IRNazanin"/>
          <w:color w:val="111111"/>
          <w:sz w:val="28"/>
          <w:szCs w:val="28"/>
          <w:rtl w:val="true"/>
          <w:lang w:bidi="fa-IR"/>
        </w:rPr>
        <w:t xml:space="preserve">. .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قضى علي علیه السلام في رجل تزوّج امرأة وأصدقها ، واشترطت </w:t>
      </w:r>
      <w:r>
        <w:rPr>
          <w:rFonts w:eastAsia="IRNazanin" w:cs="IRNazanin"/>
          <w:color w:val="111111"/>
          <w:sz w:val="28"/>
          <w:szCs w:val="28"/>
          <w:rtl w:val="true"/>
          <w:lang w:bidi="fa-IR"/>
        </w:rPr>
        <w:t xml:space="preserve">. . .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قيمة ما بين الصحّة والعيب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كان القضاء الأوّل أنّ الرجل إذا اشترى الأمة فوطأها ، ثمّ ظهر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204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القضاء الأوّل في الرجل إذا اشترى الأمة فوطأها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يضع له من ثمنها بقدر عيبها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كلّ شرط خالف كتاب اللّه فهو ردّ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كلّ شيء هو لك حلال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كلّ شيء هو لك حلال حتّى تعلم أ نّه حرام بعينه فتدعه من قبل نفسك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كلّ ما كان في أصل الخلقة ، فزاد أو نقص ، فهو عيب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كلّ مبيع تلف قبل قبضه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كلّ مبيع تلف قبل قبضه فهو من مال بائعه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لا أرى به بأساً ما لم يزد على رأس ماله شيئاً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لا أرى بهذا بأساً ، إن طابت نفس صاحب الجارية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لا بأس به ، إنّما له دراهمه ، يأخذ بها ما شاء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لا بأس بهذا، إن جاء بثمنها إلى سنة ردّها عليه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لا بيع إلاّ في ملك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لا تأخذ منه حتّى يبيعه ويعطيك </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لا تبعه حتّى تقبضه </w:t>
      </w:r>
      <w:r>
        <w:rPr>
          <w:rFonts w:eastAsia="IRNazanin" w:cs="IRNazanin"/>
          <w:color w:val="111111"/>
          <w:sz w:val="28"/>
          <w:szCs w:val="28"/>
          <w:lang w:bidi="fa-IR"/>
        </w:rPr>
        <w:t>608</w:t>
      </w:r>
    </w:p>
    <w:p>
      <w:pPr>
        <w:pStyle w:val="BookText"/>
        <w:rPr/>
      </w:pPr>
      <w:r>
        <w:rPr>
          <w:rFonts w:ascii="Amiri" w:hAnsi="Amiri" w:eastAsia="Amiri" w:cs="Amiri"/>
          <w:color w:val="111111"/>
          <w:sz w:val="28"/>
          <w:sz w:val="28"/>
          <w:szCs w:val="28"/>
          <w:rtl w:val="true"/>
          <w:lang w:bidi="ar-SA"/>
        </w:rPr>
        <w:t xml:space="preserve">لا تردّ التي ليست بحبلى إذا وطأها صاحبها ، وله أرش العيب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لا تشتره منه ؛ فإنّه لا خير فيه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لا ، حتّى يقبضها ، إلاّ أن يكون معه قوم يشاركهم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لا رهن إلاّ مقبوضاً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 xml:space="preserve">لا ضرر ولا ضرار </w:t>
      </w:r>
      <w:r>
        <w:rPr>
          <w:rFonts w:eastAsia="IRNazanin" w:cs="IRNazanin"/>
          <w:color w:val="111111"/>
          <w:sz w:val="28"/>
          <w:szCs w:val="28"/>
          <w:rtl w:val="true"/>
          <w:lang w:bidi="fa-IR"/>
        </w:rPr>
        <w:t xml:space="preserve">. . .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لا ضمان على المبتاع حتّى ينقضي الشرط ، ويصير المبيع له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لا عتق إلاّ في ملك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لا عتق ولا بيع إلاّ في ملك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لأنّ الأصل الذي يشتري به دراهم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549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الأصل الذي يشتري به دراهم ، فلا يصلح دراهم بدراهم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يبتاع رجل فضّة بذهب إلاّ يداً بيد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لا يعجبني أن يبيع كيلاً أو وزناً قبل أن يكيله أو يزنه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لعن اللّه بني اُميّة قاطبة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للمشتري ، ألا ترى أ نّه لو احترقت لكانت من ماله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اللمس ، والتقبيل ، والنظر إلى ما لا يحلّ النظر إليه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لو كان الربا حلالاً لترك الناس التجارات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لو كان لي عليه سلطان لأوجعت رأسه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أحلّها لك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له أرش العيب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ليس به بأس ، إنّما يشتريه منه بعد ما يملكه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ليس على الذي اشترى ضمان حتّى يمضي شرطه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ليس عليه كفّارة ، ولا طلاق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ليس لك أن تردّها ، ولك أن تأخذ قيمة ما بين الصحّة والعيب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ليس له أن يردّها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ليس متاعك ، ولا بقرك ، ولا غنمك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ليس هو متاعك ، ولا بقرك ، ولا غنمك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ما بال أقوام يشترطون شروطاً ليست في كتاب اللّه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ما بال القوم يشترطون شروطاً ليست في كتاب اللّه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ما ترك الميّت من حقّ فلوارثه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ما تركه الميّت فلوارثه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ما زاد على القبضة ففي النار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ما لم يكن كيل أو وزن ، فلا تبعه حتّى تكيله أو تزنه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مخالفة الشرط للكتاب وعدمها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المرأة تردّ من أربعة أشياء </w:t>
      </w:r>
      <w:r>
        <w:rPr>
          <w:rFonts w:eastAsia="Amiri" w:cs="Amiri" w:ascii="Amiri" w:hAnsi="Amiri"/>
          <w:color w:val="111111"/>
          <w:sz w:val="28"/>
          <w:szCs w:val="28"/>
          <w:lang w:bidi="ar-SA"/>
        </w:rPr>
        <w:t>58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المسلمون عند شروطهم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المسلمون عند شروطهم ، إلاّ شرطاً فيه معصية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المسلمون عند شروطهم، إلاّ كلّ شرط خالف كتاب اللّه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المسلمون عند شروطهم إلاّ كلّ شرط خالف كتاب اللّه عزّ وجلّ ، فلا يجوز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المسلمون عند شروطهم ، إلاّ من عصى اللّه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المسلمون عند شروطهم فيما وافق كتاب اللّه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معاذ اللّه أن يجعل لها أجراً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اشترط شرطاً سوى كتاب اللّه فلا يجوز ذلك له ، ولا عليه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اشترط شرطاً مخالفاً لكتاب اللّه ، فلا يجوز له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من شرط لامرأته شرطاً سوى كتاب اللّه تعالى ، لم يجز ذلك عليه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من شرط لامرأته شرطاً فليف به لها ؛ فإنّ المسلمين عند شروطهم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من شرط لامرأته شرطا فليف لها به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من شرط لامرأته شرطاً فليف لها به ؛ فإنّ المسلمين عند شروطهم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من قتل دون مظلمته فهو شهيد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من مال صاحب المتاع الذي هو في بيته ، حتّى يُقبض المتاع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 xml:space="preserve">المؤمنون عند شروطهم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المؤمنون عند قيودهم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الناس مسلّطون على أموالهم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 xml:space="preserve">نحن نبيع تمرنا ممّن نعلم أ نّه يصنعه خمراً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نهى النبي صلی الله علیه و آله وسلم عن الغرر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نهى النبي صلی الله علیه و آله وسلم عن بيع الغرر </w:t>
      </w:r>
      <w:r>
        <w:rPr>
          <w:rFonts w:eastAsia="IRNazanin" w:cs="IRNazanin"/>
          <w:color w:val="111111"/>
          <w:sz w:val="28"/>
          <w:szCs w:val="28"/>
          <w:lang w:bidi="fa-IR"/>
        </w:rPr>
        <w:t>304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رسول اللّه صلی الله علیه و آله وسلم عن بيعين في بيع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نهى صلی الله علیه و آله وسلم عن شرطين في بيع </w:t>
      </w:r>
      <w:r>
        <w:rPr>
          <w:rFonts w:eastAsia="IRNazanin" w:cs="IRNazanin"/>
          <w:color w:val="111111"/>
          <w:sz w:val="28"/>
          <w:szCs w:val="28"/>
          <w:lang w:bidi="fa-IR"/>
        </w:rPr>
        <w:t>517</w:t>
      </w:r>
    </w:p>
    <w:p>
      <w:pPr>
        <w:pStyle w:val="BookText"/>
        <w:rPr/>
      </w:pPr>
      <w:r>
        <w:rPr>
          <w:rFonts w:ascii="Amiri" w:hAnsi="Amiri" w:eastAsia="Amiri" w:cs="Amiri"/>
          <w:color w:val="111111"/>
          <w:sz w:val="28"/>
          <w:sz w:val="28"/>
          <w:szCs w:val="28"/>
          <w:rtl w:val="true"/>
          <w:lang w:bidi="ar-SA"/>
        </w:rPr>
        <w:t xml:space="preserve">وإذا افترقا وجب البيع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والأشياء كلّها على ذلك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وإن كان الثوب قد قطع أو خيط أو صبغ ، يرجع بنقصان العيب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وإن كان بينهما شرط أيّاماً معدودة ، فهلك في يد المشتري قبل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وجب البيع ، والثمن إذا لم يكونا اشترطا فهو نقد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وعلّة تحريم الربا بالنسيئة ، لعلّة ذهاب المعروف ، وتلف الأموال </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ساوم بثمنين ؛ أحدهما عاجلاً ، والآخر نظرةً </w:t>
      </w:r>
      <w:r>
        <w:rPr>
          <w:rFonts w:eastAsia="IRNazanin" w:cs="IRNazanin"/>
          <w:color w:val="111111"/>
          <w:sz w:val="28"/>
          <w:szCs w:val="28"/>
          <w:rtl w:val="true"/>
          <w:lang w:bidi="fa-IR"/>
        </w:rPr>
        <w:t xml:space="preserve">. . .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ولا بيع إلاّ في ملك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ولا عتق إلاّ في ملك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ولا يغرم الرجل إذا استأجر الدابّة ، ما لم يكن يكرهها ، أو يبغها غائلة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ولك أن تأخذ قيمة ما بين الصحّة والعيب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ولّى الأمر من ليس أهله ، وخالف السنّة ، ولم يجز النكاح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ولّى الأمر من ليس بأهله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وليس شيء عليك، ولا عليها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ونهى عن بيع ما لا يضمن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ونهى عن بيع ما لم يضمن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ويردّ بقدر ما نقص من ذلك الداء والعيب من ثمن ذلك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ويردّ عليه بقدر ما نقص من ذلك الداء والعيب من ثمن ذلك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ويردّ معها نصف عشر قيمتها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ويستحلّون حرامه بالشبهات الكاذبة ، والأهواء الساهية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ويصير المبيع للمشتري </w:t>
      </w:r>
      <w:r>
        <w:rPr>
          <w:rFonts w:eastAsia="Amiri" w:cs="Amiri" w:ascii="Amiri" w:hAnsi="Amiri"/>
          <w:color w:val="111111"/>
          <w:sz w:val="28"/>
          <w:szCs w:val="28"/>
          <w:lang w:bidi="ar-SA"/>
        </w:rPr>
        <w:t>469</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شرط فاسد ، لا يكون النكاح إلاّ على درهم أو درهمين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من الصدقة ، تعطي المسكين القبضة بعد القبضة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هنّ بمنزلة الإماء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هو بأقلّ الثمنين إلى أبعد الأجلين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يأخذ أرش العيب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يا علي ، إنّ القوم سيفتنون بأموالهم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يدفع إليه الورق ، ويقبض منه الدنانير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يرجع بقدر ما نقصها العيب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يرجع بقيمة العيب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يرجع بنقصان العيب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يردّ البائع على المبتاع فضل ما بين الصحّة والداء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يردّ بقدر ما نقصها العيب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يردّ عليه بقدر ما نقص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يردّ عليه بقيمة ما نقصها العيب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يردّ عليه فضل القيمة إذا علم أ نّه صادق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يردّ معها شيء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يردّها ويكسوها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يضع من ثمنها بقدر عيبها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إلاّ أقلّ الثمنين إلى الأجل الذي أجّله بنسيئة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يوضع عنها من ثمنها بقدر عيب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يوضع عنها من ثمنها بقدر عيب إن كان فيها </w:t>
      </w:r>
      <w:r>
        <w:rPr>
          <w:rFonts w:eastAsia="Amiri" w:cs="Amiri" w:ascii="Amiri" w:hAnsi="Amiri"/>
          <w:color w:val="111111"/>
          <w:sz w:val="28"/>
          <w:szCs w:val="28"/>
          <w:lang w:bidi="ar-SA"/>
        </w:rPr>
        <w:t>201</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يوضع عنه من ثمنها بقدر العيب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886" w:name="pg15222_162773"/>
    </w:p>
    <w:p>
      <w:pPr>
        <w:pStyle w:val="Heading3"/>
        <w:numPr>
          <w:ilvl w:val="2"/>
          <w:numId w:val="1"/>
        </w:numPr>
        <w:rPr/>
      </w:pPr>
      <w:bookmarkStart w:id="887" w:name="__RefHeading___Toc3332138_2142443653"/>
      <w:bookmarkStart w:id="888" w:name="_Toc318"/>
      <w:bookmarkEnd w:id="886"/>
      <w:bookmarkEnd w:id="887"/>
      <w:r>
        <w:rPr/>
        <w:t>3</w:t>
      </w:r>
      <w:r>
        <w:rPr>
          <w:rtl w:val="true"/>
        </w:rPr>
        <w:t xml:space="preserve">- </w:t>
      </w:r>
      <w:r>
        <w:rPr>
          <w:rtl w:val="true"/>
        </w:rPr>
        <w:t>فهرس أسماء المعصومين علیهم السلام</w:t>
      </w:r>
      <w:bookmarkEnd w:id="888"/>
    </w:p>
    <w:p>
      <w:pPr>
        <w:pStyle w:val="BookText"/>
        <w:rPr/>
      </w:pPr>
      <w:r>
        <w:rPr>
          <w:rFonts w:ascii="IRNazanin" w:hAnsi="IRNazanin" w:eastAsia="IRNazanin"/>
          <w:color w:val="111111"/>
          <w:sz w:val="28"/>
          <w:sz w:val="28"/>
          <w:szCs w:val="28"/>
          <w:rtl w:val="true"/>
          <w:lang w:bidi="fa-IR"/>
        </w:rPr>
        <w:t xml:space="preserve">النبي، محمّد،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علي،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علي بن الحسين علیه السلام ، الإمام الرابع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الصادقين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 الإمام</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العبد الصالح ،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 الإمام السابع</w:t>
      </w:r>
    </w:p>
    <w:p>
      <w:pPr>
        <w:pStyle w:val="BookText"/>
        <w:rPr/>
      </w:pPr>
      <w:r>
        <w:rPr>
          <w:rFonts w:ascii="IRNazanin" w:hAnsi="IRNazanin" w:eastAsia="IRNazanin"/>
          <w:color w:val="111111"/>
          <w:sz w:val="28"/>
          <w:sz w:val="28"/>
          <w:szCs w:val="28"/>
          <w:rtl w:val="true"/>
          <w:lang w:bidi="fa-IR"/>
        </w:rPr>
        <w:t xml:space="preserve">موسى بن جعفر علیه السلام ، الإمام السابع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الرضا ،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موسى علیه السلام ، الإمام الثامن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موسى علیه السلام ، الإمام الثامن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bookmarkStart w:id="889" w:name="pg15222_162775"/>
    </w:p>
    <w:p>
      <w:pPr>
        <w:pStyle w:val="Heading3"/>
        <w:numPr>
          <w:ilvl w:val="2"/>
          <w:numId w:val="1"/>
        </w:numPr>
        <w:rPr/>
      </w:pPr>
      <w:bookmarkStart w:id="890" w:name="__RefHeading___Toc3332140_2142443653"/>
      <w:bookmarkStart w:id="891" w:name="_Toc319"/>
      <w:bookmarkEnd w:id="889"/>
      <w:bookmarkEnd w:id="890"/>
      <w:r>
        <w:rPr/>
        <w:t>4</w:t>
      </w:r>
      <w:r>
        <w:rPr>
          <w:rtl w:val="true"/>
        </w:rPr>
        <w:t xml:space="preserve">- </w:t>
      </w:r>
      <w:r>
        <w:rPr>
          <w:rtl w:val="true"/>
        </w:rPr>
        <w:t>فهرس الأعلام</w:t>
      </w:r>
      <w:bookmarkEnd w:id="891"/>
    </w:p>
    <w:p>
      <w:pPr>
        <w:pStyle w:val="BookText"/>
        <w:rPr/>
      </w:pPr>
      <w:r>
        <w:rPr>
          <w:rFonts w:ascii="Amiri" w:hAnsi="Amiri" w:eastAsia="Amiri" w:cs="Amiri"/>
          <w:color w:val="111111"/>
          <w:sz w:val="28"/>
          <w:sz w:val="28"/>
          <w:szCs w:val="28"/>
          <w:rtl w:val="true"/>
          <w:lang w:bidi="ar-SA"/>
        </w:rPr>
        <w:t xml:space="preserve">الآخوند الخراساني، محمّد كاظم بن الحسين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إبراهيم بن محرز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ابن أبي جمهور، محمّد بن زين الدين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ابن أبي ليلى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ابن إدريس، محمّد بن أحمد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عمّار</w:t>
      </w:r>
    </w:p>
    <w:p>
      <w:pPr>
        <w:pStyle w:val="BookText"/>
        <w:rPr/>
      </w:pPr>
      <w:r>
        <w:rPr>
          <w:rFonts w:ascii="Amiri" w:hAnsi="Amiri" w:eastAsia="Amiri" w:cs="Amiri"/>
          <w:color w:val="111111"/>
          <w:sz w:val="28"/>
          <w:sz w:val="28"/>
          <w:szCs w:val="28"/>
          <w:rtl w:val="true"/>
          <w:lang w:bidi="ar-SA"/>
        </w:rPr>
        <w:t xml:space="preserve">ابن البرّاج، عبدالعزيز بن نحرير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ابن الجنيد الإسكافي، محمّد بن أحمد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IRNazanin" w:hAnsi="IRNazanin" w:eastAsia="IRNazanin"/>
          <w:color w:val="111111"/>
          <w:sz w:val="28"/>
          <w:sz w:val="28"/>
          <w:szCs w:val="28"/>
          <w:rtl w:val="true"/>
          <w:lang w:bidi="fa-IR"/>
        </w:rPr>
        <w:t>ابن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p>
    <w:p>
      <w:pPr>
        <w:pStyle w:val="BookText"/>
        <w:rPr/>
      </w:pPr>
      <w:r>
        <w:rPr>
          <w:rFonts w:ascii="Amiri" w:hAnsi="Amiri" w:eastAsia="Amiri" w:cs="Amiri"/>
          <w:color w:val="111111"/>
          <w:sz w:val="28"/>
          <w:sz w:val="28"/>
          <w:szCs w:val="28"/>
          <w:rtl w:val="true"/>
          <w:lang w:bidi="ar-SA"/>
        </w:rPr>
        <w:t xml:space="preserve">ابن حمزة، محمّد بن علي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رئاب</w:t>
      </w:r>
    </w:p>
    <w:p>
      <w:pPr>
        <w:pStyle w:val="BookText"/>
        <w:rPr/>
      </w:pPr>
      <w:r>
        <w:rPr>
          <w:rFonts w:ascii="Amiri" w:hAnsi="Amiri" w:eastAsia="Amiri" w:cs="Amiri"/>
          <w:color w:val="111111"/>
          <w:sz w:val="28"/>
          <w:sz w:val="28"/>
          <w:szCs w:val="28"/>
          <w:rtl w:val="true"/>
          <w:lang w:bidi="ar-SA"/>
        </w:rPr>
        <w:t>ابن رباط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رباط</w:t>
      </w:r>
    </w:p>
    <w:p>
      <w:pPr>
        <w:pStyle w:val="BookText"/>
        <w:rPr/>
      </w:pPr>
      <w:r>
        <w:rPr>
          <w:rFonts w:ascii="Amiri" w:hAnsi="Amiri" w:eastAsia="Amiri" w:cs="Amiri"/>
          <w:color w:val="111111"/>
          <w:sz w:val="28"/>
          <w:sz w:val="28"/>
          <w:szCs w:val="28"/>
          <w:rtl w:val="true"/>
          <w:lang w:bidi="ar-SA"/>
        </w:rPr>
        <w:t xml:space="preserve">ابن زهرة، حمزة بن علي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p>
    <w:p>
      <w:pPr>
        <w:pStyle w:val="BookText"/>
        <w:rPr/>
      </w:pPr>
      <w:r>
        <w:rPr>
          <w:rFonts w:ascii="Amiri" w:hAnsi="Amiri" w:eastAsia="Amiri" w:cs="Amiri"/>
          <w:color w:val="111111"/>
          <w:sz w:val="28"/>
          <w:sz w:val="28"/>
          <w:szCs w:val="28"/>
          <w:rtl w:val="true"/>
          <w:lang w:bidi="ar-SA"/>
        </w:rPr>
        <w:t xml:space="preserve">ابن عبّاس، عبداللّه بن عبّاس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أبو الربيع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أبو حنيفة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أبو عبيدة الحذّاء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الأردبيلي، أحمد بن محمّد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الإسكافي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الجنيد الإسكافي، محمّد بن أحمد</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الأصفهاني، محمّد حسين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 xml:space="preserve">الأنصاري، مرتضى بن محمّد أمين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البحراني، يوسف بن أحمد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بريرة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البروجردي، حسين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بشّار بن يسار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الأجلّة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 محمّد بن مكّي</w:t>
      </w:r>
    </w:p>
    <w:p>
      <w:pPr>
        <w:pStyle w:val="BookText"/>
        <w:rPr/>
      </w:pPr>
      <w:r>
        <w:rPr>
          <w:rFonts w:ascii="Amiri" w:hAnsi="Amiri" w:eastAsia="Amiri" w:cs="Amiri"/>
          <w:color w:val="111111"/>
          <w:sz w:val="28"/>
          <w:sz w:val="28"/>
          <w:szCs w:val="28"/>
          <w:rtl w:val="true"/>
          <w:lang w:bidi="ar-SA"/>
        </w:rPr>
        <w:t>بعض الأعاظم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النائيني، محمّد حسين</w:t>
      </w:r>
    </w:p>
    <w:p>
      <w:pPr>
        <w:pStyle w:val="BookText"/>
        <w:rPr/>
      </w:pPr>
      <w:r>
        <w:rPr>
          <w:rFonts w:ascii="Amiri" w:hAnsi="Amiri" w:eastAsia="Amiri" w:cs="Amiri"/>
          <w:color w:val="111111"/>
          <w:sz w:val="28"/>
          <w:sz w:val="28"/>
          <w:szCs w:val="28"/>
          <w:rtl w:val="true"/>
          <w:lang w:bidi="ar-SA"/>
        </w:rPr>
        <w:t>بعض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البروجردي، حسين</w:t>
      </w:r>
    </w:p>
    <w:p>
      <w:pPr>
        <w:pStyle w:val="BookText"/>
        <w:rPr/>
      </w:pPr>
      <w:r>
        <w:rPr>
          <w:rFonts w:ascii="Amiri" w:hAnsi="Amiri" w:eastAsia="Amiri" w:cs="Amiri"/>
          <w:color w:val="111111"/>
          <w:sz w:val="28"/>
          <w:sz w:val="28"/>
          <w:szCs w:val="28"/>
          <w:rtl w:val="true"/>
          <w:lang w:bidi="ar-SA"/>
        </w:rPr>
        <w:t>بعض السادة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بعض المحشّين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أهل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Amiri" w:hAnsi="Amiri" w:eastAsia="Amiri" w:cs="Amiri"/>
          <w:color w:val="111111"/>
          <w:sz w:val="28"/>
          <w:sz w:val="28"/>
          <w:szCs w:val="28"/>
          <w:rtl w:val="true"/>
          <w:lang w:bidi="ar-SA"/>
        </w:rPr>
        <w:t>بعض أهل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 محمّد حسين</w:t>
      </w:r>
    </w:p>
    <w:p>
      <w:pPr>
        <w:pStyle w:val="BookText"/>
        <w:rPr/>
      </w:pPr>
      <w:r>
        <w:rPr>
          <w:rFonts w:ascii="IRNazanin" w:hAnsi="IRNazanin" w:eastAsia="IRNazanin"/>
          <w:color w:val="111111"/>
          <w:sz w:val="28"/>
          <w:sz w:val="28"/>
          <w:szCs w:val="28"/>
          <w:rtl w:val="true"/>
          <w:lang w:bidi="fa-IR"/>
        </w:rPr>
        <w:t xml:space="preserve">بنت حمران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جعفر بن عيسى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بن درّاج</w:t>
      </w:r>
    </w:p>
    <w:p>
      <w:pPr>
        <w:pStyle w:val="BookText"/>
        <w:rPr/>
      </w:pPr>
      <w:r>
        <w:rPr>
          <w:rFonts w:ascii="Amiri" w:hAnsi="Amiri" w:eastAsia="Amiri" w:cs="Amiri"/>
          <w:color w:val="111111"/>
          <w:sz w:val="28"/>
          <w:sz w:val="28"/>
          <w:szCs w:val="28"/>
          <w:rtl w:val="true"/>
          <w:lang w:bidi="ar-SA"/>
        </w:rPr>
        <w:t xml:space="preserve">جميل بن درّاج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الحائري، عبدالكريم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الحسين بن المنذر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الحلبي، عبيداللّه بن علي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إدريس، محمّد بن أحمد </w:t>
      </w:r>
    </w:p>
    <w:p>
      <w:p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حمّادة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الحميري، أبو العبّاس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 عبداللّه بن جعفر</w:t>
      </w:r>
    </w:p>
    <w:p>
      <w:pPr>
        <w:pStyle w:val="BookText"/>
        <w:rPr/>
      </w:pPr>
      <w:r>
        <w:rPr>
          <w:rFonts w:ascii="Amiri" w:hAnsi="Amiri" w:eastAsia="Amiri" w:cs="Amiri"/>
          <w:color w:val="111111"/>
          <w:sz w:val="28"/>
          <w:sz w:val="28"/>
          <w:szCs w:val="28"/>
          <w:rtl w:val="true"/>
          <w:lang w:bidi="ar-SA"/>
        </w:rPr>
        <w:t xml:space="preserve">الحميري، عبداللّه بن جعفر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خالد بن الحجّاج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الخراساني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الخراساني، محمّد كاظم بن الحسين</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الراغب الأصفهاني، الحسين بن محمّد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رفاعة بن موسى النخّاس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النخّاس، رفاعة بن موسى</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الساباطي، عمّار بن موسى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السكوني، إسماعيل بن أبي زياد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609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السيّد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الشافعي، محمّد بن إدريس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الشهيد الأوّل، محمّد بن مكّي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الشهيد الثاني، زين الدين بن علي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الشيباني، يونس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مرتضى بن محمّد أمين</w:t>
      </w:r>
    </w:p>
    <w:p>
      <w:pPr>
        <w:pStyle w:val="BookText"/>
        <w:rPr/>
      </w:pP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محمّد بن الحسن</w:t>
      </w:r>
    </w:p>
    <w:p>
      <w:pPr>
        <w:pStyle w:val="BookText"/>
        <w:rPr/>
      </w:pPr>
      <w:r>
        <w:rPr>
          <w:rFonts w:ascii="Amiri" w:hAnsi="Amiri" w:eastAsia="Amiri" w:cs="Amiri"/>
          <w:color w:val="111111"/>
          <w:sz w:val="28"/>
          <w:sz w:val="28"/>
          <w:szCs w:val="28"/>
          <w:rtl w:val="true"/>
          <w:lang w:bidi="ar-SA"/>
        </w:rPr>
        <w:t>شيخنا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صاحب 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يوسف بن أحمد</w:t>
      </w:r>
    </w:p>
    <w:p>
      <w:pPr>
        <w:pStyle w:val="BookText"/>
        <w:rPr/>
      </w:pPr>
      <w:r>
        <w:rPr>
          <w:rFonts w:ascii="Amiri" w:hAnsi="Amiri" w:eastAsia="Amiri" w:cs="Amiri"/>
          <w:color w:val="111111"/>
          <w:sz w:val="28"/>
          <w:sz w:val="28"/>
          <w:szCs w:val="28"/>
          <w:rtl w:val="true"/>
          <w:lang w:bidi="ar-SA"/>
        </w:rPr>
        <w:t>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السبزواري، محمّد باقر بن محمّد مؤمن</w:t>
      </w:r>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الكناسي، ضريس</w:t>
      </w:r>
    </w:p>
    <w:p>
      <w:pPr>
        <w:pStyle w:val="BookText"/>
        <w:rPr/>
      </w:pPr>
      <w:r>
        <w:rPr>
          <w:rFonts w:ascii="Amiri" w:hAnsi="Amiri" w:eastAsia="Amiri" w:cs="Amiri"/>
          <w:color w:val="111111"/>
          <w:sz w:val="28"/>
          <w:sz w:val="28"/>
          <w:szCs w:val="28"/>
          <w:rtl w:val="true"/>
          <w:lang w:bidi="ar-SA"/>
        </w:rPr>
        <w:t>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اليزدي، محمّد كاظم بن عبدالعظيم</w:t>
      </w:r>
    </w:p>
    <w:p>
      <w:pPr>
        <w:pStyle w:val="BookText"/>
        <w:rPr/>
      </w:pPr>
      <w:r>
        <w:rPr>
          <w:rFonts w:ascii="Amiri" w:hAnsi="Amiri" w:eastAsia="Amiri" w:cs="Amiri"/>
          <w:color w:val="111111"/>
          <w:sz w:val="28"/>
          <w:sz w:val="28"/>
          <w:szCs w:val="28"/>
          <w:rtl w:val="true"/>
          <w:lang w:bidi="ar-SA"/>
        </w:rPr>
        <w:t xml:space="preserve">الطبرسي، فضل بن الحسن </w:t>
      </w:r>
      <w:r>
        <w:rPr>
          <w:rFonts w:eastAsia="Amiri" w:cs="Amiri" w:ascii="Amiri" w:hAnsi="Amiri"/>
          <w:color w:val="111111"/>
          <w:sz w:val="28"/>
          <w:szCs w:val="28"/>
          <w:lang w:bidi="ar-SA"/>
        </w:rPr>
        <w:t>403</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طلحة بن زيد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الطوسي، محمّد بن الحسن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عائشة بنت أبي بكر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عبدالرحمان بن أبي عبداللّه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عبدالصمد بن بشير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عبداللّه بن جعفر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عبدالملك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عبدالملك بن عتبة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عبيد بن زرارة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العلاّمة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عبدالكريم</w:t>
      </w:r>
    </w:p>
    <w:p>
      <w:pPr>
        <w:pStyle w:val="BookText"/>
        <w:rPr/>
      </w:pPr>
      <w:r>
        <w:rPr>
          <w:rFonts w:ascii="Amiri" w:hAnsi="Amiri" w:eastAsia="Amiri" w:cs="Amiri"/>
          <w:color w:val="111111"/>
          <w:sz w:val="28"/>
          <w:sz w:val="28"/>
          <w:szCs w:val="28"/>
          <w:rtl w:val="true"/>
          <w:lang w:bidi="ar-SA"/>
        </w:rPr>
        <w:t xml:space="preserve">العلاّمة الحلّي، الحسن بن يوسف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علي بن جعفر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عمر بن يزيد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العيّاشي، محمّد بن مسعود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غياث بن إبراهيم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فخر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المحقّقين، محمّد بن الحسن</w:t>
      </w:r>
    </w:p>
    <w:p>
      <w:pPr>
        <w:pStyle w:val="BookText"/>
        <w:rPr/>
      </w:pPr>
      <w:r>
        <w:rPr>
          <w:rFonts w:ascii="Amiri" w:hAnsi="Amiri" w:eastAsia="Amiri" w:cs="Amiri"/>
          <w:color w:val="111111"/>
          <w:sz w:val="28"/>
          <w:sz w:val="28"/>
          <w:szCs w:val="28"/>
          <w:rtl w:val="true"/>
          <w:lang w:bidi="ar-SA"/>
        </w:rPr>
        <w:t xml:space="preserve">فخر المحقّقين، محمّد بن الحسن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الكناسي، ضريس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المحقّق الحلّي، جعفر بن الحسن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محمّد بن إسحاق بن عمّار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محمّد بن القاسم الحنّاط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مروان بن مسلم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مسعدة بن صدقة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معاوية بن ميسرة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p>
    <w:p>
      <w:pPr>
        <w:pStyle w:val="BookText"/>
        <w:rPr/>
      </w:pPr>
      <w:r>
        <w:rPr>
          <w:rFonts w:ascii="Amiri" w:hAnsi="Amiri" w:eastAsia="Amiri" w:cs="Amiri"/>
          <w:color w:val="111111"/>
          <w:sz w:val="28"/>
          <w:sz w:val="28"/>
          <w:szCs w:val="28"/>
          <w:rtl w:val="true"/>
          <w:lang w:bidi="ar-SA"/>
        </w:rPr>
        <w:t xml:space="preserve">منصور بن يونس بزرج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النائيني، محمّد حسين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النخّاس، رفاعة بن موسى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اليزدي، محمّد كاظم بن عبدالعظيم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يعقوب بن شعيب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يونس الشيباني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الشيباني، يونس</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عبدالرحمان</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عبدالرحمان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2" w:name="pg15222_162781"/>
      <w:bookmarkStart w:id="893" w:name="pg15222_162781"/>
      <w:bookmarkEnd w:id="893"/>
    </w:p>
    <w:p>
      <w:pPr>
        <w:pStyle w:val="Heading3"/>
        <w:numPr>
          <w:ilvl w:val="2"/>
          <w:numId w:val="1"/>
        </w:numPr>
        <w:rPr/>
      </w:pPr>
      <w:bookmarkStart w:id="894" w:name="pg15222_162781"/>
      <w:bookmarkStart w:id="895" w:name="__RefHeading___Toc3332142_2142443653"/>
      <w:bookmarkStart w:id="896" w:name="_Toc320"/>
      <w:bookmarkEnd w:id="894"/>
      <w:bookmarkEnd w:id="895"/>
      <w:r>
        <w:rPr/>
        <w:t>5</w:t>
      </w:r>
      <w:r>
        <w:rPr>
          <w:rtl w:val="true"/>
        </w:rPr>
        <w:t xml:space="preserve">- </w:t>
      </w:r>
      <w:r>
        <w:rPr>
          <w:rtl w:val="true"/>
        </w:rPr>
        <w:t>فهرس الكتب الواردة في المتن</w:t>
      </w:r>
      <w:bookmarkEnd w:id="896"/>
    </w:p>
    <w:p>
      <w:pPr>
        <w:pStyle w:val="BookText"/>
        <w:rPr/>
      </w:pP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الفوائد</w:t>
      </w:r>
    </w:p>
    <w:p>
      <w:pPr>
        <w:pStyle w:val="BookText"/>
        <w:rPr/>
      </w:pPr>
      <w:r>
        <w:rPr>
          <w:rFonts w:ascii="Amiri" w:hAnsi="Amiri" w:eastAsia="Amiri" w:cs="Amiri"/>
          <w:color w:val="111111"/>
          <w:sz w:val="28"/>
          <w:sz w:val="28"/>
          <w:szCs w:val="28"/>
          <w:rtl w:val="true"/>
          <w:lang w:bidi="ar-SA"/>
        </w:rPr>
        <w:t xml:space="preserve">إيضاح الفوائد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p>
    <w:p>
      <w:pPr>
        <w:pStyle w:val="BookText"/>
        <w:rPr/>
      </w:pP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تعليقة السيّد الطباطبائي على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 للمحقّق اليزدي</w:t>
      </w:r>
    </w:p>
    <w:p>
      <w:pPr>
        <w:pStyle w:val="BookText"/>
        <w:rPr/>
      </w:pPr>
      <w:r>
        <w:rPr>
          <w:rFonts w:ascii="Amiri" w:hAnsi="Amiri" w:eastAsia="Amiri" w:cs="Amiri"/>
          <w:color w:val="111111"/>
          <w:sz w:val="28"/>
          <w:sz w:val="28"/>
          <w:szCs w:val="28"/>
          <w:rtl w:val="true"/>
          <w:lang w:bidi="ar-SA"/>
        </w:rPr>
        <w:t>تعليقة المحقّق الخراساني على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المكاسب للمحقّق الخراساني</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تقريرات بعض الأعاظم على المكاسب منية الطالب</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جامع المقاصد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p>
    <w:p>
      <w:pPr>
        <w:pStyle w:val="BookText"/>
        <w:rPr/>
      </w:pP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حاشية المكاسب للمحقّق الخراساني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حاشية المكاسب للمحقّق اليزدي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IRNazanin" w:hAnsi="IRNazanin" w:eastAsia="IRNazanin"/>
          <w:color w:val="111111"/>
          <w:sz w:val="28"/>
          <w:sz w:val="28"/>
          <w:szCs w:val="28"/>
          <w:rtl w:val="true"/>
          <w:lang w:bidi="fa-IR"/>
        </w:rPr>
        <w:t xml:space="preserve">الخلاف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الاستصحاب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لا ضرر للإمام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p>
    <w:p>
      <w:pPr>
        <w:pStyle w:val="BookText"/>
        <w:rPr/>
      </w:pP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شرح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ملاذ الأخيار</w:t>
      </w:r>
    </w:p>
    <w:p>
      <w:pPr>
        <w:pStyle w:val="BookText"/>
        <w:rPr/>
      </w:pPr>
      <w:r>
        <w:rPr>
          <w:rFonts w:ascii="Amiri" w:hAnsi="Amiri" w:eastAsia="Amiri" w:cs="Amiri"/>
          <w:color w:val="111111"/>
          <w:sz w:val="28"/>
          <w:sz w:val="28"/>
          <w:szCs w:val="28"/>
          <w:rtl w:val="true"/>
          <w:lang w:bidi="ar-SA"/>
        </w:rPr>
        <w:t>الغنية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p>
    <w:p>
      <w:pPr>
        <w:pStyle w:val="BookText"/>
        <w:rPr/>
      </w:pP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الفقه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المنسوب للإمام</w:t>
      </w:r>
    </w:p>
    <w:p>
      <w:pPr>
        <w:pStyle w:val="BookText"/>
        <w:rPr/>
      </w:pPr>
      <w:r>
        <w:rPr>
          <w:rFonts w:ascii="IRNazanin" w:hAnsi="IRNazanin" w:eastAsia="IRNazanin"/>
          <w:color w:val="111111"/>
          <w:sz w:val="28"/>
          <w:sz w:val="28"/>
          <w:szCs w:val="28"/>
          <w:rtl w:val="true"/>
          <w:lang w:bidi="fa-IR"/>
        </w:rPr>
        <w:t>الرضا علیه السلام</w:t>
      </w:r>
    </w:p>
    <w:p>
      <w:pPr>
        <w:pStyle w:val="BookText"/>
        <w:rPr/>
      </w:pP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p>
    <w:p>
      <w:pPr>
        <w:pStyle w:val="BookText"/>
        <w:rPr/>
      </w:pPr>
      <w:r>
        <w:rPr>
          <w:rFonts w:ascii="Amiri" w:hAnsi="Amiri" w:eastAsia="Amiri" w:cs="Amiri"/>
          <w:color w:val="111111"/>
          <w:sz w:val="28"/>
          <w:sz w:val="28"/>
          <w:szCs w:val="28"/>
          <w:rtl w:val="true"/>
          <w:lang w:bidi="ar-SA"/>
        </w:rPr>
        <w:t xml:space="preserve">الفهرست للشيخ الطوسي </w:t>
      </w:r>
      <w:r>
        <w:rPr>
          <w:rFonts w:eastAsia="Amiri" w:cs="Amiri" w:ascii="Amiri" w:hAnsi="Amiri"/>
          <w:color w:val="111111"/>
          <w:sz w:val="28"/>
          <w:szCs w:val="28"/>
          <w:lang w:bidi="ar-SA"/>
        </w:rPr>
        <w:t>403</w:t>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p>
    <w:p>
      <w:pPr>
        <w:pStyle w:val="BookText"/>
        <w:rPr/>
      </w:pP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كتاب الشيخ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p>
    <w:p>
      <w:pPr>
        <w:pStyle w:val="BookText"/>
        <w:rPr/>
      </w:pPr>
      <w:r>
        <w:rPr>
          <w:rFonts w:ascii="Amiri" w:hAnsi="Amiri" w:eastAsia="Amiri" w:cs="Amiri"/>
          <w:color w:val="111111"/>
          <w:sz w:val="28"/>
          <w:sz w:val="28"/>
          <w:szCs w:val="28"/>
          <w:rtl w:val="true"/>
          <w:lang w:bidi="ar-SA"/>
        </w:rPr>
        <w:t>للشيخ الأنصاري</w:t>
      </w:r>
    </w:p>
    <w:p>
      <w:pPr>
        <w:pStyle w:val="BookText"/>
        <w:rPr/>
      </w:pP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الفقه</w:t>
      </w:r>
    </w:p>
    <w:p>
      <w:pPr>
        <w:pStyle w:val="BookText"/>
        <w:rPr/>
      </w:pP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p>
    <w:p>
      <w:pPr>
        <w:pStyle w:val="BookText"/>
        <w:rPr/>
      </w:pP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مفتاح الكرامة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ألفاظ القرآن</w:t>
      </w:r>
    </w:p>
    <w:p>
      <w:pPr>
        <w:pStyle w:val="BookText"/>
        <w:rPr/>
      </w:pPr>
      <w:r>
        <w:rPr>
          <w:rFonts w:ascii="IRNazanin" w:hAnsi="IRNazanin" w:eastAsia="IRNazanin"/>
          <w:color w:val="111111"/>
          <w:sz w:val="28"/>
          <w:sz w:val="28"/>
          <w:szCs w:val="28"/>
          <w:rtl w:val="true"/>
          <w:lang w:bidi="fa-IR"/>
        </w:rPr>
        <w:t xml:space="preserve">مفردات ألفاظ القرآن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 xml:space="preserve">المكاسب للشيخ الأنصاري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ملاذ الأخيار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المنجد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منية الطالب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الناصريات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مجرّد الفقه</w:t>
      </w:r>
    </w:p>
    <w:p>
      <w:pPr>
        <w:pStyle w:val="BookText"/>
        <w:rPr/>
      </w:pPr>
      <w:r>
        <w:rPr>
          <w:rFonts w:ascii="IRNazanin" w:hAnsi="IRNazanin" w:eastAsia="IRNazanin"/>
          <w:color w:val="111111"/>
          <w:sz w:val="28"/>
          <w:sz w:val="28"/>
          <w:szCs w:val="28"/>
          <w:rtl w:val="true"/>
          <w:lang w:bidi="fa-IR"/>
        </w:rPr>
        <w:t>والفتاوى</w:t>
      </w:r>
    </w:p>
    <w:p>
      <w:pPr>
        <w:pStyle w:val="BookText"/>
        <w:rPr/>
      </w:pP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bookmarkStart w:id="897" w:name="pg15222_162783"/>
    </w:p>
    <w:p>
      <w:pPr>
        <w:pStyle w:val="Heading3"/>
        <w:numPr>
          <w:ilvl w:val="2"/>
          <w:numId w:val="1"/>
        </w:numPr>
        <w:rPr/>
      </w:pPr>
      <w:bookmarkStart w:id="898" w:name="__RefHeading___Toc3332144_2142443653"/>
      <w:bookmarkStart w:id="899" w:name="_Toc321"/>
      <w:bookmarkEnd w:id="897"/>
      <w:bookmarkEnd w:id="898"/>
      <w:r>
        <w:rPr/>
        <w:t>6</w:t>
      </w:r>
      <w:r>
        <w:rPr>
          <w:rtl w:val="true"/>
        </w:rPr>
        <w:t xml:space="preserve">- </w:t>
      </w:r>
      <w:r>
        <w:rPr>
          <w:rtl w:val="true"/>
        </w:rPr>
        <w:t>فهرس مصادر التحقيق</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أبو القاسم الموسوي الخوئي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مؤسّسة صاحب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مطبعة ستارة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الاستصحاب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الخوري الشرتوني اللبناني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آية اللّه المرعشي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الهداية في التعليقة على الكفاية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الفوائد في شرح إشكالات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بن الحسن بن يوسف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عدّة من العلماء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المطبعة العلمية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بدائع الدرر في قاعدة نفي الضرر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الطالب في 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الجيلاني الإشكوري ، الطبعة الحجرية ، طهران ، دار الطباعة ،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تحرير الأحكام الشرعية على مذهب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الحلّي جمال الدين الحسن بن يوسف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الإمام الصادق علیه السلام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الدين الحسن بن يوسف بن المطهّر ، العلاّمة الحلّي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صدر منه حتّى الآن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والترجيح،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التقوي الاشتهاردي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تنظيم ونشر آثار الإمام الخميني قدّس سرّه ، الطبعة الاُولى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عبداللّه بن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بالاُفست عن طبعة النجف الأشرف ، المطبعة المرتضوية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تقريرات الإمام الخميني قدّس 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جعفر السبحاني التبريزي ، تحقيق مؤسّسة تنظيم ونشر آثار الإمام الخميني قدّس سرّه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تنظيم ونشر آثار الإمام الخميني قدّس سرّه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 الذي اُ لّف تحت إشراف آية اللّه العظمى الحاج آقا حسين الطباطبائي البروجردي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إسماعيل المعزّي الملايري ، الطبعة الثانيه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مطبعة مهر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المقاصد في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الثاني علي بن الحسين بن عبدالعالي الكركي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الدين يحيى بن أحمد بن سعيد الحلّي الهذلي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جمع من الفضلاء ، قم ، مؤسّسة سيّد 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في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حسن بن باقر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عبّاس القوچاني ، الطبعة الثالثة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طهران ، دار الكتب الإسلامية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1329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تصحيح السيّد مهديّ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 طهران ، وزارة الثقافة الإسلامية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علي الإيرواني الغروي ، تحقيق باقر الفخّار الأصفهاني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ذوي القربى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الغروي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ذوي القربى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عبّاس محمّد آل سباع القطيفي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المصطفى لإحياء التراث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في أحكام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الإيرواني ، الطبعة الاُولى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قم ، مكتبة المصطفوي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جماعة من المحقّقين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الحائري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الأراكي ، الطبعة الاُولى ، قم ، المطبعة مهر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الكريم الحائري اليزدي ، تعليق آية اللّه الشيخ محمّد علي الأراكي والمؤلّف ، تحقيق الشيخ محمّد المؤمن القمّي ، الطبعة الخامسة ، جزءان في مجلّد واحد ، قم ، مؤسّسة النشر الإسلامي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في الحاشية على الفرائد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محمّد كاظم الهروي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شمس الدين ، الطبعة الاُولى ، طهران ، مؤسّسة الطبع والنشر التابعة لوزارة الثقافة والإرشاد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القاضي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آصف بن علي أصغر فيضي ، مجلّدان ، القاهرة ، دار المعارف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جواد القيّومي الأصفهاني ، الطبعة الاُولى ، قم ، مؤسّسة النشر الإسلامي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أحمد بن علي بن أحمد بن العبّاس النجاشي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موسى الشبيري الزنجاني ، الطبعة الاُولى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الصلاة في المشكوك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محمّد حسين الغروي النائيني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جعفر الغروي النائيني ، الطبعة الاُولى ، قم ، مؤسّسة آل البيت علیهم السلام لإحياء التراث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بن أحمد </w:t>
      </w:r>
    </w:p>
    <w:p>
      <w:pPr>
        <w:pStyle w:val="BookText"/>
        <w:rPr/>
      </w:pPr>
      <w:r>
        <w:rPr>
          <w:rFonts w:ascii="Amiri" w:hAnsi="Amiri" w:eastAsia="Amiri" w:cs="Amiri"/>
          <w:color w:val="111111"/>
          <w:sz w:val="28"/>
          <w:sz w:val="28"/>
          <w:szCs w:val="28"/>
          <w:rtl w:val="true"/>
          <w:lang w:bidi="ar-SA"/>
        </w:rPr>
        <w:t xml:space="preserve">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المسائل في بيان أحكام الشرع بالدلائل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محمّد علي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الحسين بن علي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يوسف عبد الرحمن المرعشلي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الفهرس ، بيروت ، دار المعرفة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نجم الدين جعفر بن الحسن ابن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الحسين محمّد علي بقّال ، الطبعة الثالثة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مجلّدين ، قم ، مؤسّسة إسماعيليان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 تعليق وتحقيق حسن حسن‌زاده الآملي ومسعود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نشر ناب ،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أحمد عبد الغفور عطّار ، الطبعة الرابعة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العلم للملايين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مسلم بن الحجّاج القشيري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تحقيق وتعليق الدكتور موسى شاهين لاشين والدكتور أحمد عمر هاشم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مؤسّسة عزّ الدين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محمّد مهديّ نجف ، الطبعة الاُولى ، مشهد ، المؤتمر العالمي للإمام الرضا علیه السلام ، مؤسّسة طبع ونشر الآستانة الرضوية المقدّسة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الطهارة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العدّة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رضا الأنصاري القمّي ، الطبعة الاُولى ، مجلّدان ، قم ، مطبعة ستارة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كاظم الطباطبائي اليزدي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تعليقات عدّة من الفقهاء العظام ، إعداد أحمد المحسني السبزواري ، الطبعة الثانية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عوائد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أحمد بن محمّد مهديّ بن أبي ذرّ النراقي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قم ، مكتب الإعلام الإسلامي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الآمال في 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w:t>
      </w:r>
    </w:p>
    <w:p>
      <w:pPr>
        <w:pStyle w:val="BookText"/>
        <w:rPr/>
      </w:pPr>
      <w:r>
        <w:rPr>
          <w:rFonts w:ascii="IRNazanin" w:hAnsi="IRNazanin" w:eastAsia="IRNazanin"/>
          <w:color w:val="111111"/>
          <w:sz w:val="28"/>
          <w:sz w:val="28"/>
          <w:szCs w:val="28"/>
          <w:rtl w:val="true"/>
          <w:lang w:bidi="fa-IR"/>
        </w:rPr>
        <w:t xml:space="preserve">نهاية المقال في تكملة غاية الآمال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عبداللّه المامقانى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محمّد أمين المامقاني ، الطبعة الاُولى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مطبعة ثامن الحجج علیهم السلام ،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رضا المختاري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قم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غنية النزوع إلى علمي الاُصول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المكارم السيّد حمزة بن علي بن زهرة الحلبي المعروف بابن زهرة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إبراهيم البهادري ، الطبعة الاُولى ، قم ، مؤسّسة الإمام الصادق علیه السلام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شرح الوجيز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مجمع الفكر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الفقه المنسوب للإمام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مشهد المقدّس ، المؤتمر العالمي للإمام الرضا علیه السلام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الكاظمي الخراساني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والقابوس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طاهر مجد الدين محمّد بن يعقوب الفيروزآبادي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الجيل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عبداللّه بن جعفر الحميري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الحسن بن يوسف بن علي بن المطهّر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القواعد والفوائد في الفقه والاُصول والعربية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مكّي العاملي المعروف بالشهيد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الهادي الحكيم ، الطبعة الثانية ، مجلّدان ، قم ، مكتبة المفيد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قوانين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ميرزا أبو القاسم القمّي بن المولى محمّد حسين الجيلاني المعروف بالميرزا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مجلّدان ، الطبعة الحجرية ، المجلّد الأوّل ،</w:t>
      </w:r>
    </w:p>
    <w:p>
      <w:pPr>
        <w:pStyle w:val="BookText"/>
        <w:rPr/>
      </w:pPr>
      <w:r>
        <w:rPr>
          <w:rFonts w:ascii="Amiri" w:hAnsi="Amiri" w:eastAsia="Amiri" w:cs="Amiri"/>
          <w:color w:val="111111"/>
          <w:sz w:val="28"/>
          <w:sz w:val="28"/>
          <w:szCs w:val="28"/>
          <w:rtl w:val="true"/>
          <w:lang w:bidi="ar-SA"/>
        </w:rPr>
        <w:t xml:space="preserve">طهران ، المكتبة العلمية الإسلامية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والمجلّد الثاني ، طهران ، المستنسخة سنة</w:t>
      </w:r>
    </w:p>
    <w:p>
      <w:pPr>
        <w:pStyle w:val="BookText"/>
        <w:rPr/>
      </w:pP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في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 الدين بن نجم أبو الصلاح الحلبي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رضا الاُستادي ، أصفهان ، مكتبة الإمام أمير المؤمنين علیه السلام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 الشيخ جواد القيّومي ، الطبعة الاُولى ، قم ، 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الآخوند الخراساني المولى محمّد كاظم بن حسين الهروي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قم ، مؤسّسة النشر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الفقه المشتهر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الأحكام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باقر بن محمّد مؤمن الشريف الخراساني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مرتضى الواعظي الأراكي ، الطبعة الاُولى ، مجلّدان ، قم ، مؤسّسة النشر الإسلامي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جمال الدين محمّد بن مكرم بن منظور المصري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إحياء التراث العربي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لمحات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محمّد تقيّ الكشفي ، الطبعة الثانية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 المكتبة المرتضوية لإحياء الآثار الجعفرية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ومطلع النيّرين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ومكتبة الهلال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الفائدة والبرهان في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المعروف بالمقدّس الأردبيلي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مجتبى العراقي وعلي پناه الاشتهاردي وحسين اليزدي ، الطبعة الاُولى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النشر الإسلامي ، </w:t>
      </w:r>
      <w:r>
        <w:rPr>
          <w:rFonts w:eastAsia="IRNazanin" w:cs="IRNazanin"/>
          <w:color w:val="111111"/>
          <w:sz w:val="28"/>
          <w:szCs w:val="28"/>
          <w:lang w:bidi="fa-IR"/>
        </w:rPr>
        <w:t>1402</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فتح العزيز ويليه التلخيص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بيروت ، دار الفكر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الطبعة الثانية ، قم ، منشورات مؤسّسة المطبوعات الديني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مركز الأبحاث والدراسات الإسلامية ، الطبعة الاُولى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قم ، مكتب الإعلام الإسلامي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في الفقه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الملقّب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محمود البستاني ، قم ، منشورات حرمين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علي بن جعفر ومستدركاتها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علیهم السلام لإحياء التراث ، الطبعة الاُولى ، بيروت ، مؤسّسة آل البيت علیهم السلام لإحياء التراث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زين الدين بن علي العاملي الجبعي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المعارف الإسلامية ، الطبعة الاُولى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المعارف الإسلامية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1415</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w:t>
      </w:r>
    </w:p>
    <w:p>
      <w:pPr>
        <w:pStyle w:val="BookText"/>
        <w:rPr/>
      </w:pPr>
      <w:r>
        <w:rPr>
          <w:rFonts w:ascii="Amiri" w:hAnsi="Amiri" w:eastAsia="Amiri" w:cs="Amiri"/>
          <w:color w:val="111111"/>
          <w:sz w:val="28"/>
          <w:sz w:val="28"/>
          <w:szCs w:val="28"/>
          <w:rtl w:val="true"/>
          <w:lang w:bidi="ar-SA"/>
        </w:rPr>
        <w:t xml:space="preserve">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آية اللّه الخوئي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علي التوحيدي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انتشارات وجداني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الشيخ الأعظم الأنصاري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الميرزا أبو القاسم الكلانتري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مجمع الفكر الإسلامي ، الطبعة الاُولى ، مجلّدان ، قم ، مجمع الفكر الإسلامي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 السلام محمّد هارون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 الإعلام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الكرامة في شرح قواعد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جواد الحسيني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باقر الخالصي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النشر الإسلامي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مفردات ألفاظ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المفضّل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عدنان صفوان داوودي ، الطبعة الثانية ، قم ، منشورات ذوي القربى ،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ضياء الدين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محسن العراقي والسيّد منذر الحكيم والشيخ مجتبى المحمودي ، الطبعة الاُولى ، مجلّدان ، قم ، مجمع الفكر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المكاسب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الأعظم مرتضى بن محمّد أمين الأنصاري الدزفولي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لجنة تحقيق تراث الشيخ الأعظم ، الطبعة الاُولى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الفقهية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والطبعة الحجرية من المكاسب ، مؤسّسة النشر الإسلامي ، قم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ملاذ الأخيار في فهم تهذيب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 </w:t>
      </w:r>
    </w:p>
    <w:p>
      <w:pPr>
        <w:pStyle w:val="BookText"/>
        <w:rPr/>
      </w:pPr>
      <w:r>
        <w:rPr>
          <w:rFonts w:ascii="Amiri" w:hAnsi="Amiri" w:eastAsia="Amiri" w:cs="Amiri"/>
          <w:color w:val="111111"/>
          <w:sz w:val="28"/>
          <w:sz w:val="28"/>
          <w:szCs w:val="28"/>
          <w:rtl w:val="true"/>
          <w:lang w:bidi="ar-SA"/>
        </w:rPr>
        <w:t xml:space="preserve">تحقيق السيّد مهديّ الرجائي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مكتبة آية اللّه المرعشي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مناهج الوصول إلى علم الاُصول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المنجد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لوئيس معلوف وعدّة من الأساتذة ، الطبعة الثالثة والثلاثون ، بيروت ، دار المشرق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منية الطالب في شرح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موسى بن محمّد النجفي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بن نحرير بن عبد العزيز القاضي ابن البرّاج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سيّد الشهداء ، الطبعة الاُولى ، مجلّدان ، قم ، مؤسّسة النشر الإسلامي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في شرح 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أبو العبّاس أحمد بن محمّد بن فهد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المحقّق آغا ضياء الدين العراقي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تقيّ البروجردي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النشر الإسلامي ، الطبعة الاُولى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الدراية في شرح الكفاية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حسين الأصفهاني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قم ، مؤسّسة آل البيت علیهم السلام لإحياء التراث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قدس محمّدي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المعروف بالفيض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ضياء الدين الحسيني ، الطبعة الاُولى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أصفهان ، مكتبة الإمام 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الشيعة إلى تحصيل مسائل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أبو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 الطبعة الاُولى ، قم ، مكتبة آية اللّه المرعشي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وقاية الأذهان مع رسالتي سمطا اللآل في مسألتي الوضع والاستعمال وإماطة الغين عن استعمال العين في معنيين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أبو المجد محمّد رضا بن محمّد حسين النجفي الأصفهاني ، تحقيق مؤسّسة آل البيت علیهم السلام لإحياء التراث ، الطبعة الاُولى ، قم ، مؤسّسة آل البيت علیهم السلام لإحياء التراث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الطالب إلى أسرار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فتّاح الشهيدي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دار الفقه للطباعة والنشر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900" w:name="pg15222_162797"/>
    </w:p>
    <w:p>
      <w:pPr>
        <w:pStyle w:val="Heading3"/>
        <w:numPr>
          <w:ilvl w:val="2"/>
          <w:numId w:val="1"/>
        </w:numPr>
        <w:rPr/>
      </w:pPr>
      <w:bookmarkStart w:id="901" w:name="__RefHeading___Toc3332146_2142443653"/>
      <w:bookmarkStart w:id="902" w:name="_Toc322"/>
      <w:bookmarkEnd w:id="900"/>
      <w:bookmarkEnd w:id="901"/>
      <w:r>
        <w:rPr/>
        <w:t>7</w:t>
      </w:r>
      <w:r>
        <w:rPr>
          <w:rtl w:val="true"/>
        </w:rPr>
        <w:t xml:space="preserve">- </w:t>
      </w:r>
      <w:r>
        <w:rPr>
          <w:rtl w:val="true"/>
        </w:rPr>
        <w:t>فهرس الموضوعات</w:t>
      </w:r>
      <w:bookmarkEnd w:id="902"/>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العيب</w:t>
      </w:r>
    </w:p>
    <w:p>
      <w:pPr>
        <w:pStyle w:val="BookText"/>
        <w:rPr/>
      </w:pPr>
      <w:r>
        <w:rPr>
          <w:rFonts w:ascii="Amiri" w:hAnsi="Amiri" w:eastAsia="Amiri" w:cs="Amiri"/>
          <w:color w:val="111111"/>
          <w:sz w:val="28"/>
          <w:sz w:val="28"/>
          <w:szCs w:val="28"/>
          <w:rtl w:val="true"/>
          <w:lang w:bidi="ar-SA"/>
        </w:rPr>
        <w:t>القول في خيار العيب</w:t>
      </w:r>
    </w:p>
    <w:p>
      <w:pPr>
        <w:pStyle w:val="BookText"/>
        <w:rPr/>
      </w:pPr>
      <w:r>
        <w:rPr>
          <w:rFonts w:ascii="Amiri" w:hAnsi="Amiri" w:eastAsia="Amiri" w:cs="Amiri"/>
          <w:color w:val="111111"/>
          <w:sz w:val="28"/>
          <w:sz w:val="28"/>
          <w:szCs w:val="28"/>
          <w:rtl w:val="true"/>
          <w:lang w:bidi="ar-SA"/>
        </w:rPr>
        <w:t xml:space="preserve">إشكال غررية البيع إذا كان المشتري جاهلاً بصفة السلامة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عدم اقتضاء أصالة الإطلاق للصحّة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بطلان الانصراف إلى الصحيح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عدم رجوع خيار العيب إلى تخلّف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التخيير بين الردّ والأرش في خيار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في عقلائية التخيير بين الردّ والأرش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السرّ في ثبوت الأرش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في ثبوت التخيير بين الردّ والأرش لخصوص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ما لو كان العوضان أو أحدهما كلّياً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ظهور العيب كاشف عن تحقّق الخيار لا مثبت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القول في مسقطات خيار العيب</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يسقط به خيار الفسخ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وهو يسقط باُمور </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الخيار صريحاً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دلالة الروايات على ثبوت حقّين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الفسخ وحقّ الأرش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صحّة إسقاط الخيار بالمجاز والكناية والفعل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الروايات الدالّة على سقوط الخيار بالتصرّف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هل المسقط للخيار هو التغيّر أو التصرّف المغيّر؟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حول مسقطية التصرّفات الاعتبارية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عدم إمكان مسقطية التصرّف أو التغيّر على رأي المشهور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بيان المحقّق الأصفهاني في وجه سقوط الخيار بالتلف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وجه آخر لسقوط الردّ بالتلف ونحوه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في وجه مانعية وط‌ء الجارية عن الردّ بالعيب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ردّ الجارية بالحبل ولو مع الوط‌ء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وهنا جهتان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الحبل بالحبل من غير 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نصف العشر عند ردّ الحبلى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عيب عند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العيب الحادث بعد العقد وقبل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وحدة الخيار عند تعدّد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الإشكال على ثبوت خيار الفسخ والأرش بالعيوب المتعدّدة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حكم العيب الحادث في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حكم العيب الحادث بعد القبض ومضيّ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حكم زوال العيب الحادث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سقوط الخيار ولو مع رضا البائع بردّ المعيب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تبعّض الصفقة على البائع مانع عن ردّ المعيب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خيار تبعّض الصفقة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كيفية انحلال العقد بالنسبة إلى بعض المبيع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حكم خيار تبعّض الصفقة عند تعدّد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حول ثبوت خيار تبعّض الصفقة للوكيل والموكّل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يسقط به الأرش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يسقط الأرش فقط بأمران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بإسقاطه حال العقد وبعده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اشتري ربوياً بجنسه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يوجب العيب نقصاًفي القيمة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مسقطات الأرش والردّ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بالعيب قبل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حكم ما لو اشترط العالم بالعيب خيار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 البائع من العيوب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هل أنّ تبرّي البائع يوجب الغرر أم لا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إطلاق التبرّي يشمل العيوب الموجودة دون المتجدّدة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في كون التبرّي من قبيل الشرط في ضمن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الكلام في سقوط الردّ والأرش في موارد 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العيب قبل العلم به، بل وبعده قبل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بعد العلم بالعيب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في المعيب الذي لم تنقص قيمته بالعيب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الأخذ بمقتضى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الإعلام بالعيب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مسائل في اختلاف المتبايعين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تشخيص المدّعي والمنكر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موارد اختلاف المتبايعين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ثبوت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اختلافهما في تعيّب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زمان حدوث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الاختلاف في حدوث العيب قبل القبض أو مضيّ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الاختلاف في حدوث العيب في أحد الأزمنة المتقدّمة وبعدها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لزوم التطابق بين الدعوى وردّها والحلف والبيّنة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اشتراط الجزم في الحلف وإن استند للأمارات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ردّ المعيب على الموكّل دون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السلعة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الاختلاف في السلعة مع الخلاف في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الاختلاف في السلعة بعد الاتّفاق على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فهنا صورتان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يريد المشتري بردّ السلعة المعيوبة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اختلافهما في السلعة في مقام الدفع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المسقط بالمعنى الأعمّ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فيه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علم المشتري بالعيب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زواله قبل علم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زمان حدوث عيب مشاهد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اختلفا في البراءة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ادّعى البائع رضا المشتري بالعيب بعد العلم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الاختلاف في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فيه مسائل </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أصل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تأخّر الفسخ عن أوّل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في العلم بالخيار أو بفوريته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القول في ماهية العيب</w:t>
      </w:r>
    </w:p>
    <w:p>
      <w:pPr>
        <w:pStyle w:val="BookText"/>
        <w:rPr/>
      </w:pPr>
      <w:r>
        <w:rPr>
          <w:rFonts w:ascii="Amiri" w:hAnsi="Amiri" w:eastAsia="Amiri" w:cs="Amiri"/>
          <w:color w:val="111111"/>
          <w:sz w:val="28"/>
          <w:sz w:val="28"/>
          <w:szCs w:val="28"/>
          <w:rtl w:val="true"/>
          <w:lang w:bidi="ar-SA"/>
        </w:rPr>
        <w:t xml:space="preserve">تعريف العيب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عدم انحصار خيار العيب بموارد العيب بحسب أصل الخلقة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حكم الزيادة أو النقيصة الموجبة لزيادة القيمة أو عدم النقص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حكم النقص الشائع الذي يصدق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حكم النقص عن الخلقة الأصلية الذي لا يكون عيباً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ثمرة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الكلام في الأرش</w:t>
      </w:r>
    </w:p>
    <w:p>
      <w:pPr>
        <w:pStyle w:val="BookText"/>
        <w:rPr/>
      </w:pPr>
      <w:r>
        <w:rPr>
          <w:rFonts w:ascii="Amiri" w:hAnsi="Amiri" w:eastAsia="Amiri" w:cs="Amiri"/>
          <w:color w:val="111111"/>
          <w:sz w:val="28"/>
          <w:sz w:val="28"/>
          <w:szCs w:val="28"/>
          <w:rtl w:val="true"/>
          <w:lang w:bidi="ar-SA"/>
        </w:rPr>
        <w:t xml:space="preserve">معنى الأرش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المراد بالضمان في مورد الأرش وتحديد مقداره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عدم لزوم دفع الأرش من عين الثمن المسمّى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هل المدفوع من غير النقدين نفس الأرش أو بدله؟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عدم ثبوت الأرش المستوعب في العيب المقارن للعقد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معرفة الأرش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اختلاف المقوّمين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القول في الشروط التي تقع في العقد وشروط صحّتها</w:t>
      </w:r>
    </w:p>
    <w:p>
      <w:pPr>
        <w:pStyle w:val="BookText"/>
        <w:rPr/>
      </w:pPr>
      <w:r>
        <w:rPr>
          <w:rFonts w:ascii="Amiri" w:hAnsi="Amiri" w:eastAsia="Amiri" w:cs="Amiri"/>
          <w:color w:val="111111"/>
          <w:sz w:val="28"/>
          <w:sz w:val="28"/>
          <w:szCs w:val="28"/>
          <w:rtl w:val="true"/>
          <w:lang w:bidi="ar-SA"/>
        </w:rPr>
        <w:t xml:space="preserve">شروط صحّة الشرط </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داخلاً تحت قدرة المشروط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حال شرط الفعل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حال شرط النتيجة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الشرط سائغاً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الاشتراط عقلائياً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مخالفاً للكتاب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أدلّة بطلان الشرط المخالف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أدلّة بطلان الشرط المخالف للسنّة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هل موافقة الكتاب شرط أو مخالفته مانعة؟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التعارض بين صحيحة ابن سنان وموثّقة 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بيان معنى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في تشخيص الشرط المخالف للكتاب والسنّة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جواز اشتراط ترك التزويج والتسرّي على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المراد من مخالفة الشرط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التمسّك بالأصل لإثبات عدم المخالفة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تقريب العلاّمة الحائري لأصالة عدم القرشية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كلام الشيخ الأعظم وما يرد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توجيه المحقّق الأصفهاني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بناء المحقّق الخراساني على أصالة عدم المخالفة لإحراز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تفصيل المحقّق النائيني في القيد المأخوذ في موضوع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منافياً لمقتضى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تحديد دائرة الشرط المخالف لمقتضى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حول صحّة اشتراط الربح لأحد المتعاملين والخسران على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هل يصحّ اشتراط الاختلاف في ربح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دفع الإشكال عن باب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حول جواز اشتراط الضمان في الإجارة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تفصيل المحقّق النائيني بين إجارة الأعيان والإجارة على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حكم الشكّ في مخالفة الشرط لمقتضى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مجهولاً جهالة توجب الغرر في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مستلزماً لمحال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يلتزما به في ضمن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وجوب العمل بالشروط الابتدائية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هل يجب العمل بالشرط المتواطأ عليه قبل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حول كلام الشيخ الأعظم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الصحيح وحكمه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أقسام الشروط من شرط الفعل وشرط النتيجة وشرط الوصف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دلالة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الالتزام بالشرط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 إمكان إيقاع عنوان من عناوين المعاملات بالشرط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في وجوب الوفاء بشرط 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عدم تعلّق الوجوب الشرعي بعنوان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الاشتراط موجب لثبوت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تخيير المشروط له بين الإجبار والفسخ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ثبوت الإلزام حتّى في العقود الجائزة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ثبوت الخيار إن كان للشرط دخالة في القيم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الشروط التي يجوز للحاكم الإجبار عليها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بقي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الشرط المتعذّر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ثبوت الأرش عند تعذّر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تعذّر الشرط مع خروج العين عن سلطنة المشروط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أنحاء خروج العين عن سلطنة المشروط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ثبوت الخيار مع خروج العين بالتلف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في ثبوت الخيار مع خروج العين بغصب ونحوه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في ثبوت الخيار مع خروج العين بالنقل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تصرّف المشروط عليه المخرج للعين منافياً للشرط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للمشروط له إسقاط حقّه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الأمر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تقسيط الثمن على 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الاستدلال للتقسيط برواية عمر بن حنظلة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القول في حكم الشرط الفاسد</w:t>
      </w:r>
    </w:p>
    <w:p>
      <w:pPr>
        <w:pStyle w:val="BookText"/>
        <w:rPr/>
      </w:pPr>
      <w:r>
        <w:rPr>
          <w:rFonts w:ascii="Amiri" w:hAnsi="Amiri" w:eastAsia="Amiri" w:cs="Amiri"/>
          <w:color w:val="111111"/>
          <w:sz w:val="28"/>
          <w:sz w:val="28"/>
          <w:szCs w:val="28"/>
          <w:rtl w:val="true"/>
          <w:lang w:bidi="ar-SA"/>
        </w:rPr>
        <w:t xml:space="preserve">وفيه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سراية فساد الشرط إلى العقد حسب 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بالروايات على إفساد الشرط الفاسد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خيار تخلّف الشرط للشروط الفاسدة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القول في أحكام الخيار</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جميع الخيارات موروثة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هل إرث الخيار تابع لإرث المال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استحقاق الورثة للخيار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الموارد التي توهّم النقض على عدم انقسام الحقّ الشخصي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الإشكال في تحقّق ماهية الفسخ بفسخ الورثة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عن الإشكال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فسخ الورثة لو كان للميّت دين مستغرق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الأجنبيّ لا يورّث الخيار الثابت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حصول الفسخ بالفعل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حكم الشكّ في كون القول أو الفعل فسخاً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عدم دلالة التصرّفات الاعتبارية على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التصرّف سبب للفسخ لا كاشف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إشكالات تحقّق الفسخ بالتصرّف المعاملي على السببية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التصرّف في العوضين دفعة واحدة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حكم ما لو اشترى عبداً بجارية فقال أعتقتهما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الاُصول المتصوّرة عند الشكّ في صحّة العتق والملك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تصرّف غير ذي الخيار تصرّفاً يمنع عن استرداد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الأحكام المترتّبة على جواز تصرّف غير ذي الخيار في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كلام السيّد اليزدي وبيان وجه النظر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كلام المحقّق الأصفهاني ونقده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كلام المحقّق النائيني والإيراد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في جواز التصرّف وعدمه في الخيارات المجعولة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حكم شرط الخيار بردّ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جواز التصرّف في العين قبل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هل يجوز التصرّف غير المنافي قبل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جواز الإجارة في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الخيار بإذن صاحبه في التصرّف المخرج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توقّف الملكية على انقضاء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الاستدلال بالروايات على عدم التوقّف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أدلّة توقّف الملكية على انقضاء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قاعدة التلف في زمن الخيار ممّن لا خيار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اختصاص الروايات بالشرط في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هل ضمان الثمن على من لا خيار له ؟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في جريان القاعدة في الكلّي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المراد من الضمان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إشكال عدم معقولية الضمان المعاملي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ما يترتّب على تلف الكلّ أو الجزء أو الوصف في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اختصاص القاعدة بالتلف دون الإتلاف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تسليم المثمن والثمن في زمان الخيار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سقوط الخيار بتلف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يضمن المتبايعان ما في يدهما بعد الفسخ؟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القول في النقد والنسيئة</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العقد يقتضي النقد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اشتراط تأجيل الثمن وما يعتبر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باع بثمن حالاًّ وبأزيد منه مؤجّلاً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حكم المسألة بحسب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النسيئة لا تصير نقدا بإسقاط الأجل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النسيئة بيع خاصّ مقابل النقد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عدم سقوط التأجيل بالإسقاط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يجب على الدائن قبول الدين عند تسليمه؟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إلزام الحاكم الدائن الممتنع بقبول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حكم ما لو لم يمكن الرجوع إلى الحاكم أو عدول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جواز تأجيل الثمن الحالّ بأزيد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بحث في أخبار تعليم حيل 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 بيع المبتاع بالثمن المؤجّل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حكم بيع المبتاع بالثمن المؤجّل بعد حلوله بنقصان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الروايات الدالّة على عدم جواز بيع المبتاع بالثمن المؤجّل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حكم ما لو باع شيئاً بشرط أن يبيعه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القول في القبض</w:t>
      </w:r>
    </w:p>
    <w:p>
      <w:pPr>
        <w:pStyle w:val="BookText"/>
        <w:rPr/>
      </w:pPr>
      <w:r>
        <w:rPr>
          <w:rFonts w:ascii="Amiri" w:hAnsi="Amiri" w:eastAsia="Amiri" w:cs="Amiri"/>
          <w:color w:val="111111"/>
          <w:sz w:val="28"/>
          <w:sz w:val="28"/>
          <w:szCs w:val="28"/>
          <w:rtl w:val="true"/>
          <w:lang w:bidi="ar-SA"/>
        </w:rPr>
        <w:t xml:space="preserve">المراد من القبض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المعنى اللغوي للقبض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معنى القبض في المعاملات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كفاية مجرّد الاستيلاء في الخروج عن ضمان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في كفاية الكيل والوزن في تحقّق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القول في وجوب التسليم</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تسليم المثمن والثمن وآثاره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الآثار المترتّبة على وجوب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تفريغ البائع للمبيع من أمواله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حكم ما لو كان المبيع أرضاً مشغولة بزرع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 xml:space="preserve">عدم جواز قلع زرع البائع ولا إلزامه به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Amiri" w:hAnsi="Amiri" w:eastAsia="Amiri" w:cs="Amiri"/>
          <w:color w:val="111111"/>
          <w:sz w:val="28"/>
          <w:sz w:val="28"/>
          <w:szCs w:val="28"/>
          <w:rtl w:val="true"/>
          <w:lang w:bidi="ar-SA"/>
        </w:rPr>
        <w:t xml:space="preserve">حكم ما لو امتنع البائع من تسليم المبيع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القول في أحكام القبض</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ضمان المبيع على المشتري بعد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أنّ الضمان في المقام ضمان المعاوضة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انفساخ العقد حقيقة آناً ما قبل التلف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المراد بالنبوي هو التلف العرفي ولو مع عدم إقباض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 xml:space="preserve">حكم إتلاف المشتري للمبيع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حكم إتلاف البائع للمبيع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عدم جواز حبس القيمة المضمونة إلى دفع المشتري للثمن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حكم تلف عوض المبيع المعيّن قبل قبضه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عدم إلحاق سائر المعاوضات بالبيع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حكم تلف بعض المبيع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حكم تلف أوصاف المبيع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ما يكال ويوزن قبل قبضه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الروايات الواردة في بيع المتاع قبل قبضه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القرائن الدالّة على إرادة الكراهة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شمول النهي عن بيع ما لم يقبض للمبيع والثمن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شمول النهي لجميع أسباب النقل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حكم نقل غير المقبوض بغير البيع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 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رواية علي بن رئاب ، عن أبي عبداللّه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الشرط في الحيوان ثلاثة أيّام للمشتري، اشترط أم لم يشترط، فإن أحدث المشتري فيما اشترى حدثا قبل الثلاثة الأيّام فذلك رضاً منه فلا 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الحدث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لامس أو قبّل أو نظر منها إلى ما كان يحرم عليه قبل الشراء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عمر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أنا وعمر بالمدينة فباع عمر جرابا هرويا كلّ ثوب بكذا وكذا ، فأخذوه فاقتسموه فوجدوا ثوبا فيه عيب ، فقال لهم عمر أعطيكم ثمنه الذي بعتكم به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ولكنّا نأخذ منك قيمة الثوب ، فذكر ذلك عمر لأبي عبداللّه عليه‌السلام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يلزمه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 عن السكوني ، عن جعفر ،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عليا عليه‌السلام قضى في رجل اشترى من رجل عكة فيها سمن ، احتكرها حكرة فوجد فيها رُبّا ، فخاصمه إلى علي عليه‌السلام ، فقال له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 بكيل الرُبّ سمنا ، فقال له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بعته منك حكرة ، فقال له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اشترى منك سمنا ، لم يشترِ منك 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فقه الرضا عليه‌السلام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وروي في الرجل يشتري المتاع فيجد به عيبا يوجب الردّ ، فإن كان المتاع قائما بعينه ردّ على صاحبه ، وإن كان قد قطع أو خيط أو حدث فيه حادثة ، رجع فيه بنقصان العيب على سبيل الأرش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موضع آخر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خرج في السلعة عيب وعلم المشتري ، فالخيار إليه إن شاء ردّ ، وإن شاء أخذه ، أورد عليه بالقيمة أرش 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صفات القاضي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 عن أبي جعفر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أيّما رجل اشترى شيئا وبه عيب وعوار لم يتبرّأ إليه ولم يبيّن له، فأحدث فيه بعد ما قبضه شيئا ثمّ علم بذلك العوار وبذلك الداء، إنّه يمضي عليه البيع ويرد عليه بقدر ما نقص من ذلك الداء والعيب من ثمن ذلك لو لم يكن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جميل ، عن بعض أصحابنا ، عن أحدهما عليهماالسلام في الرجل يشتري الثوب أو المتاع فيجد فيه عيبا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الشيء قائما بعينه ردّه على صاحبه وأخذ الثمن ، وإن كان الثوب قد قطع أو خيط أو صبغ يرجع بنقصان العيب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حمّاد بن عيسى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عليه‌السلام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بن الحسين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القضاء الأوّل في الرجل إذا اشترى الأمة فوطأها ثمّ ظهر على عيب ، أنّ البيع لازم ، وله أرش العيب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للإمام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داود بن فرقد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رجل اشترى جارية مدركة فلم تحض عنده حتّى مضى لها ستّة أشهر ، وليس بها حمل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مثلها تحيض ولم يكن ذلك من كبر فهذا عيب تردّ منه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الجاثية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 الطلاق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ويأتي في الصفحة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زيد الشحّام ، عن أبي عبداللّه عليه‌السلام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 البرصاء والمجنونة والمجذومة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العوراء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 المحقّق المامقاني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 الإيرواني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العيوب والتدليس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حاشية المكاسب ، المحقّق الأصفهاني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عبداللّه بن الحسن بن زيد بن علي بن الحسين ، عن أبيه ، عن جعفر بن محمّد عليهم‌السلامقال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صلى‌الله‌عليه‌و‌آله‌وسلم في رجل اشترى عبدا بشرط ثلاثة أيّام فمات العبد في الشرط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يستحلف باللّه ما رضيه ثمّ هو بريء من الضمان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غياث بن إبراهيم ، عن جعفر ، عن أبيه ، عن علي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صفق الرجل على البيع فقد وجب وإن لم يفترقا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العيب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المصادر أيضاً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الماء المطلق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 الإيرواني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الطهارة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ما تقدّم في الصفحة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 الأصفهاني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القضاء ، أبواب كيفية الحكم ،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حفص بن غياث ، عن أبي عبداللّه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رأيت شيئا في يدي رجل يجوز لي أن أشهد أ نّه له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أ نّه في يده ولا أشهد أ نّه له فلعلّه لغيره ، فقال أبو عبداللّه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أفيحلّ الشراء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أبو عبداللّه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فلعلّه لغيره ، فمن أين جاز لك أن تشتريه ويصير ملكا لك ؟ ثمّ تقول بعد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لي وتحلف عليه ، ولا يجوز أن تنسبه إلى من صار ملكه من قبله إليك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أبو عبداللّه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يجز هذا لم يقم للمسلمين سوق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الوديعة ،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العزيز</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آنفاً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الطالب ، المحقّق الإشكوري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أحمد بن محمّد السيّاري ضعيف الحديث ، فاسد المذهب ، مجفوّ الرواية ، كثير المراسيل ، كما قاله النجاشي والشيخ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أحمد بن محمّد ، عن محمّد بن يحيى ، عن طلحة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وجه ضعف السند هو كون طلحة بن زيد عامّياً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النجاشي والشيخ في الفهرست ، أو بترياً كما قاله الشيخ في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توثيقه منهما إلاّ أنّ الشيخ ذكر في فهرسته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كتابه معتمد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الشهادات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الصوم ، أبواب أحكام شهر رمضان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الأطعمة المباحة ،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ضمن تراث الشيخ الأعظم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القضاء ، أبواب كيفية الحكم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وقاية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أجود التقريرات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w:t>
      </w:r>
      <w:r>
        <w:rPr>
          <w:rFonts w:eastAsia="IRNazanin" w:cs="IRNazanin"/>
          <w:b w:val="false"/>
          <w:bCs w:val="false"/>
          <w:i w:val="false"/>
          <w:iCs w:val="false"/>
          <w:color w:val="333333"/>
          <w:sz w:val="20"/>
          <w:szCs w:val="20"/>
          <w:rtl w:val="true"/>
        </w:rPr>
        <w:t>)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الوافي عن ابن فضال عن بعض أصحابنا عن أبي عبداللّه عليه‌السلام إلاّ أنّ الموجود في الكافي والوسائل عن ابن فضّال ، عن ابن بكير ، عن بعض أصحابنا ، عن أبي عبداللّه عليه‌السلام في امرأة نكحها رجل ، فأصدقته المرأة ، وشرطت عليه أنّ بيدها الجماع والطلاق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 السنّة ، وولّى الحقّ من ليس أهله ، وقضى أنّ على الرجل الصداق ، وأنّ بيده الجماع والطلاق ، وتلك السنّة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الطلاق ، أبواب مقدّماته وشرائطه ، الباب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الطهارة ،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عن الصفّار ، عن الحسن بن موسى الخشّاب ، عن غياث بن كلّوب ، عن إسحاق بن عمّار ، عن جعفر عليه‌السلام ، عن أبيه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بغياث بن كلّوب فإنّه عامّي ، لكن عملت الطائفة بما رواه كما قال الشيخ في 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مّا إسحاق بن عمّار فإ نّه وإن نسبه الشيخ الطوسي إلى الفطحية لكن يظهر من المصنّف أنّ النسبة غير تامّة حيث عبّر في غير موضع من سائر كتبه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البيع ، الإمام الخميني قدس‌سره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مقدّماته وشرائطه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المتعة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الطالب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التعادل والترجيح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درر الفوائد ، المحقّق الحائري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رسالة الصلاة في المشكوك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 اليزدي</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الأفكار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عبدالرحمان بن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الرجل يتّخذ أباه ، أو اُمّه ، أو أخاه ، أو اُخته عبيدا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الاُخت فقد عتقت حين يملكها ، وأمّا الأخ فيسترقّه ، وأمّا الأبوان فقد عتقا حين يملكها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ما 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بيع الحيوان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المضاربة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 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 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لروضة ا 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 لكرامة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 لمكاسب ، ضمن تراث ا لشيخ ا 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الوديعة ،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 ضمن تراث الشيخ الأعظم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الضمان ، 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الشركة ، 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تخريجه بعد أسطر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الصفحة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عوائد الأيّام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الإمام الخميني 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التقوي الاشتهاردي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الهداية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الصفحة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محمّد بن علي بن محبوب ، عن محمّد بن الحسين ، عن ذبيان ، عن موسى بن أكيل ، عن داود بن حصين ، عن عمر 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ضعف السند هو أنّ ذبيان لم يرد في حقّه توثيق ولم تثبت وثاقته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نكاح العبيد والإماء ،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بيع الحيوان ،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محمّد بن يحيى ، عن أحمد بن محمّد ، عن علي بن الحكم ، عن موسى بن بكر ، عن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الرواية ضعيفة بموسى بن بكر الواسطي ، فإنّه قد تعرّض له النجاشي والشيخ من دون أيّ توثيق ، بل عدّه الشيخ من الواقفة ، وإن استدلّ بعض لوثاقته باُمور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الميم</w:t>
      </w:r>
      <w:r>
        <w:rPr>
          <w:rFonts w:eastAsia="IRNazanin" w:cs="IRNazanin"/>
          <w:b w:val="false"/>
          <w:bCs w:val="false"/>
          <w:i w:val="false"/>
          <w:iCs w:val="false"/>
          <w:color w:val="333333"/>
          <w:sz w:val="20"/>
          <w:szCs w:val="20"/>
          <w:rtl w:val="true"/>
        </w:rPr>
        <w:t>)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النكاح ، أبواب المهور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الرواية في المجامع الروائية ولكنّها موجود في الكتب الفقهية ، راجع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الوصايا ،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 قسم المنطق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وقسم الحكمة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الشفعة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القذف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أحمد بن محمّد بن عيسى ، عن ابن محبوب ، عن هشام بن سالم ، عن عمّار الساباطي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بعمّار الساباطي ، فإ نّه فطحي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القذف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علي بن إبراهيم ، عن أبيه ، عن النوفلي ، عن السكوني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لأجل كون السكوني عامّياً ثقة معتمداً عند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العدّة في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الحدود والتعزيرات ، أبواب حدّ القذف ،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مفردات ألفاظ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مستفادة من عدّة روايات ؛ اُنظر ما 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العزيز ، ذيل المجموع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الكرامة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الصفحة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عقد البيع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العتق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اُنظر حاشية المكاسب ، المحقّق الأصفهاني</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الآمال ، المحقّق المامقاني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الكاظمي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الطلاق ، أبواب أقسام الطلاق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العدد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الإجارة ،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 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 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 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تقريرات المحقّق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الأراكي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النسخ الموجودة لدينا من وسائل الشيعة </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 ضمن تراث الشيخ الأعظم</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هذا سهو من قلمه الشريف ، وما يظهر من العلاّمة قدس‌سره خلاف ذلك ، كما حكى عنه الشيخ الأعظم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العيوب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تقدّم في الصفحة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اليزدي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 لتجارة ، أبواب آداب ا لتجارة ، ا 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 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آداب التجارة ،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ولما دلّ في السلم الذي هو عكس المسألة على وجوب تعيين الأجل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المكاسب للشيخ الأعظم قدس‌سره ، ولكنّ الموجود في النهاية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ذكر المتاع بأجلين ونقدين مختلفين بأن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 هذا المتاع كذا عاجلاً وكذا آجلاً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أمضى البيع ؛ كان له أقلّ الثمنين وأبعد الأجلين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الخراساني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 ضمن تراث الشيخ الأعظم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 قاعدة لا ضرر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الدراية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الدرر في قاعدة نفي الضرر ، الإمام الخميني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العروة الوثقى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الدين والقرض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الصرف ،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الربا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وتقدّمتا في الجزء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التجارة ، أبواب الربا ،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الربا ،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ما يكتسب به ،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الأطعمة والأشربة ، أبواب الأشربة المحرّمة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في الصفحة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الكليني ، عن عدّة من أصحابنا ، عن أحمد بن محمّد بن عيسى ، عن ابن أبي عمير ، عن حفص بن سوقة ، عن الحسين بن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ضعيفة لأجل جهالة الحسين بن المنذر ، فإ نّه لم يرد بشأنه شيء من الجرح أو التعديل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عن يونس الشيباني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يبيع البيع والبائع يعلم أ نّه لا يسوى والمشتري يعلم أ نّه لا يسوى إلاّ أ نّه يعلم أ نّه سيرجع فيه فيشتريه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يونس إنّ رسول اللّه صلى‌الله‌عليه‌و‌آله‌وسلم قال لجابر بن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أنت إذا ظهر الجور وأورثهم الذلّ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جابر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بقيت إلى ذلك الزمان ، ومتى يكون ذلك بأبي أنت واُمّي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ظهر الربا يا يونس ، وهذا الربا فإن لم تشتره ردّه عليك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تقربنّه فلا تقربنّه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أقرب الموارد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 أبواب آداب الحمّام ،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الصرف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الصرف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الصرف ،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الوديعة ، الباب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المسند ، أحمد بن حنبل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 الحاكم النيسابوري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الحديث مطابق للطبعة الحجرية من الانتصار ، ضمن 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الرهن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تقدّم في الصفحة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تقدّم في الصفحة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تقدّم في الصفحة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صاحب الزمان عليه‌السلام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وكلّ ما سلّم فلا خيار لصاحبه احتاج أو لم يحتج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الوقوف والصدقات ،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ما 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عبداللّه عليه‌السلام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ويحوّل حقّ المسلمين عليه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الجهاد ، أبواب جهاد العدوّ ،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السلف ،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 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 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لمكاسب ، ضمن تراث ا لشيخ ا 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 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حاشية المكاسب ، المحقّق</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الصفحة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الإيرواني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كتاب إحياء الموات،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 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الخيار ،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مفتاح الكرامة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حاشية المكاسب ، المحقّق الأصفهاني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الصفحة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منية الطالب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الصفحة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الشيخ الطوسي بإسناده ، عن الحسين بن سعيد ، عن الحسن ، عن زرعة ، عن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موثّقة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يأتي في الصفحة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بزرعة وسماعة ، فإنّهما ثقتان واقفيان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الرجل يشتري الثمرة ثمّ يبيعها قبل أن يأخذها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 إن وجد بها ربحا فليبع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الرابع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وتقدّم في الصفحة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المكاسب ، ضمن تراث الشيخ الأعظم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الحلبي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عبداللّه عليه‌السلام عن قوم اشتروا بزّا فاشتركوا فيه جميعا ولم يقسموه ، أيصلح لأحد منهم بيع بزّه قبل أن يقبضه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به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ليس بمنزلة الطعام ، إنّ الطعام يكال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التجارة ، أبواب أحكام العقود ،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 المحقّق الأصفهاني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لاشتماله على بعض المجاهيل كشعيب بن واقد وعبدالعزيز بن محمّد بن عيسى الأبهري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 المشيخة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image" Target="media/image2.jpeg"/><Relationship Id="rId677" Type="http://schemas.openxmlformats.org/officeDocument/2006/relationships/image" Target="media/image2.jpeg"/><Relationship Id="rId678" Type="http://schemas.openxmlformats.org/officeDocument/2006/relationships/footer" Target="footer671.xml"/><Relationship Id="rId679" Type="http://schemas.openxmlformats.org/officeDocument/2006/relationships/footnotes" Target="footnotes.xml"/><Relationship Id="rId680" Type="http://schemas.openxmlformats.org/officeDocument/2006/relationships/numbering" Target="numbering.xml"/><Relationship Id="rId681" Type="http://schemas.openxmlformats.org/officeDocument/2006/relationships/fontTable" Target="fontTable.xml"/><Relationship Id="rId682" Type="http://schemas.openxmlformats.org/officeDocument/2006/relationships/settings" Target="settings.xml"/><Relationship Id="rId6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69299</Words>
  <Characters>263324</Characters>
  <CharactersWithSpaces>330121</CharactersWithSpaces>
  <Paragraphs>2850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2026-08-24T21:53:54Z</dcterms:created>
  <dc:creator>ghaemiyeh.com</dc:creator>
  <dc:description/>
  <dc:language>en-US</dc:language>
  <cp:lastModifiedBy/>
  <dcterms:modified xsi:type="dcterms:W3CDTF">2026-08-25T01:24:50Z</dcterms:modified>
  <cp:revision>1</cp:revision>
  <dc:subject/>
  <dc:title>موسوعة الامام الخمینی قدس سرة الشریف المجلد 15 إلى 19 کتاب البیع جلد 5</dc:title>
</cp:coreProperties>
</file>

<file path=docProps/custom.xml><?xml version="1.0" encoding="utf-8"?>
<Properties xmlns="http://schemas.openxmlformats.org/officeDocument/2006/custom-properties" xmlns:vt="http://schemas.openxmlformats.org/officeDocument/2006/docPropsVTypes"/>
</file>