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استقصاء الإعتبار فی شرح الإستبصار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446_2142443653">
            <w:r>
              <w:rPr>
                <w:webHidden/>
                <w:rStyle w:val="IndexLink"/>
                <w:rtl w:val="true"/>
              </w:rPr>
              <w:t>هویة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146448_2142443653">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46450_2142443653">
            <w:r>
              <w:rPr>
                <w:webHidden/>
                <w:rStyle w:val="IndexLink"/>
                <w:rtl w:val="true"/>
              </w:rPr>
              <w:t>أبواب التیمّم</w:t>
            </w:r>
            <w:r>
              <w:rPr>
                <w:rStyle w:val="IndexLink"/>
                <w:rtl w:val="true"/>
              </w:rPr>
              <w:tab/>
            </w:r>
            <w:r>
              <w:rPr>
                <w:rStyle w:val="IndexLink"/>
              </w:rPr>
              <w:t>18</w:t>
            </w:r>
          </w:hyperlink>
        </w:p>
        <w:p>
          <w:pPr>
            <w:pStyle w:val="Contents3"/>
            <w:tabs>
              <w:tab w:val="clear" w:pos="8459"/>
              <w:tab w:val="right" w:pos="9026" w:leader="dot"/>
            </w:tabs>
            <w:rPr/>
          </w:pPr>
          <w:hyperlink w:anchor="__RefHeading___Toc146452_2142443653">
            <w:r>
              <w:rPr>
                <w:webHidden/>
                <w:rStyle w:val="IndexLink"/>
                <w:rtl w:val="true"/>
              </w:rPr>
              <w:t>الدقیق لا یجوز التیمّم به</w:t>
            </w:r>
            <w:r>
              <w:rPr>
                <w:rStyle w:val="IndexLink"/>
                <w:rtl w:val="true"/>
              </w:rPr>
              <w:tab/>
            </w:r>
            <w:r>
              <w:rPr>
                <w:rStyle w:val="IndexLink"/>
              </w:rPr>
              <w:t>18</w:t>
            </w:r>
          </w:hyperlink>
        </w:p>
        <w:p>
          <w:pPr>
            <w:pStyle w:val="Contents4"/>
            <w:tabs>
              <w:tab w:val="clear" w:pos="8176"/>
              <w:tab w:val="right" w:pos="9026" w:leader="dot"/>
            </w:tabs>
            <w:rPr/>
          </w:pPr>
          <w:hyperlink w:anchor="__RefHeading___Toc146454_2142443653">
            <w:r>
              <w:rPr>
                <w:webHidden/>
                <w:rStyle w:val="IndexLink"/>
                <w:rtl w:val="true"/>
              </w:rPr>
              <w:t>بحث حول محمّد بن علی بن بابویه</w:t>
            </w:r>
            <w:r>
              <w:rPr>
                <w:rStyle w:val="IndexLink"/>
                <w:rtl w:val="true"/>
              </w:rPr>
              <w:tab/>
            </w:r>
            <w:r>
              <w:rPr>
                <w:rStyle w:val="IndexLink"/>
              </w:rPr>
              <w:t>18</w:t>
            </w:r>
          </w:hyperlink>
        </w:p>
        <w:p>
          <w:pPr>
            <w:pStyle w:val="Contents4"/>
            <w:tabs>
              <w:tab w:val="clear" w:pos="8176"/>
              <w:tab w:val="right" w:pos="9026" w:leader="dot"/>
            </w:tabs>
            <w:rPr/>
          </w:pPr>
          <w:hyperlink w:anchor="__RefHeading___Toc146456_2142443653">
            <w:r>
              <w:rPr>
                <w:webHidden/>
                <w:rStyle w:val="IndexLink"/>
                <w:rtl w:val="true"/>
              </w:rPr>
              <w:t>بحث حول محمّد بن أحمد بن یحیی</w:t>
            </w:r>
            <w:r>
              <w:rPr>
                <w:rStyle w:val="IndexLink"/>
                <w:rtl w:val="true"/>
              </w:rPr>
              <w:tab/>
            </w:r>
            <w:r>
              <w:rPr>
                <w:rStyle w:val="IndexLink"/>
              </w:rPr>
              <w:t>19</w:t>
            </w:r>
          </w:hyperlink>
        </w:p>
        <w:p>
          <w:pPr>
            <w:pStyle w:val="Contents4"/>
            <w:tabs>
              <w:tab w:val="clear" w:pos="8176"/>
              <w:tab w:val="right" w:pos="9026" w:leader="dot"/>
            </w:tabs>
            <w:rPr/>
          </w:pPr>
          <w:hyperlink w:anchor="__RefHeading___Toc146458_2142443653">
            <w:r>
              <w:rPr>
                <w:webHidden/>
                <w:rStyle w:val="IndexLink"/>
                <w:rtl w:val="true"/>
              </w:rPr>
              <w:t xml:space="preserve">وجه استفاده عدم جواز التیمّم بالدقیق من قوله علیه السلام </w:t>
            </w:r>
            <w:r>
              <w:rPr>
                <w:rStyle w:val="IndexLink"/>
                <w:rtl w:val="true"/>
              </w:rPr>
              <w:t xml:space="preserve">: « </w:t>
            </w:r>
            <w:r>
              <w:rPr>
                <w:rStyle w:val="IndexLink"/>
                <w:rtl w:val="true"/>
              </w:rPr>
              <w:t xml:space="preserve">إنّما هو الماء أو الصعید </w:t>
            </w:r>
            <w:r>
              <w:rPr>
                <w:rStyle w:val="IndexLink"/>
                <w:rtl w:val="true"/>
              </w:rPr>
              <w:t>»</w:t>
              <w:tab/>
            </w:r>
            <w:r>
              <w:rPr>
                <w:rStyle w:val="IndexLink"/>
              </w:rPr>
              <w:t>23</w:t>
            </w:r>
          </w:hyperlink>
        </w:p>
        <w:p>
          <w:pPr>
            <w:pStyle w:val="Contents4"/>
            <w:tabs>
              <w:tab w:val="clear" w:pos="8176"/>
              <w:tab w:val="right" w:pos="9026" w:leader="dot"/>
            </w:tabs>
            <w:rPr/>
          </w:pPr>
          <w:hyperlink w:anchor="__RefHeading___Toc146460_2142443653">
            <w:r>
              <w:rPr>
                <w:webHidden/>
                <w:rStyle w:val="IndexLink"/>
                <w:rtl w:val="true"/>
              </w:rPr>
              <w:t>معنی الصعید</w:t>
            </w:r>
            <w:r>
              <w:rPr>
                <w:rStyle w:val="IndexLink"/>
                <w:rtl w:val="true"/>
              </w:rPr>
              <w:tab/>
            </w:r>
            <w:r>
              <w:rPr>
                <w:rStyle w:val="IndexLink"/>
              </w:rPr>
              <w:t>25</w:t>
            </w:r>
          </w:hyperlink>
        </w:p>
        <w:p>
          <w:pPr>
            <w:pStyle w:val="Contents4"/>
            <w:tabs>
              <w:tab w:val="clear" w:pos="8176"/>
              <w:tab w:val="right" w:pos="9026" w:leader="dot"/>
            </w:tabs>
            <w:rPr/>
          </w:pPr>
          <w:hyperlink w:anchor="__RefHeading___Toc146462_2142443653">
            <w:r>
              <w:rPr>
                <w:webHidden/>
                <w:rStyle w:val="IndexLink"/>
                <w:rtl w:val="true"/>
              </w:rPr>
              <w:t>بحث حول عبدالرحمان بن الحجاج</w:t>
            </w:r>
            <w:r>
              <w:rPr>
                <w:rStyle w:val="IndexLink"/>
                <w:rtl w:val="true"/>
              </w:rPr>
              <w:tab/>
            </w:r>
            <w:r>
              <w:rPr>
                <w:rStyle w:val="IndexLink"/>
              </w:rPr>
              <w:t>27</w:t>
            </w:r>
          </w:hyperlink>
        </w:p>
        <w:p>
          <w:pPr>
            <w:pStyle w:val="Contents4"/>
            <w:tabs>
              <w:tab w:val="clear" w:pos="8176"/>
              <w:tab w:val="right" w:pos="9026" w:leader="dot"/>
            </w:tabs>
            <w:rPr/>
          </w:pPr>
          <w:hyperlink w:anchor="__RefHeading___Toc146464_2142443653">
            <w:r>
              <w:rPr>
                <w:webHidden/>
                <w:rStyle w:val="IndexLink"/>
                <w:rtl w:val="true"/>
              </w:rPr>
              <w:t>هل بثبت التوثیق بالوکالة؟</w:t>
            </w:r>
            <w:r>
              <w:rPr>
                <w:rStyle w:val="IndexLink"/>
                <w:rtl w:val="true"/>
              </w:rPr>
              <w:tab/>
            </w:r>
            <w:r>
              <w:rPr>
                <w:rStyle w:val="IndexLink"/>
              </w:rPr>
              <w:t>28</w:t>
            </w:r>
          </w:hyperlink>
        </w:p>
        <w:p>
          <w:pPr>
            <w:pStyle w:val="Contents4"/>
            <w:tabs>
              <w:tab w:val="clear" w:pos="8176"/>
              <w:tab w:val="right" w:pos="9026" w:leader="dot"/>
            </w:tabs>
            <w:rPr/>
          </w:pPr>
          <w:hyperlink w:anchor="__RefHeading___Toc146466_2142443653">
            <w:r>
              <w:rPr>
                <w:webHidden/>
                <w:rStyle w:val="IndexLink"/>
                <w:rtl w:val="true"/>
              </w:rPr>
              <w:t>المراد بالوضوء فی حدیث عبید بن زرارة هو التیمّم</w:t>
            </w:r>
            <w:r>
              <w:rPr>
                <w:rStyle w:val="IndexLink"/>
                <w:rtl w:val="true"/>
              </w:rPr>
              <w:tab/>
            </w:r>
            <w:r>
              <w:rPr>
                <w:rStyle w:val="IndexLink"/>
              </w:rPr>
              <w:t>28</w:t>
            </w:r>
          </w:hyperlink>
        </w:p>
        <w:p>
          <w:pPr>
            <w:pStyle w:val="Contents4"/>
            <w:tabs>
              <w:tab w:val="clear" w:pos="8176"/>
              <w:tab w:val="right" w:pos="9026" w:leader="dot"/>
            </w:tabs>
            <w:rPr/>
          </w:pPr>
          <w:hyperlink w:anchor="__RefHeading___Toc146468_2142443653">
            <w:r>
              <w:rPr>
                <w:webHidden/>
                <w:rStyle w:val="IndexLink"/>
                <w:rtl w:val="true"/>
              </w:rPr>
              <w:t>معنی الوضاءة</w:t>
            </w:r>
            <w:r>
              <w:rPr>
                <w:rStyle w:val="IndexLink"/>
                <w:rtl w:val="true"/>
              </w:rPr>
              <w:tab/>
            </w:r>
            <w:r>
              <w:rPr>
                <w:rStyle w:val="IndexLink"/>
              </w:rPr>
              <w:t>29</w:t>
            </w:r>
          </w:hyperlink>
        </w:p>
        <w:p>
          <w:pPr>
            <w:pStyle w:val="Contents3"/>
            <w:tabs>
              <w:tab w:val="clear" w:pos="8459"/>
              <w:tab w:val="right" w:pos="9026" w:leader="dot"/>
            </w:tabs>
            <w:rPr/>
          </w:pPr>
          <w:hyperlink w:anchor="__RefHeading___Toc146470_2142443653">
            <w:r>
              <w:rPr>
                <w:webHidden/>
                <w:rStyle w:val="IndexLink"/>
                <w:rtl w:val="true"/>
              </w:rPr>
              <w:t>التیمّم فی الأرض الوحلة والطین والماء</w:t>
            </w:r>
            <w:r>
              <w:rPr>
                <w:rStyle w:val="IndexLink"/>
                <w:rtl w:val="true"/>
              </w:rPr>
              <w:tab/>
            </w:r>
            <w:r>
              <w:rPr>
                <w:rStyle w:val="IndexLink"/>
              </w:rPr>
              <w:t>29</w:t>
            </w:r>
          </w:hyperlink>
        </w:p>
        <w:p>
          <w:pPr>
            <w:pStyle w:val="Contents4"/>
            <w:tabs>
              <w:tab w:val="clear" w:pos="8176"/>
              <w:tab w:val="right" w:pos="9026" w:leader="dot"/>
            </w:tabs>
            <w:rPr/>
          </w:pPr>
          <w:hyperlink w:anchor="__RefHeading___Toc146472_2142443653">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46474_2142443653">
            <w:r>
              <w:rPr>
                <w:webHidden/>
                <w:rStyle w:val="IndexLink"/>
                <w:rtl w:val="true"/>
              </w:rPr>
              <w:t>بحث حول محمّد بن عیسی الأشعری</w:t>
            </w:r>
            <w:r>
              <w:rPr>
                <w:rStyle w:val="IndexLink"/>
                <w:rtl w:val="true"/>
              </w:rPr>
              <w:tab/>
            </w:r>
            <w:r>
              <w:rPr>
                <w:rStyle w:val="IndexLink"/>
              </w:rPr>
              <w:t>30</w:t>
            </w:r>
          </w:hyperlink>
        </w:p>
        <w:p>
          <w:pPr>
            <w:pStyle w:val="Contents4"/>
            <w:tabs>
              <w:tab w:val="clear" w:pos="8176"/>
              <w:tab w:val="right" w:pos="9026" w:leader="dot"/>
            </w:tabs>
            <w:rPr/>
          </w:pPr>
          <w:hyperlink w:anchor="__RefHeading___Toc146476_2142443653">
            <w:r>
              <w:rPr>
                <w:webHidden/>
                <w:rStyle w:val="IndexLink"/>
                <w:rtl w:val="true"/>
              </w:rPr>
              <w:t>بحث حول ابن بکیر</w:t>
            </w:r>
            <w:r>
              <w:rPr>
                <w:rStyle w:val="IndexLink"/>
                <w:rtl w:val="true"/>
              </w:rPr>
              <w:tab/>
            </w:r>
            <w:r>
              <w:rPr>
                <w:rStyle w:val="IndexLink"/>
              </w:rPr>
              <w:t>31</w:t>
            </w:r>
          </w:hyperlink>
        </w:p>
        <w:p>
          <w:pPr>
            <w:pStyle w:val="Contents4"/>
            <w:tabs>
              <w:tab w:val="clear" w:pos="8176"/>
              <w:tab w:val="right" w:pos="9026" w:leader="dot"/>
            </w:tabs>
            <w:rPr/>
          </w:pPr>
          <w:hyperlink w:anchor="__RefHeading___Toc146478_2142443653">
            <w:r>
              <w:rPr>
                <w:webHidden/>
                <w:rStyle w:val="IndexLink"/>
                <w:rtl w:val="true"/>
              </w:rPr>
              <w:t>معاویة بن حکیم وثّقه النجاشی</w:t>
            </w:r>
            <w:r>
              <w:rPr>
                <w:rStyle w:val="IndexLink"/>
                <w:rtl w:val="true"/>
              </w:rPr>
              <w:tab/>
            </w:r>
            <w:r>
              <w:rPr>
                <w:rStyle w:val="IndexLink"/>
              </w:rPr>
              <w:t>31</w:t>
            </w:r>
          </w:hyperlink>
        </w:p>
        <w:p>
          <w:pPr>
            <w:pStyle w:val="Contents4"/>
            <w:tabs>
              <w:tab w:val="clear" w:pos="8176"/>
              <w:tab w:val="right" w:pos="9026" w:leader="dot"/>
            </w:tabs>
            <w:rPr/>
          </w:pPr>
          <w:hyperlink w:anchor="__RefHeading___Toc146480_2142443653">
            <w:r>
              <w:rPr>
                <w:webHidden/>
                <w:rStyle w:val="IndexLink"/>
                <w:rtl w:val="true"/>
              </w:rPr>
              <w:t>بحث حول عبدالله بن المغیرة</w:t>
            </w:r>
            <w:r>
              <w:rPr>
                <w:rStyle w:val="IndexLink"/>
                <w:rtl w:val="true"/>
              </w:rPr>
              <w:tab/>
            </w:r>
            <w:r>
              <w:rPr>
                <w:rStyle w:val="IndexLink"/>
              </w:rPr>
              <w:t>31</w:t>
            </w:r>
          </w:hyperlink>
        </w:p>
        <w:p>
          <w:pPr>
            <w:pStyle w:val="Contents4"/>
            <w:tabs>
              <w:tab w:val="clear" w:pos="8176"/>
              <w:tab w:val="right" w:pos="9026" w:leader="dot"/>
            </w:tabs>
            <w:rPr/>
          </w:pPr>
          <w:hyperlink w:anchor="__RefHeading___Toc146482_2142443653">
            <w:r>
              <w:rPr>
                <w:webHidden/>
                <w:rStyle w:val="IndexLink"/>
                <w:rtl w:val="true"/>
              </w:rPr>
              <w:t>التیمّم بالوحل والطین والغبار ، والأقوال فیه</w:t>
            </w:r>
            <w:r>
              <w:rPr>
                <w:rStyle w:val="IndexLink"/>
                <w:rtl w:val="true"/>
              </w:rPr>
              <w:tab/>
            </w:r>
            <w:r>
              <w:rPr>
                <w:rStyle w:val="IndexLink"/>
              </w:rPr>
              <w:t>33</w:t>
            </w:r>
          </w:hyperlink>
        </w:p>
        <w:p>
          <w:pPr>
            <w:pStyle w:val="Contents4"/>
            <w:tabs>
              <w:tab w:val="clear" w:pos="8176"/>
              <w:tab w:val="right" w:pos="9026" w:leader="dot"/>
            </w:tabs>
            <w:rPr/>
          </w:pPr>
          <w:hyperlink w:anchor="__RefHeading___Toc146484_2142443653">
            <w:r>
              <w:rPr>
                <w:webHidden/>
                <w:rStyle w:val="IndexLink"/>
                <w:rtl w:val="true"/>
              </w:rPr>
              <w:t>معنی اللبد</w:t>
            </w:r>
            <w:r>
              <w:rPr>
                <w:rStyle w:val="IndexLink"/>
                <w:rtl w:val="true"/>
              </w:rPr>
              <w:tab/>
            </w:r>
            <w:r>
              <w:rPr>
                <w:rStyle w:val="IndexLink"/>
              </w:rPr>
              <w:t>37</w:t>
            </w:r>
          </w:hyperlink>
        </w:p>
        <w:p>
          <w:pPr>
            <w:pStyle w:val="Contents4"/>
            <w:tabs>
              <w:tab w:val="clear" w:pos="8176"/>
              <w:tab w:val="right" w:pos="9026" w:leader="dot"/>
            </w:tabs>
            <w:rPr/>
          </w:pPr>
          <w:hyperlink w:anchor="__RefHeading___Toc146486_2142443653">
            <w:r>
              <w:rPr>
                <w:webHidden/>
                <w:rStyle w:val="IndexLink"/>
                <w:rtl w:val="true"/>
              </w:rPr>
              <w:t>أحمد بن هلال ضعیف</w:t>
            </w:r>
            <w:r>
              <w:rPr>
                <w:rStyle w:val="IndexLink"/>
                <w:rtl w:val="true"/>
              </w:rPr>
              <w:tab/>
            </w:r>
            <w:r>
              <w:rPr>
                <w:rStyle w:val="IndexLink"/>
              </w:rPr>
              <w:t>38</w:t>
            </w:r>
          </w:hyperlink>
        </w:p>
        <w:p>
          <w:pPr>
            <w:pStyle w:val="Contents4"/>
            <w:tabs>
              <w:tab w:val="clear" w:pos="8176"/>
              <w:tab w:val="right" w:pos="9026" w:leader="dot"/>
            </w:tabs>
            <w:rPr/>
          </w:pPr>
          <w:hyperlink w:anchor="__RefHeading___Toc146488_2142443653">
            <w:r>
              <w:rPr>
                <w:webHidden/>
                <w:rStyle w:val="IndexLink"/>
                <w:rtl w:val="true"/>
              </w:rPr>
              <w:t>طرق الشیخ إلی الحسین بن سعید</w:t>
            </w:r>
            <w:r>
              <w:rPr>
                <w:rStyle w:val="IndexLink"/>
                <w:rtl w:val="true"/>
              </w:rPr>
              <w:tab/>
            </w:r>
            <w:r>
              <w:rPr>
                <w:rStyle w:val="IndexLink"/>
              </w:rPr>
              <w:t>38</w:t>
            </w:r>
          </w:hyperlink>
        </w:p>
        <w:p>
          <w:pPr>
            <w:pStyle w:val="Contents4"/>
            <w:tabs>
              <w:tab w:val="clear" w:pos="8176"/>
              <w:tab w:val="right" w:pos="9026" w:leader="dot"/>
            </w:tabs>
            <w:rPr/>
          </w:pPr>
          <w:hyperlink w:anchor="__RefHeading___Toc146490_2142443653">
            <w:r>
              <w:rPr>
                <w:webHidden/>
                <w:rStyle w:val="IndexLink"/>
                <w:rtl w:val="true"/>
              </w:rPr>
              <w:t>التخییر بین التیمّم بالطین وغبار الثوب</w:t>
            </w:r>
            <w:r>
              <w:rPr>
                <w:rStyle w:val="IndexLink"/>
                <w:rtl w:val="true"/>
              </w:rPr>
              <w:tab/>
            </w:r>
            <w:r>
              <w:rPr>
                <w:rStyle w:val="IndexLink"/>
              </w:rPr>
              <w:t>39</w:t>
            </w:r>
          </w:hyperlink>
        </w:p>
        <w:p>
          <w:pPr>
            <w:pStyle w:val="Contents4"/>
            <w:tabs>
              <w:tab w:val="clear" w:pos="8176"/>
              <w:tab w:val="right" w:pos="9026" w:leader="dot"/>
            </w:tabs>
            <w:rPr/>
          </w:pPr>
          <w:hyperlink w:anchor="__RefHeading___Toc146492_2142443653">
            <w:r>
              <w:rPr>
                <w:webHidden/>
                <w:rStyle w:val="IndexLink"/>
                <w:rtl w:val="true"/>
              </w:rPr>
              <w:t>هل یجوز التیمّم بالثوب الذی لاغبار فیه؟</w:t>
            </w:r>
            <w:r>
              <w:rPr>
                <w:rStyle w:val="IndexLink"/>
                <w:rtl w:val="true"/>
              </w:rPr>
              <w:tab/>
            </w:r>
            <w:r>
              <w:rPr>
                <w:rStyle w:val="IndexLink"/>
              </w:rPr>
              <w:t>39</w:t>
            </w:r>
          </w:hyperlink>
        </w:p>
        <w:p>
          <w:pPr>
            <w:pStyle w:val="Contents4"/>
            <w:tabs>
              <w:tab w:val="clear" w:pos="8176"/>
              <w:tab w:val="right" w:pos="9026" w:leader="dot"/>
            </w:tabs>
            <w:rPr/>
          </w:pPr>
          <w:hyperlink w:anchor="__RefHeading___Toc146494_2142443653">
            <w:r>
              <w:rPr>
                <w:webHidden/>
                <w:rStyle w:val="IndexLink"/>
                <w:rtl w:val="true"/>
              </w:rPr>
              <w:t>هل الطین والوحل واحد؟</w:t>
            </w:r>
            <w:r>
              <w:rPr>
                <w:rStyle w:val="IndexLink"/>
                <w:rtl w:val="true"/>
              </w:rPr>
              <w:tab/>
            </w:r>
            <w:r>
              <w:rPr>
                <w:rStyle w:val="IndexLink"/>
              </w:rPr>
              <w:t>40</w:t>
            </w:r>
          </w:hyperlink>
        </w:p>
        <w:p>
          <w:pPr>
            <w:pStyle w:val="Contents3"/>
            <w:tabs>
              <w:tab w:val="clear" w:pos="8459"/>
              <w:tab w:val="right" w:pos="9026" w:leader="dot"/>
            </w:tabs>
            <w:rPr/>
          </w:pPr>
          <w:hyperlink w:anchor="__RefHeading___Toc146496_2142443653">
            <w:r>
              <w:rPr>
                <w:webHidden/>
                <w:rStyle w:val="IndexLink"/>
                <w:rtl w:val="true"/>
              </w:rPr>
              <w:t>الرجل یکون فی أرض غطاها الثلج</w:t>
            </w:r>
            <w:r>
              <w:rPr>
                <w:rStyle w:val="IndexLink"/>
                <w:rtl w:val="true"/>
              </w:rPr>
              <w:tab/>
            </w:r>
            <w:r>
              <w:rPr>
                <w:rStyle w:val="IndexLink"/>
              </w:rPr>
              <w:t>41</w:t>
            </w:r>
          </w:hyperlink>
        </w:p>
        <w:p>
          <w:pPr>
            <w:pStyle w:val="Contents4"/>
            <w:tabs>
              <w:tab w:val="clear" w:pos="8176"/>
              <w:tab w:val="right" w:pos="9026" w:leader="dot"/>
            </w:tabs>
            <w:rPr/>
          </w:pPr>
          <w:hyperlink w:anchor="__RefHeading___Toc146498_2142443653">
            <w:r>
              <w:rPr>
                <w:webHidden/>
                <w:rStyle w:val="IndexLink"/>
                <w:rtl w:val="true"/>
              </w:rPr>
              <w:t>بحث حول علی بن إسماعیل</w:t>
            </w:r>
            <w:r>
              <w:rPr>
                <w:rStyle w:val="IndexLink"/>
                <w:rtl w:val="true"/>
              </w:rPr>
              <w:tab/>
            </w:r>
            <w:r>
              <w:rPr>
                <w:rStyle w:val="IndexLink"/>
              </w:rPr>
              <w:t>41</w:t>
            </w:r>
          </w:hyperlink>
        </w:p>
        <w:p>
          <w:pPr>
            <w:pStyle w:val="Contents4"/>
            <w:tabs>
              <w:tab w:val="clear" w:pos="8176"/>
              <w:tab w:val="right" w:pos="9026" w:leader="dot"/>
            </w:tabs>
            <w:rPr/>
          </w:pPr>
          <w:hyperlink w:anchor="__RefHeading___Toc146500_2142443653">
            <w:r>
              <w:rPr>
                <w:webHidden/>
                <w:rStyle w:val="IndexLink"/>
                <w:rtl w:val="true"/>
              </w:rPr>
              <w:t>معاویة بن شریح مهمل</w:t>
            </w:r>
            <w:r>
              <w:rPr>
                <w:rStyle w:val="IndexLink"/>
                <w:rtl w:val="true"/>
              </w:rPr>
              <w:tab/>
            </w:r>
            <w:r>
              <w:rPr>
                <w:rStyle w:val="IndexLink"/>
              </w:rPr>
              <w:t>44</w:t>
            </w:r>
          </w:hyperlink>
        </w:p>
        <w:p>
          <w:pPr>
            <w:pStyle w:val="Contents4"/>
            <w:tabs>
              <w:tab w:val="clear" w:pos="8176"/>
              <w:tab w:val="right" w:pos="9026" w:leader="dot"/>
            </w:tabs>
            <w:rPr/>
          </w:pPr>
          <w:hyperlink w:anchor="__RefHeading___Toc146502_2142443653">
            <w:r>
              <w:rPr>
                <w:webHidden/>
                <w:rStyle w:val="IndexLink"/>
                <w:rtl w:val="true"/>
              </w:rPr>
              <w:t>قول العلّامة فی حکم من لایجد إلّا الثلج ، والمناقشة فیه</w:t>
            </w:r>
            <w:r>
              <w:rPr>
                <w:rStyle w:val="IndexLink"/>
                <w:rtl w:val="true"/>
              </w:rPr>
              <w:tab/>
            </w:r>
            <w:r>
              <w:rPr>
                <w:rStyle w:val="IndexLink"/>
              </w:rPr>
              <w:t>44</w:t>
            </w:r>
          </w:hyperlink>
        </w:p>
        <w:p>
          <w:pPr>
            <w:pStyle w:val="Contents4"/>
            <w:tabs>
              <w:tab w:val="clear" w:pos="8176"/>
              <w:tab w:val="right" w:pos="9026" w:leader="dot"/>
            </w:tabs>
            <w:rPr/>
          </w:pPr>
          <w:hyperlink w:anchor="__RefHeading___Toc146504_2142443653">
            <w:r>
              <w:rPr>
                <w:webHidden/>
                <w:rStyle w:val="IndexLink"/>
                <w:rtl w:val="true"/>
              </w:rPr>
              <w:t>قول ابن إدریس فی المسألة</w:t>
            </w:r>
            <w:r>
              <w:rPr>
                <w:rStyle w:val="IndexLink"/>
                <w:rtl w:val="true"/>
              </w:rPr>
              <w:tab/>
            </w:r>
            <w:r>
              <w:rPr>
                <w:rStyle w:val="IndexLink"/>
              </w:rPr>
              <w:t>46</w:t>
            </w:r>
          </w:hyperlink>
        </w:p>
        <w:p>
          <w:pPr>
            <w:pStyle w:val="Contents4"/>
            <w:tabs>
              <w:tab w:val="clear" w:pos="8176"/>
              <w:tab w:val="right" w:pos="9026" w:leader="dot"/>
            </w:tabs>
            <w:rPr/>
          </w:pPr>
          <w:hyperlink w:anchor="__RefHeading___Toc146506_2142443653">
            <w:r>
              <w:rPr>
                <w:webHidden/>
                <w:rStyle w:val="IndexLink"/>
                <w:rtl w:val="true"/>
              </w:rPr>
              <w:t>قول المفید فی المسألة</w:t>
            </w:r>
            <w:r>
              <w:rPr>
                <w:rStyle w:val="IndexLink"/>
                <w:rtl w:val="true"/>
              </w:rPr>
              <w:tab/>
            </w:r>
            <w:r>
              <w:rPr>
                <w:rStyle w:val="IndexLink"/>
              </w:rPr>
              <w:t>46</w:t>
            </w:r>
          </w:hyperlink>
        </w:p>
        <w:p>
          <w:pPr>
            <w:pStyle w:val="Contents4"/>
            <w:tabs>
              <w:tab w:val="clear" w:pos="8176"/>
              <w:tab w:val="right" w:pos="9026" w:leader="dot"/>
            </w:tabs>
            <w:rPr/>
          </w:pPr>
          <w:hyperlink w:anchor="__RefHeading___Toc146508_2142443653">
            <w:r>
              <w:rPr>
                <w:webHidden/>
                <w:rStyle w:val="IndexLink"/>
                <w:rtl w:val="true"/>
              </w:rPr>
              <w:t>معنی الدَمَق</w:t>
            </w:r>
            <w:r>
              <w:rPr>
                <w:rStyle w:val="IndexLink"/>
                <w:rtl w:val="true"/>
              </w:rPr>
              <w:tab/>
            </w:r>
            <w:r>
              <w:rPr>
                <w:rStyle w:val="IndexLink"/>
              </w:rPr>
              <w:t>47</w:t>
            </w:r>
          </w:hyperlink>
        </w:p>
        <w:p>
          <w:pPr>
            <w:pStyle w:val="Contents4"/>
            <w:tabs>
              <w:tab w:val="clear" w:pos="8176"/>
              <w:tab w:val="right" w:pos="9026" w:leader="dot"/>
            </w:tabs>
            <w:rPr/>
          </w:pPr>
          <w:hyperlink w:anchor="__RefHeading___Toc146510_2142443653">
            <w:r>
              <w:rPr>
                <w:webHidden/>
                <w:rStyle w:val="IndexLink"/>
                <w:rtl w:val="true"/>
              </w:rPr>
              <w:t>العبیدی هو محمّد بن عیسی</w:t>
            </w:r>
            <w:r>
              <w:rPr>
                <w:rStyle w:val="IndexLink"/>
                <w:rtl w:val="true"/>
              </w:rPr>
              <w:tab/>
            </w:r>
            <w:r>
              <w:rPr>
                <w:rStyle w:val="IndexLink"/>
              </w:rPr>
              <w:t>48</w:t>
            </w:r>
          </w:hyperlink>
        </w:p>
        <w:p>
          <w:pPr>
            <w:pStyle w:val="Contents4"/>
            <w:tabs>
              <w:tab w:val="clear" w:pos="8176"/>
              <w:tab w:val="right" w:pos="9026" w:leader="dot"/>
            </w:tabs>
            <w:rPr/>
          </w:pPr>
          <w:hyperlink w:anchor="__RefHeading___Toc146512_2142443653">
            <w:r>
              <w:rPr>
                <w:webHidden/>
                <w:rStyle w:val="IndexLink"/>
                <w:rtl w:val="true"/>
              </w:rPr>
              <w:t>طریق الشیخ إلی محمّد بن علی بن محبوب</w:t>
            </w:r>
            <w:r>
              <w:rPr>
                <w:rStyle w:val="IndexLink"/>
                <w:rtl w:val="true"/>
              </w:rPr>
              <w:tab/>
            </w:r>
            <w:r>
              <w:rPr>
                <w:rStyle w:val="IndexLink"/>
              </w:rPr>
              <w:t>48</w:t>
            </w:r>
          </w:hyperlink>
        </w:p>
        <w:p>
          <w:pPr>
            <w:pStyle w:val="Contents4"/>
            <w:tabs>
              <w:tab w:val="clear" w:pos="8176"/>
              <w:tab w:val="right" w:pos="9026" w:leader="dot"/>
            </w:tabs>
            <w:rPr/>
          </w:pPr>
          <w:hyperlink w:anchor="__RefHeading___Toc146514_2142443653">
            <w:r>
              <w:rPr>
                <w:webHidden/>
                <w:rStyle w:val="IndexLink"/>
                <w:rtl w:val="true"/>
              </w:rPr>
              <w:t>بحث حول محمّد بن أحمد العلوی</w:t>
            </w:r>
            <w:r>
              <w:rPr>
                <w:rStyle w:val="IndexLink"/>
                <w:rtl w:val="true"/>
              </w:rPr>
              <w:tab/>
            </w:r>
            <w:r>
              <w:rPr>
                <w:rStyle w:val="IndexLink"/>
              </w:rPr>
              <w:t>49</w:t>
            </w:r>
          </w:hyperlink>
        </w:p>
        <w:p>
          <w:pPr>
            <w:pStyle w:val="Contents4"/>
            <w:tabs>
              <w:tab w:val="clear" w:pos="8176"/>
              <w:tab w:val="right" w:pos="9026" w:leader="dot"/>
            </w:tabs>
            <w:rPr/>
          </w:pPr>
          <w:hyperlink w:anchor="__RefHeading___Toc146516_2142443653">
            <w:r>
              <w:rPr>
                <w:webHidden/>
                <w:rStyle w:val="IndexLink"/>
                <w:rtl w:val="true"/>
              </w:rPr>
              <w:t>ظهور روایة محمّد بن مسلم فی تعیّن التیمّم وإن أمکن الغسل بالثلج</w:t>
            </w:r>
            <w:r>
              <w:rPr>
                <w:rStyle w:val="IndexLink"/>
                <w:rtl w:val="true"/>
              </w:rPr>
              <w:tab/>
            </w:r>
            <w:r>
              <w:rPr>
                <w:rStyle w:val="IndexLink"/>
              </w:rPr>
              <w:t>49</w:t>
            </w:r>
          </w:hyperlink>
        </w:p>
        <w:p>
          <w:pPr>
            <w:pStyle w:val="Contents4"/>
            <w:tabs>
              <w:tab w:val="clear" w:pos="8176"/>
              <w:tab w:val="right" w:pos="9026" w:leader="dot"/>
            </w:tabs>
            <w:rPr/>
          </w:pPr>
          <w:hyperlink w:anchor="__RefHeading___Toc146518_2142443653">
            <w:r>
              <w:rPr>
                <w:webHidden/>
                <w:rStyle w:val="IndexLink"/>
                <w:rtl w:val="true"/>
              </w:rPr>
              <w:t>ما المراد بالتیمّم فی حدیث محمّد بن مسلم؟</w:t>
            </w:r>
            <w:r>
              <w:rPr>
                <w:rStyle w:val="IndexLink"/>
                <w:rtl w:val="true"/>
              </w:rPr>
              <w:tab/>
            </w:r>
            <w:r>
              <w:rPr>
                <w:rStyle w:val="IndexLink"/>
              </w:rPr>
              <w:t>50</w:t>
            </w:r>
          </w:hyperlink>
        </w:p>
        <w:p>
          <w:pPr>
            <w:pStyle w:val="Contents4"/>
            <w:tabs>
              <w:tab w:val="clear" w:pos="8176"/>
              <w:tab w:val="right" w:pos="9026" w:leader="dot"/>
            </w:tabs>
            <w:rPr/>
          </w:pPr>
          <w:hyperlink w:anchor="__RefHeading___Toc146520_2142443653">
            <w:r>
              <w:rPr>
                <w:webHidden/>
                <w:rStyle w:val="IndexLink"/>
                <w:rtl w:val="true"/>
              </w:rPr>
              <w:t>معنی تُوبِقُ</w:t>
            </w:r>
            <w:r>
              <w:rPr>
                <w:rStyle w:val="IndexLink"/>
                <w:rtl w:val="true"/>
              </w:rPr>
              <w:tab/>
            </w:r>
            <w:r>
              <w:rPr>
                <w:rStyle w:val="IndexLink"/>
              </w:rPr>
              <w:t>51</w:t>
            </w:r>
          </w:hyperlink>
        </w:p>
        <w:p>
          <w:pPr>
            <w:pStyle w:val="Contents3"/>
            <w:tabs>
              <w:tab w:val="clear" w:pos="8459"/>
              <w:tab w:val="right" w:pos="9026" w:leader="dot"/>
            </w:tabs>
            <w:rPr/>
          </w:pPr>
          <w:hyperlink w:anchor="__RefHeading___Toc146522_2142443653">
            <w:r>
              <w:rPr>
                <w:webHidden/>
                <w:rStyle w:val="IndexLink"/>
                <w:rtl w:val="true"/>
              </w:rPr>
              <w:t>المتیمّم إذا وجد الماء لا یجب علیه إعادة الصلاة</w:t>
            </w:r>
            <w:r>
              <w:rPr>
                <w:rStyle w:val="IndexLink"/>
                <w:rtl w:val="true"/>
              </w:rPr>
              <w:tab/>
            </w:r>
            <w:r>
              <w:rPr>
                <w:rStyle w:val="IndexLink"/>
              </w:rPr>
              <w:t>51</w:t>
            </w:r>
          </w:hyperlink>
        </w:p>
        <w:p>
          <w:pPr>
            <w:pStyle w:val="Contents4"/>
            <w:tabs>
              <w:tab w:val="clear" w:pos="8176"/>
              <w:tab w:val="right" w:pos="9026" w:leader="dot"/>
            </w:tabs>
            <w:rPr/>
          </w:pPr>
          <w:hyperlink w:anchor="__RefHeading___Toc146524_2142443653">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46526_2142443653">
            <w:r>
              <w:rPr>
                <w:webHidden/>
                <w:rStyle w:val="IndexLink"/>
                <w:rtl w:val="true"/>
              </w:rPr>
              <w:t>بحث حول عمر بن اُذینة</w:t>
            </w:r>
            <w:r>
              <w:rPr>
                <w:rStyle w:val="IndexLink"/>
                <w:rtl w:val="true"/>
              </w:rPr>
              <w:tab/>
            </w:r>
            <w:r>
              <w:rPr>
                <w:rStyle w:val="IndexLink"/>
              </w:rPr>
              <w:t>52</w:t>
            </w:r>
          </w:hyperlink>
        </w:p>
        <w:p>
          <w:pPr>
            <w:pStyle w:val="Contents4"/>
            <w:tabs>
              <w:tab w:val="clear" w:pos="8176"/>
              <w:tab w:val="right" w:pos="9026" w:leader="dot"/>
            </w:tabs>
            <w:rPr/>
          </w:pPr>
          <w:hyperlink w:anchor="__RefHeading___Toc146528_2142443653">
            <w:r>
              <w:rPr>
                <w:webHidden/>
                <w:rStyle w:val="IndexLink"/>
                <w:rtl w:val="true"/>
              </w:rPr>
              <w:t>وجوب طلب الماء علی السمافر وکیفیّته</w:t>
            </w:r>
            <w:r>
              <w:rPr>
                <w:rStyle w:val="IndexLink"/>
                <w:rtl w:val="true"/>
              </w:rPr>
              <w:tab/>
            </w:r>
            <w:r>
              <w:rPr>
                <w:rStyle w:val="IndexLink"/>
              </w:rPr>
              <w:t>52</w:t>
            </w:r>
          </w:hyperlink>
        </w:p>
        <w:p>
          <w:pPr>
            <w:pStyle w:val="Contents4"/>
            <w:tabs>
              <w:tab w:val="clear" w:pos="8176"/>
              <w:tab w:val="right" w:pos="9026" w:leader="dot"/>
            </w:tabs>
            <w:rPr/>
          </w:pPr>
          <w:hyperlink w:anchor="__RefHeading___Toc146530_2142443653">
            <w:r>
              <w:rPr>
                <w:webHidden/>
                <w:rStyle w:val="IndexLink"/>
                <w:rtl w:val="true"/>
              </w:rPr>
              <w:t>ما المراد بالطهور فی حدیث ابن سنان؟</w:t>
            </w:r>
            <w:r>
              <w:rPr>
                <w:rStyle w:val="IndexLink"/>
                <w:rtl w:val="true"/>
              </w:rPr>
              <w:tab/>
            </w:r>
            <w:r>
              <w:rPr>
                <w:rStyle w:val="IndexLink"/>
              </w:rPr>
              <w:t>53</w:t>
            </w:r>
          </w:hyperlink>
        </w:p>
        <w:p>
          <w:pPr>
            <w:pStyle w:val="Contents4"/>
            <w:tabs>
              <w:tab w:val="clear" w:pos="8176"/>
              <w:tab w:val="right" w:pos="9026" w:leader="dot"/>
            </w:tabs>
            <w:rPr/>
          </w:pPr>
          <w:hyperlink w:anchor="__RefHeading___Toc146532_2142443653">
            <w:r>
              <w:rPr>
                <w:webHidden/>
                <w:rStyle w:val="IndexLink"/>
                <w:rtl w:val="true"/>
              </w:rPr>
              <w:t>بحث حول محمّد بن خالد</w:t>
            </w:r>
            <w:r>
              <w:rPr>
                <w:rStyle w:val="IndexLink"/>
                <w:rtl w:val="true"/>
              </w:rPr>
              <w:tab/>
            </w:r>
            <w:r>
              <w:rPr>
                <w:rStyle w:val="IndexLink"/>
              </w:rPr>
              <w:t>55</w:t>
            </w:r>
          </w:hyperlink>
        </w:p>
        <w:p>
          <w:pPr>
            <w:pStyle w:val="Contents4"/>
            <w:tabs>
              <w:tab w:val="clear" w:pos="8176"/>
              <w:tab w:val="right" w:pos="9026" w:leader="dot"/>
            </w:tabs>
            <w:rPr/>
          </w:pPr>
          <w:hyperlink w:anchor="__RefHeading___Toc146534_2142443653">
            <w:r>
              <w:rPr>
                <w:webHidden/>
                <w:rStyle w:val="IndexLink"/>
                <w:rtl w:val="true"/>
              </w:rPr>
              <w:t>توجیه ما دلّ علی إعادة الصلاة لمن صلّی بالتیمّم ثمّ وجد الماء</w:t>
            </w:r>
            <w:r>
              <w:rPr>
                <w:rStyle w:val="IndexLink"/>
                <w:rtl w:val="true"/>
              </w:rPr>
              <w:tab/>
            </w:r>
            <w:r>
              <w:rPr>
                <w:rStyle w:val="IndexLink"/>
              </w:rPr>
              <w:t>56</w:t>
            </w:r>
          </w:hyperlink>
        </w:p>
        <w:p>
          <w:pPr>
            <w:pStyle w:val="Contents4"/>
            <w:tabs>
              <w:tab w:val="clear" w:pos="8176"/>
              <w:tab w:val="right" w:pos="9026" w:leader="dot"/>
            </w:tabs>
            <w:rPr/>
          </w:pPr>
          <w:hyperlink w:anchor="__RefHeading___Toc146536_2142443653">
            <w:r>
              <w:rPr>
                <w:webHidden/>
                <w:rStyle w:val="IndexLink"/>
                <w:rtl w:val="true"/>
              </w:rPr>
              <w:t>بحث حول حمّاد</w:t>
            </w:r>
            <w:r>
              <w:rPr>
                <w:rStyle w:val="IndexLink"/>
                <w:rtl w:val="true"/>
              </w:rPr>
              <w:tab/>
            </w:r>
            <w:r>
              <w:rPr>
                <w:rStyle w:val="IndexLink"/>
              </w:rPr>
              <w:t>59</w:t>
            </w:r>
          </w:hyperlink>
        </w:p>
        <w:p>
          <w:pPr>
            <w:pStyle w:val="Contents4"/>
            <w:tabs>
              <w:tab w:val="clear" w:pos="8176"/>
              <w:tab w:val="right" w:pos="9026" w:leader="dot"/>
            </w:tabs>
            <w:rPr/>
          </w:pPr>
          <w:hyperlink w:anchor="__RefHeading___Toc146538_2142443653">
            <w:r>
              <w:rPr>
                <w:webHidden/>
                <w:rStyle w:val="IndexLink"/>
                <w:rtl w:val="true"/>
              </w:rPr>
              <w:t>معاویة بن میسرة مهمل</w:t>
            </w:r>
            <w:r>
              <w:rPr>
                <w:rStyle w:val="IndexLink"/>
                <w:rtl w:val="true"/>
              </w:rPr>
              <w:tab/>
            </w:r>
            <w:r>
              <w:rPr>
                <w:rStyle w:val="IndexLink"/>
              </w:rPr>
              <w:t>59</w:t>
            </w:r>
          </w:hyperlink>
        </w:p>
        <w:p>
          <w:pPr>
            <w:pStyle w:val="Contents4"/>
            <w:tabs>
              <w:tab w:val="clear" w:pos="8176"/>
              <w:tab w:val="right" w:pos="9026" w:leader="dot"/>
            </w:tabs>
            <w:rPr/>
          </w:pPr>
          <w:hyperlink w:anchor="__RefHeading___Toc146540_2142443653">
            <w:r>
              <w:rPr>
                <w:webHidden/>
                <w:rStyle w:val="IndexLink"/>
                <w:rtl w:val="true"/>
              </w:rPr>
              <w:t>ظهور الأخبار فی جواز التیمّم قبل آخر الوقت</w:t>
            </w:r>
            <w:r>
              <w:rPr>
                <w:rStyle w:val="IndexLink"/>
                <w:rtl w:val="true"/>
              </w:rPr>
              <w:tab/>
            </w:r>
            <w:r>
              <w:rPr>
                <w:rStyle w:val="IndexLink"/>
              </w:rPr>
              <w:t>60</w:t>
            </w:r>
          </w:hyperlink>
        </w:p>
        <w:p>
          <w:pPr>
            <w:pStyle w:val="Contents4"/>
            <w:tabs>
              <w:tab w:val="clear" w:pos="8176"/>
              <w:tab w:val="right" w:pos="9026" w:leader="dot"/>
            </w:tabs>
            <w:rPr/>
          </w:pPr>
          <w:hyperlink w:anchor="__RefHeading___Toc146542_2142443653">
            <w:r>
              <w:rPr>
                <w:webHidden/>
                <w:rStyle w:val="IndexLink"/>
                <w:rtl w:val="true"/>
              </w:rPr>
              <w:t>قول ابن بابویه بجواز التیمّم فی أوّل الوقت وجواب العلّامة عنه</w:t>
            </w:r>
            <w:r>
              <w:rPr>
                <w:rStyle w:val="IndexLink"/>
                <w:rtl w:val="true"/>
              </w:rPr>
              <w:tab/>
            </w:r>
            <w:r>
              <w:rPr>
                <w:rStyle w:val="IndexLink"/>
              </w:rPr>
              <w:t>61</w:t>
            </w:r>
          </w:hyperlink>
        </w:p>
        <w:p>
          <w:pPr>
            <w:pStyle w:val="Contents4"/>
            <w:tabs>
              <w:tab w:val="clear" w:pos="8176"/>
              <w:tab w:val="right" w:pos="9026" w:leader="dot"/>
            </w:tabs>
            <w:rPr/>
          </w:pPr>
          <w:hyperlink w:anchor="__RefHeading___Toc146544_2142443653">
            <w:r>
              <w:rPr>
                <w:webHidden/>
                <w:rStyle w:val="IndexLink"/>
                <w:rtl w:val="true"/>
              </w:rPr>
              <w:t>المناقشة فی جواب العلّامة</w:t>
            </w:r>
            <w:r>
              <w:rPr>
                <w:rStyle w:val="IndexLink"/>
                <w:rtl w:val="true"/>
              </w:rPr>
              <w:tab/>
            </w:r>
            <w:r>
              <w:rPr>
                <w:rStyle w:val="IndexLink"/>
              </w:rPr>
              <w:t>61</w:t>
            </w:r>
          </w:hyperlink>
        </w:p>
        <w:p>
          <w:pPr>
            <w:pStyle w:val="Contents4"/>
            <w:tabs>
              <w:tab w:val="clear" w:pos="8176"/>
              <w:tab w:val="right" w:pos="9026" w:leader="dot"/>
            </w:tabs>
            <w:rPr/>
          </w:pPr>
          <w:hyperlink w:anchor="__RefHeading___Toc146546_2142443653">
            <w:r>
              <w:rPr>
                <w:webHidden/>
                <w:rStyle w:val="IndexLink"/>
                <w:rtl w:val="true"/>
              </w:rPr>
              <w:t>الجمع بین ما دلّ علی وجوب الطلب وآیة التیمّم</w:t>
            </w:r>
            <w:r>
              <w:rPr>
                <w:rStyle w:val="IndexLink"/>
                <w:rtl w:val="true"/>
              </w:rPr>
              <w:tab/>
            </w:r>
            <w:r>
              <w:rPr>
                <w:rStyle w:val="IndexLink"/>
              </w:rPr>
              <w:t>65</w:t>
            </w:r>
          </w:hyperlink>
        </w:p>
        <w:p>
          <w:pPr>
            <w:pStyle w:val="Contents4"/>
            <w:tabs>
              <w:tab w:val="clear" w:pos="8176"/>
              <w:tab w:val="right" w:pos="9026" w:leader="dot"/>
            </w:tabs>
            <w:rPr/>
          </w:pPr>
          <w:hyperlink w:anchor="__RefHeading___Toc146548_2142443653">
            <w:r>
              <w:rPr>
                <w:webHidden/>
                <w:rStyle w:val="IndexLink"/>
                <w:rtl w:val="true"/>
              </w:rPr>
              <w:t>استدلال المحقّق الأردبیلی للتوسعة فی التیمّم مطلقاً</w:t>
            </w:r>
            <w:r>
              <w:rPr>
                <w:rStyle w:val="IndexLink"/>
                <w:rtl w:val="true"/>
              </w:rPr>
              <w:tab/>
            </w:r>
            <w:r>
              <w:rPr>
                <w:rStyle w:val="IndexLink"/>
              </w:rPr>
              <w:t>66</w:t>
            </w:r>
          </w:hyperlink>
        </w:p>
        <w:p>
          <w:pPr>
            <w:pStyle w:val="Contents3"/>
            <w:tabs>
              <w:tab w:val="clear" w:pos="8459"/>
              <w:tab w:val="right" w:pos="9026" w:leader="dot"/>
            </w:tabs>
            <w:rPr/>
          </w:pPr>
          <w:hyperlink w:anchor="__RefHeading___Toc146550_2142443653">
            <w:r>
              <w:rPr>
                <w:webHidden/>
                <w:rStyle w:val="IndexLink"/>
                <w:rtl w:val="true"/>
              </w:rPr>
              <w:t>الجنب إذا تیمّم وصلّی هل تجب علیه الإعادة أم لا؟</w:t>
            </w:r>
            <w:r>
              <w:rPr>
                <w:rStyle w:val="IndexLink"/>
                <w:rtl w:val="true"/>
              </w:rPr>
              <w:tab/>
            </w:r>
            <w:r>
              <w:rPr>
                <w:rStyle w:val="IndexLink"/>
              </w:rPr>
              <w:t>67</w:t>
            </w:r>
          </w:hyperlink>
        </w:p>
        <w:p>
          <w:pPr>
            <w:pStyle w:val="Contents4"/>
            <w:tabs>
              <w:tab w:val="clear" w:pos="8176"/>
              <w:tab w:val="right" w:pos="9026" w:leader="dot"/>
            </w:tabs>
            <w:rPr/>
          </w:pPr>
          <w:hyperlink w:anchor="__RefHeading___Toc146552_2142443653">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46554_2142443653">
            <w:r>
              <w:rPr>
                <w:webHidden/>
                <w:rStyle w:val="IndexLink"/>
                <w:rtl w:val="true"/>
              </w:rPr>
              <w:t>بحث حول العیص</w:t>
            </w:r>
            <w:r>
              <w:rPr>
                <w:rStyle w:val="IndexLink"/>
                <w:rtl w:val="true"/>
              </w:rPr>
              <w:tab/>
            </w:r>
            <w:r>
              <w:rPr>
                <w:rStyle w:val="IndexLink"/>
              </w:rPr>
              <w:t>68</w:t>
            </w:r>
          </w:hyperlink>
        </w:p>
        <w:p>
          <w:pPr>
            <w:pStyle w:val="Contents4"/>
            <w:tabs>
              <w:tab w:val="clear" w:pos="8176"/>
              <w:tab w:val="right" w:pos="9026" w:leader="dot"/>
            </w:tabs>
            <w:rPr/>
          </w:pPr>
          <w:hyperlink w:anchor="__RefHeading___Toc146556_2142443653">
            <w:r>
              <w:rPr>
                <w:webHidden/>
                <w:rStyle w:val="IndexLink"/>
                <w:rtl w:val="true"/>
              </w:rPr>
              <w:t>دلالة الأخبار علی إجزاء الصلاة الواقعة بالتیمّم وعدم وجوب إعادتها مطلقاً</w:t>
            </w:r>
            <w:r>
              <w:rPr>
                <w:rStyle w:val="IndexLink"/>
                <w:rtl w:val="true"/>
              </w:rPr>
              <w:tab/>
            </w:r>
            <w:r>
              <w:rPr>
                <w:rStyle w:val="IndexLink"/>
              </w:rPr>
              <w:t>69</w:t>
            </w:r>
          </w:hyperlink>
        </w:p>
        <w:p>
          <w:pPr>
            <w:pStyle w:val="Contents4"/>
            <w:tabs>
              <w:tab w:val="clear" w:pos="8176"/>
              <w:tab w:val="right" w:pos="9026" w:leader="dot"/>
            </w:tabs>
            <w:rPr/>
          </w:pPr>
          <w:hyperlink w:anchor="__RefHeading___Toc146558_2142443653">
            <w:r>
              <w:rPr>
                <w:webHidden/>
                <w:rStyle w:val="IndexLink"/>
                <w:rtl w:val="true"/>
              </w:rPr>
              <w:t>محمّد بن أحمد بن یحی لایروی عن سعد</w:t>
            </w:r>
            <w:r>
              <w:rPr>
                <w:rStyle w:val="IndexLink"/>
                <w:rtl w:val="true"/>
              </w:rPr>
              <w:tab/>
            </w:r>
            <w:r>
              <w:rPr>
                <w:rStyle w:val="IndexLink"/>
              </w:rPr>
              <w:t>71</w:t>
            </w:r>
          </w:hyperlink>
        </w:p>
        <w:p>
          <w:pPr>
            <w:pStyle w:val="Contents4"/>
            <w:tabs>
              <w:tab w:val="clear" w:pos="8176"/>
              <w:tab w:val="right" w:pos="9026" w:leader="dot"/>
            </w:tabs>
            <w:rPr/>
          </w:pPr>
          <w:hyperlink w:anchor="__RefHeading___Toc146560_2142443653">
            <w:r>
              <w:rPr>
                <w:webHidden/>
                <w:rStyle w:val="IndexLink"/>
                <w:rtl w:val="true"/>
              </w:rPr>
              <w:t>بحث حول محمّد بن الحسین وسعد وطبقتهما</w:t>
            </w:r>
            <w:r>
              <w:rPr>
                <w:rStyle w:val="IndexLink"/>
                <w:rtl w:val="true"/>
              </w:rPr>
              <w:tab/>
            </w:r>
            <w:r>
              <w:rPr>
                <w:rStyle w:val="IndexLink"/>
              </w:rPr>
              <w:t>72</w:t>
            </w:r>
          </w:hyperlink>
        </w:p>
        <w:p>
          <w:pPr>
            <w:pStyle w:val="Contents4"/>
            <w:tabs>
              <w:tab w:val="clear" w:pos="8176"/>
              <w:tab w:val="right" w:pos="9026" w:leader="dot"/>
            </w:tabs>
            <w:rPr/>
          </w:pPr>
          <w:hyperlink w:anchor="__RefHeading___Toc146562_2142443653">
            <w:r>
              <w:rPr>
                <w:webHidden/>
                <w:rStyle w:val="IndexLink"/>
                <w:rtl w:val="true"/>
              </w:rPr>
              <w:t>المناقشة فی توجیه الشیخ لما دلّ علی وجوب الإعادة</w:t>
            </w:r>
            <w:r>
              <w:rPr>
                <w:rStyle w:val="IndexLink"/>
                <w:rtl w:val="true"/>
              </w:rPr>
              <w:tab/>
            </w:r>
            <w:r>
              <w:rPr>
                <w:rStyle w:val="IndexLink"/>
              </w:rPr>
              <w:t>73</w:t>
            </w:r>
          </w:hyperlink>
        </w:p>
        <w:p>
          <w:pPr>
            <w:pStyle w:val="Contents4"/>
            <w:tabs>
              <w:tab w:val="clear" w:pos="8176"/>
              <w:tab w:val="right" w:pos="9026" w:leader="dot"/>
            </w:tabs>
            <w:rPr/>
          </w:pPr>
          <w:hyperlink w:anchor="__RefHeading___Toc146564_2142443653">
            <w:r>
              <w:rPr>
                <w:webHidden/>
                <w:rStyle w:val="IndexLink"/>
                <w:rtl w:val="true"/>
              </w:rPr>
              <w:t>علی بن أحمد بن أشیم غیر معلوم الحال</w:t>
            </w:r>
            <w:r>
              <w:rPr>
                <w:rStyle w:val="IndexLink"/>
                <w:rtl w:val="true"/>
              </w:rPr>
              <w:tab/>
            </w:r>
            <w:r>
              <w:rPr>
                <w:rStyle w:val="IndexLink"/>
              </w:rPr>
              <w:t>77</w:t>
            </w:r>
          </w:hyperlink>
        </w:p>
        <w:p>
          <w:pPr>
            <w:pStyle w:val="Contents4"/>
            <w:tabs>
              <w:tab w:val="clear" w:pos="8176"/>
              <w:tab w:val="right" w:pos="9026" w:leader="dot"/>
            </w:tabs>
            <w:rPr/>
          </w:pPr>
          <w:hyperlink w:anchor="__RefHeading___Toc146566_2142443653">
            <w:r>
              <w:rPr>
                <w:webHidden/>
                <w:rStyle w:val="IndexLink"/>
                <w:rtl w:val="true"/>
              </w:rPr>
              <w:t>أبو بصیر الذی یروی عنه شعیب العقرقونی هو المخلط</w:t>
            </w:r>
            <w:r>
              <w:rPr>
                <w:rStyle w:val="IndexLink"/>
                <w:rtl w:val="true"/>
              </w:rPr>
              <w:tab/>
            </w:r>
            <w:r>
              <w:rPr>
                <w:rStyle w:val="IndexLink"/>
              </w:rPr>
              <w:t>78</w:t>
            </w:r>
          </w:hyperlink>
        </w:p>
        <w:p>
          <w:pPr>
            <w:pStyle w:val="Contents4"/>
            <w:tabs>
              <w:tab w:val="clear" w:pos="8176"/>
              <w:tab w:val="right" w:pos="9026" w:leader="dot"/>
            </w:tabs>
            <w:rPr/>
          </w:pPr>
          <w:hyperlink w:anchor="__RefHeading___Toc146568_2142443653">
            <w:r>
              <w:rPr>
                <w:webHidden/>
                <w:rStyle w:val="IndexLink"/>
                <w:rtl w:val="true"/>
              </w:rPr>
              <w:t>عبدالله بن سلیمان مهمل</w:t>
            </w:r>
            <w:r>
              <w:rPr>
                <w:rStyle w:val="IndexLink"/>
                <w:rtl w:val="true"/>
              </w:rPr>
              <w:tab/>
            </w:r>
            <w:r>
              <w:rPr>
                <w:rStyle w:val="IndexLink"/>
              </w:rPr>
              <w:t>78</w:t>
            </w:r>
          </w:hyperlink>
        </w:p>
        <w:p>
          <w:pPr>
            <w:pStyle w:val="Contents4"/>
            <w:tabs>
              <w:tab w:val="clear" w:pos="8176"/>
              <w:tab w:val="right" w:pos="9026" w:leader="dot"/>
            </w:tabs>
            <w:rPr/>
          </w:pPr>
          <w:hyperlink w:anchor="__RefHeading___Toc146570_2142443653">
            <w:r>
              <w:rPr>
                <w:webHidden/>
                <w:rStyle w:val="IndexLink"/>
                <w:rtl w:val="true"/>
              </w:rPr>
              <w:t>توجیه ما دلّ علی وجوب الغُسل علی متعمّد الجنابة ولو مع المشقّة</w:t>
            </w:r>
            <w:r>
              <w:rPr>
                <w:rStyle w:val="IndexLink"/>
                <w:rtl w:val="true"/>
              </w:rPr>
              <w:tab/>
            </w:r>
            <w:r>
              <w:rPr>
                <w:rStyle w:val="IndexLink"/>
              </w:rPr>
              <w:t>78</w:t>
            </w:r>
          </w:hyperlink>
        </w:p>
        <w:p>
          <w:pPr>
            <w:pStyle w:val="Contents4"/>
            <w:tabs>
              <w:tab w:val="clear" w:pos="8176"/>
              <w:tab w:val="right" w:pos="9026" w:leader="dot"/>
            </w:tabs>
            <w:rPr/>
          </w:pPr>
          <w:hyperlink w:anchor="__RefHeading___Toc146572_2142443653">
            <w:r>
              <w:rPr>
                <w:webHidden/>
                <w:rStyle w:val="IndexLink"/>
                <w:rtl w:val="true"/>
              </w:rPr>
              <w:t>معنی العَنَت</w:t>
            </w:r>
            <w:r>
              <w:rPr>
                <w:rStyle w:val="IndexLink"/>
                <w:rtl w:val="true"/>
              </w:rPr>
              <w:tab/>
            </w:r>
            <w:r>
              <w:rPr>
                <w:rStyle w:val="IndexLink"/>
              </w:rPr>
              <w:t>81</w:t>
            </w:r>
          </w:hyperlink>
        </w:p>
        <w:p>
          <w:pPr>
            <w:pStyle w:val="Contents3"/>
            <w:tabs>
              <w:tab w:val="clear" w:pos="8459"/>
              <w:tab w:val="right" w:pos="9026" w:leader="dot"/>
            </w:tabs>
            <w:rPr/>
          </w:pPr>
          <w:hyperlink w:anchor="__RefHeading___Toc146574_2142443653">
            <w:r>
              <w:rPr>
                <w:webHidden/>
                <w:rStyle w:val="IndexLink"/>
                <w:rtl w:val="true"/>
              </w:rPr>
              <w:t>المتیمّم یجوز أن یصلّی بتیمّمه صلوات کثیرة أم لا؟</w:t>
            </w:r>
            <w:r>
              <w:rPr>
                <w:rStyle w:val="IndexLink"/>
                <w:rtl w:val="true"/>
              </w:rPr>
              <w:tab/>
            </w:r>
            <w:r>
              <w:rPr>
                <w:rStyle w:val="IndexLink"/>
              </w:rPr>
              <w:t>81</w:t>
            </w:r>
          </w:hyperlink>
        </w:p>
        <w:p>
          <w:pPr>
            <w:pStyle w:val="Contents4"/>
            <w:tabs>
              <w:tab w:val="clear" w:pos="8176"/>
              <w:tab w:val="right" w:pos="9026" w:leader="dot"/>
            </w:tabs>
            <w:rPr/>
          </w:pPr>
          <w:hyperlink w:anchor="__RefHeading___Toc146576_2142443653">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46578_2142443653">
            <w:r>
              <w:rPr>
                <w:webHidden/>
                <w:rStyle w:val="IndexLink"/>
                <w:rtl w:val="true"/>
              </w:rPr>
              <w:t>بحث حول حمّاد بن عثمان</w:t>
            </w:r>
            <w:r>
              <w:rPr>
                <w:rStyle w:val="IndexLink"/>
                <w:rtl w:val="true"/>
              </w:rPr>
              <w:tab/>
            </w:r>
            <w:r>
              <w:rPr>
                <w:rStyle w:val="IndexLink"/>
              </w:rPr>
              <w:t>82</w:t>
            </w:r>
          </w:hyperlink>
        </w:p>
        <w:p>
          <w:pPr>
            <w:pStyle w:val="Contents4"/>
            <w:tabs>
              <w:tab w:val="clear" w:pos="8176"/>
              <w:tab w:val="right" w:pos="9026" w:leader="dot"/>
            </w:tabs>
            <w:rPr/>
          </w:pPr>
          <w:hyperlink w:anchor="__RefHeading___Toc146580_2142443653">
            <w:r>
              <w:rPr>
                <w:webHidden/>
                <w:rStyle w:val="IndexLink"/>
                <w:rtl w:val="true"/>
              </w:rPr>
              <w:t>إشارة إلی حال السکونی</w:t>
            </w:r>
            <w:r>
              <w:rPr>
                <w:rStyle w:val="IndexLink"/>
                <w:rtl w:val="true"/>
              </w:rPr>
              <w:tab/>
            </w:r>
            <w:r>
              <w:rPr>
                <w:rStyle w:val="IndexLink"/>
              </w:rPr>
              <w:t>84</w:t>
            </w:r>
          </w:hyperlink>
        </w:p>
        <w:p>
          <w:pPr>
            <w:pStyle w:val="Contents4"/>
            <w:tabs>
              <w:tab w:val="clear" w:pos="8176"/>
              <w:tab w:val="right" w:pos="9026" w:leader="dot"/>
            </w:tabs>
            <w:rPr/>
          </w:pPr>
          <w:hyperlink w:anchor="__RefHeading___Toc146582_2142443653">
            <w:r>
              <w:rPr>
                <w:webHidden/>
                <w:rStyle w:val="IndexLink"/>
                <w:rtl w:val="true"/>
              </w:rPr>
              <w:t>محمّد بن سعید بن غزوان مهمل</w:t>
            </w:r>
            <w:r>
              <w:rPr>
                <w:rStyle w:val="IndexLink"/>
                <w:rtl w:val="true"/>
              </w:rPr>
              <w:tab/>
            </w:r>
            <w:r>
              <w:rPr>
                <w:rStyle w:val="IndexLink"/>
              </w:rPr>
              <w:t>84</w:t>
            </w:r>
          </w:hyperlink>
        </w:p>
        <w:p>
          <w:pPr>
            <w:pStyle w:val="Contents4"/>
            <w:tabs>
              <w:tab w:val="clear" w:pos="8176"/>
              <w:tab w:val="right" w:pos="9026" w:leader="dot"/>
            </w:tabs>
            <w:rPr/>
          </w:pPr>
          <w:hyperlink w:anchor="__RefHeading___Toc146584_2142443653">
            <w:r>
              <w:rPr>
                <w:webHidden/>
                <w:rStyle w:val="IndexLink"/>
                <w:rtl w:val="true"/>
              </w:rPr>
              <w:t>أبو همام هو إسماعیل بن همام الثقة</w:t>
            </w:r>
            <w:r>
              <w:rPr>
                <w:rStyle w:val="IndexLink"/>
                <w:rtl w:val="true"/>
              </w:rPr>
              <w:tab/>
            </w:r>
            <w:r>
              <w:rPr>
                <w:rStyle w:val="IndexLink"/>
              </w:rPr>
              <w:t>84</w:t>
            </w:r>
          </w:hyperlink>
        </w:p>
        <w:p>
          <w:pPr>
            <w:pStyle w:val="Contents4"/>
            <w:tabs>
              <w:tab w:val="clear" w:pos="8176"/>
              <w:tab w:val="right" w:pos="9026" w:leader="dot"/>
            </w:tabs>
            <w:rPr/>
          </w:pPr>
          <w:hyperlink w:anchor="__RefHeading___Toc146586_2142443653">
            <w:r>
              <w:rPr>
                <w:webHidden/>
                <w:rStyle w:val="IndexLink"/>
                <w:rtl w:val="true"/>
              </w:rPr>
              <w:t>دلالة الأخبار علی وجوب تأخیر الصلاة مع التیمّم المبتدأ وجواز فعلها فی أوّل الوقت فی صورة الاستدامة</w:t>
            </w:r>
            <w:r>
              <w:rPr>
                <w:rStyle w:val="IndexLink"/>
                <w:rtl w:val="true"/>
              </w:rPr>
              <w:tab/>
            </w:r>
            <w:r>
              <w:rPr>
                <w:rStyle w:val="IndexLink"/>
              </w:rPr>
              <w:t>84</w:t>
            </w:r>
          </w:hyperlink>
        </w:p>
        <w:p>
          <w:pPr>
            <w:pStyle w:val="Contents4"/>
            <w:tabs>
              <w:tab w:val="clear" w:pos="8176"/>
              <w:tab w:val="right" w:pos="9026" w:leader="dot"/>
            </w:tabs>
            <w:rPr/>
          </w:pPr>
          <w:hyperlink w:anchor="__RefHeading___Toc146588_2142443653">
            <w:r>
              <w:rPr>
                <w:webHidden/>
                <w:rStyle w:val="IndexLink"/>
                <w:rtl w:val="true"/>
              </w:rPr>
              <w:t>المناقشة فی توجیه الشیخ لما دلّ علی وجوب التیمّم لکل صلاة</w:t>
            </w:r>
            <w:r>
              <w:rPr>
                <w:rStyle w:val="IndexLink"/>
                <w:rtl w:val="true"/>
              </w:rPr>
              <w:tab/>
            </w:r>
            <w:r>
              <w:rPr>
                <w:rStyle w:val="IndexLink"/>
              </w:rPr>
              <w:t>91</w:t>
            </w:r>
          </w:hyperlink>
        </w:p>
        <w:p>
          <w:pPr>
            <w:pStyle w:val="Contents4"/>
            <w:tabs>
              <w:tab w:val="clear" w:pos="8176"/>
              <w:tab w:val="right" w:pos="9026" w:leader="dot"/>
            </w:tabs>
            <w:rPr/>
          </w:pPr>
          <w:hyperlink w:anchor="__RefHeading___Toc146590_2142443653">
            <w:r>
              <w:rPr>
                <w:webHidden/>
                <w:rStyle w:val="IndexLink"/>
                <w:rtl w:val="true"/>
              </w:rPr>
              <w:t>هل ینتقض التیمّم بمجرّد إصابة الماء</w:t>
            </w:r>
            <w:r>
              <w:rPr>
                <w:rStyle w:val="IndexLink"/>
                <w:rtl w:val="true"/>
              </w:rPr>
              <w:tab/>
            </w:r>
            <w:r>
              <w:rPr>
                <w:rStyle w:val="IndexLink"/>
              </w:rPr>
              <w:t>92</w:t>
            </w:r>
          </w:hyperlink>
        </w:p>
        <w:p>
          <w:pPr>
            <w:pStyle w:val="Contents3"/>
            <w:tabs>
              <w:tab w:val="clear" w:pos="8459"/>
              <w:tab w:val="right" w:pos="9026" w:leader="dot"/>
            </w:tabs>
            <w:rPr/>
          </w:pPr>
          <w:hyperlink w:anchor="__RefHeading___Toc146592_2142443653">
            <w:r>
              <w:rPr>
                <w:webHidden/>
                <w:rStyle w:val="IndexLink"/>
                <w:rtl w:val="true"/>
              </w:rPr>
              <w:t>وجوب الطلب</w:t>
            </w:r>
            <w:r>
              <w:rPr>
                <w:rStyle w:val="IndexLink"/>
                <w:rtl w:val="true"/>
              </w:rPr>
              <w:tab/>
            </w:r>
            <w:r>
              <w:rPr>
                <w:rStyle w:val="IndexLink"/>
              </w:rPr>
              <w:t>94</w:t>
            </w:r>
          </w:hyperlink>
        </w:p>
        <w:p>
          <w:pPr>
            <w:pStyle w:val="Contents4"/>
            <w:tabs>
              <w:tab w:val="clear" w:pos="8176"/>
              <w:tab w:val="right" w:pos="9026" w:leader="dot"/>
            </w:tabs>
            <w:rPr/>
          </w:pPr>
          <w:hyperlink w:anchor="__RefHeading___Toc146594_2142443653">
            <w:r>
              <w:rPr>
                <w:webHidden/>
                <w:rStyle w:val="IndexLink"/>
                <w:rtl w:val="true"/>
              </w:rPr>
              <w:t>علی بن سالم مجهول</w:t>
            </w:r>
            <w:r>
              <w:rPr>
                <w:rStyle w:val="IndexLink"/>
                <w:rtl w:val="true"/>
              </w:rPr>
              <w:tab/>
            </w:r>
            <w:r>
              <w:rPr>
                <w:rStyle w:val="IndexLink"/>
              </w:rPr>
              <w:t>94</w:t>
            </w:r>
          </w:hyperlink>
        </w:p>
        <w:p>
          <w:pPr>
            <w:pStyle w:val="Contents4"/>
            <w:tabs>
              <w:tab w:val="clear" w:pos="8176"/>
              <w:tab w:val="right" w:pos="9026" w:leader="dot"/>
            </w:tabs>
            <w:rPr/>
          </w:pPr>
          <w:hyperlink w:anchor="__RefHeading___Toc146596_2142443653">
            <w:r>
              <w:rPr>
                <w:webHidden/>
                <w:rStyle w:val="IndexLink"/>
                <w:rtl w:val="true"/>
              </w:rPr>
              <w:t>الحسن بن موسی الخشاب لا یبعد ثبوت مدحه</w:t>
            </w:r>
            <w:r>
              <w:rPr>
                <w:rStyle w:val="IndexLink"/>
                <w:rtl w:val="true"/>
              </w:rPr>
              <w:tab/>
            </w:r>
            <w:r>
              <w:rPr>
                <w:rStyle w:val="IndexLink"/>
              </w:rPr>
              <w:t>94</w:t>
            </w:r>
          </w:hyperlink>
        </w:p>
        <w:p>
          <w:pPr>
            <w:pStyle w:val="Contents4"/>
            <w:tabs>
              <w:tab w:val="clear" w:pos="8176"/>
              <w:tab w:val="right" w:pos="9026" w:leader="dot"/>
            </w:tabs>
            <w:rPr/>
          </w:pPr>
          <w:hyperlink w:anchor="__RefHeading___Toc146598_2142443653">
            <w:r>
              <w:rPr>
                <w:webHidden/>
                <w:rStyle w:val="IndexLink"/>
                <w:rtl w:val="true"/>
              </w:rPr>
              <w:t>بحث حول داود بن کثیر الرقی</w:t>
            </w:r>
            <w:r>
              <w:rPr>
                <w:rStyle w:val="IndexLink"/>
                <w:rtl w:val="true"/>
              </w:rPr>
              <w:tab/>
            </w:r>
            <w:r>
              <w:rPr>
                <w:rStyle w:val="IndexLink"/>
              </w:rPr>
              <w:t>95</w:t>
            </w:r>
          </w:hyperlink>
        </w:p>
        <w:p>
          <w:pPr>
            <w:pStyle w:val="Contents4"/>
            <w:tabs>
              <w:tab w:val="clear" w:pos="8176"/>
              <w:tab w:val="right" w:pos="9026" w:leader="dot"/>
            </w:tabs>
            <w:rPr/>
          </w:pPr>
          <w:hyperlink w:anchor="__RefHeading___Toc146600_2142443653">
            <w:r>
              <w:rPr>
                <w:webHidden/>
                <w:rStyle w:val="IndexLink"/>
                <w:rtl w:val="true"/>
              </w:rPr>
              <w:t>وجوب طلب الماء وکیفیته وحدّة</w:t>
            </w:r>
            <w:r>
              <w:rPr>
                <w:rStyle w:val="IndexLink"/>
                <w:rtl w:val="true"/>
              </w:rPr>
              <w:tab/>
            </w:r>
            <w:r>
              <w:rPr>
                <w:rStyle w:val="IndexLink"/>
              </w:rPr>
              <w:t>96</w:t>
            </w:r>
          </w:hyperlink>
        </w:p>
        <w:p>
          <w:pPr>
            <w:pStyle w:val="Contents4"/>
            <w:tabs>
              <w:tab w:val="clear" w:pos="8176"/>
              <w:tab w:val="right" w:pos="9026" w:leader="dot"/>
            </w:tabs>
            <w:rPr/>
          </w:pPr>
          <w:hyperlink w:anchor="__RefHeading___Toc146602_2142443653">
            <w:r>
              <w:rPr>
                <w:webHidden/>
                <w:rStyle w:val="IndexLink"/>
                <w:rtl w:val="true"/>
              </w:rPr>
              <w:t>معنی الحَزن والغلوة</w:t>
            </w:r>
            <w:r>
              <w:rPr>
                <w:rStyle w:val="IndexLink"/>
                <w:rtl w:val="true"/>
              </w:rPr>
              <w:tab/>
            </w:r>
            <w:r>
              <w:rPr>
                <w:rStyle w:val="IndexLink"/>
              </w:rPr>
              <w:t>101</w:t>
            </w:r>
          </w:hyperlink>
        </w:p>
        <w:p>
          <w:pPr>
            <w:pStyle w:val="Contents4"/>
            <w:tabs>
              <w:tab w:val="clear" w:pos="8176"/>
              <w:tab w:val="right" w:pos="9026" w:leader="dot"/>
            </w:tabs>
            <w:rPr/>
          </w:pPr>
          <w:hyperlink w:anchor="__RefHeading___Toc146604_2142443653">
            <w:r>
              <w:rPr>
                <w:webHidden/>
                <w:rStyle w:val="IndexLink"/>
                <w:rtl w:val="true"/>
              </w:rPr>
              <w:t>انتفاء وجوب الطلب فی حق من یکون عذره غیر فقدان الماء</w:t>
            </w:r>
            <w:r>
              <w:rPr>
                <w:rStyle w:val="IndexLink"/>
                <w:rtl w:val="true"/>
              </w:rPr>
              <w:tab/>
            </w:r>
            <w:r>
              <w:rPr>
                <w:rStyle w:val="IndexLink"/>
              </w:rPr>
              <w:t>101</w:t>
            </w:r>
          </w:hyperlink>
        </w:p>
        <w:p>
          <w:pPr>
            <w:pStyle w:val="Contents4"/>
            <w:tabs>
              <w:tab w:val="clear" w:pos="8176"/>
              <w:tab w:val="right" w:pos="9026" w:leader="dot"/>
            </w:tabs>
            <w:rPr/>
          </w:pPr>
          <w:hyperlink w:anchor="__RefHeading___Toc146606_2142443653">
            <w:r>
              <w:rPr>
                <w:webHidden/>
                <w:rStyle w:val="IndexLink"/>
                <w:rtl w:val="true"/>
              </w:rPr>
              <w:t>هل یجب الطلب علی غیر المسافر؟</w:t>
            </w:r>
            <w:r>
              <w:rPr>
                <w:rStyle w:val="IndexLink"/>
                <w:rtl w:val="true"/>
              </w:rPr>
              <w:tab/>
            </w:r>
            <w:r>
              <w:rPr>
                <w:rStyle w:val="IndexLink"/>
              </w:rPr>
              <w:t>102</w:t>
            </w:r>
          </w:hyperlink>
        </w:p>
        <w:p>
          <w:pPr>
            <w:pStyle w:val="Contents4"/>
            <w:tabs>
              <w:tab w:val="clear" w:pos="8176"/>
              <w:tab w:val="right" w:pos="9026" w:leader="dot"/>
            </w:tabs>
            <w:rPr/>
          </w:pPr>
          <w:hyperlink w:anchor="__RefHeading___Toc146608_2142443653">
            <w:r>
              <w:rPr>
                <w:webHidden/>
                <w:rStyle w:val="IndexLink"/>
                <w:rtl w:val="true"/>
              </w:rPr>
              <w:t>حکم من تیقّن وجود الماء</w:t>
            </w:r>
            <w:r>
              <w:rPr>
                <w:rStyle w:val="IndexLink"/>
                <w:rtl w:val="true"/>
              </w:rPr>
              <w:tab/>
            </w:r>
            <w:r>
              <w:rPr>
                <w:rStyle w:val="IndexLink"/>
              </w:rPr>
              <w:t>102</w:t>
            </w:r>
          </w:hyperlink>
        </w:p>
        <w:p>
          <w:pPr>
            <w:pStyle w:val="Contents4"/>
            <w:tabs>
              <w:tab w:val="clear" w:pos="8176"/>
              <w:tab w:val="right" w:pos="9026" w:leader="dot"/>
            </w:tabs>
            <w:rPr/>
          </w:pPr>
          <w:hyperlink w:anchor="__RefHeading___Toc146610_2142443653">
            <w:r>
              <w:rPr>
                <w:webHidden/>
                <w:rStyle w:val="IndexLink"/>
                <w:rtl w:val="true"/>
              </w:rPr>
              <w:t>حکم من تکرّر خروجه من مصره</w:t>
            </w:r>
            <w:r>
              <w:rPr>
                <w:rStyle w:val="IndexLink"/>
                <w:rtl w:val="true"/>
              </w:rPr>
              <w:tab/>
            </w:r>
            <w:r>
              <w:rPr>
                <w:rStyle w:val="IndexLink"/>
              </w:rPr>
              <w:t>102</w:t>
            </w:r>
          </w:hyperlink>
        </w:p>
        <w:p>
          <w:pPr>
            <w:pStyle w:val="Contents4"/>
            <w:tabs>
              <w:tab w:val="clear" w:pos="8176"/>
              <w:tab w:val="right" w:pos="9026" w:leader="dot"/>
            </w:tabs>
            <w:rPr/>
          </w:pPr>
          <w:hyperlink w:anchor="__RefHeading___Toc146612_2142443653">
            <w:r>
              <w:rPr>
                <w:webHidden/>
                <w:rStyle w:val="IndexLink"/>
                <w:rtl w:val="true"/>
              </w:rPr>
              <w:t>حکم أخلّ بالطلب</w:t>
            </w:r>
            <w:r>
              <w:rPr>
                <w:rStyle w:val="IndexLink"/>
                <w:rtl w:val="true"/>
              </w:rPr>
              <w:tab/>
            </w:r>
            <w:r>
              <w:rPr>
                <w:rStyle w:val="IndexLink"/>
              </w:rPr>
              <w:t>103</w:t>
            </w:r>
          </w:hyperlink>
        </w:p>
        <w:p>
          <w:pPr>
            <w:pStyle w:val="Contents3"/>
            <w:tabs>
              <w:tab w:val="clear" w:pos="8459"/>
              <w:tab w:val="right" w:pos="9026" w:leader="dot"/>
            </w:tabs>
            <w:rPr/>
          </w:pPr>
          <w:hyperlink w:anchor="__RefHeading___Toc146614_2142443653">
            <w:r>
              <w:rPr>
                <w:webHidden/>
                <w:rStyle w:val="IndexLink"/>
                <w:rtl w:val="true"/>
              </w:rPr>
              <w:t>التیمّم لا یجب إلّا فی آخر الوقت</w:t>
            </w:r>
            <w:r>
              <w:rPr>
                <w:rStyle w:val="IndexLink"/>
                <w:rtl w:val="true"/>
              </w:rPr>
              <w:tab/>
            </w:r>
            <w:r>
              <w:rPr>
                <w:rStyle w:val="IndexLink"/>
              </w:rPr>
              <w:t>105</w:t>
            </w:r>
          </w:hyperlink>
        </w:p>
        <w:p>
          <w:pPr>
            <w:pStyle w:val="Contents4"/>
            <w:tabs>
              <w:tab w:val="clear" w:pos="8176"/>
              <w:tab w:val="right" w:pos="9026" w:leader="dot"/>
            </w:tabs>
            <w:rPr/>
          </w:pPr>
          <w:hyperlink w:anchor="__RefHeading___Toc146616_2142443653">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46618_2142443653">
            <w:r>
              <w:rPr>
                <w:webHidden/>
                <w:rStyle w:val="IndexLink"/>
                <w:rtl w:val="true"/>
              </w:rPr>
              <w:t>استدلال صاحب المدارک بحدیث محمّد بن مسلم وزرارة علی وجوب التأخیر مع إمکان وجود الماء ، والمناقشة فیه</w:t>
            </w:r>
            <w:r>
              <w:rPr>
                <w:rStyle w:val="IndexLink"/>
                <w:rtl w:val="true"/>
              </w:rPr>
              <w:tab/>
            </w:r>
            <w:r>
              <w:rPr>
                <w:rStyle w:val="IndexLink"/>
              </w:rPr>
              <w:t>107</w:t>
            </w:r>
          </w:hyperlink>
        </w:p>
        <w:p>
          <w:pPr>
            <w:pStyle w:val="Contents4"/>
            <w:tabs>
              <w:tab w:val="clear" w:pos="8176"/>
              <w:tab w:val="right" w:pos="9026" w:leader="dot"/>
            </w:tabs>
            <w:rPr/>
          </w:pPr>
          <w:hyperlink w:anchor="__RefHeading___Toc146620_2142443653">
            <w:r>
              <w:rPr>
                <w:webHidden/>
                <w:rStyle w:val="IndexLink"/>
                <w:rtl w:val="true"/>
              </w:rPr>
              <w:t>دلائل العلّامة علی وجوب التأخیر مع إمکان وجود الماء والمناقشة فیها</w:t>
            </w:r>
            <w:r>
              <w:rPr>
                <w:rStyle w:val="IndexLink"/>
                <w:rtl w:val="true"/>
              </w:rPr>
              <w:tab/>
            </w:r>
            <w:r>
              <w:rPr>
                <w:rStyle w:val="IndexLink"/>
              </w:rPr>
              <w:t>108</w:t>
            </w:r>
          </w:hyperlink>
        </w:p>
        <w:p>
          <w:pPr>
            <w:pStyle w:val="Contents3"/>
            <w:tabs>
              <w:tab w:val="clear" w:pos="8459"/>
              <w:tab w:val="right" w:pos="9026" w:leader="dot"/>
            </w:tabs>
            <w:rPr/>
          </w:pPr>
          <w:hyperlink w:anchor="__RefHeading___Toc146622_2142443653">
            <w:r>
              <w:rPr>
                <w:webHidden/>
                <w:rStyle w:val="IndexLink"/>
                <w:rtl w:val="true"/>
              </w:rPr>
              <w:t>من دخل فی الصلاة بتیمّم ثمّ وجد الماء</w:t>
            </w:r>
            <w:r>
              <w:rPr>
                <w:rStyle w:val="IndexLink"/>
                <w:rtl w:val="true"/>
              </w:rPr>
              <w:tab/>
            </w:r>
            <w:r>
              <w:rPr>
                <w:rStyle w:val="IndexLink"/>
              </w:rPr>
              <w:t>111</w:t>
            </w:r>
          </w:hyperlink>
        </w:p>
        <w:p>
          <w:pPr>
            <w:pStyle w:val="Contents4"/>
            <w:tabs>
              <w:tab w:val="clear" w:pos="8176"/>
              <w:tab w:val="right" w:pos="9026" w:leader="dot"/>
            </w:tabs>
            <w:rPr/>
          </w:pPr>
          <w:hyperlink w:anchor="__RefHeading___Toc146624_2142443653">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46626_2142443653">
            <w:r>
              <w:rPr>
                <w:webHidden/>
                <w:rStyle w:val="IndexLink"/>
                <w:rtl w:val="true"/>
              </w:rPr>
              <w:t>بحث حول محمّد بن سماعة والحسن بن سماعة</w:t>
            </w:r>
            <w:r>
              <w:rPr>
                <w:rStyle w:val="IndexLink"/>
                <w:rtl w:val="true"/>
              </w:rPr>
              <w:tab/>
            </w:r>
            <w:r>
              <w:rPr>
                <w:rStyle w:val="IndexLink"/>
              </w:rPr>
              <w:t>112</w:t>
            </w:r>
          </w:hyperlink>
        </w:p>
        <w:p>
          <w:pPr>
            <w:pStyle w:val="Contents4"/>
            <w:tabs>
              <w:tab w:val="clear" w:pos="8176"/>
              <w:tab w:val="right" w:pos="9026" w:leader="dot"/>
            </w:tabs>
            <w:rPr/>
          </w:pPr>
          <w:hyperlink w:anchor="__RefHeading___Toc146628_2142443653">
            <w:r>
              <w:rPr>
                <w:webHidden/>
                <w:rStyle w:val="IndexLink"/>
                <w:rtl w:val="true"/>
              </w:rPr>
              <w:t>بحث حول محمّد بن حمران</w:t>
            </w:r>
            <w:r>
              <w:rPr>
                <w:rStyle w:val="IndexLink"/>
                <w:rtl w:val="true"/>
              </w:rPr>
              <w:tab/>
            </w:r>
            <w:r>
              <w:rPr>
                <w:rStyle w:val="IndexLink"/>
              </w:rPr>
              <w:t>113</w:t>
            </w:r>
          </w:hyperlink>
        </w:p>
        <w:p>
          <w:pPr>
            <w:pStyle w:val="Contents4"/>
            <w:tabs>
              <w:tab w:val="clear" w:pos="8176"/>
              <w:tab w:val="right" w:pos="9026" w:leader="dot"/>
            </w:tabs>
            <w:rPr/>
          </w:pPr>
          <w:hyperlink w:anchor="__RefHeading___Toc146630_2142443653">
            <w:r>
              <w:rPr>
                <w:webHidden/>
                <w:rStyle w:val="IndexLink"/>
                <w:rtl w:val="true"/>
              </w:rPr>
              <w:t>إشارة إلی حال عبدالله بن عاصم</w:t>
            </w:r>
            <w:r>
              <w:rPr>
                <w:rStyle w:val="IndexLink"/>
                <w:rtl w:val="true"/>
              </w:rPr>
              <w:tab/>
            </w:r>
            <w:r>
              <w:rPr>
                <w:rStyle w:val="IndexLink"/>
              </w:rPr>
              <w:t>113</w:t>
            </w:r>
          </w:hyperlink>
        </w:p>
        <w:p>
          <w:pPr>
            <w:pStyle w:val="Contents4"/>
            <w:tabs>
              <w:tab w:val="clear" w:pos="8176"/>
              <w:tab w:val="right" w:pos="9026" w:leader="dot"/>
            </w:tabs>
            <w:rPr/>
          </w:pPr>
          <w:hyperlink w:anchor="__RefHeading___Toc146632_2142443653">
            <w:r>
              <w:rPr>
                <w:webHidden/>
                <w:rStyle w:val="IndexLink"/>
                <w:rtl w:val="true"/>
              </w:rPr>
              <w:t>إشارة إلی حال المعلی بن محمّد</w:t>
            </w:r>
            <w:r>
              <w:rPr>
                <w:rStyle w:val="IndexLink"/>
                <w:rtl w:val="true"/>
              </w:rPr>
              <w:tab/>
            </w:r>
            <w:r>
              <w:rPr>
                <w:rStyle w:val="IndexLink"/>
              </w:rPr>
              <w:t>114</w:t>
            </w:r>
          </w:hyperlink>
        </w:p>
        <w:p>
          <w:pPr>
            <w:pStyle w:val="Contents4"/>
            <w:tabs>
              <w:tab w:val="clear" w:pos="8176"/>
              <w:tab w:val="right" w:pos="9026" w:leader="dot"/>
            </w:tabs>
            <w:rPr/>
          </w:pPr>
          <w:hyperlink w:anchor="__RefHeading___Toc146634_2142443653">
            <w:r>
              <w:rPr>
                <w:webHidden/>
                <w:rStyle w:val="IndexLink"/>
                <w:rtl w:val="true"/>
              </w:rPr>
              <w:t>بحث حول الحسن بن الحسین اللؤلؤی</w:t>
            </w:r>
            <w:r>
              <w:rPr>
                <w:rStyle w:val="IndexLink"/>
                <w:rtl w:val="true"/>
              </w:rPr>
              <w:tab/>
            </w:r>
            <w:r>
              <w:rPr>
                <w:rStyle w:val="IndexLink"/>
              </w:rPr>
              <w:t>114</w:t>
            </w:r>
          </w:hyperlink>
        </w:p>
        <w:p>
          <w:pPr>
            <w:pStyle w:val="Contents4"/>
            <w:tabs>
              <w:tab w:val="clear" w:pos="8176"/>
              <w:tab w:val="right" w:pos="9026" w:leader="dot"/>
            </w:tabs>
            <w:rPr/>
          </w:pPr>
          <w:hyperlink w:anchor="__RefHeading___Toc146636_2142443653">
            <w:r>
              <w:rPr>
                <w:webHidden/>
                <w:rStyle w:val="IndexLink"/>
                <w:rtl w:val="true"/>
              </w:rPr>
              <w:t>وجوه الجمع بین روایة محمّد بن حمران وروایة عبدالله بن عاصم</w:t>
            </w:r>
            <w:r>
              <w:rPr>
                <w:rStyle w:val="IndexLink"/>
                <w:rtl w:val="true"/>
              </w:rPr>
              <w:tab/>
            </w:r>
            <w:r>
              <w:rPr>
                <w:rStyle w:val="IndexLink"/>
              </w:rPr>
              <w:t>116</w:t>
            </w:r>
          </w:hyperlink>
        </w:p>
        <w:p>
          <w:pPr>
            <w:pStyle w:val="Contents4"/>
            <w:tabs>
              <w:tab w:val="clear" w:pos="8176"/>
              <w:tab w:val="right" w:pos="9026" w:leader="dot"/>
            </w:tabs>
            <w:rPr/>
          </w:pPr>
          <w:hyperlink w:anchor="__RefHeading___Toc146638_2142443653">
            <w:r>
              <w:rPr>
                <w:webHidden/>
                <w:rStyle w:val="IndexLink"/>
                <w:rtl w:val="true"/>
              </w:rPr>
              <w:t>علی بن السندی مجهول</w:t>
            </w:r>
            <w:r>
              <w:rPr>
                <w:rStyle w:val="IndexLink"/>
                <w:rtl w:val="true"/>
              </w:rPr>
              <w:tab/>
            </w:r>
            <w:r>
              <w:rPr>
                <w:rStyle w:val="IndexLink"/>
              </w:rPr>
              <w:t>119</w:t>
            </w:r>
          </w:hyperlink>
        </w:p>
        <w:p>
          <w:pPr>
            <w:pStyle w:val="Contents4"/>
            <w:tabs>
              <w:tab w:val="clear" w:pos="8176"/>
              <w:tab w:val="right" w:pos="9026" w:leader="dot"/>
            </w:tabs>
            <w:rPr/>
          </w:pPr>
          <w:hyperlink w:anchor="__RefHeading___Toc146640_2142443653">
            <w:r>
              <w:rPr>
                <w:webHidden/>
                <w:rStyle w:val="IndexLink"/>
                <w:rtl w:val="true"/>
              </w:rPr>
              <w:t>توجیه ما دلّ علی أنّ من صلّی رکعة بتیمّم ثم وجد الماء یقطع الصلاة فیتوضّأ ثم یبنی علی ما مضی</w:t>
            </w:r>
            <w:r>
              <w:rPr>
                <w:rStyle w:val="IndexLink"/>
                <w:rtl w:val="true"/>
              </w:rPr>
              <w:tab/>
            </w:r>
            <w:r>
              <w:rPr>
                <w:rStyle w:val="IndexLink"/>
              </w:rPr>
              <w:t>119</w:t>
            </w:r>
          </w:hyperlink>
        </w:p>
        <w:p>
          <w:pPr>
            <w:pStyle w:val="Contents4"/>
            <w:tabs>
              <w:tab w:val="clear" w:pos="8176"/>
              <w:tab w:val="right" w:pos="9026" w:leader="dot"/>
            </w:tabs>
            <w:rPr/>
          </w:pPr>
          <w:hyperlink w:anchor="__RefHeading___Toc146642_2142443653">
            <w:r>
              <w:rPr>
                <w:webHidden/>
                <w:rStyle w:val="IndexLink"/>
                <w:rtl w:val="true"/>
              </w:rPr>
              <w:t>بحث حول موسی بن سعدان</w:t>
            </w:r>
            <w:r>
              <w:rPr>
                <w:rStyle w:val="IndexLink"/>
                <w:rtl w:val="true"/>
              </w:rPr>
              <w:tab/>
            </w:r>
            <w:r>
              <w:rPr>
                <w:rStyle w:val="IndexLink"/>
              </w:rPr>
              <w:t>121</w:t>
            </w:r>
          </w:hyperlink>
        </w:p>
        <w:p>
          <w:pPr>
            <w:pStyle w:val="Contents4"/>
            <w:tabs>
              <w:tab w:val="clear" w:pos="8176"/>
              <w:tab w:val="right" w:pos="9026" w:leader="dot"/>
            </w:tabs>
            <w:rPr/>
          </w:pPr>
          <w:hyperlink w:anchor="__RefHeading___Toc146644_2142443653">
            <w:r>
              <w:rPr>
                <w:webHidden/>
                <w:rStyle w:val="IndexLink"/>
                <w:rtl w:val="true"/>
              </w:rPr>
              <w:t>بحث حول الحسین بن أبی العلاء</w:t>
            </w:r>
            <w:r>
              <w:rPr>
                <w:rStyle w:val="IndexLink"/>
                <w:rtl w:val="true"/>
              </w:rPr>
              <w:tab/>
            </w:r>
            <w:r>
              <w:rPr>
                <w:rStyle w:val="IndexLink"/>
              </w:rPr>
              <w:t>121</w:t>
            </w:r>
          </w:hyperlink>
        </w:p>
        <w:p>
          <w:pPr>
            <w:pStyle w:val="Contents4"/>
            <w:tabs>
              <w:tab w:val="clear" w:pos="8176"/>
              <w:tab w:val="right" w:pos="9026" w:leader="dot"/>
            </w:tabs>
            <w:rPr/>
          </w:pPr>
          <w:hyperlink w:anchor="__RefHeading___Toc146646_2142443653">
            <w:r>
              <w:rPr>
                <w:webHidden/>
                <w:rStyle w:val="IndexLink"/>
                <w:rtl w:val="true"/>
              </w:rPr>
              <w:t>المثنی مشترک</w:t>
            </w:r>
            <w:r>
              <w:rPr>
                <w:rStyle w:val="IndexLink"/>
                <w:rtl w:val="true"/>
              </w:rPr>
              <w:tab/>
            </w:r>
            <w:r>
              <w:rPr>
                <w:rStyle w:val="IndexLink"/>
              </w:rPr>
              <w:t>122</w:t>
            </w:r>
          </w:hyperlink>
        </w:p>
        <w:p>
          <w:pPr>
            <w:pStyle w:val="Contents4"/>
            <w:tabs>
              <w:tab w:val="clear" w:pos="8176"/>
              <w:tab w:val="right" w:pos="9026" w:leader="dot"/>
            </w:tabs>
            <w:rPr/>
          </w:pPr>
          <w:hyperlink w:anchor="__RefHeading___Toc146648_2142443653">
            <w:r>
              <w:rPr>
                <w:webHidden/>
                <w:rStyle w:val="IndexLink"/>
                <w:rtl w:val="true"/>
              </w:rPr>
              <w:t>الحسن الصقیل مجهول</w:t>
            </w:r>
            <w:r>
              <w:rPr>
                <w:rStyle w:val="IndexLink"/>
                <w:rtl w:val="true"/>
              </w:rPr>
              <w:tab/>
            </w:r>
            <w:r>
              <w:rPr>
                <w:rStyle w:val="IndexLink"/>
              </w:rPr>
              <w:t>122</w:t>
            </w:r>
          </w:hyperlink>
        </w:p>
        <w:p>
          <w:pPr>
            <w:pStyle w:val="Contents4"/>
            <w:tabs>
              <w:tab w:val="clear" w:pos="8176"/>
              <w:tab w:val="right" w:pos="9026" w:leader="dot"/>
            </w:tabs>
            <w:rPr/>
          </w:pPr>
          <w:hyperlink w:anchor="__RefHeading___Toc146650_2142443653">
            <w:r>
              <w:rPr>
                <w:webHidden/>
                <w:rStyle w:val="IndexLink"/>
                <w:rtl w:val="true"/>
              </w:rPr>
              <w:t>المناقشة فی توجیه الشیخ لروایة الحسن الصقیل</w:t>
            </w:r>
            <w:r>
              <w:rPr>
                <w:rStyle w:val="IndexLink"/>
                <w:rtl w:val="true"/>
              </w:rPr>
              <w:tab/>
            </w:r>
            <w:r>
              <w:rPr>
                <w:rStyle w:val="IndexLink"/>
              </w:rPr>
              <w:t>122</w:t>
            </w:r>
          </w:hyperlink>
        </w:p>
        <w:p>
          <w:pPr>
            <w:pStyle w:val="Contents3"/>
            <w:tabs>
              <w:tab w:val="clear" w:pos="8459"/>
              <w:tab w:val="right" w:pos="9026" w:leader="dot"/>
            </w:tabs>
            <w:rPr/>
          </w:pPr>
          <w:hyperlink w:anchor="__RefHeading___Toc146652_2142443653">
            <w:r>
              <w:rPr>
                <w:webHidden/>
                <w:rStyle w:val="IndexLink"/>
                <w:rtl w:val="true"/>
              </w:rPr>
              <w:t>الرجل تصیب ثوبه الجنابة ولایجد الماء لغَسله ولیس معه غیره</w:t>
            </w:r>
            <w:r>
              <w:rPr>
                <w:rStyle w:val="IndexLink"/>
                <w:rtl w:val="true"/>
              </w:rPr>
              <w:tab/>
            </w:r>
            <w:r>
              <w:rPr>
                <w:rStyle w:val="IndexLink"/>
              </w:rPr>
              <w:t>123</w:t>
            </w:r>
          </w:hyperlink>
        </w:p>
        <w:p>
          <w:pPr>
            <w:pStyle w:val="Contents4"/>
            <w:tabs>
              <w:tab w:val="clear" w:pos="8176"/>
              <w:tab w:val="right" w:pos="9026" w:leader="dot"/>
            </w:tabs>
            <w:rPr/>
          </w:pPr>
          <w:hyperlink w:anchor="__RefHeading___Toc146654_2142443653">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46656_2142443653">
            <w:r>
              <w:rPr>
                <w:webHidden/>
                <w:rStyle w:val="IndexLink"/>
                <w:rtl w:val="true"/>
              </w:rPr>
              <w:t xml:space="preserve">تفسیر قول الشیخ </w:t>
            </w:r>
            <w:r>
              <w:rPr>
                <w:rStyle w:val="IndexLink"/>
                <w:rtl w:val="true"/>
              </w:rPr>
              <w:t xml:space="preserve">: </w:t>
            </w:r>
            <w:r>
              <w:rPr>
                <w:rStyle w:val="IndexLink"/>
                <w:rtl w:val="true"/>
              </w:rPr>
              <w:t>عن أحمد ، عن الحسین ، عن الحسن</w:t>
            </w:r>
            <w:r>
              <w:rPr>
                <w:rStyle w:val="IndexLink"/>
                <w:rtl w:val="true"/>
              </w:rPr>
              <w:tab/>
            </w:r>
            <w:r>
              <w:rPr>
                <w:rStyle w:val="IndexLink"/>
              </w:rPr>
              <w:t>124</w:t>
            </w:r>
          </w:hyperlink>
        </w:p>
        <w:p>
          <w:pPr>
            <w:pStyle w:val="Contents4"/>
            <w:tabs>
              <w:tab w:val="clear" w:pos="8176"/>
              <w:tab w:val="right" w:pos="9026" w:leader="dot"/>
            </w:tabs>
            <w:rPr/>
          </w:pPr>
          <w:hyperlink w:anchor="__RefHeading___Toc146658_2142443653">
            <w:r>
              <w:rPr>
                <w:webHidden/>
                <w:rStyle w:val="IndexLink"/>
                <w:rtl w:val="true"/>
              </w:rPr>
              <w:t>بحث حول محمّد بن عبدالحمید</w:t>
            </w:r>
            <w:r>
              <w:rPr>
                <w:rStyle w:val="IndexLink"/>
                <w:rtl w:val="true"/>
              </w:rPr>
              <w:tab/>
            </w:r>
            <w:r>
              <w:rPr>
                <w:rStyle w:val="IndexLink"/>
              </w:rPr>
              <w:t>124</w:t>
            </w:r>
          </w:hyperlink>
        </w:p>
        <w:p>
          <w:pPr>
            <w:pStyle w:val="Contents4"/>
            <w:tabs>
              <w:tab w:val="clear" w:pos="8176"/>
              <w:tab w:val="right" w:pos="9026" w:leader="dot"/>
            </w:tabs>
            <w:rPr/>
          </w:pPr>
          <w:hyperlink w:anchor="__RefHeading___Toc146660_2142443653">
            <w:r>
              <w:rPr>
                <w:webHidden/>
                <w:rStyle w:val="IndexLink"/>
                <w:rtl w:val="true"/>
              </w:rPr>
              <w:t>سیف بن عمیرة لا ارتیاب فیه</w:t>
            </w:r>
            <w:r>
              <w:rPr>
                <w:rStyle w:val="IndexLink"/>
                <w:rtl w:val="true"/>
              </w:rPr>
              <w:tab/>
            </w:r>
            <w:r>
              <w:rPr>
                <w:rStyle w:val="IndexLink"/>
              </w:rPr>
              <w:t>124</w:t>
            </w:r>
          </w:hyperlink>
        </w:p>
        <w:p>
          <w:pPr>
            <w:pStyle w:val="Contents4"/>
            <w:tabs>
              <w:tab w:val="clear" w:pos="8176"/>
              <w:tab w:val="right" w:pos="9026" w:leader="dot"/>
            </w:tabs>
            <w:rPr/>
          </w:pPr>
          <w:hyperlink w:anchor="__RefHeading___Toc146662_2142443653">
            <w:r>
              <w:rPr>
                <w:webHidden/>
                <w:rStyle w:val="IndexLink"/>
                <w:rtl w:val="true"/>
              </w:rPr>
              <w:t>الجمع بین روایة سماعة وروایة الحلبی</w:t>
            </w:r>
            <w:r>
              <w:rPr>
                <w:rStyle w:val="IndexLink"/>
                <w:rtl w:val="true"/>
              </w:rPr>
              <w:tab/>
            </w:r>
            <w:r>
              <w:rPr>
                <w:rStyle w:val="IndexLink"/>
              </w:rPr>
              <w:t>125</w:t>
            </w:r>
          </w:hyperlink>
        </w:p>
        <w:p>
          <w:pPr>
            <w:pStyle w:val="Contents4"/>
            <w:tabs>
              <w:tab w:val="clear" w:pos="8176"/>
              <w:tab w:val="right" w:pos="9026" w:leader="dot"/>
            </w:tabs>
            <w:rPr/>
          </w:pPr>
          <w:hyperlink w:anchor="__RefHeading___Toc146664_2142443653">
            <w:r>
              <w:rPr>
                <w:webHidden/>
                <w:rStyle w:val="IndexLink"/>
                <w:rtl w:val="true"/>
              </w:rPr>
              <w:t>بحث حول القاسم بن محمّد الجوهری</w:t>
            </w:r>
            <w:r>
              <w:rPr>
                <w:rStyle w:val="IndexLink"/>
                <w:rtl w:val="true"/>
              </w:rPr>
              <w:tab/>
            </w:r>
            <w:r>
              <w:rPr>
                <w:rStyle w:val="IndexLink"/>
              </w:rPr>
              <w:t>128</w:t>
            </w:r>
          </w:hyperlink>
        </w:p>
        <w:p>
          <w:pPr>
            <w:pStyle w:val="Contents4"/>
            <w:tabs>
              <w:tab w:val="clear" w:pos="8176"/>
              <w:tab w:val="right" w:pos="9026" w:leader="dot"/>
            </w:tabs>
            <w:rPr/>
          </w:pPr>
          <w:hyperlink w:anchor="__RefHeading___Toc146666_2142443653">
            <w:r>
              <w:rPr>
                <w:webHidden/>
                <w:rStyle w:val="IndexLink"/>
                <w:rtl w:val="true"/>
              </w:rPr>
              <w:t>طریق الشیخ إلی علی بن جعفر</w:t>
            </w:r>
            <w:r>
              <w:rPr>
                <w:rStyle w:val="IndexLink"/>
                <w:rtl w:val="true"/>
              </w:rPr>
              <w:tab/>
            </w:r>
            <w:r>
              <w:rPr>
                <w:rStyle w:val="IndexLink"/>
              </w:rPr>
              <w:t>129</w:t>
            </w:r>
          </w:hyperlink>
        </w:p>
        <w:p>
          <w:pPr>
            <w:pStyle w:val="Contents4"/>
            <w:tabs>
              <w:tab w:val="clear" w:pos="8176"/>
              <w:tab w:val="right" w:pos="9026" w:leader="dot"/>
            </w:tabs>
            <w:rPr/>
          </w:pPr>
          <w:hyperlink w:anchor="__RefHeading___Toc146668_2142443653">
            <w:r>
              <w:rPr>
                <w:webHidden/>
                <w:rStyle w:val="IndexLink"/>
                <w:rtl w:val="true"/>
              </w:rPr>
              <w:t>علی بن الحکم الذی یروی عنه أحمد بن محمّد بن عیسی هو الثقة</w:t>
            </w:r>
            <w:r>
              <w:rPr>
                <w:rStyle w:val="IndexLink"/>
                <w:rtl w:val="true"/>
              </w:rPr>
              <w:tab/>
            </w:r>
            <w:r>
              <w:rPr>
                <w:rStyle w:val="IndexLink"/>
              </w:rPr>
              <w:t>129</w:t>
            </w:r>
          </w:hyperlink>
        </w:p>
        <w:p>
          <w:pPr>
            <w:pStyle w:val="Contents4"/>
            <w:tabs>
              <w:tab w:val="clear" w:pos="8176"/>
              <w:tab w:val="right" w:pos="9026" w:leader="dot"/>
            </w:tabs>
            <w:rPr/>
          </w:pPr>
          <w:hyperlink w:anchor="__RefHeading___Toc146670_2142443653">
            <w:r>
              <w:rPr>
                <w:webHidden/>
                <w:rStyle w:val="IndexLink"/>
                <w:rtl w:val="true"/>
              </w:rPr>
              <w:t>ما المراد بأبی جعفر الذی یروی عنه سعد بن عبدالله؟</w:t>
            </w:r>
            <w:r>
              <w:rPr>
                <w:rStyle w:val="IndexLink"/>
                <w:rtl w:val="true"/>
              </w:rPr>
              <w:tab/>
            </w:r>
            <w:r>
              <w:rPr>
                <w:rStyle w:val="IndexLink"/>
              </w:rPr>
              <w:t>129</w:t>
            </w:r>
          </w:hyperlink>
        </w:p>
        <w:p>
          <w:pPr>
            <w:pStyle w:val="Contents4"/>
            <w:tabs>
              <w:tab w:val="clear" w:pos="8176"/>
              <w:tab w:val="right" w:pos="9026" w:leader="dot"/>
            </w:tabs>
            <w:rPr/>
          </w:pPr>
          <w:hyperlink w:anchor="__RefHeading___Toc146672_2142443653">
            <w:r>
              <w:rPr>
                <w:webHidden/>
                <w:rStyle w:val="IndexLink"/>
                <w:rtl w:val="true"/>
              </w:rPr>
              <w:t>توجیه ما دل علی جواز الصلاة فی الثوب النجس</w:t>
            </w:r>
            <w:r>
              <w:rPr>
                <w:rStyle w:val="IndexLink"/>
                <w:rtl w:val="true"/>
              </w:rPr>
              <w:tab/>
            </w:r>
            <w:r>
              <w:rPr>
                <w:rStyle w:val="IndexLink"/>
              </w:rPr>
              <w:t>130</w:t>
            </w:r>
          </w:hyperlink>
        </w:p>
        <w:p>
          <w:pPr>
            <w:pStyle w:val="Contents4"/>
            <w:tabs>
              <w:tab w:val="clear" w:pos="8176"/>
              <w:tab w:val="right" w:pos="9026" w:leader="dot"/>
            </w:tabs>
            <w:rPr/>
          </w:pPr>
          <w:hyperlink w:anchor="__RefHeading___Toc146674_2142443653">
            <w:r>
              <w:rPr>
                <w:webHidden/>
                <w:rStyle w:val="IndexLink"/>
                <w:rtl w:val="true"/>
              </w:rPr>
              <w:t>عدم وجوب الإعادة علی المتیمّم الذی صلّی فی الثوب النجس</w:t>
            </w:r>
            <w:r>
              <w:rPr>
                <w:rStyle w:val="IndexLink"/>
                <w:rtl w:val="true"/>
              </w:rPr>
              <w:tab/>
            </w:r>
            <w:r>
              <w:rPr>
                <w:rStyle w:val="IndexLink"/>
              </w:rPr>
              <w:t>131</w:t>
            </w:r>
          </w:hyperlink>
        </w:p>
        <w:p>
          <w:pPr>
            <w:pStyle w:val="Contents3"/>
            <w:tabs>
              <w:tab w:val="clear" w:pos="8459"/>
              <w:tab w:val="right" w:pos="9026" w:leader="dot"/>
            </w:tabs>
            <w:rPr/>
          </w:pPr>
          <w:hyperlink w:anchor="__RefHeading___Toc146676_2142443653">
            <w:r>
              <w:rPr>
                <w:webHidden/>
                <w:rStyle w:val="IndexLink"/>
                <w:rtl w:val="true"/>
              </w:rPr>
              <w:t>کیفیّة التیمّم</w:t>
            </w:r>
            <w:r>
              <w:rPr>
                <w:rStyle w:val="IndexLink"/>
                <w:rtl w:val="true"/>
              </w:rPr>
              <w:tab/>
            </w:r>
            <w:r>
              <w:rPr>
                <w:rStyle w:val="IndexLink"/>
              </w:rPr>
              <w:t>132</w:t>
            </w:r>
          </w:hyperlink>
        </w:p>
        <w:p>
          <w:pPr>
            <w:pStyle w:val="Contents4"/>
            <w:tabs>
              <w:tab w:val="clear" w:pos="8176"/>
              <w:tab w:val="right" w:pos="9026" w:leader="dot"/>
            </w:tabs>
            <w:rPr/>
          </w:pPr>
          <w:hyperlink w:anchor="__RefHeading___Toc146678_2142443653">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46680_2142443653">
            <w:r>
              <w:rPr>
                <w:webHidden/>
                <w:rStyle w:val="IndexLink"/>
                <w:rtl w:val="true"/>
              </w:rPr>
              <w:t>بحث حول عبدالله بن یحیی الکاهلی</w:t>
            </w:r>
            <w:r>
              <w:rPr>
                <w:rStyle w:val="IndexLink"/>
                <w:rtl w:val="true"/>
              </w:rPr>
              <w:tab/>
            </w:r>
            <w:r>
              <w:rPr>
                <w:rStyle w:val="IndexLink"/>
              </w:rPr>
              <w:t>134</w:t>
            </w:r>
          </w:hyperlink>
        </w:p>
        <w:p>
          <w:pPr>
            <w:pStyle w:val="Contents4"/>
            <w:tabs>
              <w:tab w:val="clear" w:pos="8176"/>
              <w:tab w:val="right" w:pos="9026" w:leader="dot"/>
            </w:tabs>
            <w:rPr/>
          </w:pPr>
          <w:hyperlink w:anchor="__RefHeading___Toc146682_2142443653">
            <w:r>
              <w:rPr>
                <w:webHidden/>
                <w:rStyle w:val="IndexLink"/>
                <w:rtl w:val="true"/>
              </w:rPr>
              <w:t>بحث حول داود بن النعمان</w:t>
            </w:r>
            <w:r>
              <w:rPr>
                <w:rStyle w:val="IndexLink"/>
                <w:rtl w:val="true"/>
              </w:rPr>
              <w:tab/>
            </w:r>
            <w:r>
              <w:rPr>
                <w:rStyle w:val="IndexLink"/>
              </w:rPr>
              <w:t>135</w:t>
            </w:r>
          </w:hyperlink>
        </w:p>
        <w:p>
          <w:pPr>
            <w:pStyle w:val="Contents4"/>
            <w:tabs>
              <w:tab w:val="clear" w:pos="8176"/>
              <w:tab w:val="right" w:pos="9026" w:leader="dot"/>
            </w:tabs>
            <w:rPr/>
          </w:pPr>
          <w:hyperlink w:anchor="__RefHeading___Toc146684_2142443653">
            <w:r>
              <w:rPr>
                <w:webHidden/>
                <w:rStyle w:val="IndexLink"/>
                <w:rtl w:val="true"/>
              </w:rPr>
              <w:t>توجیه ما دلّ علی أنّ المسح فی التیمّم من موضع القطع</w:t>
            </w:r>
            <w:r>
              <w:rPr>
                <w:rStyle w:val="IndexLink"/>
                <w:rtl w:val="true"/>
              </w:rPr>
              <w:tab/>
            </w:r>
            <w:r>
              <w:rPr>
                <w:rStyle w:val="IndexLink"/>
              </w:rPr>
              <w:t>136</w:t>
            </w:r>
          </w:hyperlink>
        </w:p>
        <w:p>
          <w:pPr>
            <w:pStyle w:val="Contents4"/>
            <w:tabs>
              <w:tab w:val="clear" w:pos="8176"/>
              <w:tab w:val="right" w:pos="9026" w:leader="dot"/>
            </w:tabs>
            <w:rPr/>
          </w:pPr>
          <w:hyperlink w:anchor="__RefHeading___Toc146686_2142443653">
            <w:r>
              <w:rPr>
                <w:webHidden/>
                <w:rStyle w:val="IndexLink"/>
                <w:rtl w:val="true"/>
              </w:rPr>
              <w:t>توجیه ما دلّ علی اعتبار مسح الوجه</w:t>
            </w:r>
            <w:r>
              <w:rPr>
                <w:rStyle w:val="IndexLink"/>
                <w:rtl w:val="true"/>
              </w:rPr>
              <w:tab/>
            </w:r>
            <w:r>
              <w:rPr>
                <w:rStyle w:val="IndexLink"/>
              </w:rPr>
              <w:t>137</w:t>
            </w:r>
          </w:hyperlink>
        </w:p>
        <w:p>
          <w:pPr>
            <w:pStyle w:val="Contents4"/>
            <w:tabs>
              <w:tab w:val="clear" w:pos="8176"/>
              <w:tab w:val="right" w:pos="9026" w:leader="dot"/>
            </w:tabs>
            <w:rPr/>
          </w:pPr>
          <w:hyperlink w:anchor="__RefHeading___Toc146688_2142443653">
            <w:r>
              <w:rPr>
                <w:webHidden/>
                <w:rStyle w:val="IndexLink"/>
                <w:rtl w:val="true"/>
              </w:rPr>
              <w:t>الجمع بین ما دلّ علی ضرب الید علی الأرض وما دلّ علی وضعها علیها</w:t>
            </w:r>
            <w:r>
              <w:rPr>
                <w:rStyle w:val="IndexLink"/>
                <w:rtl w:val="true"/>
              </w:rPr>
              <w:tab/>
            </w:r>
            <w:r>
              <w:rPr>
                <w:rStyle w:val="IndexLink"/>
              </w:rPr>
              <w:t>139</w:t>
            </w:r>
          </w:hyperlink>
        </w:p>
        <w:p>
          <w:pPr>
            <w:pStyle w:val="Contents4"/>
            <w:tabs>
              <w:tab w:val="clear" w:pos="8176"/>
              <w:tab w:val="right" w:pos="9026" w:leader="dot"/>
            </w:tabs>
            <w:rPr/>
          </w:pPr>
          <w:hyperlink w:anchor="__RefHeading___Toc146690_2142443653">
            <w:r>
              <w:rPr>
                <w:webHidden/>
                <w:rStyle w:val="IndexLink"/>
                <w:rtl w:val="true"/>
              </w:rPr>
              <w:t>محل المسح فی الکفّین ظهورهما</w:t>
            </w:r>
            <w:r>
              <w:rPr>
                <w:rStyle w:val="IndexLink"/>
                <w:rtl w:val="true"/>
              </w:rPr>
              <w:tab/>
            </w:r>
            <w:r>
              <w:rPr>
                <w:rStyle w:val="IndexLink"/>
              </w:rPr>
              <w:t>140</w:t>
            </w:r>
          </w:hyperlink>
        </w:p>
        <w:p>
          <w:pPr>
            <w:pStyle w:val="Contents4"/>
            <w:tabs>
              <w:tab w:val="clear" w:pos="8176"/>
              <w:tab w:val="right" w:pos="9026" w:leader="dot"/>
            </w:tabs>
            <w:rPr/>
          </w:pPr>
          <w:hyperlink w:anchor="__RefHeading___Toc146692_2142443653">
            <w:r>
              <w:rPr>
                <w:webHidden/>
                <w:rStyle w:val="IndexLink"/>
                <w:rtl w:val="true"/>
              </w:rPr>
              <w:t>تفسیر الجبهة</w:t>
            </w:r>
            <w:r>
              <w:rPr>
                <w:rStyle w:val="IndexLink"/>
                <w:rtl w:val="true"/>
              </w:rPr>
              <w:tab/>
            </w:r>
            <w:r>
              <w:rPr>
                <w:rStyle w:val="IndexLink"/>
              </w:rPr>
              <w:t>141</w:t>
            </w:r>
          </w:hyperlink>
        </w:p>
        <w:p>
          <w:pPr>
            <w:pStyle w:val="Contents4"/>
            <w:tabs>
              <w:tab w:val="clear" w:pos="8176"/>
              <w:tab w:val="right" w:pos="9026" w:leader="dot"/>
            </w:tabs>
            <w:rPr/>
          </w:pPr>
          <w:hyperlink w:anchor="__RefHeading___Toc146694_2142443653">
            <w:r>
              <w:rPr>
                <w:webHidden/>
                <w:rStyle w:val="IndexLink"/>
                <w:rtl w:val="true"/>
              </w:rPr>
              <w:t>کلمة حول قصّة تیمّم عمّار</w:t>
            </w:r>
            <w:r>
              <w:rPr>
                <w:rStyle w:val="IndexLink"/>
                <w:rtl w:val="true"/>
              </w:rPr>
              <w:tab/>
            </w:r>
            <w:r>
              <w:rPr>
                <w:rStyle w:val="IndexLink"/>
              </w:rPr>
              <w:t>142</w:t>
            </w:r>
          </w:hyperlink>
        </w:p>
        <w:p>
          <w:pPr>
            <w:pStyle w:val="Contents4"/>
            <w:tabs>
              <w:tab w:val="clear" w:pos="8176"/>
              <w:tab w:val="right" w:pos="9026" w:leader="dot"/>
            </w:tabs>
            <w:rPr/>
          </w:pPr>
          <w:hyperlink w:anchor="__RefHeading___Toc146696_2142443653">
            <w:r>
              <w:rPr>
                <w:webHidden/>
                <w:rStyle w:val="IndexLink"/>
                <w:rtl w:val="true"/>
              </w:rPr>
              <w:t>دلالة روایة داود بن النعمان علی کفایة ضربة واحدة فی التیمّم بدلاً عن الغُسل</w:t>
            </w:r>
            <w:r>
              <w:rPr>
                <w:rStyle w:val="IndexLink"/>
                <w:rtl w:val="true"/>
              </w:rPr>
              <w:tab/>
            </w:r>
            <w:r>
              <w:rPr>
                <w:rStyle w:val="IndexLink"/>
              </w:rPr>
              <w:t>143</w:t>
            </w:r>
          </w:hyperlink>
        </w:p>
        <w:p>
          <w:pPr>
            <w:pStyle w:val="Contents4"/>
            <w:tabs>
              <w:tab w:val="clear" w:pos="8176"/>
              <w:tab w:val="right" w:pos="9026" w:leader="dot"/>
            </w:tabs>
            <w:rPr/>
          </w:pPr>
          <w:hyperlink w:anchor="__RefHeading___Toc146698_2142443653">
            <w:r>
              <w:rPr>
                <w:webHidden/>
                <w:rStyle w:val="IndexLink"/>
                <w:rtl w:val="true"/>
              </w:rPr>
              <w:t>اعتبار الضرب بالدین معاً</w:t>
            </w:r>
            <w:r>
              <w:rPr>
                <w:rStyle w:val="IndexLink"/>
                <w:rtl w:val="true"/>
              </w:rPr>
              <w:tab/>
            </w:r>
            <w:r>
              <w:rPr>
                <w:rStyle w:val="IndexLink"/>
              </w:rPr>
              <w:t>144</w:t>
            </w:r>
          </w:hyperlink>
        </w:p>
        <w:p>
          <w:pPr>
            <w:pStyle w:val="Contents4"/>
            <w:tabs>
              <w:tab w:val="clear" w:pos="8176"/>
              <w:tab w:val="right" w:pos="9026" w:leader="dot"/>
            </w:tabs>
            <w:rPr/>
          </w:pPr>
          <w:hyperlink w:anchor="__RefHeading___Toc146700_2142443653">
            <w:r>
              <w:rPr>
                <w:webHidden/>
                <w:rStyle w:val="IndexLink"/>
                <w:rtl w:val="true"/>
              </w:rPr>
              <w:t>توجیه ما دلّ علی مسح الذراعین فی التیمّم</w:t>
            </w:r>
            <w:r>
              <w:rPr>
                <w:rStyle w:val="IndexLink"/>
                <w:rtl w:val="true"/>
              </w:rPr>
              <w:tab/>
            </w:r>
            <w:r>
              <w:rPr>
                <w:rStyle w:val="IndexLink"/>
              </w:rPr>
              <w:t>145</w:t>
            </w:r>
          </w:hyperlink>
        </w:p>
        <w:p>
          <w:pPr>
            <w:pStyle w:val="Contents3"/>
            <w:tabs>
              <w:tab w:val="clear" w:pos="8459"/>
              <w:tab w:val="right" w:pos="9026" w:leader="dot"/>
            </w:tabs>
            <w:rPr/>
          </w:pPr>
          <w:hyperlink w:anchor="__RefHeading___Toc146702_2142443653">
            <w:r>
              <w:rPr>
                <w:webHidden/>
                <w:rStyle w:val="IndexLink"/>
                <w:rtl w:val="true"/>
              </w:rPr>
              <w:t>عدد المرات فی التیمم</w:t>
            </w:r>
            <w:r>
              <w:rPr>
                <w:rStyle w:val="IndexLink"/>
                <w:rtl w:val="true"/>
              </w:rPr>
              <w:tab/>
            </w:r>
            <w:r>
              <w:rPr>
                <w:rStyle w:val="IndexLink"/>
              </w:rPr>
              <w:t>146</w:t>
            </w:r>
          </w:hyperlink>
        </w:p>
        <w:p>
          <w:pPr>
            <w:pStyle w:val="Contents4"/>
            <w:tabs>
              <w:tab w:val="clear" w:pos="8176"/>
              <w:tab w:val="right" w:pos="9026" w:leader="dot"/>
            </w:tabs>
            <w:rPr/>
          </w:pPr>
          <w:hyperlink w:anchor="__RefHeading___Toc146704_2142443653">
            <w:r>
              <w:rPr>
                <w:webHidden/>
                <w:rStyle w:val="IndexLink"/>
                <w:rtl w:val="true"/>
              </w:rPr>
              <w:t>بحث حول ابن بکیر</w:t>
            </w:r>
            <w:r>
              <w:rPr>
                <w:rStyle w:val="IndexLink"/>
                <w:rtl w:val="true"/>
              </w:rPr>
              <w:tab/>
            </w:r>
            <w:r>
              <w:rPr>
                <w:rStyle w:val="IndexLink"/>
              </w:rPr>
              <w:t>146</w:t>
            </w:r>
          </w:hyperlink>
        </w:p>
        <w:p>
          <w:pPr>
            <w:pStyle w:val="Contents4"/>
            <w:tabs>
              <w:tab w:val="clear" w:pos="8176"/>
              <w:tab w:val="right" w:pos="9026" w:leader="dot"/>
            </w:tabs>
            <w:rPr/>
          </w:pPr>
          <w:hyperlink w:anchor="__RefHeading___Toc146706_2142443653">
            <w:r>
              <w:rPr>
                <w:webHidden/>
                <w:rStyle w:val="IndexLink"/>
                <w:rtl w:val="true"/>
              </w:rPr>
              <w:t>تعریف الموثّق</w:t>
            </w:r>
            <w:r>
              <w:rPr>
                <w:rStyle w:val="IndexLink"/>
                <w:rtl w:val="true"/>
              </w:rPr>
              <w:tab/>
            </w:r>
            <w:r>
              <w:rPr>
                <w:rStyle w:val="IndexLink"/>
              </w:rPr>
              <w:t>147</w:t>
            </w:r>
          </w:hyperlink>
        </w:p>
        <w:p>
          <w:pPr>
            <w:pStyle w:val="Contents4"/>
            <w:tabs>
              <w:tab w:val="clear" w:pos="8176"/>
              <w:tab w:val="right" w:pos="9026" w:leader="dot"/>
            </w:tabs>
            <w:rPr/>
          </w:pPr>
          <w:hyperlink w:anchor="__RefHeading___Toc146708_2142443653">
            <w:r>
              <w:rPr>
                <w:webHidden/>
                <w:rStyle w:val="IndexLink"/>
                <w:rtl w:val="true"/>
              </w:rPr>
              <w:t>بحث حول عمرو بن أبی المقدام</w:t>
            </w:r>
            <w:r>
              <w:rPr>
                <w:rStyle w:val="IndexLink"/>
                <w:rtl w:val="true"/>
              </w:rPr>
              <w:tab/>
            </w:r>
            <w:r>
              <w:rPr>
                <w:rStyle w:val="IndexLink"/>
              </w:rPr>
              <w:t>148</w:t>
            </w:r>
          </w:hyperlink>
        </w:p>
        <w:p>
          <w:pPr>
            <w:pStyle w:val="Contents4"/>
            <w:tabs>
              <w:tab w:val="clear" w:pos="8176"/>
              <w:tab w:val="right" w:pos="9026" w:leader="dot"/>
            </w:tabs>
            <w:rPr/>
          </w:pPr>
          <w:hyperlink w:anchor="__RefHeading___Toc146710_2142443653">
            <w:r>
              <w:rPr>
                <w:webHidden/>
                <w:rStyle w:val="IndexLink"/>
                <w:rtl w:val="true"/>
              </w:rPr>
              <w:t>القاسم بن عروة مهمل</w:t>
            </w:r>
            <w:r>
              <w:rPr>
                <w:rStyle w:val="IndexLink"/>
                <w:rtl w:val="true"/>
              </w:rPr>
              <w:tab/>
            </w:r>
            <w:r>
              <w:rPr>
                <w:rStyle w:val="IndexLink"/>
              </w:rPr>
              <w:t>149</w:t>
            </w:r>
          </w:hyperlink>
        </w:p>
        <w:p>
          <w:pPr>
            <w:pStyle w:val="Contents4"/>
            <w:tabs>
              <w:tab w:val="clear" w:pos="8176"/>
              <w:tab w:val="right" w:pos="9026" w:leader="dot"/>
            </w:tabs>
            <w:rPr/>
          </w:pPr>
          <w:hyperlink w:anchor="__RefHeading___Toc146712_2142443653">
            <w:r>
              <w:rPr>
                <w:webHidden/>
                <w:rStyle w:val="IndexLink"/>
                <w:rtl w:val="true"/>
              </w:rPr>
              <w:t>وحدة الضربات فی التیمّم</w:t>
            </w:r>
            <w:r>
              <w:rPr>
                <w:rStyle w:val="IndexLink"/>
                <w:rtl w:val="true"/>
              </w:rPr>
              <w:tab/>
            </w:r>
            <w:r>
              <w:rPr>
                <w:rStyle w:val="IndexLink"/>
              </w:rPr>
              <w:t>149</w:t>
            </w:r>
          </w:hyperlink>
        </w:p>
        <w:p>
          <w:pPr>
            <w:pStyle w:val="Contents4"/>
            <w:tabs>
              <w:tab w:val="clear" w:pos="8176"/>
              <w:tab w:val="right" w:pos="9026" w:leader="dot"/>
            </w:tabs>
            <w:rPr/>
          </w:pPr>
          <w:hyperlink w:anchor="__RefHeading___Toc146714_2142443653">
            <w:r>
              <w:rPr>
                <w:webHidden/>
                <w:rStyle w:val="IndexLink"/>
                <w:rtl w:val="true"/>
              </w:rPr>
              <w:t>الحسین بن سعید لایروی عن ابن مسکان بغیر واسطة</w:t>
            </w:r>
            <w:r>
              <w:rPr>
                <w:rStyle w:val="IndexLink"/>
                <w:rtl w:val="true"/>
              </w:rPr>
              <w:tab/>
            </w:r>
            <w:r>
              <w:rPr>
                <w:rStyle w:val="IndexLink"/>
              </w:rPr>
              <w:t>152</w:t>
            </w:r>
          </w:hyperlink>
        </w:p>
        <w:p>
          <w:pPr>
            <w:pStyle w:val="Contents4"/>
            <w:tabs>
              <w:tab w:val="clear" w:pos="8176"/>
              <w:tab w:val="right" w:pos="9026" w:leader="dot"/>
            </w:tabs>
            <w:rPr/>
          </w:pPr>
          <w:hyperlink w:anchor="__RefHeading___Toc146716_2142443653">
            <w:r>
              <w:rPr>
                <w:webHidden/>
                <w:rStyle w:val="IndexLink"/>
                <w:rtl w:val="true"/>
              </w:rPr>
              <w:t>المناقشة فی توجیه الشیخ للروایات الدالّة علی تعدّد الضرب</w:t>
            </w:r>
            <w:r>
              <w:rPr>
                <w:rStyle w:val="IndexLink"/>
                <w:rtl w:val="true"/>
              </w:rPr>
              <w:tab/>
            </w:r>
            <w:r>
              <w:rPr>
                <w:rStyle w:val="IndexLink"/>
              </w:rPr>
              <w:t>153</w:t>
            </w:r>
          </w:hyperlink>
        </w:p>
        <w:p>
          <w:pPr>
            <w:pStyle w:val="Contents4"/>
            <w:tabs>
              <w:tab w:val="clear" w:pos="8176"/>
              <w:tab w:val="right" w:pos="9026" w:leader="dot"/>
            </w:tabs>
            <w:rPr/>
          </w:pPr>
          <w:hyperlink w:anchor="__RefHeading___Toc146718_2142443653">
            <w:r>
              <w:rPr>
                <w:webHidden/>
                <w:rStyle w:val="IndexLink"/>
                <w:rtl w:val="true"/>
              </w:rPr>
              <w:t>توجیه صاحب المدارک والمناقشة فیه</w:t>
            </w:r>
            <w:r>
              <w:rPr>
                <w:rStyle w:val="IndexLink"/>
                <w:rtl w:val="true"/>
              </w:rPr>
              <w:tab/>
            </w:r>
            <w:r>
              <w:rPr>
                <w:rStyle w:val="IndexLink"/>
              </w:rPr>
              <w:t>154</w:t>
            </w:r>
          </w:hyperlink>
        </w:p>
        <w:p>
          <w:pPr>
            <w:pStyle w:val="Contents4"/>
            <w:tabs>
              <w:tab w:val="clear" w:pos="8176"/>
              <w:tab w:val="right" w:pos="9026" w:leader="dot"/>
            </w:tabs>
            <w:rPr/>
          </w:pPr>
          <w:hyperlink w:anchor="__RefHeading___Toc146720_2142443653">
            <w:r>
              <w:rPr>
                <w:webHidden/>
                <w:rStyle w:val="IndexLink"/>
                <w:rtl w:val="true"/>
              </w:rPr>
              <w:t>کلام الاسترابادی فی المسألة والناقشة فیه</w:t>
            </w:r>
            <w:r>
              <w:rPr>
                <w:rStyle w:val="IndexLink"/>
                <w:rtl w:val="true"/>
              </w:rPr>
              <w:tab/>
            </w:r>
            <w:r>
              <w:rPr>
                <w:rStyle w:val="IndexLink"/>
              </w:rPr>
              <w:t>157</w:t>
            </w:r>
          </w:hyperlink>
        </w:p>
        <w:p>
          <w:pPr>
            <w:pStyle w:val="Contents4"/>
            <w:tabs>
              <w:tab w:val="clear" w:pos="8176"/>
              <w:tab w:val="right" w:pos="9026" w:leader="dot"/>
            </w:tabs>
            <w:rPr/>
          </w:pPr>
          <w:hyperlink w:anchor="__RefHeading___Toc146722_2142443653">
            <w:r>
              <w:rPr>
                <w:webHidden/>
                <w:rStyle w:val="IndexLink"/>
                <w:rtl w:val="true"/>
              </w:rPr>
              <w:t>نکتة فی حدیث محمّد بن مسلم</w:t>
            </w:r>
            <w:r>
              <w:rPr>
                <w:rStyle w:val="IndexLink"/>
                <w:rtl w:val="true"/>
              </w:rPr>
              <w:tab/>
            </w:r>
            <w:r>
              <w:rPr>
                <w:rStyle w:val="IndexLink"/>
              </w:rPr>
              <w:t>158</w:t>
            </w:r>
          </w:hyperlink>
        </w:p>
        <w:p>
          <w:pPr>
            <w:pStyle w:val="Contents2"/>
            <w:tabs>
              <w:tab w:val="clear" w:pos="8743"/>
              <w:tab w:val="right" w:pos="9026" w:leader="dot"/>
            </w:tabs>
            <w:rPr/>
          </w:pPr>
          <w:hyperlink w:anchor="__RefHeading___Toc146724_2142443653">
            <w:r>
              <w:rPr>
                <w:webHidden/>
                <w:rStyle w:val="IndexLink"/>
                <w:rtl w:val="true"/>
              </w:rPr>
              <w:t>أبواب تطهیر الثیاب والبدن من النجاسات</w:t>
            </w:r>
            <w:r>
              <w:rPr>
                <w:rStyle w:val="IndexLink"/>
                <w:rtl w:val="true"/>
              </w:rPr>
              <w:tab/>
            </w:r>
            <w:r>
              <w:rPr>
                <w:rStyle w:val="IndexLink"/>
              </w:rPr>
              <w:t>160</w:t>
            </w:r>
          </w:hyperlink>
        </w:p>
        <w:p>
          <w:pPr>
            <w:pStyle w:val="Contents3"/>
            <w:tabs>
              <w:tab w:val="clear" w:pos="8459"/>
              <w:tab w:val="right" w:pos="9026" w:leader="dot"/>
            </w:tabs>
            <w:rPr/>
          </w:pPr>
          <w:hyperlink w:anchor="__RefHeading___Toc146726_2142443653">
            <w:r>
              <w:rPr>
                <w:webHidden/>
                <w:rStyle w:val="IndexLink"/>
                <w:rtl w:val="true"/>
              </w:rPr>
              <w:t>بول الصبی</w:t>
            </w:r>
            <w:r>
              <w:rPr>
                <w:rStyle w:val="IndexLink"/>
                <w:rtl w:val="true"/>
              </w:rPr>
              <w:tab/>
            </w:r>
            <w:r>
              <w:rPr>
                <w:rStyle w:val="IndexLink"/>
              </w:rPr>
              <w:t>160</w:t>
            </w:r>
          </w:hyperlink>
        </w:p>
        <w:p>
          <w:pPr>
            <w:pStyle w:val="Contents4"/>
            <w:tabs>
              <w:tab w:val="clear" w:pos="8176"/>
              <w:tab w:val="right" w:pos="9026" w:leader="dot"/>
            </w:tabs>
            <w:rPr/>
          </w:pPr>
          <w:hyperlink w:anchor="__RefHeading___Toc146728_2142443653">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46730_2142443653">
            <w:r>
              <w:rPr>
                <w:webHidden/>
                <w:rStyle w:val="IndexLink"/>
                <w:rtl w:val="true"/>
              </w:rPr>
              <w:t>بحث حول النوفلی</w:t>
            </w:r>
            <w:r>
              <w:rPr>
                <w:rStyle w:val="IndexLink"/>
                <w:rtl w:val="true"/>
              </w:rPr>
              <w:tab/>
            </w:r>
            <w:r>
              <w:rPr>
                <w:rStyle w:val="IndexLink"/>
              </w:rPr>
              <w:t>161</w:t>
            </w:r>
          </w:hyperlink>
        </w:p>
        <w:p>
          <w:pPr>
            <w:pStyle w:val="Contents4"/>
            <w:tabs>
              <w:tab w:val="clear" w:pos="8176"/>
              <w:tab w:val="right" w:pos="9026" w:leader="dot"/>
            </w:tabs>
            <w:rPr/>
          </w:pPr>
          <w:hyperlink w:anchor="__RefHeading___Toc146732_2142443653">
            <w:r>
              <w:rPr>
                <w:webHidden/>
                <w:rStyle w:val="IndexLink"/>
                <w:rtl w:val="true"/>
              </w:rPr>
              <w:t>بحث حول السکونی</w:t>
            </w:r>
            <w:r>
              <w:rPr>
                <w:rStyle w:val="IndexLink"/>
                <w:rtl w:val="true"/>
              </w:rPr>
              <w:tab/>
            </w:r>
            <w:r>
              <w:rPr>
                <w:rStyle w:val="IndexLink"/>
              </w:rPr>
              <w:t>161</w:t>
            </w:r>
          </w:hyperlink>
        </w:p>
        <w:p>
          <w:pPr>
            <w:pStyle w:val="Contents4"/>
            <w:tabs>
              <w:tab w:val="clear" w:pos="8176"/>
              <w:tab w:val="right" w:pos="9026" w:leader="dot"/>
            </w:tabs>
            <w:rPr/>
          </w:pPr>
          <w:hyperlink w:anchor="__RefHeading___Toc146734_2142443653">
            <w:r>
              <w:rPr>
                <w:webHidden/>
                <w:rStyle w:val="IndexLink"/>
                <w:rtl w:val="true"/>
              </w:rPr>
              <w:t>قول ابن الجنید بطهارة بول الصبی وجواب العلّامة عنه</w:t>
            </w:r>
            <w:r>
              <w:rPr>
                <w:rStyle w:val="IndexLink"/>
                <w:rtl w:val="true"/>
              </w:rPr>
              <w:tab/>
            </w:r>
            <w:r>
              <w:rPr>
                <w:rStyle w:val="IndexLink"/>
              </w:rPr>
              <w:t>162</w:t>
            </w:r>
          </w:hyperlink>
        </w:p>
        <w:p>
          <w:pPr>
            <w:pStyle w:val="Contents4"/>
            <w:tabs>
              <w:tab w:val="clear" w:pos="8176"/>
              <w:tab w:val="right" w:pos="9026" w:leader="dot"/>
            </w:tabs>
            <w:rPr/>
          </w:pPr>
          <w:hyperlink w:anchor="__RefHeading___Toc146736_2142443653">
            <w:r>
              <w:rPr>
                <w:webHidden/>
                <w:rStyle w:val="IndexLink"/>
                <w:rtl w:val="true"/>
              </w:rPr>
              <w:t>المناقشة فی جواب العلّامة</w:t>
            </w:r>
            <w:r>
              <w:rPr>
                <w:rStyle w:val="IndexLink"/>
                <w:rtl w:val="true"/>
              </w:rPr>
              <w:tab/>
            </w:r>
            <w:r>
              <w:rPr>
                <w:rStyle w:val="IndexLink"/>
              </w:rPr>
              <w:t>163</w:t>
            </w:r>
          </w:hyperlink>
        </w:p>
        <w:p>
          <w:pPr>
            <w:pStyle w:val="Contents4"/>
            <w:tabs>
              <w:tab w:val="clear" w:pos="8176"/>
              <w:tab w:val="right" w:pos="9026" w:leader="dot"/>
            </w:tabs>
            <w:rPr/>
          </w:pPr>
          <w:hyperlink w:anchor="__RefHeading___Toc146738_2142443653">
            <w:r>
              <w:rPr>
                <w:webHidden/>
                <w:rStyle w:val="IndexLink"/>
                <w:rtl w:val="true"/>
              </w:rPr>
              <w:t>شهادة الصدوق بصحة ما فی کتابه أقوی من توثیق النجاشی والشیخ</w:t>
            </w:r>
            <w:r>
              <w:rPr>
                <w:rStyle w:val="IndexLink"/>
                <w:rtl w:val="true"/>
              </w:rPr>
              <w:tab/>
            </w:r>
            <w:r>
              <w:rPr>
                <w:rStyle w:val="IndexLink"/>
              </w:rPr>
              <w:t>164</w:t>
            </w:r>
          </w:hyperlink>
        </w:p>
        <w:p>
          <w:pPr>
            <w:pStyle w:val="Contents4"/>
            <w:tabs>
              <w:tab w:val="clear" w:pos="8176"/>
              <w:tab w:val="right" w:pos="9026" w:leader="dot"/>
            </w:tabs>
            <w:rPr/>
          </w:pPr>
          <w:hyperlink w:anchor="__RefHeading___Toc146740_2142443653">
            <w:r>
              <w:rPr>
                <w:webHidden/>
                <w:rStyle w:val="IndexLink"/>
                <w:rtl w:val="true"/>
              </w:rPr>
              <w:t>معنی المثانة والعضد والمنکب</w:t>
            </w:r>
            <w:r>
              <w:rPr>
                <w:rStyle w:val="IndexLink"/>
                <w:rtl w:val="true"/>
              </w:rPr>
              <w:tab/>
            </w:r>
            <w:r>
              <w:rPr>
                <w:rStyle w:val="IndexLink"/>
              </w:rPr>
              <w:t>164</w:t>
            </w:r>
          </w:hyperlink>
        </w:p>
        <w:p>
          <w:pPr>
            <w:pStyle w:val="Contents4"/>
            <w:tabs>
              <w:tab w:val="clear" w:pos="8176"/>
              <w:tab w:val="right" w:pos="9026" w:leader="dot"/>
            </w:tabs>
            <w:rPr/>
          </w:pPr>
          <w:hyperlink w:anchor="__RefHeading___Toc146742_2142443653">
            <w:r>
              <w:rPr>
                <w:webHidden/>
                <w:rStyle w:val="IndexLink"/>
                <w:rtl w:val="true"/>
              </w:rPr>
              <w:t>أدلّة اعتبار العصر فی ما یقبله</w:t>
            </w:r>
            <w:r>
              <w:rPr>
                <w:rStyle w:val="IndexLink"/>
                <w:rtl w:val="true"/>
              </w:rPr>
              <w:tab/>
            </w:r>
            <w:r>
              <w:rPr>
                <w:rStyle w:val="IndexLink"/>
              </w:rPr>
              <w:t>165</w:t>
            </w:r>
          </w:hyperlink>
        </w:p>
        <w:p>
          <w:pPr>
            <w:pStyle w:val="Contents4"/>
            <w:tabs>
              <w:tab w:val="clear" w:pos="8176"/>
              <w:tab w:val="right" w:pos="9026" w:leader="dot"/>
            </w:tabs>
            <w:rPr/>
          </w:pPr>
          <w:hyperlink w:anchor="__RefHeading___Toc146744_2142443653">
            <w:r>
              <w:rPr>
                <w:webHidden/>
                <w:rStyle w:val="IndexLink"/>
                <w:rtl w:val="true"/>
              </w:rPr>
              <w:t>توجیه الشیخ لما دل علی تساوی بول الغلام والجاریة والمناقشة فیه</w:t>
            </w:r>
            <w:r>
              <w:rPr>
                <w:rStyle w:val="IndexLink"/>
                <w:rtl w:val="true"/>
              </w:rPr>
              <w:tab/>
            </w:r>
            <w:r>
              <w:rPr>
                <w:rStyle w:val="IndexLink"/>
              </w:rPr>
              <w:t>167</w:t>
            </w:r>
          </w:hyperlink>
        </w:p>
        <w:p>
          <w:pPr>
            <w:pStyle w:val="Contents4"/>
            <w:tabs>
              <w:tab w:val="clear" w:pos="8176"/>
              <w:tab w:val="right" w:pos="9026" w:leader="dot"/>
            </w:tabs>
            <w:rPr/>
          </w:pPr>
          <w:hyperlink w:anchor="__RefHeading___Toc146746_2142443653">
            <w:r>
              <w:rPr>
                <w:webHidden/>
                <w:rStyle w:val="IndexLink"/>
                <w:rtl w:val="true"/>
              </w:rPr>
              <w:t>الجواب عن المناقشة</w:t>
            </w:r>
            <w:r>
              <w:rPr>
                <w:rStyle w:val="IndexLink"/>
                <w:rtl w:val="true"/>
              </w:rPr>
              <w:tab/>
            </w:r>
            <w:r>
              <w:rPr>
                <w:rStyle w:val="IndexLink"/>
              </w:rPr>
              <w:t>169</w:t>
            </w:r>
          </w:hyperlink>
        </w:p>
        <w:p>
          <w:pPr>
            <w:pStyle w:val="Contents4"/>
            <w:tabs>
              <w:tab w:val="clear" w:pos="8176"/>
              <w:tab w:val="right" w:pos="9026" w:leader="dot"/>
            </w:tabs>
            <w:rPr/>
          </w:pPr>
          <w:hyperlink w:anchor="__RefHeading___Toc146748_2142443653">
            <w:r>
              <w:rPr>
                <w:webHidden/>
                <w:rStyle w:val="IndexLink"/>
                <w:rtl w:val="true"/>
              </w:rPr>
              <w:t xml:space="preserve">معنی قوله </w:t>
            </w:r>
            <w:r>
              <w:rPr>
                <w:rStyle w:val="IndexLink"/>
                <w:rtl w:val="true"/>
              </w:rPr>
              <w:t xml:space="preserve">: « </w:t>
            </w:r>
            <w:r>
              <w:rPr>
                <w:rStyle w:val="IndexLink"/>
                <w:rtl w:val="true"/>
              </w:rPr>
              <w:t xml:space="preserve">شَرْعٌ سواء </w:t>
            </w:r>
            <w:r>
              <w:rPr>
                <w:rStyle w:val="IndexLink"/>
                <w:rtl w:val="true"/>
              </w:rPr>
              <w:t>»</w:t>
              <w:tab/>
            </w:r>
            <w:r>
              <w:rPr>
                <w:rStyle w:val="IndexLink"/>
              </w:rPr>
              <w:t>170</w:t>
            </w:r>
          </w:hyperlink>
        </w:p>
        <w:p>
          <w:pPr>
            <w:pStyle w:val="Contents4"/>
            <w:tabs>
              <w:tab w:val="clear" w:pos="8176"/>
              <w:tab w:val="right" w:pos="9026" w:leader="dot"/>
            </w:tabs>
            <w:rPr/>
          </w:pPr>
          <w:hyperlink w:anchor="__RefHeading___Toc146750_2142443653">
            <w:r>
              <w:rPr>
                <w:webHidden/>
                <w:rStyle w:val="IndexLink"/>
                <w:rtl w:val="true"/>
              </w:rPr>
              <w:t>علی بن الحکم الذی یروی عنه أحمد بن محمّد بن عیسی هو الثقة</w:t>
            </w:r>
            <w:r>
              <w:rPr>
                <w:rStyle w:val="IndexLink"/>
                <w:rtl w:val="true"/>
              </w:rPr>
              <w:tab/>
            </w:r>
            <w:r>
              <w:rPr>
                <w:rStyle w:val="IndexLink"/>
              </w:rPr>
              <w:t>171</w:t>
            </w:r>
          </w:hyperlink>
        </w:p>
        <w:p>
          <w:pPr>
            <w:pStyle w:val="Contents4"/>
            <w:tabs>
              <w:tab w:val="clear" w:pos="8176"/>
              <w:tab w:val="right" w:pos="9026" w:leader="dot"/>
            </w:tabs>
            <w:rPr/>
          </w:pPr>
          <w:hyperlink w:anchor="__RefHeading___Toc146752_2142443653">
            <w:r>
              <w:rPr>
                <w:webHidden/>
                <w:rStyle w:val="IndexLink"/>
                <w:rtl w:val="true"/>
              </w:rPr>
              <w:t>بحث حول الحسین بن أبی العلاء</w:t>
            </w:r>
            <w:r>
              <w:rPr>
                <w:rStyle w:val="IndexLink"/>
                <w:rtl w:val="true"/>
              </w:rPr>
              <w:tab/>
            </w:r>
            <w:r>
              <w:rPr>
                <w:rStyle w:val="IndexLink"/>
              </w:rPr>
              <w:t>171</w:t>
            </w:r>
          </w:hyperlink>
        </w:p>
        <w:p>
          <w:pPr>
            <w:pStyle w:val="Contents4"/>
            <w:tabs>
              <w:tab w:val="clear" w:pos="8176"/>
              <w:tab w:val="right" w:pos="9026" w:leader="dot"/>
            </w:tabs>
            <w:rPr/>
          </w:pPr>
          <w:hyperlink w:anchor="__RefHeading___Toc146754_2142443653">
            <w:r>
              <w:rPr>
                <w:webHidden/>
                <w:rStyle w:val="IndexLink"/>
                <w:rtl w:val="true"/>
              </w:rPr>
              <w:t>إشارة إلی حال عثمان بن عیسی</w:t>
            </w:r>
            <w:r>
              <w:rPr>
                <w:rStyle w:val="IndexLink"/>
                <w:rtl w:val="true"/>
              </w:rPr>
              <w:tab/>
            </w:r>
            <w:r>
              <w:rPr>
                <w:rStyle w:val="IndexLink"/>
              </w:rPr>
              <w:t>172</w:t>
            </w:r>
          </w:hyperlink>
        </w:p>
        <w:p>
          <w:pPr>
            <w:pStyle w:val="Contents4"/>
            <w:tabs>
              <w:tab w:val="clear" w:pos="8176"/>
              <w:tab w:val="right" w:pos="9026" w:leader="dot"/>
            </w:tabs>
            <w:rPr/>
          </w:pPr>
          <w:hyperlink w:anchor="__RefHeading___Toc146756_2142443653">
            <w:r>
              <w:rPr>
                <w:webHidden/>
                <w:rStyle w:val="IndexLink"/>
                <w:rtl w:val="true"/>
              </w:rPr>
              <w:t>وجه الجمع بین ما دلّ علی الصّب والعصر وما دلّ علی الغَسل</w:t>
            </w:r>
            <w:r>
              <w:rPr>
                <w:rStyle w:val="IndexLink"/>
                <w:rtl w:val="true"/>
              </w:rPr>
              <w:tab/>
            </w:r>
            <w:r>
              <w:rPr>
                <w:rStyle w:val="IndexLink"/>
              </w:rPr>
              <w:t>172</w:t>
            </w:r>
          </w:hyperlink>
        </w:p>
        <w:p>
          <w:pPr>
            <w:pStyle w:val="Contents4"/>
            <w:tabs>
              <w:tab w:val="clear" w:pos="8176"/>
              <w:tab w:val="right" w:pos="9026" w:leader="dot"/>
            </w:tabs>
            <w:rPr/>
          </w:pPr>
          <w:hyperlink w:anchor="__RefHeading___Toc146758_2142443653">
            <w:r>
              <w:rPr>
                <w:webHidden/>
                <w:rStyle w:val="IndexLink"/>
                <w:rtl w:val="true"/>
              </w:rPr>
              <w:t>مالفرق بین الصّب والغَسل؟</w:t>
            </w:r>
            <w:r>
              <w:rPr>
                <w:rStyle w:val="IndexLink"/>
                <w:rtl w:val="true"/>
              </w:rPr>
              <w:tab/>
            </w:r>
            <w:r>
              <w:rPr>
                <w:rStyle w:val="IndexLink"/>
              </w:rPr>
              <w:t>173</w:t>
            </w:r>
          </w:hyperlink>
        </w:p>
        <w:p>
          <w:pPr>
            <w:pStyle w:val="Contents4"/>
            <w:tabs>
              <w:tab w:val="clear" w:pos="8176"/>
              <w:tab w:val="right" w:pos="9026" w:leader="dot"/>
            </w:tabs>
            <w:rPr/>
          </w:pPr>
          <w:hyperlink w:anchor="__RefHeading___Toc146760_2142443653">
            <w:r>
              <w:rPr>
                <w:webHidden/>
                <w:rStyle w:val="IndexLink"/>
                <w:rtl w:val="true"/>
              </w:rPr>
              <w:t>لزوم غَسلْ کلّ الثوب الذی أصابه بول الصبی ولم یوجد مکانه</w:t>
            </w:r>
            <w:r>
              <w:rPr>
                <w:rStyle w:val="IndexLink"/>
                <w:rtl w:val="true"/>
              </w:rPr>
              <w:tab/>
            </w:r>
            <w:r>
              <w:rPr>
                <w:rStyle w:val="IndexLink"/>
              </w:rPr>
              <w:t>175</w:t>
            </w:r>
          </w:hyperlink>
        </w:p>
        <w:p>
          <w:pPr>
            <w:pStyle w:val="Contents4"/>
            <w:tabs>
              <w:tab w:val="clear" w:pos="8176"/>
              <w:tab w:val="right" w:pos="9026" w:leader="dot"/>
            </w:tabs>
            <w:rPr/>
          </w:pPr>
          <w:hyperlink w:anchor="__RefHeading___Toc146762_2142443653">
            <w:r>
              <w:rPr>
                <w:webHidden/>
                <w:rStyle w:val="IndexLink"/>
                <w:rtl w:val="true"/>
              </w:rPr>
              <w:t>ما هی العلّة فی لزوم العصر؟</w:t>
            </w:r>
            <w:r>
              <w:rPr>
                <w:rStyle w:val="IndexLink"/>
                <w:rtl w:val="true"/>
              </w:rPr>
              <w:tab/>
            </w:r>
            <w:r>
              <w:rPr>
                <w:rStyle w:val="IndexLink"/>
              </w:rPr>
              <w:t>177</w:t>
            </w:r>
          </w:hyperlink>
        </w:p>
        <w:p>
          <w:pPr>
            <w:pStyle w:val="Contents4"/>
            <w:tabs>
              <w:tab w:val="clear" w:pos="8176"/>
              <w:tab w:val="right" w:pos="9026" w:leader="dot"/>
            </w:tabs>
            <w:rPr/>
          </w:pPr>
          <w:hyperlink w:anchor="__RefHeading___Toc146764_2142443653">
            <w:r>
              <w:rPr>
                <w:webHidden/>
                <w:rStyle w:val="IndexLink"/>
                <w:rtl w:val="true"/>
              </w:rPr>
              <w:t>معنی العصر</w:t>
            </w:r>
            <w:r>
              <w:rPr>
                <w:rStyle w:val="IndexLink"/>
                <w:rtl w:val="true"/>
              </w:rPr>
              <w:tab/>
            </w:r>
            <w:r>
              <w:rPr>
                <w:rStyle w:val="IndexLink"/>
              </w:rPr>
              <w:t>178</w:t>
            </w:r>
          </w:hyperlink>
        </w:p>
        <w:p>
          <w:pPr>
            <w:pStyle w:val="Contents3"/>
            <w:tabs>
              <w:tab w:val="clear" w:pos="8459"/>
              <w:tab w:val="right" w:pos="9026" w:leader="dot"/>
            </w:tabs>
            <w:rPr/>
          </w:pPr>
          <w:hyperlink w:anchor="__RefHeading___Toc146766_2142443653">
            <w:r>
              <w:rPr>
                <w:webHidden/>
                <w:rStyle w:val="IndexLink"/>
                <w:rtl w:val="true"/>
              </w:rPr>
              <w:t>المذی یصیب الثوب والجسد</w:t>
            </w:r>
            <w:r>
              <w:rPr>
                <w:rStyle w:val="IndexLink"/>
                <w:rtl w:val="true"/>
              </w:rPr>
              <w:tab/>
            </w:r>
            <w:r>
              <w:rPr>
                <w:rStyle w:val="IndexLink"/>
              </w:rPr>
              <w:t>178</w:t>
            </w:r>
          </w:hyperlink>
        </w:p>
        <w:p>
          <w:pPr>
            <w:pStyle w:val="Contents4"/>
            <w:tabs>
              <w:tab w:val="clear" w:pos="8176"/>
              <w:tab w:val="right" w:pos="9026" w:leader="dot"/>
            </w:tabs>
            <w:rPr/>
          </w:pPr>
          <w:hyperlink w:anchor="__RefHeading___Toc146768_2142443653">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46770_2142443653">
            <w:r>
              <w:rPr>
                <w:webHidden/>
                <w:rStyle w:val="IndexLink"/>
                <w:rtl w:val="true"/>
              </w:rPr>
              <w:t>بحث حول إرسال ابن أبی عمیر عن غیر واحد</w:t>
            </w:r>
            <w:r>
              <w:rPr>
                <w:rStyle w:val="IndexLink"/>
                <w:rtl w:val="true"/>
              </w:rPr>
              <w:tab/>
            </w:r>
            <w:r>
              <w:rPr>
                <w:rStyle w:val="IndexLink"/>
              </w:rPr>
              <w:t>179</w:t>
            </w:r>
          </w:hyperlink>
        </w:p>
        <w:p>
          <w:pPr>
            <w:pStyle w:val="Contents4"/>
            <w:tabs>
              <w:tab w:val="clear" w:pos="8176"/>
              <w:tab w:val="right" w:pos="9026" w:leader="dot"/>
            </w:tabs>
            <w:rPr/>
          </w:pPr>
          <w:hyperlink w:anchor="__RefHeading___Toc146772_2142443653">
            <w:r>
              <w:rPr>
                <w:webHidden/>
                <w:rStyle w:val="IndexLink"/>
                <w:rtl w:val="true"/>
              </w:rPr>
              <w:t>بحث حول علی بن الحکم</w:t>
            </w:r>
            <w:r>
              <w:rPr>
                <w:rStyle w:val="IndexLink"/>
                <w:rtl w:val="true"/>
              </w:rPr>
              <w:tab/>
            </w:r>
            <w:r>
              <w:rPr>
                <w:rStyle w:val="IndexLink"/>
              </w:rPr>
              <w:t>180</w:t>
            </w:r>
          </w:hyperlink>
        </w:p>
        <w:p>
          <w:pPr>
            <w:pStyle w:val="Contents4"/>
            <w:tabs>
              <w:tab w:val="clear" w:pos="8176"/>
              <w:tab w:val="right" w:pos="9026" w:leader="dot"/>
            </w:tabs>
            <w:rPr/>
          </w:pPr>
          <w:hyperlink w:anchor="__RefHeading___Toc146774_2142443653">
            <w:r>
              <w:rPr>
                <w:webHidden/>
                <w:rStyle w:val="IndexLink"/>
                <w:rtl w:val="true"/>
              </w:rPr>
              <w:t>إشارة إلی حال الحسین بن أبی العلاء</w:t>
            </w:r>
            <w:r>
              <w:rPr>
                <w:rStyle w:val="IndexLink"/>
                <w:rtl w:val="true"/>
              </w:rPr>
              <w:tab/>
            </w:r>
            <w:r>
              <w:rPr>
                <w:rStyle w:val="IndexLink"/>
              </w:rPr>
              <w:t>181</w:t>
            </w:r>
          </w:hyperlink>
        </w:p>
        <w:p>
          <w:pPr>
            <w:pStyle w:val="Contents4"/>
            <w:tabs>
              <w:tab w:val="clear" w:pos="8176"/>
              <w:tab w:val="right" w:pos="9026" w:leader="dot"/>
            </w:tabs>
            <w:rPr/>
          </w:pPr>
          <w:hyperlink w:anchor="__RefHeading___Toc146776_2142443653">
            <w:r>
              <w:rPr>
                <w:webHidden/>
                <w:rStyle w:val="IndexLink"/>
                <w:rtl w:val="true"/>
              </w:rPr>
              <w:t>دلالة مرسلة ابن أبی عمیر علی طهارة المذی</w:t>
            </w:r>
            <w:r>
              <w:rPr>
                <w:rStyle w:val="IndexLink"/>
                <w:rtl w:val="true"/>
              </w:rPr>
              <w:tab/>
            </w:r>
            <w:r>
              <w:rPr>
                <w:rStyle w:val="IndexLink"/>
              </w:rPr>
              <w:t>181</w:t>
            </w:r>
          </w:hyperlink>
        </w:p>
        <w:p>
          <w:pPr>
            <w:pStyle w:val="Contents4"/>
            <w:tabs>
              <w:tab w:val="clear" w:pos="8176"/>
              <w:tab w:val="right" w:pos="9026" w:leader="dot"/>
            </w:tabs>
            <w:rPr/>
          </w:pPr>
          <w:hyperlink w:anchor="__RefHeading___Toc146778_2142443653">
            <w:r>
              <w:rPr>
                <w:webHidden/>
                <w:rStyle w:val="IndexLink"/>
                <w:rtl w:val="true"/>
              </w:rPr>
              <w:t>هل تدل المرسلة علی عدم ناقضیة مسّ الفرج للوضوء؟</w:t>
            </w:r>
            <w:r>
              <w:rPr>
                <w:rStyle w:val="IndexLink"/>
                <w:rtl w:val="true"/>
              </w:rPr>
              <w:tab/>
            </w:r>
            <w:r>
              <w:rPr>
                <w:rStyle w:val="IndexLink"/>
              </w:rPr>
              <w:t>181</w:t>
            </w:r>
          </w:hyperlink>
        </w:p>
        <w:p>
          <w:pPr>
            <w:pStyle w:val="Contents4"/>
            <w:tabs>
              <w:tab w:val="clear" w:pos="8176"/>
              <w:tab w:val="right" w:pos="9026" w:leader="dot"/>
            </w:tabs>
            <w:rPr/>
          </w:pPr>
          <w:hyperlink w:anchor="__RefHeading___Toc146780_2142443653">
            <w:r>
              <w:rPr>
                <w:webHidden/>
                <w:rStyle w:val="IndexLink"/>
                <w:rtl w:val="true"/>
              </w:rPr>
              <w:t>أدلّة ابن الجنید علی نجاسة المذی والجوب عنها والمناقشة فی الجواب</w:t>
            </w:r>
            <w:r>
              <w:rPr>
                <w:rStyle w:val="IndexLink"/>
                <w:rtl w:val="true"/>
              </w:rPr>
              <w:tab/>
            </w:r>
            <w:r>
              <w:rPr>
                <w:rStyle w:val="IndexLink"/>
              </w:rPr>
              <w:t>182</w:t>
            </w:r>
          </w:hyperlink>
        </w:p>
        <w:p>
          <w:pPr>
            <w:pStyle w:val="Contents4"/>
            <w:tabs>
              <w:tab w:val="clear" w:pos="8176"/>
              <w:tab w:val="right" w:pos="9026" w:leader="dot"/>
            </w:tabs>
            <w:rPr/>
          </w:pPr>
          <w:hyperlink w:anchor="__RefHeading___Toc146782_2142443653">
            <w:r>
              <w:rPr>
                <w:webHidden/>
                <w:rStyle w:val="IndexLink"/>
                <w:rtl w:val="true"/>
              </w:rPr>
              <w:t>کلام حول دعوی العلّامة الإجماع علی طهارة المذی</w:t>
            </w:r>
            <w:r>
              <w:rPr>
                <w:rStyle w:val="IndexLink"/>
                <w:rtl w:val="true"/>
              </w:rPr>
              <w:tab/>
            </w:r>
            <w:r>
              <w:rPr>
                <w:rStyle w:val="IndexLink"/>
              </w:rPr>
              <w:t>184</w:t>
            </w:r>
          </w:hyperlink>
        </w:p>
        <w:p>
          <w:pPr>
            <w:pStyle w:val="Contents4"/>
            <w:tabs>
              <w:tab w:val="clear" w:pos="8176"/>
              <w:tab w:val="right" w:pos="9026" w:leader="dot"/>
            </w:tabs>
            <w:rPr/>
          </w:pPr>
          <w:hyperlink w:anchor="__RefHeading___Toc146784_2142443653">
            <w:r>
              <w:rPr>
                <w:webHidden/>
                <w:rStyle w:val="IndexLink"/>
                <w:rtl w:val="true"/>
              </w:rPr>
              <w:t>معنی الإنعاظ والنضح</w:t>
            </w:r>
            <w:r>
              <w:rPr>
                <w:rStyle w:val="IndexLink"/>
                <w:rtl w:val="true"/>
              </w:rPr>
              <w:tab/>
            </w:r>
            <w:r>
              <w:rPr>
                <w:rStyle w:val="IndexLink"/>
              </w:rPr>
              <w:t>186</w:t>
            </w:r>
          </w:hyperlink>
        </w:p>
        <w:p>
          <w:pPr>
            <w:pStyle w:val="Contents3"/>
            <w:tabs>
              <w:tab w:val="clear" w:pos="8459"/>
              <w:tab w:val="right" w:pos="9026" w:leader="dot"/>
            </w:tabs>
            <w:rPr/>
          </w:pPr>
          <w:hyperlink w:anchor="__RefHeading___Toc146786_2142443653">
            <w:r>
              <w:rPr>
                <w:webHidden/>
                <w:rStyle w:val="IndexLink"/>
                <w:rtl w:val="true"/>
              </w:rPr>
              <w:t>المقدار الذی یجب إزالته من الدم ومالایجب</w:t>
            </w:r>
            <w:r>
              <w:rPr>
                <w:rStyle w:val="IndexLink"/>
                <w:rtl w:val="true"/>
              </w:rPr>
              <w:tab/>
            </w:r>
            <w:r>
              <w:rPr>
                <w:rStyle w:val="IndexLink"/>
              </w:rPr>
              <w:t>186</w:t>
            </w:r>
          </w:hyperlink>
        </w:p>
        <w:p>
          <w:pPr>
            <w:pStyle w:val="Contents4"/>
            <w:tabs>
              <w:tab w:val="clear" w:pos="8176"/>
              <w:tab w:val="right" w:pos="9026" w:leader="dot"/>
            </w:tabs>
            <w:rPr/>
          </w:pPr>
          <w:hyperlink w:anchor="__RefHeading___Toc146788_2142443653">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46790_2142443653">
            <w:r>
              <w:rPr>
                <w:webHidden/>
                <w:rStyle w:val="IndexLink"/>
                <w:rtl w:val="true"/>
              </w:rPr>
              <w:t>حماد الذی یروی عنه إبراهیم بن هاشم هو حماد بن عیسی</w:t>
            </w:r>
            <w:r>
              <w:rPr>
                <w:rStyle w:val="IndexLink"/>
                <w:rtl w:val="true"/>
              </w:rPr>
              <w:tab/>
            </w:r>
            <w:r>
              <w:rPr>
                <w:rStyle w:val="IndexLink"/>
              </w:rPr>
              <w:t>188</w:t>
            </w:r>
          </w:hyperlink>
        </w:p>
        <w:p>
          <w:pPr>
            <w:pStyle w:val="Contents4"/>
            <w:tabs>
              <w:tab w:val="clear" w:pos="8176"/>
              <w:tab w:val="right" w:pos="9026" w:leader="dot"/>
            </w:tabs>
            <w:rPr/>
          </w:pPr>
          <w:hyperlink w:anchor="__RefHeading___Toc146792_2142443653">
            <w:r>
              <w:rPr>
                <w:webHidden/>
                <w:rStyle w:val="IndexLink"/>
                <w:rtl w:val="true"/>
              </w:rPr>
              <w:t>بحث حول الحسین بن الحسن</w:t>
            </w:r>
            <w:r>
              <w:rPr>
                <w:rStyle w:val="IndexLink"/>
                <w:rtl w:val="true"/>
              </w:rPr>
              <w:tab/>
            </w:r>
            <w:r>
              <w:rPr>
                <w:rStyle w:val="IndexLink"/>
              </w:rPr>
              <w:t>188</w:t>
            </w:r>
          </w:hyperlink>
        </w:p>
        <w:p>
          <w:pPr>
            <w:pStyle w:val="Contents4"/>
            <w:tabs>
              <w:tab w:val="clear" w:pos="8176"/>
              <w:tab w:val="right" w:pos="9026" w:leader="dot"/>
            </w:tabs>
            <w:rPr/>
          </w:pPr>
          <w:hyperlink w:anchor="__RefHeading___Toc146794_2142443653">
            <w:r>
              <w:rPr>
                <w:webHidden/>
                <w:rStyle w:val="IndexLink"/>
                <w:rtl w:val="true"/>
              </w:rPr>
              <w:t>بحث حول إسماعیل الجعفی</w:t>
            </w:r>
            <w:r>
              <w:rPr>
                <w:rStyle w:val="IndexLink"/>
                <w:rtl w:val="true"/>
              </w:rPr>
              <w:tab/>
            </w:r>
            <w:r>
              <w:rPr>
                <w:rStyle w:val="IndexLink"/>
              </w:rPr>
              <w:t>189</w:t>
            </w:r>
          </w:hyperlink>
        </w:p>
        <w:p>
          <w:pPr>
            <w:pStyle w:val="Contents4"/>
            <w:tabs>
              <w:tab w:val="clear" w:pos="8176"/>
              <w:tab w:val="right" w:pos="9026" w:leader="dot"/>
            </w:tabs>
            <w:rPr/>
          </w:pPr>
          <w:hyperlink w:anchor="__RefHeading___Toc146796_2142443653">
            <w:r>
              <w:rPr>
                <w:webHidden/>
                <w:rStyle w:val="IndexLink"/>
                <w:rtl w:val="true"/>
              </w:rPr>
              <w:t>إشارة إلی جلالة زیاد بن ابی الحلال وعبدالله بن أبی یعفور</w:t>
            </w:r>
            <w:r>
              <w:rPr>
                <w:rStyle w:val="IndexLink"/>
                <w:rtl w:val="true"/>
              </w:rPr>
              <w:tab/>
            </w:r>
            <w:r>
              <w:rPr>
                <w:rStyle w:val="IndexLink"/>
              </w:rPr>
              <w:t>190</w:t>
            </w:r>
          </w:hyperlink>
        </w:p>
        <w:p>
          <w:pPr>
            <w:pStyle w:val="Contents4"/>
            <w:tabs>
              <w:tab w:val="clear" w:pos="8176"/>
              <w:tab w:val="right" w:pos="9026" w:leader="dot"/>
            </w:tabs>
            <w:rPr/>
          </w:pPr>
          <w:hyperlink w:anchor="__RefHeading___Toc146798_2142443653">
            <w:r>
              <w:rPr>
                <w:webHidden/>
                <w:rStyle w:val="IndexLink"/>
                <w:rtl w:val="true"/>
              </w:rPr>
              <w:t>علی بن حدید ضعیف</w:t>
            </w:r>
            <w:r>
              <w:rPr>
                <w:rStyle w:val="IndexLink"/>
                <w:rtl w:val="true"/>
              </w:rPr>
              <w:tab/>
            </w:r>
            <w:r>
              <w:rPr>
                <w:rStyle w:val="IndexLink"/>
              </w:rPr>
              <w:t>190</w:t>
            </w:r>
          </w:hyperlink>
        </w:p>
        <w:p>
          <w:pPr>
            <w:pStyle w:val="Contents4"/>
            <w:tabs>
              <w:tab w:val="clear" w:pos="8176"/>
              <w:tab w:val="right" w:pos="9026" w:leader="dot"/>
            </w:tabs>
            <w:rPr/>
          </w:pPr>
          <w:hyperlink w:anchor="__RefHeading___Toc146800_2142443653">
            <w:r>
              <w:rPr>
                <w:webHidden/>
                <w:rStyle w:val="IndexLink"/>
                <w:rtl w:val="true"/>
              </w:rPr>
              <w:t>أبو جعفر الذی یروی عنه سعد بن عبدالله هو أحمد بن محمّد بن عیسی</w:t>
            </w:r>
            <w:r>
              <w:rPr>
                <w:rStyle w:val="IndexLink"/>
                <w:rtl w:val="true"/>
              </w:rPr>
              <w:tab/>
            </w:r>
            <w:r>
              <w:rPr>
                <w:rStyle w:val="IndexLink"/>
              </w:rPr>
              <w:t>190</w:t>
            </w:r>
          </w:hyperlink>
        </w:p>
        <w:p>
          <w:pPr>
            <w:pStyle w:val="Contents4"/>
            <w:tabs>
              <w:tab w:val="clear" w:pos="8176"/>
              <w:tab w:val="right" w:pos="9026" w:leader="dot"/>
            </w:tabs>
            <w:rPr/>
          </w:pPr>
          <w:hyperlink w:anchor="__RefHeading___Toc146802_2142443653">
            <w:r>
              <w:rPr>
                <w:webHidden/>
                <w:rStyle w:val="IndexLink"/>
                <w:rtl w:val="true"/>
              </w:rPr>
              <w:t>کلمة حول إسماعیل بن عبدالرحمان الجعفی</w:t>
            </w:r>
            <w:r>
              <w:rPr>
                <w:rStyle w:val="IndexLink"/>
                <w:rtl w:val="true"/>
              </w:rPr>
              <w:tab/>
            </w:r>
            <w:r>
              <w:rPr>
                <w:rStyle w:val="IndexLink"/>
              </w:rPr>
              <w:t>190</w:t>
            </w:r>
          </w:hyperlink>
        </w:p>
        <w:p>
          <w:pPr>
            <w:pStyle w:val="Contents4"/>
            <w:tabs>
              <w:tab w:val="clear" w:pos="8176"/>
              <w:tab w:val="right" w:pos="9026" w:leader="dot"/>
            </w:tabs>
            <w:rPr/>
          </w:pPr>
          <w:hyperlink w:anchor="__RefHeading___Toc146804_2142443653">
            <w:r>
              <w:rPr>
                <w:webHidden/>
                <w:rStyle w:val="IndexLink"/>
                <w:rtl w:val="true"/>
              </w:rPr>
              <w:t>مایستفاد من روایة محمّد بن مسلم فی مسألة رؤیة الدم فی الثوب فی حال الصلاة</w:t>
            </w:r>
            <w:r>
              <w:rPr>
                <w:rStyle w:val="IndexLink"/>
                <w:rtl w:val="true"/>
              </w:rPr>
              <w:tab/>
            </w:r>
            <w:r>
              <w:rPr>
                <w:rStyle w:val="IndexLink"/>
              </w:rPr>
              <w:t>190</w:t>
            </w:r>
          </w:hyperlink>
        </w:p>
        <w:p>
          <w:pPr>
            <w:pStyle w:val="Contents4"/>
            <w:tabs>
              <w:tab w:val="clear" w:pos="8176"/>
              <w:tab w:val="right" w:pos="9026" w:leader="dot"/>
            </w:tabs>
            <w:rPr/>
          </w:pPr>
          <w:hyperlink w:anchor="__RefHeading___Toc146806_2142443653">
            <w:r>
              <w:rPr>
                <w:webHidden/>
                <w:rStyle w:val="IndexLink"/>
                <w:rtl w:val="true"/>
              </w:rPr>
              <w:t>حکم الدم إذا کان مساویاً للدرهم</w:t>
            </w:r>
            <w:r>
              <w:rPr>
                <w:rStyle w:val="IndexLink"/>
                <w:rtl w:val="true"/>
              </w:rPr>
              <w:tab/>
            </w:r>
            <w:r>
              <w:rPr>
                <w:rStyle w:val="IndexLink"/>
              </w:rPr>
              <w:t>192</w:t>
            </w:r>
          </w:hyperlink>
        </w:p>
        <w:p>
          <w:pPr>
            <w:pStyle w:val="Contents4"/>
            <w:tabs>
              <w:tab w:val="clear" w:pos="8176"/>
              <w:tab w:val="right" w:pos="9026" w:leader="dot"/>
            </w:tabs>
            <w:rPr/>
          </w:pPr>
          <w:hyperlink w:anchor="__RefHeading___Toc146808_2142443653">
            <w:r>
              <w:rPr>
                <w:webHidden/>
                <w:rStyle w:val="IndexLink"/>
                <w:rtl w:val="true"/>
              </w:rPr>
              <w:t>حکم الدم المتفرّق إذا لم یبلغ کل موضع منه قدر الدرهم</w:t>
            </w:r>
            <w:r>
              <w:rPr>
                <w:rStyle w:val="IndexLink"/>
                <w:rtl w:val="true"/>
              </w:rPr>
              <w:tab/>
            </w:r>
            <w:r>
              <w:rPr>
                <w:rStyle w:val="IndexLink"/>
              </w:rPr>
              <w:t>195</w:t>
            </w:r>
          </w:hyperlink>
        </w:p>
        <w:p>
          <w:pPr>
            <w:pStyle w:val="Contents4"/>
            <w:tabs>
              <w:tab w:val="clear" w:pos="8176"/>
              <w:tab w:val="right" w:pos="9026" w:leader="dot"/>
            </w:tabs>
            <w:rPr/>
          </w:pPr>
          <w:hyperlink w:anchor="__RefHeading___Toc146810_2142443653">
            <w:r>
              <w:rPr>
                <w:webHidden/>
                <w:rStyle w:val="IndexLink"/>
                <w:rtl w:val="true"/>
              </w:rPr>
              <w:t>بحث حول معاویة بن حکیم</w:t>
            </w:r>
            <w:r>
              <w:rPr>
                <w:rStyle w:val="IndexLink"/>
                <w:rtl w:val="true"/>
              </w:rPr>
              <w:tab/>
            </w:r>
            <w:r>
              <w:rPr>
                <w:rStyle w:val="IndexLink"/>
              </w:rPr>
              <w:t>200</w:t>
            </w:r>
          </w:hyperlink>
        </w:p>
        <w:p>
          <w:pPr>
            <w:pStyle w:val="Contents4"/>
            <w:tabs>
              <w:tab w:val="clear" w:pos="8176"/>
              <w:tab w:val="right" w:pos="9026" w:leader="dot"/>
            </w:tabs>
            <w:rPr/>
          </w:pPr>
          <w:hyperlink w:anchor="__RefHeading___Toc146812_2142443653">
            <w:r>
              <w:rPr>
                <w:webHidden/>
                <w:rStyle w:val="IndexLink"/>
                <w:rtl w:val="true"/>
              </w:rPr>
              <w:t>بحث حول عبدالله بن المغیرة</w:t>
            </w:r>
            <w:r>
              <w:rPr>
                <w:rStyle w:val="IndexLink"/>
                <w:rtl w:val="true"/>
              </w:rPr>
              <w:tab/>
            </w:r>
            <w:r>
              <w:rPr>
                <w:rStyle w:val="IndexLink"/>
              </w:rPr>
              <w:t>201</w:t>
            </w:r>
          </w:hyperlink>
        </w:p>
        <w:p>
          <w:pPr>
            <w:pStyle w:val="Contents4"/>
            <w:tabs>
              <w:tab w:val="clear" w:pos="8176"/>
              <w:tab w:val="right" w:pos="9026" w:leader="dot"/>
            </w:tabs>
            <w:rPr/>
          </w:pPr>
          <w:hyperlink w:anchor="__RefHeading___Toc146814_2142443653">
            <w:r>
              <w:rPr>
                <w:webHidden/>
                <w:rStyle w:val="IndexLink"/>
                <w:rtl w:val="true"/>
              </w:rPr>
              <w:t>بحث حول مثنّی بن عبدالسلام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146816_2142443653">
            <w:r>
              <w:rPr>
                <w:webHidden/>
                <w:rStyle w:val="IndexLink"/>
                <w:rtl w:val="true"/>
              </w:rPr>
              <w:t>حکم الدم إذا کان قدر حمصة</w:t>
            </w:r>
            <w:r>
              <w:rPr>
                <w:rStyle w:val="IndexLink"/>
                <w:rtl w:val="true"/>
              </w:rPr>
              <w:tab/>
            </w:r>
            <w:r>
              <w:rPr>
                <w:rStyle w:val="IndexLink"/>
              </w:rPr>
              <w:t>202</w:t>
            </w:r>
          </w:hyperlink>
        </w:p>
        <w:p>
          <w:pPr>
            <w:pStyle w:val="Contents4"/>
            <w:tabs>
              <w:tab w:val="clear" w:pos="8176"/>
              <w:tab w:val="right" w:pos="9026" w:leader="dot"/>
            </w:tabs>
            <w:rPr/>
          </w:pPr>
          <w:hyperlink w:anchor="__RefHeading___Toc146818_2142443653">
            <w:r>
              <w:rPr>
                <w:webHidden/>
                <w:rStyle w:val="IndexLink"/>
                <w:rtl w:val="true"/>
              </w:rPr>
              <w:t>بحث حول العلاء بن رزین ورواة کتابه</w:t>
            </w:r>
            <w:r>
              <w:rPr>
                <w:rStyle w:val="IndexLink"/>
                <w:rtl w:val="true"/>
              </w:rPr>
              <w:tab/>
            </w:r>
            <w:r>
              <w:rPr>
                <w:rStyle w:val="IndexLink"/>
              </w:rPr>
              <w:t>204</w:t>
            </w:r>
          </w:hyperlink>
        </w:p>
        <w:p>
          <w:pPr>
            <w:pStyle w:val="Contents4"/>
            <w:tabs>
              <w:tab w:val="clear" w:pos="8176"/>
              <w:tab w:val="right" w:pos="9026" w:leader="dot"/>
            </w:tabs>
            <w:rPr/>
          </w:pPr>
          <w:hyperlink w:anchor="__RefHeading___Toc146820_2142443653">
            <w:r>
              <w:rPr>
                <w:webHidden/>
                <w:rStyle w:val="IndexLink"/>
                <w:rtl w:val="true"/>
              </w:rPr>
              <w:t>المعلّی بن عثمان ثقة</w:t>
            </w:r>
            <w:r>
              <w:rPr>
                <w:rStyle w:val="IndexLink"/>
                <w:rtl w:val="true"/>
              </w:rPr>
              <w:tab/>
            </w:r>
            <w:r>
              <w:rPr>
                <w:rStyle w:val="IndexLink"/>
              </w:rPr>
              <w:t>205</w:t>
            </w:r>
          </w:hyperlink>
        </w:p>
        <w:p>
          <w:pPr>
            <w:pStyle w:val="Contents4"/>
            <w:tabs>
              <w:tab w:val="clear" w:pos="8176"/>
              <w:tab w:val="right" w:pos="9026" w:leader="dot"/>
            </w:tabs>
            <w:rPr/>
          </w:pPr>
          <w:hyperlink w:anchor="__RefHeading___Toc146822_2142443653">
            <w:r>
              <w:rPr>
                <w:webHidden/>
                <w:rStyle w:val="IndexLink"/>
                <w:rtl w:val="true"/>
              </w:rPr>
              <w:t>حکم دم القرح والجرح</w:t>
            </w:r>
            <w:r>
              <w:rPr>
                <w:rStyle w:val="IndexLink"/>
                <w:rtl w:val="true"/>
              </w:rPr>
              <w:tab/>
            </w:r>
            <w:r>
              <w:rPr>
                <w:rStyle w:val="IndexLink"/>
              </w:rPr>
              <w:t>205</w:t>
            </w:r>
          </w:hyperlink>
        </w:p>
        <w:p>
          <w:pPr>
            <w:pStyle w:val="Contents4"/>
            <w:tabs>
              <w:tab w:val="clear" w:pos="8176"/>
              <w:tab w:val="right" w:pos="9026" w:leader="dot"/>
            </w:tabs>
            <w:rPr/>
          </w:pPr>
          <w:hyperlink w:anchor="__RefHeading___Toc146824_2142443653">
            <w:r>
              <w:rPr>
                <w:webHidden/>
                <w:rStyle w:val="IndexLink"/>
                <w:rtl w:val="true"/>
              </w:rPr>
              <w:t>معنی الدمل ، براء ، نقه ، القرح ، ربط</w:t>
            </w:r>
            <w:r>
              <w:rPr>
                <w:rStyle w:val="IndexLink"/>
                <w:rtl w:val="true"/>
              </w:rPr>
              <w:tab/>
            </w:r>
            <w:r>
              <w:rPr>
                <w:rStyle w:val="IndexLink"/>
              </w:rPr>
              <w:t>208</w:t>
            </w:r>
          </w:hyperlink>
        </w:p>
        <w:p>
          <w:pPr>
            <w:pStyle w:val="Contents3"/>
            <w:tabs>
              <w:tab w:val="clear" w:pos="8459"/>
              <w:tab w:val="right" w:pos="9026" w:leader="dot"/>
            </w:tabs>
            <w:rPr/>
          </w:pPr>
          <w:hyperlink w:anchor="__RefHeading___Toc146826_2142443653">
            <w:r>
              <w:rPr>
                <w:webHidden/>
                <w:rStyle w:val="IndexLink"/>
                <w:rtl w:val="true"/>
              </w:rPr>
              <w:t>ذرق الدجاج</w:t>
            </w:r>
            <w:r>
              <w:rPr>
                <w:rStyle w:val="IndexLink"/>
                <w:rtl w:val="true"/>
              </w:rPr>
              <w:tab/>
            </w:r>
            <w:r>
              <w:rPr>
                <w:rStyle w:val="IndexLink"/>
              </w:rPr>
              <w:t>209</w:t>
            </w:r>
          </w:hyperlink>
        </w:p>
        <w:p>
          <w:pPr>
            <w:pStyle w:val="Contents4"/>
            <w:tabs>
              <w:tab w:val="clear" w:pos="8176"/>
              <w:tab w:val="right" w:pos="9026" w:leader="dot"/>
            </w:tabs>
            <w:rPr/>
          </w:pPr>
          <w:hyperlink w:anchor="__RefHeading___Toc146828_2142443653">
            <w:r>
              <w:rPr>
                <w:webHidden/>
                <w:rStyle w:val="IndexLink"/>
                <w:rtl w:val="true"/>
              </w:rPr>
              <w:t>بحث حول محمّد بن عیسی الأشعری</w:t>
            </w:r>
            <w:r>
              <w:rPr>
                <w:rStyle w:val="IndexLink"/>
                <w:rtl w:val="true"/>
              </w:rPr>
              <w:tab/>
            </w:r>
            <w:r>
              <w:rPr>
                <w:rStyle w:val="IndexLink"/>
              </w:rPr>
              <w:t>209</w:t>
            </w:r>
          </w:hyperlink>
        </w:p>
        <w:p>
          <w:pPr>
            <w:pStyle w:val="Contents4"/>
            <w:tabs>
              <w:tab w:val="clear" w:pos="8176"/>
              <w:tab w:val="right" w:pos="9026" w:leader="dot"/>
            </w:tabs>
            <w:rPr/>
          </w:pPr>
          <w:hyperlink w:anchor="__RefHeading___Toc146830_2142443653">
            <w:r>
              <w:rPr>
                <w:webHidden/>
                <w:rStyle w:val="IndexLink"/>
                <w:rtl w:val="true"/>
              </w:rPr>
              <w:t>بحث حول وهب بن وهب</w:t>
            </w:r>
            <w:r>
              <w:rPr>
                <w:rStyle w:val="IndexLink"/>
                <w:rtl w:val="true"/>
              </w:rPr>
              <w:tab/>
            </w:r>
            <w:r>
              <w:rPr>
                <w:rStyle w:val="IndexLink"/>
              </w:rPr>
              <w:t>210</w:t>
            </w:r>
          </w:hyperlink>
        </w:p>
        <w:p>
          <w:pPr>
            <w:pStyle w:val="Contents4"/>
            <w:tabs>
              <w:tab w:val="clear" w:pos="8176"/>
              <w:tab w:val="right" w:pos="9026" w:leader="dot"/>
            </w:tabs>
            <w:rPr/>
          </w:pPr>
          <w:hyperlink w:anchor="__RefHeading___Toc146832_2142443653">
            <w:r>
              <w:rPr>
                <w:webHidden/>
                <w:rStyle w:val="IndexLink"/>
                <w:rtl w:val="true"/>
              </w:rPr>
              <w:t>بحث حول فارس بن حاتم</w:t>
            </w:r>
            <w:r>
              <w:rPr>
                <w:rStyle w:val="IndexLink"/>
                <w:rtl w:val="true"/>
              </w:rPr>
              <w:tab/>
            </w:r>
            <w:r>
              <w:rPr>
                <w:rStyle w:val="IndexLink"/>
              </w:rPr>
              <w:t>210</w:t>
            </w:r>
          </w:hyperlink>
        </w:p>
        <w:p>
          <w:pPr>
            <w:pStyle w:val="Contents4"/>
            <w:tabs>
              <w:tab w:val="clear" w:pos="8176"/>
              <w:tab w:val="right" w:pos="9026" w:leader="dot"/>
            </w:tabs>
            <w:rPr/>
          </w:pPr>
          <w:hyperlink w:anchor="__RefHeading___Toc146834_2142443653">
            <w:r>
              <w:rPr>
                <w:webHidden/>
                <w:rStyle w:val="IndexLink"/>
                <w:rtl w:val="true"/>
              </w:rPr>
              <w:t>حکم ذرق الدجاج</w:t>
            </w:r>
            <w:r>
              <w:rPr>
                <w:rStyle w:val="IndexLink"/>
                <w:rtl w:val="true"/>
              </w:rPr>
              <w:tab/>
            </w:r>
            <w:r>
              <w:rPr>
                <w:rStyle w:val="IndexLink"/>
              </w:rPr>
              <w:t>211</w:t>
            </w:r>
          </w:hyperlink>
        </w:p>
        <w:p>
          <w:pPr>
            <w:pStyle w:val="Contents4"/>
            <w:tabs>
              <w:tab w:val="clear" w:pos="8176"/>
              <w:tab w:val="right" w:pos="9026" w:leader="dot"/>
            </w:tabs>
            <w:rPr/>
          </w:pPr>
          <w:hyperlink w:anchor="__RefHeading___Toc146836_2142443653">
            <w:r>
              <w:rPr>
                <w:webHidden/>
                <w:rStyle w:val="IndexLink"/>
                <w:rtl w:val="true"/>
              </w:rPr>
              <w:t>فارس بن سلیمان ممدوح</w:t>
            </w:r>
            <w:r>
              <w:rPr>
                <w:rStyle w:val="IndexLink"/>
                <w:rtl w:val="true"/>
              </w:rPr>
              <w:tab/>
            </w:r>
            <w:r>
              <w:rPr>
                <w:rStyle w:val="IndexLink"/>
              </w:rPr>
              <w:t>212</w:t>
            </w:r>
          </w:hyperlink>
        </w:p>
        <w:p>
          <w:pPr>
            <w:pStyle w:val="Contents4"/>
            <w:tabs>
              <w:tab w:val="clear" w:pos="8176"/>
              <w:tab w:val="right" w:pos="9026" w:leader="dot"/>
            </w:tabs>
            <w:rPr/>
          </w:pPr>
          <w:hyperlink w:anchor="__RefHeading___Toc146838_2142443653">
            <w:r>
              <w:rPr>
                <w:webHidden/>
                <w:rStyle w:val="IndexLink"/>
                <w:rtl w:val="true"/>
              </w:rPr>
              <w:t>معنی الخرء والذرق</w:t>
            </w:r>
            <w:r>
              <w:rPr>
                <w:rStyle w:val="IndexLink"/>
                <w:rtl w:val="true"/>
              </w:rPr>
              <w:tab/>
            </w:r>
            <w:r>
              <w:rPr>
                <w:rStyle w:val="IndexLink"/>
              </w:rPr>
              <w:t>213</w:t>
            </w:r>
          </w:hyperlink>
        </w:p>
        <w:p>
          <w:pPr>
            <w:pStyle w:val="Contents3"/>
            <w:tabs>
              <w:tab w:val="clear" w:pos="8459"/>
              <w:tab w:val="right" w:pos="9026" w:leader="dot"/>
            </w:tabs>
            <w:rPr/>
          </w:pPr>
          <w:hyperlink w:anchor="__RefHeading___Toc146840_2142443653">
            <w:r>
              <w:rPr>
                <w:webHidden/>
                <w:rStyle w:val="IndexLink"/>
                <w:rtl w:val="true"/>
              </w:rPr>
              <w:t>أبوال الدوابّ والبغال والحمیر</w:t>
            </w:r>
            <w:r>
              <w:rPr>
                <w:rStyle w:val="IndexLink"/>
                <w:rtl w:val="true"/>
              </w:rPr>
              <w:tab/>
            </w:r>
            <w:r>
              <w:rPr>
                <w:rStyle w:val="IndexLink"/>
              </w:rPr>
              <w:t>213</w:t>
            </w:r>
          </w:hyperlink>
        </w:p>
        <w:p>
          <w:pPr>
            <w:pStyle w:val="Contents4"/>
            <w:tabs>
              <w:tab w:val="clear" w:pos="8176"/>
              <w:tab w:val="right" w:pos="9026" w:leader="dot"/>
            </w:tabs>
            <w:rPr/>
          </w:pPr>
          <w:hyperlink w:anchor="__RefHeading___Toc146842_2142443653">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46844_2142443653">
            <w:r>
              <w:rPr>
                <w:webHidden/>
                <w:rStyle w:val="IndexLink"/>
                <w:rtl w:val="true"/>
              </w:rPr>
              <w:t>بحث حول أبان بن عثمان</w:t>
            </w:r>
            <w:r>
              <w:rPr>
                <w:rStyle w:val="IndexLink"/>
                <w:rtl w:val="true"/>
              </w:rPr>
              <w:tab/>
            </w:r>
            <w:r>
              <w:rPr>
                <w:rStyle w:val="IndexLink"/>
              </w:rPr>
              <w:t>215</w:t>
            </w:r>
          </w:hyperlink>
        </w:p>
        <w:p>
          <w:pPr>
            <w:pStyle w:val="Contents4"/>
            <w:tabs>
              <w:tab w:val="clear" w:pos="8176"/>
              <w:tab w:val="right" w:pos="9026" w:leader="dot"/>
            </w:tabs>
            <w:rPr/>
          </w:pPr>
          <w:hyperlink w:anchor="__RefHeading___Toc146846_2142443653">
            <w:r>
              <w:rPr>
                <w:webHidden/>
                <w:rStyle w:val="IndexLink"/>
                <w:rtl w:val="true"/>
              </w:rPr>
              <w:t>بحث حول الحسین بن عثمان</w:t>
            </w:r>
            <w:r>
              <w:rPr>
                <w:rStyle w:val="IndexLink"/>
                <w:rtl w:val="true"/>
              </w:rPr>
              <w:tab/>
            </w:r>
            <w:r>
              <w:rPr>
                <w:rStyle w:val="IndexLink"/>
              </w:rPr>
              <w:t>217</w:t>
            </w:r>
          </w:hyperlink>
        </w:p>
        <w:p>
          <w:pPr>
            <w:pStyle w:val="Contents4"/>
            <w:tabs>
              <w:tab w:val="clear" w:pos="8176"/>
              <w:tab w:val="right" w:pos="9026" w:leader="dot"/>
            </w:tabs>
            <w:rPr/>
          </w:pPr>
          <w:hyperlink w:anchor="__RefHeading___Toc146848_2142443653">
            <w:r>
              <w:rPr>
                <w:webHidden/>
                <w:rStyle w:val="IndexLink"/>
                <w:rtl w:val="true"/>
              </w:rPr>
              <w:t>بحث حول معلّی بن محمّد البصری</w:t>
            </w:r>
            <w:r>
              <w:rPr>
                <w:rStyle w:val="IndexLink"/>
                <w:rtl w:val="true"/>
              </w:rPr>
              <w:tab/>
            </w:r>
            <w:r>
              <w:rPr>
                <w:rStyle w:val="IndexLink"/>
              </w:rPr>
              <w:t>220</w:t>
            </w:r>
          </w:hyperlink>
        </w:p>
        <w:p>
          <w:pPr>
            <w:pStyle w:val="Contents4"/>
            <w:tabs>
              <w:tab w:val="clear" w:pos="8176"/>
              <w:tab w:val="right" w:pos="9026" w:leader="dot"/>
            </w:tabs>
            <w:rPr/>
          </w:pPr>
          <w:hyperlink w:anchor="__RefHeading___Toc146850_2142443653">
            <w:r>
              <w:rPr>
                <w:webHidden/>
                <w:rStyle w:val="IndexLink"/>
                <w:rtl w:val="true"/>
              </w:rPr>
              <w:t>أبو مریم اسمه عبدالغفّار ، ثقة</w:t>
            </w:r>
            <w:r>
              <w:rPr>
                <w:rStyle w:val="IndexLink"/>
                <w:rtl w:val="true"/>
              </w:rPr>
              <w:tab/>
            </w:r>
            <w:r>
              <w:rPr>
                <w:rStyle w:val="IndexLink"/>
              </w:rPr>
              <w:t>220</w:t>
            </w:r>
          </w:hyperlink>
        </w:p>
        <w:p>
          <w:pPr>
            <w:pStyle w:val="Contents4"/>
            <w:tabs>
              <w:tab w:val="clear" w:pos="8176"/>
              <w:tab w:val="right" w:pos="9026" w:leader="dot"/>
            </w:tabs>
            <w:rPr/>
          </w:pPr>
          <w:hyperlink w:anchor="__RefHeading___Toc146852_2142443653">
            <w:r>
              <w:rPr>
                <w:webHidden/>
                <w:rStyle w:val="IndexLink"/>
                <w:rtl w:val="true"/>
              </w:rPr>
              <w:t>عبدالأعلی بن أعین مهمل</w:t>
            </w:r>
            <w:r>
              <w:rPr>
                <w:rStyle w:val="IndexLink"/>
                <w:rtl w:val="true"/>
              </w:rPr>
              <w:tab/>
            </w:r>
            <w:r>
              <w:rPr>
                <w:rStyle w:val="IndexLink"/>
              </w:rPr>
              <w:t>220</w:t>
            </w:r>
          </w:hyperlink>
        </w:p>
        <w:p>
          <w:pPr>
            <w:pStyle w:val="Contents4"/>
            <w:tabs>
              <w:tab w:val="clear" w:pos="8176"/>
              <w:tab w:val="right" w:pos="9026" w:leader="dot"/>
            </w:tabs>
            <w:rPr/>
          </w:pPr>
          <w:hyperlink w:anchor="__RefHeading___Toc146854_2142443653">
            <w:r>
              <w:rPr>
                <w:webHidden/>
                <w:rStyle w:val="IndexLink"/>
                <w:rtl w:val="true"/>
              </w:rPr>
              <w:t>بحث حول یونس بن یعقوب</w:t>
            </w:r>
            <w:r>
              <w:rPr>
                <w:rStyle w:val="IndexLink"/>
                <w:rtl w:val="true"/>
              </w:rPr>
              <w:tab/>
            </w:r>
            <w:r>
              <w:rPr>
                <w:rStyle w:val="IndexLink"/>
              </w:rPr>
              <w:t>220</w:t>
            </w:r>
          </w:hyperlink>
        </w:p>
        <w:p>
          <w:pPr>
            <w:pStyle w:val="Contents4"/>
            <w:tabs>
              <w:tab w:val="clear" w:pos="8176"/>
              <w:tab w:val="right" w:pos="9026" w:leader="dot"/>
            </w:tabs>
            <w:rPr/>
          </w:pPr>
          <w:hyperlink w:anchor="__RefHeading___Toc146856_2142443653">
            <w:r>
              <w:rPr>
                <w:webHidden/>
                <w:rStyle w:val="IndexLink"/>
                <w:rtl w:val="true"/>
              </w:rPr>
              <w:t>حکم أبوال الدوابّ والحمیر والبغال وأرواثها فی الأخبار</w:t>
            </w:r>
            <w:r>
              <w:rPr>
                <w:rStyle w:val="IndexLink"/>
                <w:rtl w:val="true"/>
              </w:rPr>
              <w:tab/>
            </w:r>
            <w:r>
              <w:rPr>
                <w:rStyle w:val="IndexLink"/>
              </w:rPr>
              <w:t>221</w:t>
            </w:r>
          </w:hyperlink>
        </w:p>
        <w:p>
          <w:pPr>
            <w:pStyle w:val="Contents4"/>
            <w:tabs>
              <w:tab w:val="clear" w:pos="8176"/>
              <w:tab w:val="right" w:pos="9026" w:leader="dot"/>
            </w:tabs>
            <w:rPr/>
          </w:pPr>
          <w:hyperlink w:anchor="__RefHeading___Toc146858_2142443653">
            <w:r>
              <w:rPr>
                <w:webHidden/>
                <w:rStyle w:val="IndexLink"/>
                <w:rtl w:val="true"/>
              </w:rPr>
              <w:t>أدلّة القائلین بالطهارة والمناقشة فیها</w:t>
            </w:r>
            <w:r>
              <w:rPr>
                <w:rStyle w:val="IndexLink"/>
                <w:rtl w:val="true"/>
              </w:rPr>
              <w:tab/>
            </w:r>
            <w:r>
              <w:rPr>
                <w:rStyle w:val="IndexLink"/>
              </w:rPr>
              <w:t>223</w:t>
            </w:r>
          </w:hyperlink>
        </w:p>
        <w:p>
          <w:pPr>
            <w:pStyle w:val="Contents4"/>
            <w:tabs>
              <w:tab w:val="clear" w:pos="8176"/>
              <w:tab w:val="right" w:pos="9026" w:leader="dot"/>
            </w:tabs>
            <w:rPr/>
          </w:pPr>
          <w:hyperlink w:anchor="__RefHeading___Toc146860_2142443653">
            <w:r>
              <w:rPr>
                <w:webHidden/>
                <w:rStyle w:val="IndexLink"/>
                <w:rtl w:val="true"/>
              </w:rPr>
              <w:t>معنی النضح والرشّ والفرق بینهما</w:t>
            </w:r>
            <w:r>
              <w:rPr>
                <w:rStyle w:val="IndexLink"/>
                <w:rtl w:val="true"/>
              </w:rPr>
              <w:tab/>
            </w:r>
            <w:r>
              <w:rPr>
                <w:rStyle w:val="IndexLink"/>
              </w:rPr>
              <w:t>225</w:t>
            </w:r>
          </w:hyperlink>
        </w:p>
        <w:p>
          <w:pPr>
            <w:pStyle w:val="Contents4"/>
            <w:tabs>
              <w:tab w:val="clear" w:pos="8176"/>
              <w:tab w:val="right" w:pos="9026" w:leader="dot"/>
            </w:tabs>
            <w:rPr/>
          </w:pPr>
          <w:hyperlink w:anchor="__RefHeading___Toc146862_2142443653">
            <w:r>
              <w:rPr>
                <w:webHidden/>
                <w:rStyle w:val="IndexLink"/>
                <w:rtl w:val="true"/>
              </w:rPr>
              <w:t>بحث حول القاسم بن عروة</w:t>
            </w:r>
            <w:r>
              <w:rPr>
                <w:rStyle w:val="IndexLink"/>
                <w:rtl w:val="true"/>
              </w:rPr>
              <w:tab/>
            </w:r>
            <w:r>
              <w:rPr>
                <w:rStyle w:val="IndexLink"/>
              </w:rPr>
              <w:t>227</w:t>
            </w:r>
          </w:hyperlink>
        </w:p>
        <w:p>
          <w:pPr>
            <w:pStyle w:val="Contents4"/>
            <w:tabs>
              <w:tab w:val="clear" w:pos="8176"/>
              <w:tab w:val="right" w:pos="9026" w:leader="dot"/>
            </w:tabs>
            <w:rPr/>
          </w:pPr>
          <w:hyperlink w:anchor="__RefHeading___Toc146864_2142443653">
            <w:r>
              <w:rPr>
                <w:webHidden/>
                <w:rStyle w:val="IndexLink"/>
                <w:rtl w:val="true"/>
              </w:rPr>
              <w:t>بحث حول ابن بکیر</w:t>
            </w:r>
            <w:r>
              <w:rPr>
                <w:rStyle w:val="IndexLink"/>
                <w:rtl w:val="true"/>
              </w:rPr>
              <w:tab/>
            </w:r>
            <w:r>
              <w:rPr>
                <w:rStyle w:val="IndexLink"/>
              </w:rPr>
              <w:t>228</w:t>
            </w:r>
          </w:hyperlink>
        </w:p>
        <w:p>
          <w:pPr>
            <w:pStyle w:val="Contents4"/>
            <w:tabs>
              <w:tab w:val="clear" w:pos="8176"/>
              <w:tab w:val="right" w:pos="9026" w:leader="dot"/>
            </w:tabs>
            <w:rPr/>
          </w:pPr>
          <w:hyperlink w:anchor="__RefHeading___Toc146866_2142443653">
            <w:r>
              <w:rPr>
                <w:webHidden/>
                <w:rStyle w:val="IndexLink"/>
                <w:rtl w:val="true"/>
              </w:rPr>
              <w:t>الحکم بن مسکین مجهول</w:t>
            </w:r>
            <w:r>
              <w:rPr>
                <w:rStyle w:val="IndexLink"/>
                <w:rtl w:val="true"/>
              </w:rPr>
              <w:tab/>
            </w:r>
            <w:r>
              <w:rPr>
                <w:rStyle w:val="IndexLink"/>
              </w:rPr>
              <w:t>228</w:t>
            </w:r>
          </w:hyperlink>
        </w:p>
        <w:p>
          <w:pPr>
            <w:pStyle w:val="Contents4"/>
            <w:tabs>
              <w:tab w:val="clear" w:pos="8176"/>
              <w:tab w:val="right" w:pos="9026" w:leader="dot"/>
            </w:tabs>
            <w:rPr/>
          </w:pPr>
          <w:hyperlink w:anchor="__RefHeading___Toc146868_2142443653">
            <w:r>
              <w:rPr>
                <w:webHidden/>
                <w:rStyle w:val="IndexLink"/>
                <w:rtl w:val="true"/>
              </w:rPr>
              <w:t>بحث حول إسحاق بن عمار</w:t>
            </w:r>
            <w:r>
              <w:rPr>
                <w:rStyle w:val="IndexLink"/>
                <w:rtl w:val="true"/>
              </w:rPr>
              <w:tab/>
            </w:r>
            <w:r>
              <w:rPr>
                <w:rStyle w:val="IndexLink"/>
              </w:rPr>
              <w:t>228</w:t>
            </w:r>
          </w:hyperlink>
        </w:p>
        <w:p>
          <w:pPr>
            <w:pStyle w:val="Contents4"/>
            <w:tabs>
              <w:tab w:val="clear" w:pos="8176"/>
              <w:tab w:val="right" w:pos="9026" w:leader="dot"/>
            </w:tabs>
            <w:rPr/>
          </w:pPr>
          <w:hyperlink w:anchor="__RefHeading___Toc146870_2142443653">
            <w:r>
              <w:rPr>
                <w:webHidden/>
                <w:rStyle w:val="IndexLink"/>
                <w:rtl w:val="true"/>
              </w:rPr>
              <w:t>بحث حول المعلّی بن خنیس</w:t>
            </w:r>
            <w:r>
              <w:rPr>
                <w:rStyle w:val="IndexLink"/>
                <w:rtl w:val="true"/>
              </w:rPr>
              <w:tab/>
            </w:r>
            <w:r>
              <w:rPr>
                <w:rStyle w:val="IndexLink"/>
              </w:rPr>
              <w:t>230</w:t>
            </w:r>
          </w:hyperlink>
        </w:p>
        <w:p>
          <w:pPr>
            <w:pStyle w:val="Contents4"/>
            <w:tabs>
              <w:tab w:val="clear" w:pos="8176"/>
              <w:tab w:val="right" w:pos="9026" w:leader="dot"/>
            </w:tabs>
            <w:rPr/>
          </w:pPr>
          <w:hyperlink w:anchor="__RefHeading___Toc146872_2142443653">
            <w:r>
              <w:rPr>
                <w:webHidden/>
                <w:rStyle w:val="IndexLink"/>
                <w:rtl w:val="true"/>
              </w:rPr>
              <w:t xml:space="preserve">ما المراد بالکراهة فی قوله </w:t>
            </w:r>
            <w:r>
              <w:rPr>
                <w:rStyle w:val="IndexLink"/>
                <w:rtl w:val="true"/>
              </w:rPr>
              <w:t xml:space="preserve">: </w:t>
            </w:r>
            <w:r>
              <w:rPr>
                <w:rStyle w:val="IndexLink"/>
                <w:rtl w:val="true"/>
              </w:rPr>
              <w:t>فکرهه ، فی روایة زرارة؟</w:t>
            </w:r>
            <w:r>
              <w:rPr>
                <w:rStyle w:val="IndexLink"/>
                <w:rtl w:val="true"/>
              </w:rPr>
              <w:tab/>
            </w:r>
            <w:r>
              <w:rPr>
                <w:rStyle w:val="IndexLink"/>
              </w:rPr>
              <w:t>231</w:t>
            </w:r>
          </w:hyperlink>
        </w:p>
        <w:p>
          <w:pPr>
            <w:pStyle w:val="Contents4"/>
            <w:tabs>
              <w:tab w:val="clear" w:pos="8176"/>
              <w:tab w:val="right" w:pos="9026" w:leader="dot"/>
            </w:tabs>
            <w:rPr/>
          </w:pPr>
          <w:hyperlink w:anchor="__RefHeading___Toc146874_2142443653">
            <w:r>
              <w:rPr>
                <w:webHidden/>
                <w:rStyle w:val="IndexLink"/>
                <w:rtl w:val="true"/>
              </w:rPr>
              <w:t>استدلال صاحب المعالم لطهارة أبوال الدوابّ والمناقشة فیه</w:t>
            </w:r>
            <w:r>
              <w:rPr>
                <w:rStyle w:val="IndexLink"/>
                <w:rtl w:val="true"/>
              </w:rPr>
              <w:tab/>
            </w:r>
            <w:r>
              <w:rPr>
                <w:rStyle w:val="IndexLink"/>
              </w:rPr>
              <w:t>232</w:t>
            </w:r>
          </w:hyperlink>
        </w:p>
        <w:p>
          <w:pPr>
            <w:pStyle w:val="Contents4"/>
            <w:tabs>
              <w:tab w:val="clear" w:pos="8176"/>
              <w:tab w:val="right" w:pos="9026" w:leader="dot"/>
            </w:tabs>
            <w:rPr/>
          </w:pPr>
          <w:hyperlink w:anchor="__RefHeading___Toc146876_2142443653">
            <w:r>
              <w:rPr>
                <w:webHidden/>
                <w:rStyle w:val="IndexLink"/>
                <w:rtl w:val="true"/>
              </w:rPr>
              <w:t xml:space="preserve">معنی قوله علیه السلام فی الدوابّ </w:t>
            </w:r>
            <w:r>
              <w:rPr>
                <w:rStyle w:val="IndexLink"/>
                <w:rtl w:val="true"/>
              </w:rPr>
              <w:t xml:space="preserve">: « </w:t>
            </w:r>
            <w:r>
              <w:rPr>
                <w:rStyle w:val="IndexLink"/>
                <w:rtl w:val="true"/>
              </w:rPr>
              <w:t xml:space="preserve">لیس ممّا جعلها الله للأکل </w:t>
            </w:r>
            <w:r>
              <w:rPr>
                <w:rStyle w:val="IndexLink"/>
                <w:rtl w:val="true"/>
              </w:rPr>
              <w:t>»</w:t>
              <w:tab/>
            </w:r>
            <w:r>
              <w:rPr>
                <w:rStyle w:val="IndexLink"/>
              </w:rPr>
              <w:t>233</w:t>
            </w:r>
          </w:hyperlink>
        </w:p>
        <w:p>
          <w:pPr>
            <w:pStyle w:val="Contents4"/>
            <w:tabs>
              <w:tab w:val="clear" w:pos="8176"/>
              <w:tab w:val="right" w:pos="9026" w:leader="dot"/>
            </w:tabs>
            <w:rPr/>
          </w:pPr>
          <w:hyperlink w:anchor="__RefHeading___Toc146878_2142443653">
            <w:r>
              <w:rPr>
                <w:webHidden/>
                <w:rStyle w:val="IndexLink"/>
                <w:rtl w:val="true"/>
              </w:rPr>
              <w:t>معنی صکّ</w:t>
            </w:r>
            <w:r>
              <w:rPr>
                <w:rStyle w:val="IndexLink"/>
                <w:rtl w:val="true"/>
              </w:rPr>
              <w:tab/>
            </w:r>
            <w:r>
              <w:rPr>
                <w:rStyle w:val="IndexLink"/>
              </w:rPr>
              <w:t>234</w:t>
            </w:r>
          </w:hyperlink>
        </w:p>
        <w:p>
          <w:pPr>
            <w:pStyle w:val="Contents3"/>
            <w:tabs>
              <w:tab w:val="clear" w:pos="8459"/>
              <w:tab w:val="right" w:pos="9026" w:leader="dot"/>
            </w:tabs>
            <w:rPr/>
          </w:pPr>
          <w:hyperlink w:anchor="__RefHeading___Toc146880_2142443653">
            <w:r>
              <w:rPr>
                <w:webHidden/>
                <w:rStyle w:val="IndexLink"/>
                <w:rtl w:val="true"/>
              </w:rPr>
              <w:t>الرجل یصلّی فی ثوب فیه نجاسة قبل أن یعلم</w:t>
            </w:r>
            <w:r>
              <w:rPr>
                <w:rStyle w:val="IndexLink"/>
                <w:rtl w:val="true"/>
              </w:rPr>
              <w:tab/>
            </w:r>
            <w:r>
              <w:rPr>
                <w:rStyle w:val="IndexLink"/>
              </w:rPr>
              <w:t>234</w:t>
            </w:r>
          </w:hyperlink>
        </w:p>
        <w:p>
          <w:pPr>
            <w:pStyle w:val="Contents4"/>
            <w:tabs>
              <w:tab w:val="clear" w:pos="8176"/>
              <w:tab w:val="right" w:pos="9026" w:leader="dot"/>
            </w:tabs>
            <w:rPr/>
          </w:pPr>
          <w:hyperlink w:anchor="__RefHeading___Toc146882_2142443653">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146884_2142443653">
            <w:r>
              <w:rPr>
                <w:webHidden/>
                <w:rStyle w:val="IndexLink"/>
                <w:rtl w:val="true"/>
              </w:rPr>
              <w:t>بحث حول حفص بن غیاث</w:t>
            </w:r>
            <w:r>
              <w:rPr>
                <w:rStyle w:val="IndexLink"/>
                <w:rtl w:val="true"/>
              </w:rPr>
              <w:tab/>
            </w:r>
            <w:r>
              <w:rPr>
                <w:rStyle w:val="IndexLink"/>
              </w:rPr>
              <w:t>235</w:t>
            </w:r>
          </w:hyperlink>
        </w:p>
        <w:p>
          <w:pPr>
            <w:pStyle w:val="Contents4"/>
            <w:tabs>
              <w:tab w:val="clear" w:pos="8176"/>
              <w:tab w:val="right" w:pos="9026" w:leader="dot"/>
            </w:tabs>
            <w:rPr/>
          </w:pPr>
          <w:hyperlink w:anchor="__RefHeading___Toc146886_2142443653">
            <w:r>
              <w:rPr>
                <w:webHidden/>
                <w:rStyle w:val="IndexLink"/>
                <w:rtl w:val="true"/>
              </w:rPr>
              <w:t>ثبوت النجاسة بالظنّ الشرعی</w:t>
            </w:r>
            <w:r>
              <w:rPr>
                <w:rStyle w:val="IndexLink"/>
                <w:rtl w:val="true"/>
              </w:rPr>
              <w:tab/>
            </w:r>
            <w:r>
              <w:rPr>
                <w:rStyle w:val="IndexLink"/>
              </w:rPr>
              <w:t>236</w:t>
            </w:r>
          </w:hyperlink>
        </w:p>
        <w:p>
          <w:pPr>
            <w:pStyle w:val="Contents4"/>
            <w:tabs>
              <w:tab w:val="clear" w:pos="8176"/>
              <w:tab w:val="right" w:pos="9026" w:leader="dot"/>
            </w:tabs>
            <w:rPr/>
          </w:pPr>
          <w:hyperlink w:anchor="__RefHeading___Toc146888_2142443653">
            <w:r>
              <w:rPr>
                <w:webHidden/>
                <w:rStyle w:val="IndexLink"/>
                <w:rtl w:val="true"/>
              </w:rPr>
              <w:t>هل تثبت النجاسة بشهادة العدلین؟</w:t>
            </w:r>
            <w:r>
              <w:rPr>
                <w:rStyle w:val="IndexLink"/>
                <w:rtl w:val="true"/>
              </w:rPr>
              <w:tab/>
            </w:r>
            <w:r>
              <w:rPr>
                <w:rStyle w:val="IndexLink"/>
              </w:rPr>
              <w:t>237</w:t>
            </w:r>
          </w:hyperlink>
        </w:p>
        <w:p>
          <w:pPr>
            <w:pStyle w:val="Contents4"/>
            <w:tabs>
              <w:tab w:val="clear" w:pos="8176"/>
              <w:tab w:val="right" w:pos="9026" w:leader="dot"/>
            </w:tabs>
            <w:rPr/>
          </w:pPr>
          <w:hyperlink w:anchor="__RefHeading___Toc146890_2142443653">
            <w:r>
              <w:rPr>
                <w:webHidden/>
                <w:rStyle w:val="IndexLink"/>
                <w:rtl w:val="true"/>
              </w:rPr>
              <w:t>هل تثبت النجاسة بشهادة العدل الواحد؟</w:t>
            </w:r>
            <w:r>
              <w:rPr>
                <w:rStyle w:val="IndexLink"/>
                <w:rtl w:val="true"/>
              </w:rPr>
              <w:tab/>
            </w:r>
            <w:r>
              <w:rPr>
                <w:rStyle w:val="IndexLink"/>
              </w:rPr>
              <w:t>240</w:t>
            </w:r>
          </w:hyperlink>
        </w:p>
        <w:p>
          <w:pPr>
            <w:pStyle w:val="Contents4"/>
            <w:tabs>
              <w:tab w:val="clear" w:pos="8176"/>
              <w:tab w:val="right" w:pos="9026" w:leader="dot"/>
            </w:tabs>
            <w:rPr/>
          </w:pPr>
          <w:hyperlink w:anchor="__RefHeading___Toc146892_2142443653">
            <w:r>
              <w:rPr>
                <w:webHidden/>
                <w:rStyle w:val="IndexLink"/>
                <w:rtl w:val="true"/>
              </w:rPr>
              <w:t>هل الجاهل معذور؟</w:t>
            </w:r>
            <w:r>
              <w:rPr>
                <w:rStyle w:val="IndexLink"/>
                <w:rtl w:val="true"/>
              </w:rPr>
              <w:tab/>
            </w:r>
            <w:r>
              <w:rPr>
                <w:rStyle w:val="IndexLink"/>
              </w:rPr>
              <w:t>241</w:t>
            </w:r>
          </w:hyperlink>
        </w:p>
        <w:p>
          <w:pPr>
            <w:pStyle w:val="Contents4"/>
            <w:tabs>
              <w:tab w:val="clear" w:pos="8176"/>
              <w:tab w:val="right" w:pos="9026" w:leader="dot"/>
            </w:tabs>
            <w:rPr/>
          </w:pPr>
          <w:hyperlink w:anchor="__RefHeading___Toc146894_2142443653">
            <w:r>
              <w:rPr>
                <w:webHidden/>
                <w:rStyle w:val="IndexLink"/>
                <w:rtl w:val="true"/>
              </w:rPr>
              <w:t>إطلاق العذرة علی فضلة غیر الإنسان</w:t>
            </w:r>
            <w:r>
              <w:rPr>
                <w:rStyle w:val="IndexLink"/>
                <w:rtl w:val="true"/>
              </w:rPr>
              <w:tab/>
            </w:r>
            <w:r>
              <w:rPr>
                <w:rStyle w:val="IndexLink"/>
              </w:rPr>
              <w:t>245</w:t>
            </w:r>
          </w:hyperlink>
        </w:p>
        <w:p>
          <w:pPr>
            <w:pStyle w:val="Contents4"/>
            <w:tabs>
              <w:tab w:val="clear" w:pos="8176"/>
              <w:tab w:val="right" w:pos="9026" w:leader="dot"/>
            </w:tabs>
            <w:rPr/>
          </w:pPr>
          <w:hyperlink w:anchor="__RefHeading___Toc146896_2142443653">
            <w:r>
              <w:rPr>
                <w:webHidden/>
                <w:rStyle w:val="IndexLink"/>
                <w:rtl w:val="true"/>
              </w:rPr>
              <w:t>عدم وجوب إعادة الصلاة مع إخبار صاحب الثوب بنجاسته</w:t>
            </w:r>
            <w:r>
              <w:rPr>
                <w:rStyle w:val="IndexLink"/>
                <w:rtl w:val="true"/>
              </w:rPr>
              <w:tab/>
            </w:r>
            <w:r>
              <w:rPr>
                <w:rStyle w:val="IndexLink"/>
              </w:rPr>
              <w:t>246</w:t>
            </w:r>
          </w:hyperlink>
        </w:p>
        <w:p>
          <w:pPr>
            <w:pStyle w:val="Contents4"/>
            <w:tabs>
              <w:tab w:val="clear" w:pos="8176"/>
              <w:tab w:val="right" w:pos="9026" w:leader="dot"/>
            </w:tabs>
            <w:rPr/>
          </w:pPr>
          <w:hyperlink w:anchor="__RefHeading___Toc146898_2142443653">
            <w:r>
              <w:rPr>
                <w:webHidden/>
                <w:rStyle w:val="IndexLink"/>
                <w:rtl w:val="true"/>
              </w:rPr>
              <w:t>معنی العذرة</w:t>
            </w:r>
            <w:r>
              <w:rPr>
                <w:rStyle w:val="IndexLink"/>
                <w:rtl w:val="true"/>
              </w:rPr>
              <w:tab/>
            </w:r>
            <w:r>
              <w:rPr>
                <w:rStyle w:val="IndexLink"/>
              </w:rPr>
              <w:t>246</w:t>
            </w:r>
          </w:hyperlink>
        </w:p>
        <w:p>
          <w:pPr>
            <w:pStyle w:val="Contents4"/>
            <w:tabs>
              <w:tab w:val="clear" w:pos="8176"/>
              <w:tab w:val="right" w:pos="9026" w:leader="dot"/>
            </w:tabs>
            <w:rPr/>
          </w:pPr>
          <w:hyperlink w:anchor="__RefHeading___Toc146900_2142443653">
            <w:r>
              <w:rPr>
                <w:webHidden/>
                <w:rStyle w:val="IndexLink"/>
                <w:rtl w:val="true"/>
              </w:rPr>
              <w:t>بحث حول سهل بن زیاد</w:t>
            </w:r>
            <w:r>
              <w:rPr>
                <w:rStyle w:val="IndexLink"/>
                <w:rtl w:val="true"/>
              </w:rPr>
              <w:tab/>
            </w:r>
            <w:r>
              <w:rPr>
                <w:rStyle w:val="IndexLink"/>
              </w:rPr>
              <w:t>248</w:t>
            </w:r>
          </w:hyperlink>
        </w:p>
        <w:p>
          <w:pPr>
            <w:pStyle w:val="Contents4"/>
            <w:tabs>
              <w:tab w:val="clear" w:pos="8176"/>
              <w:tab w:val="right" w:pos="9026" w:leader="dot"/>
            </w:tabs>
            <w:rPr/>
          </w:pPr>
          <w:hyperlink w:anchor="__RefHeading___Toc146902_2142443653">
            <w:r>
              <w:rPr>
                <w:webHidden/>
                <w:rStyle w:val="IndexLink"/>
                <w:rtl w:val="true"/>
              </w:rPr>
              <w:t>علی بن محمّد الروای عن سهل بن زیاد هو علّان الثقة</w:t>
            </w:r>
            <w:r>
              <w:rPr>
                <w:rStyle w:val="IndexLink"/>
                <w:rtl w:val="true"/>
              </w:rPr>
              <w:tab/>
            </w:r>
            <w:r>
              <w:rPr>
                <w:rStyle w:val="IndexLink"/>
              </w:rPr>
              <w:t>250</w:t>
            </w:r>
          </w:hyperlink>
        </w:p>
        <w:p>
          <w:pPr>
            <w:pStyle w:val="Contents4"/>
            <w:tabs>
              <w:tab w:val="clear" w:pos="8176"/>
              <w:tab w:val="right" w:pos="9026" w:leader="dot"/>
            </w:tabs>
            <w:rPr/>
          </w:pPr>
          <w:hyperlink w:anchor="__RefHeading___Toc146904_2142443653">
            <w:r>
              <w:rPr>
                <w:webHidden/>
                <w:rStyle w:val="IndexLink"/>
                <w:rtl w:val="true"/>
              </w:rPr>
              <w:t>عبد الکریم بن عمر ثقة واقفی</w:t>
            </w:r>
            <w:r>
              <w:rPr>
                <w:rStyle w:val="IndexLink"/>
                <w:rtl w:val="true"/>
              </w:rPr>
              <w:tab/>
            </w:r>
            <w:r>
              <w:rPr>
                <w:rStyle w:val="IndexLink"/>
              </w:rPr>
              <w:t>250</w:t>
            </w:r>
          </w:hyperlink>
        </w:p>
        <w:p>
          <w:pPr>
            <w:pStyle w:val="Contents4"/>
            <w:tabs>
              <w:tab w:val="clear" w:pos="8176"/>
              <w:tab w:val="right" w:pos="9026" w:leader="dot"/>
            </w:tabs>
            <w:rPr/>
          </w:pPr>
          <w:hyperlink w:anchor="__RefHeading___Toc146906_2142443653">
            <w:r>
              <w:rPr>
                <w:webHidden/>
                <w:rStyle w:val="IndexLink"/>
                <w:rtl w:val="true"/>
              </w:rPr>
              <w:t>الحسین بن زیاد مجهول الحال</w:t>
            </w:r>
            <w:r>
              <w:rPr>
                <w:rStyle w:val="IndexLink"/>
                <w:rtl w:val="true"/>
              </w:rPr>
              <w:tab/>
            </w:r>
            <w:r>
              <w:rPr>
                <w:rStyle w:val="IndexLink"/>
              </w:rPr>
              <w:t>250</w:t>
            </w:r>
          </w:hyperlink>
        </w:p>
        <w:p>
          <w:pPr>
            <w:pStyle w:val="Contents4"/>
            <w:tabs>
              <w:tab w:val="clear" w:pos="8176"/>
              <w:tab w:val="right" w:pos="9026" w:leader="dot"/>
            </w:tabs>
            <w:rPr/>
          </w:pPr>
          <w:hyperlink w:anchor="__RefHeading___Toc146908_2142443653">
            <w:r>
              <w:rPr>
                <w:webHidden/>
                <w:rStyle w:val="IndexLink"/>
                <w:rtl w:val="true"/>
              </w:rPr>
              <w:t>ابن مسکان الذی یروی عنه محمّد بن سنان هو عبدالله</w:t>
            </w:r>
            <w:r>
              <w:rPr>
                <w:rStyle w:val="IndexLink"/>
                <w:rtl w:val="true"/>
              </w:rPr>
              <w:tab/>
            </w:r>
            <w:r>
              <w:rPr>
                <w:rStyle w:val="IndexLink"/>
              </w:rPr>
              <w:t>251</w:t>
            </w:r>
          </w:hyperlink>
        </w:p>
        <w:p>
          <w:pPr>
            <w:pStyle w:val="Contents4"/>
            <w:tabs>
              <w:tab w:val="clear" w:pos="8176"/>
              <w:tab w:val="right" w:pos="9026" w:leader="dot"/>
            </w:tabs>
            <w:rPr/>
          </w:pPr>
          <w:hyperlink w:anchor="__RefHeading___Toc146910_2142443653">
            <w:r>
              <w:rPr>
                <w:webHidden/>
                <w:rStyle w:val="IndexLink"/>
                <w:rtl w:val="true"/>
              </w:rPr>
              <w:t>إبراهیم بن میمون مجهول الحال</w:t>
            </w:r>
            <w:r>
              <w:rPr>
                <w:rStyle w:val="IndexLink"/>
                <w:rtl w:val="true"/>
              </w:rPr>
              <w:tab/>
            </w:r>
            <w:r>
              <w:rPr>
                <w:rStyle w:val="IndexLink"/>
              </w:rPr>
              <w:t>251</w:t>
            </w:r>
          </w:hyperlink>
        </w:p>
        <w:p>
          <w:pPr>
            <w:pStyle w:val="Contents4"/>
            <w:tabs>
              <w:tab w:val="clear" w:pos="8176"/>
              <w:tab w:val="right" w:pos="9026" w:leader="dot"/>
            </w:tabs>
            <w:rPr/>
          </w:pPr>
          <w:hyperlink w:anchor="__RefHeading___Toc146912_2142443653">
            <w:r>
              <w:rPr>
                <w:webHidden/>
                <w:rStyle w:val="IndexLink"/>
                <w:rtl w:val="true"/>
              </w:rPr>
              <w:t>إشارة إلی حال روایة محمّد بن عیسی عن یونس</w:t>
            </w:r>
            <w:r>
              <w:rPr>
                <w:rStyle w:val="IndexLink"/>
                <w:rtl w:val="true"/>
              </w:rPr>
              <w:tab/>
            </w:r>
            <w:r>
              <w:rPr>
                <w:rStyle w:val="IndexLink"/>
              </w:rPr>
              <w:t>251</w:t>
            </w:r>
          </w:hyperlink>
        </w:p>
        <w:p>
          <w:pPr>
            <w:pStyle w:val="Contents4"/>
            <w:tabs>
              <w:tab w:val="clear" w:pos="8176"/>
              <w:tab w:val="right" w:pos="9026" w:leader="dot"/>
            </w:tabs>
            <w:rPr/>
          </w:pPr>
          <w:hyperlink w:anchor="__RefHeading___Toc146914_2142443653">
            <w:r>
              <w:rPr>
                <w:webHidden/>
                <w:rStyle w:val="IndexLink"/>
                <w:rtl w:val="true"/>
              </w:rPr>
              <w:t>وهب بن عبد ربّة ثقة</w:t>
            </w:r>
            <w:r>
              <w:rPr>
                <w:rStyle w:val="IndexLink"/>
                <w:rtl w:val="true"/>
              </w:rPr>
              <w:tab/>
            </w:r>
            <w:r>
              <w:rPr>
                <w:rStyle w:val="IndexLink"/>
              </w:rPr>
              <w:t>251</w:t>
            </w:r>
          </w:hyperlink>
        </w:p>
        <w:p>
          <w:pPr>
            <w:pStyle w:val="Contents4"/>
            <w:tabs>
              <w:tab w:val="clear" w:pos="8176"/>
              <w:tab w:val="right" w:pos="9026" w:leader="dot"/>
            </w:tabs>
            <w:rPr/>
          </w:pPr>
          <w:hyperlink w:anchor="__RefHeading___Toc146916_2142443653">
            <w:r>
              <w:rPr>
                <w:webHidden/>
                <w:rStyle w:val="IndexLink"/>
                <w:rtl w:val="true"/>
              </w:rPr>
              <w:t>بحث حول ما دلّ علی وحوب الإعادة علی من صلّی فی الثوب النجس جهلاً ووجه الجمع بینه وبین ما دلّ علی عدم الإعادة</w:t>
            </w:r>
            <w:r>
              <w:rPr>
                <w:rStyle w:val="IndexLink"/>
                <w:rtl w:val="true"/>
              </w:rPr>
              <w:tab/>
            </w:r>
            <w:r>
              <w:rPr>
                <w:rStyle w:val="IndexLink"/>
              </w:rPr>
              <w:t>251</w:t>
            </w:r>
          </w:hyperlink>
        </w:p>
        <w:p>
          <w:pPr>
            <w:pStyle w:val="Contents4"/>
            <w:tabs>
              <w:tab w:val="clear" w:pos="8176"/>
              <w:tab w:val="right" w:pos="9026" w:leader="dot"/>
            </w:tabs>
            <w:rPr/>
          </w:pPr>
          <w:hyperlink w:anchor="__RefHeading___Toc146918_2142443653">
            <w:r>
              <w:rPr>
                <w:webHidden/>
                <w:rStyle w:val="IndexLink"/>
                <w:rtl w:val="true"/>
              </w:rPr>
              <w:t>معنی النکتة</w:t>
            </w:r>
            <w:r>
              <w:rPr>
                <w:rStyle w:val="IndexLink"/>
                <w:rtl w:val="true"/>
              </w:rPr>
              <w:tab/>
            </w:r>
            <w:r>
              <w:rPr>
                <w:rStyle w:val="IndexLink"/>
              </w:rPr>
              <w:t>255</w:t>
            </w:r>
          </w:hyperlink>
        </w:p>
        <w:p>
          <w:pPr>
            <w:pStyle w:val="Contents4"/>
            <w:tabs>
              <w:tab w:val="clear" w:pos="8176"/>
              <w:tab w:val="right" w:pos="9026" w:leader="dot"/>
            </w:tabs>
            <w:rPr/>
          </w:pPr>
          <w:hyperlink w:anchor="__RefHeading___Toc146920_2142443653">
            <w:r>
              <w:rPr>
                <w:webHidden/>
                <w:rStyle w:val="IndexLink"/>
                <w:rtl w:val="true"/>
              </w:rPr>
              <w:t>ابن سنان الروای عن أبی بصیر هو محمّد</w:t>
            </w:r>
            <w:r>
              <w:rPr>
                <w:rStyle w:val="IndexLink"/>
                <w:rtl w:val="true"/>
              </w:rPr>
              <w:tab/>
            </w:r>
            <w:r>
              <w:rPr>
                <w:rStyle w:val="IndexLink"/>
              </w:rPr>
              <w:t>256</w:t>
            </w:r>
          </w:hyperlink>
        </w:p>
        <w:p>
          <w:pPr>
            <w:pStyle w:val="Contents4"/>
            <w:tabs>
              <w:tab w:val="clear" w:pos="8176"/>
              <w:tab w:val="right" w:pos="9026" w:leader="dot"/>
            </w:tabs>
            <w:rPr/>
          </w:pPr>
          <w:hyperlink w:anchor="__RefHeading___Toc146922_2142443653">
            <w:r>
              <w:rPr>
                <w:webHidden/>
                <w:rStyle w:val="IndexLink"/>
                <w:rtl w:val="true"/>
              </w:rPr>
              <w:t>کلمة حول أبی بصیر</w:t>
            </w:r>
            <w:r>
              <w:rPr>
                <w:rStyle w:val="IndexLink"/>
                <w:rtl w:val="true"/>
              </w:rPr>
              <w:tab/>
            </w:r>
            <w:r>
              <w:rPr>
                <w:rStyle w:val="IndexLink"/>
              </w:rPr>
              <w:t>256</w:t>
            </w:r>
          </w:hyperlink>
        </w:p>
        <w:p>
          <w:pPr>
            <w:pStyle w:val="Contents4"/>
            <w:tabs>
              <w:tab w:val="clear" w:pos="8176"/>
              <w:tab w:val="right" w:pos="9026" w:leader="dot"/>
            </w:tabs>
            <w:rPr/>
          </w:pPr>
          <w:hyperlink w:anchor="__RefHeading___Toc146924_2142443653">
            <w:r>
              <w:rPr>
                <w:webHidden/>
                <w:rStyle w:val="IndexLink"/>
                <w:rtl w:val="true"/>
              </w:rPr>
              <w:t>عثمان بن عیسی ضعیف</w:t>
            </w:r>
            <w:r>
              <w:rPr>
                <w:rStyle w:val="IndexLink"/>
                <w:rtl w:val="true"/>
              </w:rPr>
              <w:tab/>
            </w:r>
            <w:r>
              <w:rPr>
                <w:rStyle w:val="IndexLink"/>
              </w:rPr>
              <w:t>257</w:t>
            </w:r>
          </w:hyperlink>
        </w:p>
        <w:p>
          <w:pPr>
            <w:pStyle w:val="Contents4"/>
            <w:tabs>
              <w:tab w:val="clear" w:pos="8176"/>
              <w:tab w:val="right" w:pos="9026" w:leader="dot"/>
            </w:tabs>
            <w:rPr/>
          </w:pPr>
          <w:hyperlink w:anchor="__RefHeading___Toc146926_2142443653">
            <w:r>
              <w:rPr>
                <w:webHidden/>
                <w:rStyle w:val="IndexLink"/>
                <w:rtl w:val="true"/>
              </w:rPr>
              <w:t>بحث حول ما دلّ علی إعادة الناسی وحمله علی الاستحباب</w:t>
            </w:r>
            <w:r>
              <w:rPr>
                <w:rStyle w:val="IndexLink"/>
                <w:rtl w:val="true"/>
              </w:rPr>
              <w:tab/>
            </w:r>
            <w:r>
              <w:rPr>
                <w:rStyle w:val="IndexLink"/>
              </w:rPr>
              <w:t>257</w:t>
            </w:r>
          </w:hyperlink>
        </w:p>
        <w:p>
          <w:pPr>
            <w:pStyle w:val="Contents4"/>
            <w:tabs>
              <w:tab w:val="clear" w:pos="8176"/>
              <w:tab w:val="right" w:pos="9026" w:leader="dot"/>
            </w:tabs>
            <w:rPr/>
          </w:pPr>
          <w:hyperlink w:anchor="__RefHeading___Toc146928_2142443653">
            <w:r>
              <w:rPr>
                <w:webHidden/>
                <w:rStyle w:val="IndexLink"/>
                <w:rtl w:val="true"/>
              </w:rPr>
              <w:t xml:space="preserve">معنی </w:t>
            </w:r>
            <w:r>
              <w:rPr>
                <w:rStyle w:val="IndexLink"/>
                <w:rtl w:val="true"/>
              </w:rPr>
              <w:t xml:space="preserve">« </w:t>
            </w:r>
            <w:r>
              <w:rPr>
                <w:rStyle w:val="IndexLink"/>
                <w:rtl w:val="true"/>
              </w:rPr>
              <w:t xml:space="preserve">یهتّم </w:t>
            </w:r>
            <w:r>
              <w:rPr>
                <w:rStyle w:val="IndexLink"/>
                <w:rtl w:val="true"/>
              </w:rPr>
              <w:t>»</w:t>
              <w:tab/>
            </w:r>
            <w:r>
              <w:rPr>
                <w:rStyle w:val="IndexLink"/>
              </w:rPr>
              <w:t>258</w:t>
            </w:r>
          </w:hyperlink>
        </w:p>
        <w:p>
          <w:pPr>
            <w:pStyle w:val="Contents4"/>
            <w:tabs>
              <w:tab w:val="clear" w:pos="8176"/>
              <w:tab w:val="right" w:pos="9026" w:leader="dot"/>
            </w:tabs>
            <w:rPr/>
          </w:pPr>
          <w:hyperlink w:anchor="__RefHeading___Toc146930_2142443653">
            <w:r>
              <w:rPr>
                <w:webHidden/>
                <w:rStyle w:val="IndexLink"/>
                <w:rtl w:val="true"/>
              </w:rPr>
              <w:t xml:space="preserve">بحث حول وهب </w:t>
            </w:r>
            <w:r>
              <w:rPr>
                <w:rStyle w:val="IndexLink"/>
                <w:rtl w:val="true"/>
              </w:rPr>
              <w:t xml:space="preserve">( </w:t>
            </w:r>
            <w:r>
              <w:rPr>
                <w:rStyle w:val="IndexLink"/>
                <w:rtl w:val="true"/>
              </w:rPr>
              <w:t xml:space="preserve">وهیب </w:t>
            </w:r>
            <w:r>
              <w:rPr>
                <w:rStyle w:val="IndexLink"/>
                <w:rtl w:val="true"/>
              </w:rPr>
              <w:t xml:space="preserve">) </w:t>
            </w:r>
            <w:r>
              <w:rPr>
                <w:rStyle w:val="IndexLink"/>
                <w:rtl w:val="true"/>
              </w:rPr>
              <w:t>بن حفص</w:t>
            </w:r>
            <w:r>
              <w:rPr>
                <w:rStyle w:val="IndexLink"/>
                <w:rtl w:val="true"/>
              </w:rPr>
              <w:tab/>
            </w:r>
            <w:r>
              <w:rPr>
                <w:rStyle w:val="IndexLink"/>
              </w:rPr>
              <w:t>260</w:t>
            </w:r>
          </w:hyperlink>
        </w:p>
        <w:p>
          <w:pPr>
            <w:pStyle w:val="Contents4"/>
            <w:tabs>
              <w:tab w:val="clear" w:pos="8176"/>
              <w:tab w:val="right" w:pos="9026" w:leader="dot"/>
            </w:tabs>
            <w:rPr/>
          </w:pPr>
          <w:hyperlink w:anchor="__RefHeading___Toc146932_2142443653">
            <w:r>
              <w:rPr>
                <w:webHidden/>
                <w:rStyle w:val="IndexLink"/>
                <w:rtl w:val="true"/>
              </w:rPr>
              <w:t>عبدالله بن جبلة واقفی ثقة</w:t>
            </w:r>
            <w:r>
              <w:rPr>
                <w:rStyle w:val="IndexLink"/>
                <w:rtl w:val="true"/>
              </w:rPr>
              <w:tab/>
            </w:r>
            <w:r>
              <w:rPr>
                <w:rStyle w:val="IndexLink"/>
              </w:rPr>
              <w:t>261</w:t>
            </w:r>
          </w:hyperlink>
        </w:p>
        <w:p>
          <w:pPr>
            <w:pStyle w:val="Contents4"/>
            <w:tabs>
              <w:tab w:val="clear" w:pos="8176"/>
              <w:tab w:val="right" w:pos="9026" w:leader="dot"/>
            </w:tabs>
            <w:rPr/>
          </w:pPr>
          <w:hyperlink w:anchor="__RefHeading___Toc146934_2142443653">
            <w:r>
              <w:rPr>
                <w:webHidden/>
                <w:rStyle w:val="IndexLink"/>
                <w:rtl w:val="true"/>
              </w:rPr>
              <w:t>میمون الصیقل مجهول الحال</w:t>
            </w:r>
            <w:r>
              <w:rPr>
                <w:rStyle w:val="IndexLink"/>
                <w:rtl w:val="true"/>
              </w:rPr>
              <w:tab/>
            </w:r>
            <w:r>
              <w:rPr>
                <w:rStyle w:val="IndexLink"/>
              </w:rPr>
              <w:t>261</w:t>
            </w:r>
          </w:hyperlink>
        </w:p>
        <w:p>
          <w:pPr>
            <w:pStyle w:val="Contents4"/>
            <w:tabs>
              <w:tab w:val="clear" w:pos="8176"/>
              <w:tab w:val="right" w:pos="9026" w:leader="dot"/>
            </w:tabs>
            <w:rPr/>
          </w:pPr>
          <w:hyperlink w:anchor="__RefHeading___Toc146936_2142443653">
            <w:r>
              <w:rPr>
                <w:webHidden/>
                <w:rStyle w:val="IndexLink"/>
                <w:rtl w:val="true"/>
              </w:rPr>
              <w:t>الحسن بن علی بن عبدالله هو ابن المغیرة الثقة</w:t>
            </w:r>
            <w:r>
              <w:rPr>
                <w:rStyle w:val="IndexLink"/>
                <w:rtl w:val="true"/>
              </w:rPr>
              <w:tab/>
            </w:r>
            <w:r>
              <w:rPr>
                <w:rStyle w:val="IndexLink"/>
              </w:rPr>
              <w:t>261</w:t>
            </w:r>
          </w:hyperlink>
        </w:p>
        <w:p>
          <w:pPr>
            <w:pStyle w:val="Contents4"/>
            <w:tabs>
              <w:tab w:val="clear" w:pos="8176"/>
              <w:tab w:val="right" w:pos="9026" w:leader="dot"/>
            </w:tabs>
            <w:rPr/>
          </w:pPr>
          <w:hyperlink w:anchor="__RefHeading___Toc146938_2142443653">
            <w:r>
              <w:rPr>
                <w:webHidden/>
                <w:rStyle w:val="IndexLink"/>
                <w:rtl w:val="true"/>
              </w:rPr>
              <w:t>سعد مشترک</w:t>
            </w:r>
            <w:r>
              <w:rPr>
                <w:rStyle w:val="IndexLink"/>
                <w:rtl w:val="true"/>
              </w:rPr>
              <w:tab/>
            </w:r>
            <w:r>
              <w:rPr>
                <w:rStyle w:val="IndexLink"/>
              </w:rPr>
              <w:t>261</w:t>
            </w:r>
          </w:hyperlink>
        </w:p>
        <w:p>
          <w:pPr>
            <w:pStyle w:val="Contents4"/>
            <w:tabs>
              <w:tab w:val="clear" w:pos="8176"/>
              <w:tab w:val="right" w:pos="9026" w:leader="dot"/>
            </w:tabs>
            <w:rPr/>
          </w:pPr>
          <w:hyperlink w:anchor="__RefHeading___Toc146940_2142443653">
            <w:r>
              <w:rPr>
                <w:webHidden/>
                <w:rStyle w:val="IndexLink"/>
                <w:rtl w:val="true"/>
              </w:rPr>
              <w:t>توجیه الشیخ لروایة أبی بصیر الدالّة علی الإعادة مع العلم بالنجاسة وعدمه والمناقشة فیه</w:t>
            </w:r>
            <w:r>
              <w:rPr>
                <w:rStyle w:val="IndexLink"/>
                <w:rtl w:val="true"/>
              </w:rPr>
              <w:tab/>
            </w:r>
            <w:r>
              <w:rPr>
                <w:rStyle w:val="IndexLink"/>
              </w:rPr>
              <w:t>261</w:t>
            </w:r>
          </w:hyperlink>
        </w:p>
        <w:p>
          <w:pPr>
            <w:pStyle w:val="Contents4"/>
            <w:tabs>
              <w:tab w:val="clear" w:pos="8176"/>
              <w:tab w:val="right" w:pos="9026" w:leader="dot"/>
            </w:tabs>
            <w:rPr/>
          </w:pPr>
          <w:hyperlink w:anchor="__RefHeading___Toc146942_2142443653">
            <w:r>
              <w:rPr>
                <w:webHidden/>
                <w:rStyle w:val="IndexLink"/>
                <w:rtl w:val="true"/>
              </w:rPr>
              <w:t>قول العلّامة بأنّ الجاهل یعید فی الوقت فقط والجواب عنه</w:t>
            </w:r>
            <w:r>
              <w:rPr>
                <w:rStyle w:val="IndexLink"/>
                <w:rtl w:val="true"/>
              </w:rPr>
              <w:tab/>
            </w:r>
            <w:r>
              <w:rPr>
                <w:rStyle w:val="IndexLink"/>
              </w:rPr>
              <w:t>262</w:t>
            </w:r>
          </w:hyperlink>
        </w:p>
        <w:p>
          <w:pPr>
            <w:pStyle w:val="Contents4"/>
            <w:tabs>
              <w:tab w:val="clear" w:pos="8176"/>
              <w:tab w:val="right" w:pos="9026" w:leader="dot"/>
            </w:tabs>
            <w:rPr/>
          </w:pPr>
          <w:hyperlink w:anchor="__RefHeading___Toc146944_2142443653">
            <w:r>
              <w:rPr>
                <w:webHidden/>
                <w:rStyle w:val="IndexLink"/>
                <w:rtl w:val="true"/>
              </w:rPr>
              <w:t xml:space="preserve">ما یستفاد من حدیث زرارة </w:t>
            </w:r>
            <w:r>
              <w:rPr>
                <w:rStyle w:val="IndexLink"/>
                <w:rtl w:val="true"/>
              </w:rPr>
              <w:t xml:space="preserve">: </w:t>
            </w:r>
            <w:r>
              <w:rPr>
                <w:rStyle w:val="IndexLink"/>
                <w:rtl w:val="true"/>
              </w:rPr>
              <w:t xml:space="preserve">أصاب ثوبی دم رعاف </w:t>
            </w:r>
            <w:r>
              <w:rPr>
                <w:rStyle w:val="IndexLink"/>
                <w:rtl w:val="true"/>
              </w:rPr>
              <w:t xml:space="preserve">... </w:t>
            </w:r>
            <w:r>
              <w:rPr>
                <w:rStyle w:val="IndexLink"/>
                <w:rtl w:val="true"/>
              </w:rPr>
              <w:t>من الأحکام</w:t>
            </w:r>
            <w:r>
              <w:rPr>
                <w:rStyle w:val="IndexLink"/>
                <w:rtl w:val="true"/>
              </w:rPr>
              <w:tab/>
            </w:r>
            <w:r>
              <w:rPr>
                <w:rStyle w:val="IndexLink"/>
              </w:rPr>
              <w:t>264</w:t>
            </w:r>
          </w:hyperlink>
        </w:p>
        <w:p>
          <w:pPr>
            <w:pStyle w:val="Contents4"/>
            <w:tabs>
              <w:tab w:val="clear" w:pos="8176"/>
              <w:tab w:val="right" w:pos="9026" w:leader="dot"/>
            </w:tabs>
            <w:rPr/>
          </w:pPr>
          <w:hyperlink w:anchor="__RefHeading___Toc146946_2142443653">
            <w:r>
              <w:rPr>
                <w:webHidden/>
                <w:rStyle w:val="IndexLink"/>
                <w:rtl w:val="true"/>
              </w:rPr>
              <w:t>کلام الشیخ البهائی حول حدیث زرارة والمناقشة فیه</w:t>
            </w:r>
            <w:r>
              <w:rPr>
                <w:rStyle w:val="IndexLink"/>
                <w:rtl w:val="true"/>
              </w:rPr>
              <w:tab/>
            </w:r>
            <w:r>
              <w:rPr>
                <w:rStyle w:val="IndexLink"/>
              </w:rPr>
              <w:t>271</w:t>
            </w:r>
          </w:hyperlink>
        </w:p>
        <w:p>
          <w:pPr>
            <w:pStyle w:val="Contents4"/>
            <w:tabs>
              <w:tab w:val="clear" w:pos="8176"/>
              <w:tab w:val="right" w:pos="9026" w:leader="dot"/>
            </w:tabs>
            <w:rPr/>
          </w:pPr>
          <w:hyperlink w:anchor="__RefHeading___Toc146948_2142443653">
            <w:r>
              <w:rPr>
                <w:webHidden/>
                <w:rStyle w:val="IndexLink"/>
                <w:rtl w:val="true"/>
              </w:rPr>
              <w:t>صحة سند حدیث العلاء وتوجیه عدّ المحقق إیّاه حسناً</w:t>
            </w:r>
            <w:r>
              <w:rPr>
                <w:rStyle w:val="IndexLink"/>
                <w:rtl w:val="true"/>
              </w:rPr>
              <w:tab/>
            </w:r>
            <w:r>
              <w:rPr>
                <w:rStyle w:val="IndexLink"/>
              </w:rPr>
              <w:t>274</w:t>
            </w:r>
          </w:hyperlink>
        </w:p>
        <w:p>
          <w:pPr>
            <w:pStyle w:val="Contents4"/>
            <w:tabs>
              <w:tab w:val="clear" w:pos="8176"/>
              <w:tab w:val="right" w:pos="9026" w:leader="dot"/>
            </w:tabs>
            <w:rPr/>
          </w:pPr>
          <w:hyperlink w:anchor="__RefHeading___Toc146950_2142443653">
            <w:r>
              <w:rPr>
                <w:webHidden/>
                <w:rStyle w:val="IndexLink"/>
                <w:rtl w:val="true"/>
              </w:rPr>
              <w:t>بحث حول عبدالله بن محمّد</w:t>
            </w:r>
            <w:r>
              <w:rPr>
                <w:rStyle w:val="IndexLink"/>
                <w:rtl w:val="true"/>
              </w:rPr>
              <w:tab/>
            </w:r>
            <w:r>
              <w:rPr>
                <w:rStyle w:val="IndexLink"/>
              </w:rPr>
              <w:t>275</w:t>
            </w:r>
          </w:hyperlink>
        </w:p>
        <w:p>
          <w:pPr>
            <w:pStyle w:val="Contents4"/>
            <w:tabs>
              <w:tab w:val="clear" w:pos="8176"/>
              <w:tab w:val="right" w:pos="9026" w:leader="dot"/>
            </w:tabs>
            <w:rPr/>
          </w:pPr>
          <w:hyperlink w:anchor="__RefHeading___Toc146952_2142443653">
            <w:r>
              <w:rPr>
                <w:webHidden/>
                <w:rStyle w:val="IndexLink"/>
                <w:rtl w:val="true"/>
              </w:rPr>
              <w:t>إشارة إلی جهالة سلیمان بن رشید</w:t>
            </w:r>
            <w:r>
              <w:rPr>
                <w:rStyle w:val="IndexLink"/>
                <w:rtl w:val="true"/>
              </w:rPr>
              <w:tab/>
            </w:r>
            <w:r>
              <w:rPr>
                <w:rStyle w:val="IndexLink"/>
              </w:rPr>
              <w:t>275</w:t>
            </w:r>
          </w:hyperlink>
        </w:p>
        <w:p>
          <w:pPr>
            <w:pStyle w:val="Contents4"/>
            <w:tabs>
              <w:tab w:val="clear" w:pos="8176"/>
              <w:tab w:val="right" w:pos="9026" w:leader="dot"/>
            </w:tabs>
            <w:rPr/>
          </w:pPr>
          <w:hyperlink w:anchor="__RefHeading___Toc146954_2142443653">
            <w:r>
              <w:rPr>
                <w:webHidden/>
                <w:rStyle w:val="IndexLink"/>
                <w:rtl w:val="true"/>
              </w:rPr>
              <w:t>کلام حول دلالة روایة العلاء علی عدم إعادة الناسی</w:t>
            </w:r>
            <w:r>
              <w:rPr>
                <w:rStyle w:val="IndexLink"/>
                <w:rtl w:val="true"/>
              </w:rPr>
              <w:tab/>
            </w:r>
            <w:r>
              <w:rPr>
                <w:rStyle w:val="IndexLink"/>
              </w:rPr>
              <w:t>276</w:t>
            </w:r>
          </w:hyperlink>
        </w:p>
        <w:p>
          <w:pPr>
            <w:pStyle w:val="Contents4"/>
            <w:tabs>
              <w:tab w:val="clear" w:pos="8176"/>
              <w:tab w:val="right" w:pos="9026" w:leader="dot"/>
            </w:tabs>
            <w:rPr/>
          </w:pPr>
          <w:hyperlink w:anchor="__RefHeading___Toc146956_2142443653">
            <w:r>
              <w:rPr>
                <w:webHidden/>
                <w:rStyle w:val="IndexLink"/>
                <w:rtl w:val="true"/>
              </w:rPr>
              <w:t>حمل الشیخ لروایة العلاء والمناقشة فیه</w:t>
            </w:r>
            <w:r>
              <w:rPr>
                <w:rStyle w:val="IndexLink"/>
                <w:rtl w:val="true"/>
              </w:rPr>
              <w:tab/>
            </w:r>
            <w:r>
              <w:rPr>
                <w:rStyle w:val="IndexLink"/>
              </w:rPr>
              <w:t>276</w:t>
            </w:r>
          </w:hyperlink>
        </w:p>
        <w:p>
          <w:pPr>
            <w:pStyle w:val="Contents4"/>
            <w:tabs>
              <w:tab w:val="clear" w:pos="8176"/>
              <w:tab w:val="right" w:pos="9026" w:leader="dot"/>
            </w:tabs>
            <w:rPr/>
          </w:pPr>
          <w:hyperlink w:anchor="__RefHeading___Toc146958_2142443653">
            <w:r>
              <w:rPr>
                <w:webHidden/>
                <w:rStyle w:val="IndexLink"/>
                <w:rtl w:val="true"/>
              </w:rPr>
              <w:t>بیان الإشکالات الواردة علی روایة علی بن مهزیار والجواب عنها</w:t>
            </w:r>
            <w:r>
              <w:rPr>
                <w:rStyle w:val="IndexLink"/>
                <w:rtl w:val="true"/>
              </w:rPr>
              <w:tab/>
            </w:r>
            <w:r>
              <w:rPr>
                <w:rStyle w:val="IndexLink"/>
              </w:rPr>
              <w:t>277</w:t>
            </w:r>
          </w:hyperlink>
        </w:p>
        <w:p>
          <w:pPr>
            <w:pStyle w:val="Contents3"/>
            <w:tabs>
              <w:tab w:val="clear" w:pos="8459"/>
              <w:tab w:val="right" w:pos="9026" w:leader="dot"/>
            </w:tabs>
            <w:rPr/>
          </w:pPr>
          <w:hyperlink w:anchor="__RefHeading___Toc146960_2142443653">
            <w:r>
              <w:rPr>
                <w:webHidden/>
                <w:rStyle w:val="IndexLink"/>
                <w:rtl w:val="true"/>
              </w:rPr>
              <w:t>عرق الجنب والحائض یصیب الثوب</w:t>
            </w:r>
            <w:r>
              <w:rPr>
                <w:rStyle w:val="IndexLink"/>
                <w:rtl w:val="true"/>
              </w:rPr>
              <w:tab/>
            </w:r>
            <w:r>
              <w:rPr>
                <w:rStyle w:val="IndexLink"/>
              </w:rPr>
              <w:t>281</w:t>
            </w:r>
          </w:hyperlink>
        </w:p>
        <w:p>
          <w:pPr>
            <w:pStyle w:val="Contents4"/>
            <w:tabs>
              <w:tab w:val="clear" w:pos="8176"/>
              <w:tab w:val="right" w:pos="9026" w:leader="dot"/>
            </w:tabs>
            <w:rPr/>
          </w:pPr>
          <w:hyperlink w:anchor="__RefHeading___Toc146962_2142443653">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46964_2142443653">
            <w:r>
              <w:rPr>
                <w:webHidden/>
                <w:rStyle w:val="IndexLink"/>
                <w:rtl w:val="true"/>
              </w:rPr>
              <w:t>بحث حول عمر بن أذینة</w:t>
            </w:r>
            <w:r>
              <w:rPr>
                <w:rStyle w:val="IndexLink"/>
                <w:rtl w:val="true"/>
              </w:rPr>
              <w:tab/>
            </w:r>
            <w:r>
              <w:rPr>
                <w:rStyle w:val="IndexLink"/>
              </w:rPr>
              <w:t>282</w:t>
            </w:r>
          </w:hyperlink>
        </w:p>
        <w:p>
          <w:pPr>
            <w:pStyle w:val="Contents4"/>
            <w:tabs>
              <w:tab w:val="clear" w:pos="8176"/>
              <w:tab w:val="right" w:pos="9026" w:leader="dot"/>
            </w:tabs>
            <w:rPr/>
          </w:pPr>
          <w:hyperlink w:anchor="__RefHeading___Toc146966_2142443653">
            <w:r>
              <w:rPr>
                <w:webHidden/>
                <w:rStyle w:val="IndexLink"/>
                <w:rtl w:val="true"/>
              </w:rPr>
              <w:t>بحث حول أبی أسامة زید الشحام</w:t>
            </w:r>
            <w:r>
              <w:rPr>
                <w:rStyle w:val="IndexLink"/>
                <w:rtl w:val="true"/>
              </w:rPr>
              <w:tab/>
            </w:r>
            <w:r>
              <w:rPr>
                <w:rStyle w:val="IndexLink"/>
              </w:rPr>
              <w:t>283</w:t>
            </w:r>
          </w:hyperlink>
        </w:p>
        <w:p>
          <w:pPr>
            <w:pStyle w:val="Contents4"/>
            <w:tabs>
              <w:tab w:val="clear" w:pos="8176"/>
              <w:tab w:val="right" w:pos="9026" w:leader="dot"/>
            </w:tabs>
            <w:rPr/>
          </w:pPr>
          <w:hyperlink w:anchor="__RefHeading___Toc146968_2142443653">
            <w:r>
              <w:rPr>
                <w:webHidden/>
                <w:rStyle w:val="IndexLink"/>
                <w:rtl w:val="true"/>
              </w:rPr>
              <w:t>بحث حول القاسم بن محمّد الجوهری</w:t>
            </w:r>
            <w:r>
              <w:rPr>
                <w:rStyle w:val="IndexLink"/>
                <w:rtl w:val="true"/>
              </w:rPr>
              <w:tab/>
            </w:r>
            <w:r>
              <w:rPr>
                <w:rStyle w:val="IndexLink"/>
              </w:rPr>
              <w:t>283</w:t>
            </w:r>
          </w:hyperlink>
        </w:p>
        <w:p>
          <w:pPr>
            <w:pStyle w:val="Contents4"/>
            <w:tabs>
              <w:tab w:val="clear" w:pos="8176"/>
              <w:tab w:val="right" w:pos="9026" w:leader="dot"/>
            </w:tabs>
            <w:rPr/>
          </w:pPr>
          <w:hyperlink w:anchor="__RefHeading___Toc146970_2142443653">
            <w:r>
              <w:rPr>
                <w:webHidden/>
                <w:rStyle w:val="IndexLink"/>
                <w:rtl w:val="true"/>
              </w:rPr>
              <w:t>علی بن أبی حمزة الذی یروی عنه القاسم بن محمّد هو البطائنی الواقفی</w:t>
            </w:r>
            <w:r>
              <w:rPr>
                <w:rStyle w:val="IndexLink"/>
                <w:rtl w:val="true"/>
              </w:rPr>
              <w:tab/>
            </w:r>
            <w:r>
              <w:rPr>
                <w:rStyle w:val="IndexLink"/>
              </w:rPr>
              <w:t>284</w:t>
            </w:r>
          </w:hyperlink>
        </w:p>
        <w:p>
          <w:pPr>
            <w:pStyle w:val="Contents4"/>
            <w:tabs>
              <w:tab w:val="clear" w:pos="8176"/>
              <w:tab w:val="right" w:pos="9026" w:leader="dot"/>
            </w:tabs>
            <w:rPr/>
          </w:pPr>
          <w:hyperlink w:anchor="__RefHeading___Toc146972_2142443653">
            <w:r>
              <w:rPr>
                <w:webHidden/>
                <w:rStyle w:val="IndexLink"/>
                <w:rtl w:val="true"/>
              </w:rPr>
              <w:t>حمزة بن حمران مهمل</w:t>
            </w:r>
            <w:r>
              <w:rPr>
                <w:rStyle w:val="IndexLink"/>
                <w:rtl w:val="true"/>
              </w:rPr>
              <w:tab/>
            </w:r>
            <w:r>
              <w:rPr>
                <w:rStyle w:val="IndexLink"/>
              </w:rPr>
              <w:t>284</w:t>
            </w:r>
          </w:hyperlink>
        </w:p>
        <w:p>
          <w:pPr>
            <w:pStyle w:val="Contents4"/>
            <w:tabs>
              <w:tab w:val="clear" w:pos="8176"/>
              <w:tab w:val="right" w:pos="9026" w:leader="dot"/>
            </w:tabs>
            <w:rPr/>
          </w:pPr>
          <w:hyperlink w:anchor="__RefHeading___Toc146974_2142443653">
            <w:r>
              <w:rPr>
                <w:webHidden/>
                <w:rStyle w:val="IndexLink"/>
                <w:rtl w:val="true"/>
              </w:rPr>
              <w:t>أبو بصیر الذی یروی عنه شعیب هو الضریر المذموم</w:t>
            </w:r>
            <w:r>
              <w:rPr>
                <w:rStyle w:val="IndexLink"/>
                <w:rtl w:val="true"/>
              </w:rPr>
              <w:tab/>
            </w:r>
            <w:r>
              <w:rPr>
                <w:rStyle w:val="IndexLink"/>
              </w:rPr>
              <w:t>284</w:t>
            </w:r>
          </w:hyperlink>
        </w:p>
        <w:p>
          <w:pPr>
            <w:pStyle w:val="Contents4"/>
            <w:tabs>
              <w:tab w:val="clear" w:pos="8176"/>
              <w:tab w:val="right" w:pos="9026" w:leader="dot"/>
            </w:tabs>
            <w:rPr/>
          </w:pPr>
          <w:hyperlink w:anchor="__RefHeading___Toc146976_2142443653">
            <w:r>
              <w:rPr>
                <w:webHidden/>
                <w:rStyle w:val="IndexLink"/>
                <w:rtl w:val="true"/>
              </w:rPr>
              <w:t xml:space="preserve">بحث حول المنبّه بن عبدالله ومعنی قولهم </w:t>
            </w:r>
            <w:r>
              <w:rPr>
                <w:rStyle w:val="IndexLink"/>
                <w:rtl w:val="true"/>
              </w:rPr>
              <w:t xml:space="preserve">: </w:t>
            </w:r>
            <w:r>
              <w:rPr>
                <w:rStyle w:val="IndexLink"/>
                <w:rtl w:val="true"/>
              </w:rPr>
              <w:t>صحیح الحدیث</w:t>
            </w:r>
            <w:r>
              <w:rPr>
                <w:rStyle w:val="IndexLink"/>
                <w:rtl w:val="true"/>
              </w:rPr>
              <w:tab/>
            </w:r>
            <w:r>
              <w:rPr>
                <w:rStyle w:val="IndexLink"/>
              </w:rPr>
              <w:t>284</w:t>
            </w:r>
          </w:hyperlink>
        </w:p>
        <w:p>
          <w:pPr>
            <w:pStyle w:val="Contents4"/>
            <w:tabs>
              <w:tab w:val="clear" w:pos="8176"/>
              <w:tab w:val="right" w:pos="9026" w:leader="dot"/>
            </w:tabs>
            <w:rPr/>
          </w:pPr>
          <w:hyperlink w:anchor="__RefHeading___Toc146978_2142443653">
            <w:r>
              <w:rPr>
                <w:webHidden/>
                <w:rStyle w:val="IndexLink"/>
                <w:rtl w:val="true"/>
              </w:rPr>
              <w:t>الحسین بن علوان عامی غیر موثق</w:t>
            </w:r>
            <w:r>
              <w:rPr>
                <w:rStyle w:val="IndexLink"/>
                <w:rtl w:val="true"/>
              </w:rPr>
              <w:tab/>
            </w:r>
            <w:r>
              <w:rPr>
                <w:rStyle w:val="IndexLink"/>
              </w:rPr>
              <w:t>286</w:t>
            </w:r>
          </w:hyperlink>
        </w:p>
        <w:p>
          <w:pPr>
            <w:pStyle w:val="Contents4"/>
            <w:tabs>
              <w:tab w:val="clear" w:pos="8176"/>
              <w:tab w:val="right" w:pos="9026" w:leader="dot"/>
            </w:tabs>
            <w:rPr/>
          </w:pPr>
          <w:hyperlink w:anchor="__RefHeading___Toc146980_2142443653">
            <w:r>
              <w:rPr>
                <w:webHidden/>
                <w:rStyle w:val="IndexLink"/>
                <w:rtl w:val="true"/>
              </w:rPr>
              <w:t>بحث حول عمرو بن خالد</w:t>
            </w:r>
            <w:r>
              <w:rPr>
                <w:rStyle w:val="IndexLink"/>
                <w:rtl w:val="true"/>
              </w:rPr>
              <w:tab/>
            </w:r>
            <w:r>
              <w:rPr>
                <w:rStyle w:val="IndexLink"/>
              </w:rPr>
              <w:t>286</w:t>
            </w:r>
          </w:hyperlink>
        </w:p>
        <w:p>
          <w:pPr>
            <w:pStyle w:val="Contents4"/>
            <w:tabs>
              <w:tab w:val="clear" w:pos="8176"/>
              <w:tab w:val="right" w:pos="9026" w:leader="dot"/>
            </w:tabs>
            <w:rPr/>
          </w:pPr>
          <w:hyperlink w:anchor="__RefHeading___Toc146982_2142443653">
            <w:r>
              <w:rPr>
                <w:webHidden/>
                <w:rStyle w:val="IndexLink"/>
                <w:rtl w:val="true"/>
              </w:rPr>
              <w:t>بیان الأخبار الدالّة علی طهارة عرق الجنب والحائض</w:t>
            </w:r>
            <w:r>
              <w:rPr>
                <w:rStyle w:val="IndexLink"/>
                <w:rtl w:val="true"/>
              </w:rPr>
              <w:tab/>
            </w:r>
            <w:r>
              <w:rPr>
                <w:rStyle w:val="IndexLink"/>
              </w:rPr>
              <w:t>287</w:t>
            </w:r>
          </w:hyperlink>
        </w:p>
        <w:p>
          <w:pPr>
            <w:pStyle w:val="Contents4"/>
            <w:tabs>
              <w:tab w:val="clear" w:pos="8176"/>
              <w:tab w:val="right" w:pos="9026" w:leader="dot"/>
            </w:tabs>
            <w:rPr/>
          </w:pPr>
          <w:hyperlink w:anchor="__RefHeading___Toc146984_2142443653">
            <w:r>
              <w:rPr>
                <w:webHidden/>
                <w:rStyle w:val="IndexLink"/>
                <w:rtl w:val="true"/>
              </w:rPr>
              <w:t>معنی قطّب</w:t>
            </w:r>
            <w:r>
              <w:rPr>
                <w:rStyle w:val="IndexLink"/>
                <w:rtl w:val="true"/>
              </w:rPr>
              <w:tab/>
            </w:r>
            <w:r>
              <w:rPr>
                <w:rStyle w:val="IndexLink"/>
              </w:rPr>
              <w:t>288</w:t>
            </w:r>
          </w:hyperlink>
        </w:p>
        <w:p>
          <w:pPr>
            <w:pStyle w:val="Contents4"/>
            <w:tabs>
              <w:tab w:val="clear" w:pos="8176"/>
              <w:tab w:val="right" w:pos="9026" w:leader="dot"/>
            </w:tabs>
            <w:rPr/>
          </w:pPr>
          <w:hyperlink w:anchor="__RefHeading___Toc146986_2142443653">
            <w:r>
              <w:rPr>
                <w:webHidden/>
                <w:rStyle w:val="IndexLink"/>
                <w:rtl w:val="true"/>
              </w:rPr>
              <w:t>إشارة إلی حال إسحاق بن عمار</w:t>
            </w:r>
            <w:r>
              <w:rPr>
                <w:rStyle w:val="IndexLink"/>
                <w:rtl w:val="true"/>
              </w:rPr>
              <w:tab/>
            </w:r>
            <w:r>
              <w:rPr>
                <w:rStyle w:val="IndexLink"/>
              </w:rPr>
              <w:t>290</w:t>
            </w:r>
          </w:hyperlink>
        </w:p>
        <w:p>
          <w:pPr>
            <w:pStyle w:val="Contents4"/>
            <w:tabs>
              <w:tab w:val="clear" w:pos="8176"/>
              <w:tab w:val="right" w:pos="9026" w:leader="dot"/>
            </w:tabs>
            <w:rPr/>
          </w:pPr>
          <w:hyperlink w:anchor="__RefHeading___Toc146988_2142443653">
            <w:r>
              <w:rPr>
                <w:webHidden/>
                <w:rStyle w:val="IndexLink"/>
                <w:rtl w:val="true"/>
              </w:rPr>
              <w:t>بحث حول أحمد بن الحسن</w:t>
            </w:r>
            <w:r>
              <w:rPr>
                <w:rStyle w:val="IndexLink"/>
                <w:rtl w:val="true"/>
              </w:rPr>
              <w:tab/>
            </w:r>
            <w:r>
              <w:rPr>
                <w:rStyle w:val="IndexLink"/>
              </w:rPr>
              <w:t>290</w:t>
            </w:r>
          </w:hyperlink>
        </w:p>
        <w:p>
          <w:pPr>
            <w:pStyle w:val="Contents4"/>
            <w:tabs>
              <w:tab w:val="clear" w:pos="8176"/>
              <w:tab w:val="right" w:pos="9026" w:leader="dot"/>
            </w:tabs>
            <w:rPr/>
          </w:pPr>
          <w:hyperlink w:anchor="__RefHeading___Toc146990_2142443653">
            <w:r>
              <w:rPr>
                <w:webHidden/>
                <w:rStyle w:val="IndexLink"/>
                <w:rtl w:val="true"/>
              </w:rPr>
              <w:t>بحث حول عمّار الساباطی</w:t>
            </w:r>
            <w:r>
              <w:rPr>
                <w:rStyle w:val="IndexLink"/>
                <w:rtl w:val="true"/>
              </w:rPr>
              <w:tab/>
            </w:r>
            <w:r>
              <w:rPr>
                <w:rStyle w:val="IndexLink"/>
              </w:rPr>
              <w:t>291</w:t>
            </w:r>
          </w:hyperlink>
        </w:p>
        <w:p>
          <w:pPr>
            <w:pStyle w:val="Contents4"/>
            <w:tabs>
              <w:tab w:val="clear" w:pos="8176"/>
              <w:tab w:val="right" w:pos="9026" w:leader="dot"/>
            </w:tabs>
            <w:rPr/>
          </w:pPr>
          <w:hyperlink w:anchor="__RefHeading___Toc146992_2142443653">
            <w:r>
              <w:rPr>
                <w:webHidden/>
                <w:rStyle w:val="IndexLink"/>
                <w:rtl w:val="true"/>
              </w:rPr>
              <w:t>علی بن محمّد بن الزبیر فیه کلام</w:t>
            </w:r>
            <w:r>
              <w:rPr>
                <w:rStyle w:val="IndexLink"/>
                <w:rtl w:val="true"/>
              </w:rPr>
              <w:tab/>
            </w:r>
            <w:r>
              <w:rPr>
                <w:rStyle w:val="IndexLink"/>
              </w:rPr>
              <w:t>291</w:t>
            </w:r>
          </w:hyperlink>
        </w:p>
        <w:p>
          <w:pPr>
            <w:pStyle w:val="Contents4"/>
            <w:tabs>
              <w:tab w:val="clear" w:pos="8176"/>
              <w:tab w:val="right" w:pos="9026" w:leader="dot"/>
            </w:tabs>
            <w:rPr/>
          </w:pPr>
          <w:hyperlink w:anchor="__RefHeading___Toc146994_2142443653">
            <w:r>
              <w:rPr>
                <w:webHidden/>
                <w:rStyle w:val="IndexLink"/>
                <w:rtl w:val="true"/>
              </w:rPr>
              <w:t>إشارة إلی حال أحمد بن عبدون</w:t>
            </w:r>
            <w:r>
              <w:rPr>
                <w:rStyle w:val="IndexLink"/>
                <w:rtl w:val="true"/>
              </w:rPr>
              <w:tab/>
            </w:r>
            <w:r>
              <w:rPr>
                <w:rStyle w:val="IndexLink"/>
              </w:rPr>
              <w:t>291</w:t>
            </w:r>
          </w:hyperlink>
        </w:p>
        <w:p>
          <w:pPr>
            <w:pStyle w:val="Contents4"/>
            <w:tabs>
              <w:tab w:val="clear" w:pos="8176"/>
              <w:tab w:val="right" w:pos="9026" w:leader="dot"/>
            </w:tabs>
            <w:rPr/>
          </w:pPr>
          <w:hyperlink w:anchor="__RefHeading___Toc146996_2142443653">
            <w:r>
              <w:rPr>
                <w:webHidden/>
                <w:rStyle w:val="IndexLink"/>
                <w:rtl w:val="true"/>
              </w:rPr>
              <w:t>سورة بن کلیب مشترک</w:t>
            </w:r>
            <w:r>
              <w:rPr>
                <w:rStyle w:val="IndexLink"/>
                <w:rtl w:val="true"/>
              </w:rPr>
              <w:tab/>
            </w:r>
            <w:r>
              <w:rPr>
                <w:rStyle w:val="IndexLink"/>
              </w:rPr>
              <w:t>291</w:t>
            </w:r>
          </w:hyperlink>
        </w:p>
        <w:p>
          <w:pPr>
            <w:pStyle w:val="Contents4"/>
            <w:tabs>
              <w:tab w:val="clear" w:pos="8176"/>
              <w:tab w:val="right" w:pos="9026" w:leader="dot"/>
            </w:tabs>
            <w:rPr/>
          </w:pPr>
          <w:hyperlink w:anchor="__RefHeading___Toc146998_2142443653">
            <w:r>
              <w:rPr>
                <w:webHidden/>
                <w:rStyle w:val="IndexLink"/>
                <w:rtl w:val="true"/>
              </w:rPr>
              <w:t>توجیه ما دلّ علی أنّ الحائض تغسل الثوب الذی عرقت فیه</w:t>
            </w:r>
            <w:r>
              <w:rPr>
                <w:rStyle w:val="IndexLink"/>
                <w:rtl w:val="true"/>
              </w:rPr>
              <w:tab/>
            </w:r>
            <w:r>
              <w:rPr>
                <w:rStyle w:val="IndexLink"/>
              </w:rPr>
              <w:t>291</w:t>
            </w:r>
          </w:hyperlink>
        </w:p>
        <w:p>
          <w:pPr>
            <w:pStyle w:val="Contents4"/>
            <w:tabs>
              <w:tab w:val="clear" w:pos="8176"/>
              <w:tab w:val="right" w:pos="9026" w:leader="dot"/>
            </w:tabs>
            <w:rPr/>
          </w:pPr>
          <w:hyperlink w:anchor="__RefHeading___Toc147000_2142443653">
            <w:r>
              <w:rPr>
                <w:webHidden/>
                <w:rStyle w:val="IndexLink"/>
                <w:rtl w:val="true"/>
              </w:rPr>
              <w:t>بحث حول محمّد بن عبدالحمید</w:t>
            </w:r>
            <w:r>
              <w:rPr>
                <w:rStyle w:val="IndexLink"/>
                <w:rtl w:val="true"/>
              </w:rPr>
              <w:tab/>
            </w:r>
            <w:r>
              <w:rPr>
                <w:rStyle w:val="IndexLink"/>
              </w:rPr>
              <w:t>293</w:t>
            </w:r>
          </w:hyperlink>
        </w:p>
        <w:p>
          <w:pPr>
            <w:pStyle w:val="Contents4"/>
            <w:tabs>
              <w:tab w:val="clear" w:pos="8176"/>
              <w:tab w:val="right" w:pos="9026" w:leader="dot"/>
            </w:tabs>
            <w:rPr/>
          </w:pPr>
          <w:hyperlink w:anchor="__RefHeading___Toc147002_2142443653">
            <w:r>
              <w:rPr>
                <w:webHidden/>
                <w:rStyle w:val="IndexLink"/>
                <w:rtl w:val="true"/>
              </w:rPr>
              <w:t>بحث حول أبی جمیلة</w:t>
            </w:r>
            <w:r>
              <w:rPr>
                <w:rStyle w:val="IndexLink"/>
                <w:rtl w:val="true"/>
              </w:rPr>
              <w:tab/>
            </w:r>
            <w:r>
              <w:rPr>
                <w:rStyle w:val="IndexLink"/>
              </w:rPr>
              <w:t>294</w:t>
            </w:r>
          </w:hyperlink>
        </w:p>
        <w:p>
          <w:pPr>
            <w:pStyle w:val="Contents4"/>
            <w:tabs>
              <w:tab w:val="clear" w:pos="8176"/>
              <w:tab w:val="right" w:pos="9026" w:leader="dot"/>
            </w:tabs>
            <w:rPr/>
          </w:pPr>
          <w:hyperlink w:anchor="__RefHeading___Toc147004_2142443653">
            <w:r>
              <w:rPr>
                <w:webHidden/>
                <w:rStyle w:val="IndexLink"/>
                <w:rtl w:val="true"/>
              </w:rPr>
              <w:t>بحث حول محمّد بن أبی حمزة</w:t>
            </w:r>
            <w:r>
              <w:rPr>
                <w:rStyle w:val="IndexLink"/>
                <w:rtl w:val="true"/>
              </w:rPr>
              <w:tab/>
            </w:r>
            <w:r>
              <w:rPr>
                <w:rStyle w:val="IndexLink"/>
              </w:rPr>
              <w:t>294</w:t>
            </w:r>
          </w:hyperlink>
        </w:p>
        <w:p>
          <w:pPr>
            <w:pStyle w:val="Contents4"/>
            <w:tabs>
              <w:tab w:val="clear" w:pos="8176"/>
              <w:tab w:val="right" w:pos="9026" w:leader="dot"/>
            </w:tabs>
            <w:rPr/>
          </w:pPr>
          <w:hyperlink w:anchor="__RefHeading___Toc147006_2142443653">
            <w:r>
              <w:rPr>
                <w:webHidden/>
                <w:rStyle w:val="IndexLink"/>
                <w:rtl w:val="true"/>
              </w:rPr>
              <w:t>توجیه ما دلّ علی أنّ الحائض لاتصلّی فی الثوب المستمرّ علیها إلی حین الطهر حتی تغسله</w:t>
            </w:r>
            <w:r>
              <w:rPr>
                <w:rStyle w:val="IndexLink"/>
                <w:rtl w:val="true"/>
              </w:rPr>
              <w:tab/>
            </w:r>
            <w:r>
              <w:rPr>
                <w:rStyle w:val="IndexLink"/>
              </w:rPr>
              <w:t>298</w:t>
            </w:r>
          </w:hyperlink>
        </w:p>
        <w:p>
          <w:pPr>
            <w:pStyle w:val="Contents4"/>
            <w:tabs>
              <w:tab w:val="clear" w:pos="8176"/>
              <w:tab w:val="right" w:pos="9026" w:leader="dot"/>
            </w:tabs>
            <w:rPr/>
          </w:pPr>
          <w:hyperlink w:anchor="__RefHeading___Toc147008_2142443653">
            <w:r>
              <w:rPr>
                <w:webHidden/>
                <w:rStyle w:val="IndexLink"/>
                <w:rtl w:val="true"/>
              </w:rPr>
              <w:t>معنی الطمث</w:t>
            </w:r>
            <w:r>
              <w:rPr>
                <w:rStyle w:val="IndexLink"/>
                <w:rtl w:val="true"/>
              </w:rPr>
              <w:tab/>
            </w:r>
            <w:r>
              <w:rPr>
                <w:rStyle w:val="IndexLink"/>
              </w:rPr>
              <w:t>298</w:t>
            </w:r>
          </w:hyperlink>
        </w:p>
        <w:p>
          <w:pPr>
            <w:pStyle w:val="Contents4"/>
            <w:tabs>
              <w:tab w:val="clear" w:pos="8176"/>
              <w:tab w:val="right" w:pos="9026" w:leader="dot"/>
            </w:tabs>
            <w:rPr/>
          </w:pPr>
          <w:hyperlink w:anchor="__RefHeading___Toc147010_2142443653">
            <w:r>
              <w:rPr>
                <w:webHidden/>
                <w:rStyle w:val="IndexLink"/>
                <w:rtl w:val="true"/>
              </w:rPr>
              <w:t>طرق الشیخ إلی سعد</w:t>
            </w:r>
            <w:r>
              <w:rPr>
                <w:rStyle w:val="IndexLink"/>
                <w:rtl w:val="true"/>
              </w:rPr>
              <w:tab/>
            </w:r>
            <w:r>
              <w:rPr>
                <w:rStyle w:val="IndexLink"/>
              </w:rPr>
              <w:t>300</w:t>
            </w:r>
          </w:hyperlink>
        </w:p>
        <w:p>
          <w:pPr>
            <w:pStyle w:val="Contents4"/>
            <w:tabs>
              <w:tab w:val="clear" w:pos="8176"/>
              <w:tab w:val="right" w:pos="9026" w:leader="dot"/>
            </w:tabs>
            <w:rPr/>
          </w:pPr>
          <w:hyperlink w:anchor="__RefHeading___Toc147012_2142443653">
            <w:r>
              <w:rPr>
                <w:webHidden/>
                <w:rStyle w:val="IndexLink"/>
                <w:rtl w:val="true"/>
              </w:rPr>
              <w:t>أبو جعفر هو أحمد بن محمّد بن عیسی</w:t>
            </w:r>
            <w:r>
              <w:rPr>
                <w:rStyle w:val="IndexLink"/>
                <w:rtl w:val="true"/>
              </w:rPr>
              <w:tab/>
            </w:r>
            <w:r>
              <w:rPr>
                <w:rStyle w:val="IndexLink"/>
              </w:rPr>
              <w:t>300</w:t>
            </w:r>
          </w:hyperlink>
        </w:p>
        <w:p>
          <w:pPr>
            <w:pStyle w:val="Contents4"/>
            <w:tabs>
              <w:tab w:val="clear" w:pos="8176"/>
              <w:tab w:val="right" w:pos="9026" w:leader="dot"/>
            </w:tabs>
            <w:rPr/>
          </w:pPr>
          <w:hyperlink w:anchor="__RefHeading___Toc147014_2142443653">
            <w:r>
              <w:rPr>
                <w:webHidden/>
                <w:rStyle w:val="IndexLink"/>
                <w:rtl w:val="true"/>
              </w:rPr>
              <w:t>علی بن الحکم الذی یروی عنه أحمد بن محمّد بن عیسی هو الثقة</w:t>
            </w:r>
            <w:r>
              <w:rPr>
                <w:rStyle w:val="IndexLink"/>
                <w:rtl w:val="true"/>
              </w:rPr>
              <w:tab/>
            </w:r>
            <w:r>
              <w:rPr>
                <w:rStyle w:val="IndexLink"/>
              </w:rPr>
              <w:t>300</w:t>
            </w:r>
          </w:hyperlink>
        </w:p>
        <w:p>
          <w:pPr>
            <w:pStyle w:val="Contents4"/>
            <w:tabs>
              <w:tab w:val="clear" w:pos="8176"/>
              <w:tab w:val="right" w:pos="9026" w:leader="dot"/>
            </w:tabs>
            <w:rPr/>
          </w:pPr>
          <w:hyperlink w:anchor="__RefHeading___Toc147016_2142443653">
            <w:r>
              <w:rPr>
                <w:webHidden/>
                <w:rStyle w:val="IndexLink"/>
                <w:rtl w:val="true"/>
              </w:rPr>
              <w:t>کلمة الحول أبی بصیر إذا روی عنه عاصم بن حمید</w:t>
            </w:r>
            <w:r>
              <w:rPr>
                <w:rStyle w:val="IndexLink"/>
                <w:rtl w:val="true"/>
              </w:rPr>
              <w:tab/>
            </w:r>
            <w:r>
              <w:rPr>
                <w:rStyle w:val="IndexLink"/>
              </w:rPr>
              <w:t>301</w:t>
            </w:r>
          </w:hyperlink>
        </w:p>
        <w:p>
          <w:pPr>
            <w:pStyle w:val="Contents4"/>
            <w:tabs>
              <w:tab w:val="clear" w:pos="8176"/>
              <w:tab w:val="right" w:pos="9026" w:leader="dot"/>
            </w:tabs>
            <w:rPr/>
          </w:pPr>
          <w:hyperlink w:anchor="__RefHeading___Toc147018_2142443653">
            <w:r>
              <w:rPr>
                <w:webHidden/>
                <w:rStyle w:val="IndexLink"/>
                <w:rtl w:val="true"/>
              </w:rPr>
              <w:t>توجیه خبری الحلبی وأبی بصیر</w:t>
            </w:r>
            <w:r>
              <w:rPr>
                <w:rStyle w:val="IndexLink"/>
                <w:rtl w:val="true"/>
              </w:rPr>
              <w:tab/>
            </w:r>
            <w:r>
              <w:rPr>
                <w:rStyle w:val="IndexLink"/>
              </w:rPr>
              <w:t>301</w:t>
            </w:r>
          </w:hyperlink>
        </w:p>
        <w:p>
          <w:pPr>
            <w:pStyle w:val="Contents4"/>
            <w:tabs>
              <w:tab w:val="clear" w:pos="8176"/>
              <w:tab w:val="right" w:pos="9026" w:leader="dot"/>
            </w:tabs>
            <w:rPr/>
          </w:pPr>
          <w:hyperlink w:anchor="__RefHeading___Toc147020_2142443653">
            <w:r>
              <w:rPr>
                <w:webHidden/>
                <w:rStyle w:val="IndexLink"/>
                <w:rtl w:val="true"/>
              </w:rPr>
              <w:t>حکم عرق المجنب من حرام</w:t>
            </w:r>
            <w:r>
              <w:rPr>
                <w:rStyle w:val="IndexLink"/>
                <w:rtl w:val="true"/>
              </w:rPr>
              <w:tab/>
            </w:r>
            <w:r>
              <w:rPr>
                <w:rStyle w:val="IndexLink"/>
              </w:rPr>
              <w:t>302</w:t>
            </w:r>
          </w:hyperlink>
        </w:p>
        <w:p>
          <w:pPr>
            <w:pStyle w:val="Contents4"/>
            <w:tabs>
              <w:tab w:val="clear" w:pos="8176"/>
              <w:tab w:val="right" w:pos="9026" w:leader="dot"/>
            </w:tabs>
            <w:rPr/>
          </w:pPr>
          <w:hyperlink w:anchor="__RefHeading___Toc147022_2142443653">
            <w:r>
              <w:rPr>
                <w:webHidden/>
                <w:rStyle w:val="IndexLink"/>
                <w:rtl w:val="true"/>
              </w:rPr>
              <w:t>توجیه ما دلّ علی جواز التنشّف بالثوب الذی فیه منی یابس</w:t>
            </w:r>
            <w:r>
              <w:rPr>
                <w:rStyle w:val="IndexLink"/>
                <w:rtl w:val="true"/>
              </w:rPr>
              <w:tab/>
            </w:r>
            <w:r>
              <w:rPr>
                <w:rStyle w:val="IndexLink"/>
              </w:rPr>
              <w:t>305</w:t>
            </w:r>
          </w:hyperlink>
        </w:p>
        <w:p>
          <w:pPr>
            <w:pStyle w:val="Contents3"/>
            <w:tabs>
              <w:tab w:val="clear" w:pos="8459"/>
              <w:tab w:val="right" w:pos="9026" w:leader="dot"/>
            </w:tabs>
            <w:rPr/>
          </w:pPr>
          <w:hyperlink w:anchor="__RefHeading___Toc147024_2142443653">
            <w:r>
              <w:rPr>
                <w:webHidden/>
                <w:rStyle w:val="IndexLink"/>
                <w:rtl w:val="true"/>
              </w:rPr>
              <w:t>بول الخشاف</w:t>
            </w:r>
            <w:r>
              <w:rPr>
                <w:rStyle w:val="IndexLink"/>
                <w:rtl w:val="true"/>
              </w:rPr>
              <w:tab/>
            </w:r>
            <w:r>
              <w:rPr>
                <w:rStyle w:val="IndexLink"/>
              </w:rPr>
              <w:t>306</w:t>
            </w:r>
          </w:hyperlink>
        </w:p>
        <w:p>
          <w:pPr>
            <w:pStyle w:val="Contents4"/>
            <w:tabs>
              <w:tab w:val="clear" w:pos="8176"/>
              <w:tab w:val="right" w:pos="9026" w:leader="dot"/>
            </w:tabs>
            <w:rPr/>
          </w:pPr>
          <w:hyperlink w:anchor="__RefHeading___Toc147026_2142443653">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147028_2142443653">
            <w:r>
              <w:rPr>
                <w:webHidden/>
                <w:rStyle w:val="IndexLink"/>
                <w:rtl w:val="true"/>
              </w:rPr>
              <w:t>موسی بن عمر مشترک</w:t>
            </w:r>
            <w:r>
              <w:rPr>
                <w:rStyle w:val="IndexLink"/>
                <w:rtl w:val="true"/>
              </w:rPr>
              <w:tab/>
            </w:r>
            <w:r>
              <w:rPr>
                <w:rStyle w:val="IndexLink"/>
              </w:rPr>
              <w:t>307</w:t>
            </w:r>
          </w:hyperlink>
        </w:p>
        <w:p>
          <w:pPr>
            <w:pStyle w:val="Contents4"/>
            <w:tabs>
              <w:tab w:val="clear" w:pos="8176"/>
              <w:tab w:val="right" w:pos="9026" w:leader="dot"/>
            </w:tabs>
            <w:rPr/>
          </w:pPr>
          <w:hyperlink w:anchor="__RefHeading___Toc147030_2142443653">
            <w:r>
              <w:rPr>
                <w:webHidden/>
                <w:rStyle w:val="IndexLink"/>
                <w:rtl w:val="true"/>
              </w:rPr>
              <w:t>یحیی بن عمر مجهول</w:t>
            </w:r>
            <w:r>
              <w:rPr>
                <w:rStyle w:val="IndexLink"/>
                <w:rtl w:val="true"/>
              </w:rPr>
              <w:tab/>
            </w:r>
            <w:r>
              <w:rPr>
                <w:rStyle w:val="IndexLink"/>
              </w:rPr>
              <w:t>307</w:t>
            </w:r>
          </w:hyperlink>
        </w:p>
        <w:p>
          <w:pPr>
            <w:pStyle w:val="Contents4"/>
            <w:tabs>
              <w:tab w:val="clear" w:pos="8176"/>
              <w:tab w:val="right" w:pos="9026" w:leader="dot"/>
            </w:tabs>
            <w:rPr/>
          </w:pPr>
          <w:hyperlink w:anchor="__RefHeading___Toc147032_2142443653">
            <w:r>
              <w:rPr>
                <w:webHidden/>
                <w:rStyle w:val="IndexLink"/>
                <w:rtl w:val="true"/>
              </w:rPr>
              <w:t>بحث حول داود الرقّی</w:t>
            </w:r>
            <w:r>
              <w:rPr>
                <w:rStyle w:val="IndexLink"/>
                <w:rtl w:val="true"/>
              </w:rPr>
              <w:tab/>
            </w:r>
            <w:r>
              <w:rPr>
                <w:rStyle w:val="IndexLink"/>
              </w:rPr>
              <w:t>307</w:t>
            </w:r>
          </w:hyperlink>
        </w:p>
        <w:p>
          <w:pPr>
            <w:pStyle w:val="Contents4"/>
            <w:tabs>
              <w:tab w:val="clear" w:pos="8176"/>
              <w:tab w:val="right" w:pos="9026" w:leader="dot"/>
            </w:tabs>
            <w:rPr/>
          </w:pPr>
          <w:hyperlink w:anchor="__RefHeading___Toc147034_2142443653">
            <w:r>
              <w:rPr>
                <w:webHidden/>
                <w:rStyle w:val="IndexLink"/>
                <w:rtl w:val="true"/>
              </w:rPr>
              <w:t>بحث حول محمّد بن یحیی</w:t>
            </w:r>
            <w:r>
              <w:rPr>
                <w:rStyle w:val="IndexLink"/>
                <w:rtl w:val="true"/>
              </w:rPr>
              <w:tab/>
            </w:r>
            <w:r>
              <w:rPr>
                <w:rStyle w:val="IndexLink"/>
              </w:rPr>
              <w:t>308</w:t>
            </w:r>
          </w:hyperlink>
        </w:p>
        <w:p>
          <w:pPr>
            <w:pStyle w:val="Contents4"/>
            <w:tabs>
              <w:tab w:val="clear" w:pos="8176"/>
              <w:tab w:val="right" w:pos="9026" w:leader="dot"/>
            </w:tabs>
            <w:rPr/>
          </w:pPr>
          <w:hyperlink w:anchor="__RefHeading___Toc147036_2142443653">
            <w:r>
              <w:rPr>
                <w:webHidden/>
                <w:rStyle w:val="IndexLink"/>
                <w:rtl w:val="true"/>
              </w:rPr>
              <w:t>بحث حول غیاث بن إبراهیم الأسدی</w:t>
            </w:r>
            <w:r>
              <w:rPr>
                <w:rStyle w:val="IndexLink"/>
                <w:rtl w:val="true"/>
              </w:rPr>
              <w:tab/>
            </w:r>
            <w:r>
              <w:rPr>
                <w:rStyle w:val="IndexLink"/>
              </w:rPr>
              <w:t>308</w:t>
            </w:r>
          </w:hyperlink>
        </w:p>
        <w:p>
          <w:pPr>
            <w:pStyle w:val="Contents4"/>
            <w:tabs>
              <w:tab w:val="clear" w:pos="8176"/>
              <w:tab w:val="right" w:pos="9026" w:leader="dot"/>
            </w:tabs>
            <w:rPr/>
          </w:pPr>
          <w:hyperlink w:anchor="__RefHeading___Toc147038_2142443653">
            <w:r>
              <w:rPr>
                <w:webHidden/>
                <w:rStyle w:val="IndexLink"/>
                <w:rtl w:val="true"/>
              </w:rPr>
              <w:t>حکم بول الخشاف والمناقشة فی نجاسته</w:t>
            </w:r>
            <w:r>
              <w:rPr>
                <w:rStyle w:val="IndexLink"/>
                <w:rtl w:val="true"/>
              </w:rPr>
              <w:tab/>
            </w:r>
            <w:r>
              <w:rPr>
                <w:rStyle w:val="IndexLink"/>
              </w:rPr>
              <w:t>310</w:t>
            </w:r>
          </w:hyperlink>
        </w:p>
        <w:p>
          <w:pPr>
            <w:pStyle w:val="Contents3"/>
            <w:tabs>
              <w:tab w:val="clear" w:pos="8459"/>
              <w:tab w:val="right" w:pos="9026" w:leader="dot"/>
            </w:tabs>
            <w:rPr/>
          </w:pPr>
          <w:hyperlink w:anchor="__RefHeading___Toc147040_2142443653">
            <w:r>
              <w:rPr>
                <w:webHidden/>
                <w:rStyle w:val="IndexLink"/>
                <w:rtl w:val="true"/>
              </w:rPr>
              <w:t>الخمر یصیب الثوب والنبیذ المسکر</w:t>
            </w:r>
            <w:r>
              <w:rPr>
                <w:rStyle w:val="IndexLink"/>
                <w:rtl w:val="true"/>
              </w:rPr>
              <w:tab/>
            </w:r>
            <w:r>
              <w:rPr>
                <w:rStyle w:val="IndexLink"/>
              </w:rPr>
              <w:t>316</w:t>
            </w:r>
          </w:hyperlink>
        </w:p>
        <w:p>
          <w:pPr>
            <w:pStyle w:val="Contents4"/>
            <w:tabs>
              <w:tab w:val="clear" w:pos="8176"/>
              <w:tab w:val="right" w:pos="9026" w:leader="dot"/>
            </w:tabs>
            <w:rPr/>
          </w:pPr>
          <w:hyperlink w:anchor="__RefHeading___Toc147042_2142443653">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147044_2142443653">
            <w:r>
              <w:rPr>
                <w:webHidden/>
                <w:rStyle w:val="IndexLink"/>
                <w:rtl w:val="true"/>
              </w:rPr>
              <w:t>خیران الخادم ثقة</w:t>
            </w:r>
            <w:r>
              <w:rPr>
                <w:rStyle w:val="IndexLink"/>
                <w:rtl w:val="true"/>
              </w:rPr>
              <w:tab/>
            </w:r>
            <w:r>
              <w:rPr>
                <w:rStyle w:val="IndexLink"/>
              </w:rPr>
              <w:t>317</w:t>
            </w:r>
          </w:hyperlink>
        </w:p>
        <w:p>
          <w:pPr>
            <w:pStyle w:val="Contents4"/>
            <w:tabs>
              <w:tab w:val="clear" w:pos="8176"/>
              <w:tab w:val="right" w:pos="9026" w:leader="dot"/>
            </w:tabs>
            <w:rPr/>
          </w:pPr>
          <w:hyperlink w:anchor="__RefHeading___Toc147046_2142443653">
            <w:r>
              <w:rPr>
                <w:webHidden/>
                <w:rStyle w:val="IndexLink"/>
                <w:rtl w:val="true"/>
              </w:rPr>
              <w:t>بیان ما دلّ علی عدم جواز الصلاة فی ثوب أصابه خمر أو مسکر والأقوال فی نجاستهما وطهارتهما</w:t>
            </w:r>
            <w:r>
              <w:rPr>
                <w:rStyle w:val="IndexLink"/>
                <w:rtl w:val="true"/>
              </w:rPr>
              <w:tab/>
            </w:r>
            <w:r>
              <w:rPr>
                <w:rStyle w:val="IndexLink"/>
              </w:rPr>
              <w:t>317</w:t>
            </w:r>
          </w:hyperlink>
        </w:p>
        <w:p>
          <w:pPr>
            <w:pStyle w:val="Contents4"/>
            <w:tabs>
              <w:tab w:val="clear" w:pos="8176"/>
              <w:tab w:val="right" w:pos="9026" w:leader="dot"/>
            </w:tabs>
            <w:rPr/>
          </w:pPr>
          <w:hyperlink w:anchor="__RefHeading___Toc147048_2142443653">
            <w:r>
              <w:rPr>
                <w:webHidden/>
                <w:rStyle w:val="IndexLink"/>
                <w:rtl w:val="true"/>
              </w:rPr>
              <w:t>أبو بکر الحضرمی غیر معلوم الحال</w:t>
            </w:r>
            <w:r>
              <w:rPr>
                <w:rStyle w:val="IndexLink"/>
                <w:rtl w:val="true"/>
              </w:rPr>
              <w:tab/>
            </w:r>
            <w:r>
              <w:rPr>
                <w:rStyle w:val="IndexLink"/>
              </w:rPr>
              <w:t>321</w:t>
            </w:r>
          </w:hyperlink>
        </w:p>
        <w:p>
          <w:pPr>
            <w:pStyle w:val="Contents4"/>
            <w:tabs>
              <w:tab w:val="clear" w:pos="8176"/>
              <w:tab w:val="right" w:pos="9026" w:leader="dot"/>
            </w:tabs>
            <w:rPr/>
          </w:pPr>
          <w:hyperlink w:anchor="__RefHeading___Toc147050_2142443653">
            <w:r>
              <w:rPr>
                <w:webHidden/>
                <w:rStyle w:val="IndexLink"/>
                <w:rtl w:val="true"/>
              </w:rPr>
              <w:t xml:space="preserve">کلمة حول سند فیه </w:t>
            </w:r>
            <w:r>
              <w:rPr>
                <w:rStyle w:val="IndexLink"/>
                <w:rtl w:val="true"/>
              </w:rPr>
              <w:t xml:space="preserve">: </w:t>
            </w:r>
            <w:r>
              <w:rPr>
                <w:rStyle w:val="IndexLink"/>
                <w:rtl w:val="true"/>
              </w:rPr>
              <w:t>أحمد عن البرقی</w:t>
            </w:r>
            <w:r>
              <w:rPr>
                <w:rStyle w:val="IndexLink"/>
                <w:rtl w:val="true"/>
              </w:rPr>
              <w:tab/>
            </w:r>
            <w:r>
              <w:rPr>
                <w:rStyle w:val="IndexLink"/>
              </w:rPr>
              <w:t>321</w:t>
            </w:r>
          </w:hyperlink>
        </w:p>
        <w:p>
          <w:pPr>
            <w:pStyle w:val="Contents4"/>
            <w:tabs>
              <w:tab w:val="clear" w:pos="8176"/>
              <w:tab w:val="right" w:pos="9026" w:leader="dot"/>
            </w:tabs>
            <w:rPr/>
          </w:pPr>
          <w:hyperlink w:anchor="__RefHeading___Toc147052_2142443653">
            <w:r>
              <w:rPr>
                <w:webHidden/>
                <w:rStyle w:val="IndexLink"/>
                <w:rtl w:val="true"/>
              </w:rPr>
              <w:t>بحث حول الحسن بن أبی سارة</w:t>
            </w:r>
            <w:r>
              <w:rPr>
                <w:rStyle w:val="IndexLink"/>
                <w:rtl w:val="true"/>
              </w:rPr>
              <w:tab/>
            </w:r>
            <w:r>
              <w:rPr>
                <w:rStyle w:val="IndexLink"/>
              </w:rPr>
              <w:t>321</w:t>
            </w:r>
          </w:hyperlink>
        </w:p>
        <w:p>
          <w:pPr>
            <w:pStyle w:val="Contents4"/>
            <w:tabs>
              <w:tab w:val="clear" w:pos="8176"/>
              <w:tab w:val="right" w:pos="9026" w:leader="dot"/>
            </w:tabs>
            <w:rPr/>
          </w:pPr>
          <w:hyperlink w:anchor="__RefHeading___Toc147054_2142443653">
            <w:r>
              <w:rPr>
                <w:webHidden/>
                <w:rStyle w:val="IndexLink"/>
                <w:rtl w:val="true"/>
              </w:rPr>
              <w:t>صالح بن سیابة مجهول</w:t>
            </w:r>
            <w:r>
              <w:rPr>
                <w:rStyle w:val="IndexLink"/>
                <w:rtl w:val="true"/>
              </w:rPr>
              <w:tab/>
            </w:r>
            <w:r>
              <w:rPr>
                <w:rStyle w:val="IndexLink"/>
              </w:rPr>
              <w:t>323</w:t>
            </w:r>
          </w:hyperlink>
        </w:p>
        <w:p>
          <w:pPr>
            <w:pStyle w:val="Contents4"/>
            <w:tabs>
              <w:tab w:val="clear" w:pos="8176"/>
              <w:tab w:val="right" w:pos="9026" w:leader="dot"/>
            </w:tabs>
            <w:rPr/>
          </w:pPr>
          <w:hyperlink w:anchor="__RefHeading___Toc147056_2142443653">
            <w:r>
              <w:rPr>
                <w:webHidden/>
                <w:rStyle w:val="IndexLink"/>
                <w:rtl w:val="true"/>
              </w:rPr>
              <w:t>الحسن بن موسی الحنّاط مهمل</w:t>
            </w:r>
            <w:r>
              <w:rPr>
                <w:rStyle w:val="IndexLink"/>
                <w:rtl w:val="true"/>
              </w:rPr>
              <w:tab/>
            </w:r>
            <w:r>
              <w:rPr>
                <w:rStyle w:val="IndexLink"/>
              </w:rPr>
              <w:t>324</w:t>
            </w:r>
          </w:hyperlink>
        </w:p>
        <w:p>
          <w:pPr>
            <w:pStyle w:val="Contents4"/>
            <w:tabs>
              <w:tab w:val="clear" w:pos="8176"/>
              <w:tab w:val="right" w:pos="9026" w:leader="dot"/>
            </w:tabs>
            <w:rPr/>
          </w:pPr>
          <w:hyperlink w:anchor="__RefHeading___Toc147058_2142443653">
            <w:r>
              <w:rPr>
                <w:webHidden/>
                <w:rStyle w:val="IndexLink"/>
                <w:rtl w:val="true"/>
              </w:rPr>
              <w:t>بیان الأخبار الدالّة علی طهارة النبیذ والخمر</w:t>
            </w:r>
            <w:r>
              <w:rPr>
                <w:rStyle w:val="IndexLink"/>
                <w:rtl w:val="true"/>
              </w:rPr>
              <w:tab/>
            </w:r>
            <w:r>
              <w:rPr>
                <w:rStyle w:val="IndexLink"/>
              </w:rPr>
              <w:t>324</w:t>
            </w:r>
          </w:hyperlink>
        </w:p>
        <w:p>
          <w:pPr>
            <w:pStyle w:val="Contents4"/>
            <w:tabs>
              <w:tab w:val="clear" w:pos="8176"/>
              <w:tab w:val="right" w:pos="9026" w:leader="dot"/>
            </w:tabs>
            <w:rPr/>
          </w:pPr>
          <w:hyperlink w:anchor="__RefHeading___Toc147060_2142443653">
            <w:r>
              <w:rPr>
                <w:webHidden/>
                <w:rStyle w:val="IndexLink"/>
                <w:rtl w:val="true"/>
              </w:rPr>
              <w:t xml:space="preserve">ما معنی الرجس فی قوله تعالی </w:t>
            </w:r>
            <w:r>
              <w:rPr>
                <w:rStyle w:val="IndexLink"/>
                <w:rtl w:val="true"/>
              </w:rPr>
              <w:t xml:space="preserve">: ( </w:t>
            </w:r>
            <w:r>
              <w:rPr>
                <w:rStyle w:val="IndexLink"/>
                <w:rtl w:val="true"/>
              </w:rPr>
              <w:t xml:space="preserve">إنّما الخمر </w:t>
            </w:r>
            <w:r>
              <w:rPr>
                <w:rStyle w:val="IndexLink"/>
                <w:rtl w:val="true"/>
              </w:rPr>
              <w:t xml:space="preserve">... </w:t>
            </w:r>
            <w:r>
              <w:rPr>
                <w:rStyle w:val="IndexLink"/>
                <w:rtl w:val="true"/>
              </w:rPr>
              <w:t xml:space="preserve">رجس </w:t>
            </w:r>
            <w:r>
              <w:rPr>
                <w:rStyle w:val="IndexLink"/>
                <w:rtl w:val="true"/>
              </w:rPr>
              <w:t xml:space="preserve">) </w:t>
            </w:r>
            <w:r>
              <w:rPr>
                <w:rStyle w:val="IndexLink"/>
                <w:rtl w:val="true"/>
              </w:rPr>
              <w:t>؟</w:t>
            </w:r>
            <w:r>
              <w:rPr>
                <w:rStyle w:val="IndexLink"/>
                <w:rtl w:val="true"/>
              </w:rPr>
              <w:tab/>
            </w:r>
            <w:r>
              <w:rPr>
                <w:rStyle w:val="IndexLink"/>
              </w:rPr>
              <w:t>326</w:t>
            </w:r>
          </w:hyperlink>
        </w:p>
        <w:p>
          <w:pPr>
            <w:pStyle w:val="Contents4"/>
            <w:tabs>
              <w:tab w:val="clear" w:pos="8176"/>
              <w:tab w:val="right" w:pos="9026" w:leader="dot"/>
            </w:tabs>
            <w:rPr/>
          </w:pPr>
          <w:hyperlink w:anchor="__RefHeading___Toc147062_2142443653">
            <w:r>
              <w:rPr>
                <w:webHidden/>
                <w:rStyle w:val="IndexLink"/>
                <w:rtl w:val="true"/>
              </w:rPr>
              <w:t>معنی مَجّ</w:t>
            </w:r>
            <w:r>
              <w:rPr>
                <w:rStyle w:val="IndexLink"/>
                <w:rtl w:val="true"/>
              </w:rPr>
              <w:tab/>
            </w:r>
            <w:r>
              <w:rPr>
                <w:rStyle w:val="IndexLink"/>
              </w:rPr>
              <w:t>330</w:t>
            </w:r>
          </w:hyperlink>
        </w:p>
        <w:p>
          <w:pPr>
            <w:pStyle w:val="Contents4"/>
            <w:tabs>
              <w:tab w:val="clear" w:pos="8176"/>
              <w:tab w:val="right" w:pos="9026" w:leader="dot"/>
            </w:tabs>
            <w:rPr/>
          </w:pPr>
          <w:hyperlink w:anchor="__RefHeading___Toc147064_2142443653">
            <w:r>
              <w:rPr>
                <w:webHidden/>
                <w:rStyle w:val="IndexLink"/>
                <w:rtl w:val="true"/>
              </w:rPr>
              <w:t>طرق الشیخ إلی علی بن مهزیار</w:t>
            </w:r>
            <w:r>
              <w:rPr>
                <w:rStyle w:val="IndexLink"/>
                <w:rtl w:val="true"/>
              </w:rPr>
              <w:tab/>
            </w:r>
            <w:r>
              <w:rPr>
                <w:rStyle w:val="IndexLink"/>
              </w:rPr>
              <w:t>332</w:t>
            </w:r>
          </w:hyperlink>
        </w:p>
        <w:p>
          <w:pPr>
            <w:pStyle w:val="Contents4"/>
            <w:tabs>
              <w:tab w:val="clear" w:pos="8176"/>
              <w:tab w:val="right" w:pos="9026" w:leader="dot"/>
            </w:tabs>
            <w:rPr/>
          </w:pPr>
          <w:hyperlink w:anchor="__RefHeading___Toc147066_2142443653">
            <w:r>
              <w:rPr>
                <w:webHidden/>
                <w:rStyle w:val="IndexLink"/>
                <w:rtl w:val="true"/>
              </w:rPr>
              <w:t>بحث حول الحسین بن محمّد الأشعری</w:t>
            </w:r>
            <w:r>
              <w:rPr>
                <w:rStyle w:val="IndexLink"/>
                <w:rtl w:val="true"/>
              </w:rPr>
              <w:tab/>
            </w:r>
            <w:r>
              <w:rPr>
                <w:rStyle w:val="IndexLink"/>
              </w:rPr>
              <w:t>332</w:t>
            </w:r>
          </w:hyperlink>
        </w:p>
        <w:p>
          <w:pPr>
            <w:pStyle w:val="Contents4"/>
            <w:tabs>
              <w:tab w:val="clear" w:pos="8176"/>
              <w:tab w:val="right" w:pos="9026" w:leader="dot"/>
            </w:tabs>
            <w:rPr/>
          </w:pPr>
          <w:hyperlink w:anchor="__RefHeading___Toc147068_2142443653">
            <w:r>
              <w:rPr>
                <w:webHidden/>
                <w:rStyle w:val="IndexLink"/>
                <w:rtl w:val="true"/>
              </w:rPr>
              <w:t>علی بن محمّد الراوی عن سهل بن زیاد هو علّان الرازی الثقة</w:t>
            </w:r>
            <w:r>
              <w:rPr>
                <w:rStyle w:val="IndexLink"/>
                <w:rtl w:val="true"/>
              </w:rPr>
              <w:tab/>
            </w:r>
            <w:r>
              <w:rPr>
                <w:rStyle w:val="IndexLink"/>
              </w:rPr>
              <w:t>333</w:t>
            </w:r>
          </w:hyperlink>
        </w:p>
        <w:p>
          <w:pPr>
            <w:pStyle w:val="Contents4"/>
            <w:tabs>
              <w:tab w:val="clear" w:pos="8176"/>
              <w:tab w:val="right" w:pos="9026" w:leader="dot"/>
            </w:tabs>
            <w:rPr/>
          </w:pPr>
          <w:hyperlink w:anchor="__RefHeading___Toc147070_2142443653">
            <w:r>
              <w:rPr>
                <w:webHidden/>
                <w:rStyle w:val="IndexLink"/>
                <w:rtl w:val="true"/>
              </w:rPr>
              <w:t>حال عبدالحمید بن أبی الدیلم</w:t>
            </w:r>
            <w:r>
              <w:rPr>
                <w:rStyle w:val="IndexLink"/>
                <w:rtl w:val="true"/>
              </w:rPr>
              <w:tab/>
            </w:r>
            <w:r>
              <w:rPr>
                <w:rStyle w:val="IndexLink"/>
              </w:rPr>
              <w:t>333</w:t>
            </w:r>
          </w:hyperlink>
        </w:p>
        <w:p>
          <w:pPr>
            <w:pStyle w:val="Contents4"/>
            <w:tabs>
              <w:tab w:val="clear" w:pos="8176"/>
              <w:tab w:val="right" w:pos="9026" w:leader="dot"/>
            </w:tabs>
            <w:rPr/>
          </w:pPr>
          <w:hyperlink w:anchor="__RefHeading___Toc147072_2142443653">
            <w:r>
              <w:rPr>
                <w:webHidden/>
                <w:rStyle w:val="IndexLink"/>
                <w:rtl w:val="true"/>
              </w:rPr>
              <w:t>عبدالله بن الصلّت ثقة</w:t>
            </w:r>
            <w:r>
              <w:rPr>
                <w:rStyle w:val="IndexLink"/>
                <w:rtl w:val="true"/>
              </w:rPr>
              <w:tab/>
            </w:r>
            <w:r>
              <w:rPr>
                <w:rStyle w:val="IndexLink"/>
              </w:rPr>
              <w:t>333</w:t>
            </w:r>
          </w:hyperlink>
        </w:p>
        <w:p>
          <w:pPr>
            <w:pStyle w:val="Contents4"/>
            <w:tabs>
              <w:tab w:val="clear" w:pos="8176"/>
              <w:tab w:val="right" w:pos="9026" w:leader="dot"/>
            </w:tabs>
            <w:rPr/>
          </w:pPr>
          <w:hyperlink w:anchor="__RefHeading___Toc147074_2142443653">
            <w:r>
              <w:rPr>
                <w:webHidden/>
                <w:rStyle w:val="IndexLink"/>
                <w:rtl w:val="true"/>
              </w:rPr>
              <w:t>المناقشة فی توجیه الشیخ لروایة علی بن مهزیار ودلالتها علی نجاسة الخمر</w:t>
            </w:r>
            <w:r>
              <w:rPr>
                <w:rStyle w:val="IndexLink"/>
                <w:rtl w:val="true"/>
              </w:rPr>
              <w:tab/>
            </w:r>
            <w:r>
              <w:rPr>
                <w:rStyle w:val="IndexLink"/>
              </w:rPr>
              <w:t>333</w:t>
            </w:r>
          </w:hyperlink>
        </w:p>
        <w:p>
          <w:pPr>
            <w:pStyle w:val="Contents4"/>
            <w:tabs>
              <w:tab w:val="clear" w:pos="8176"/>
              <w:tab w:val="right" w:pos="9026" w:leader="dot"/>
            </w:tabs>
            <w:rPr/>
          </w:pPr>
          <w:hyperlink w:anchor="__RefHeading___Toc147076_2142443653">
            <w:r>
              <w:rPr>
                <w:webHidden/>
                <w:rStyle w:val="IndexLink"/>
                <w:rtl w:val="true"/>
              </w:rPr>
              <w:t>معنی البُصاق</w:t>
            </w:r>
            <w:r>
              <w:rPr>
                <w:rStyle w:val="IndexLink"/>
                <w:rtl w:val="true"/>
              </w:rPr>
              <w:tab/>
            </w:r>
            <w:r>
              <w:rPr>
                <w:rStyle w:val="IndexLink"/>
              </w:rPr>
              <w:t>336</w:t>
            </w:r>
          </w:hyperlink>
        </w:p>
        <w:p>
          <w:pPr>
            <w:pStyle w:val="Contents3"/>
            <w:tabs>
              <w:tab w:val="clear" w:pos="8459"/>
              <w:tab w:val="right" w:pos="9026" w:leader="dot"/>
            </w:tabs>
            <w:rPr/>
          </w:pPr>
          <w:hyperlink w:anchor="__RefHeading___Toc147078_2142443653">
            <w:r>
              <w:rPr>
                <w:webHidden/>
                <w:rStyle w:val="IndexLink"/>
                <w:rtl w:val="true"/>
              </w:rPr>
              <w:t>الثوب یصیب جسد المیت من الإنسان وغیره</w:t>
            </w:r>
            <w:r>
              <w:rPr>
                <w:rStyle w:val="IndexLink"/>
                <w:rtl w:val="true"/>
              </w:rPr>
              <w:tab/>
            </w:r>
            <w:r>
              <w:rPr>
                <w:rStyle w:val="IndexLink"/>
              </w:rPr>
              <w:t>336</w:t>
            </w:r>
          </w:hyperlink>
        </w:p>
        <w:p>
          <w:pPr>
            <w:pStyle w:val="Contents4"/>
            <w:tabs>
              <w:tab w:val="clear" w:pos="8176"/>
              <w:tab w:val="right" w:pos="9026" w:leader="dot"/>
            </w:tabs>
            <w:rPr/>
          </w:pPr>
          <w:hyperlink w:anchor="__RefHeading___Toc147080_2142443653">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147082_2142443653">
            <w:r>
              <w:rPr>
                <w:webHidden/>
                <w:rStyle w:val="IndexLink"/>
                <w:rtl w:val="true"/>
              </w:rPr>
              <w:t>عبد الوهّاب مشترک بین مهملین</w:t>
            </w:r>
            <w:r>
              <w:rPr>
                <w:rStyle w:val="IndexLink"/>
                <w:rtl w:val="true"/>
              </w:rPr>
              <w:tab/>
            </w:r>
            <w:r>
              <w:rPr>
                <w:rStyle w:val="IndexLink"/>
              </w:rPr>
              <w:t>337</w:t>
            </w:r>
          </w:hyperlink>
        </w:p>
        <w:p>
          <w:pPr>
            <w:pStyle w:val="Contents4"/>
            <w:tabs>
              <w:tab w:val="clear" w:pos="8176"/>
              <w:tab w:val="right" w:pos="9026" w:leader="dot"/>
            </w:tabs>
            <w:rPr/>
          </w:pPr>
          <w:hyperlink w:anchor="__RefHeading___Toc147084_2142443653">
            <w:r>
              <w:rPr>
                <w:webHidden/>
                <w:rStyle w:val="IndexLink"/>
                <w:rtl w:val="true"/>
              </w:rPr>
              <w:t>إسماعیل الجعفی مشترک</w:t>
            </w:r>
            <w:r>
              <w:rPr>
                <w:rStyle w:val="IndexLink"/>
                <w:rtl w:val="true"/>
              </w:rPr>
              <w:tab/>
            </w:r>
            <w:r>
              <w:rPr>
                <w:rStyle w:val="IndexLink"/>
              </w:rPr>
              <w:t>338</w:t>
            </w:r>
          </w:hyperlink>
        </w:p>
        <w:p>
          <w:pPr>
            <w:pStyle w:val="Contents4"/>
            <w:tabs>
              <w:tab w:val="clear" w:pos="8176"/>
              <w:tab w:val="right" w:pos="9026" w:leader="dot"/>
            </w:tabs>
            <w:rPr/>
          </w:pPr>
          <w:hyperlink w:anchor="__RefHeading___Toc147086_2142443653">
            <w:r>
              <w:rPr>
                <w:webHidden/>
                <w:rStyle w:val="IndexLink"/>
                <w:rtl w:val="true"/>
              </w:rPr>
              <w:t>بعض طرق الشیخ إلی محمّد بن أحمد بن یحیی صحیح</w:t>
            </w:r>
            <w:r>
              <w:rPr>
                <w:rStyle w:val="IndexLink"/>
                <w:rtl w:val="true"/>
              </w:rPr>
              <w:tab/>
            </w:r>
            <w:r>
              <w:rPr>
                <w:rStyle w:val="IndexLink"/>
              </w:rPr>
              <w:t>338</w:t>
            </w:r>
          </w:hyperlink>
        </w:p>
        <w:p>
          <w:pPr>
            <w:pStyle w:val="Contents4"/>
            <w:tabs>
              <w:tab w:val="clear" w:pos="8176"/>
              <w:tab w:val="right" w:pos="9026" w:leader="dot"/>
            </w:tabs>
            <w:rPr/>
          </w:pPr>
          <w:hyperlink w:anchor="__RefHeading___Toc147088_2142443653">
            <w:r>
              <w:rPr>
                <w:webHidden/>
                <w:rStyle w:val="IndexLink"/>
                <w:rtl w:val="true"/>
              </w:rPr>
              <w:t>بیان الخبر الدالّ علی غَسل الثوب الذی یصیب جسد المیت</w:t>
            </w:r>
            <w:r>
              <w:rPr>
                <w:rStyle w:val="IndexLink"/>
                <w:rtl w:val="true"/>
              </w:rPr>
              <w:tab/>
            </w:r>
            <w:r>
              <w:rPr>
                <w:rStyle w:val="IndexLink"/>
              </w:rPr>
              <w:t>338</w:t>
            </w:r>
          </w:hyperlink>
        </w:p>
        <w:p>
          <w:pPr>
            <w:pStyle w:val="Contents4"/>
            <w:tabs>
              <w:tab w:val="clear" w:pos="8176"/>
              <w:tab w:val="right" w:pos="9026" w:leader="dot"/>
            </w:tabs>
            <w:rPr/>
          </w:pPr>
          <w:hyperlink w:anchor="__RefHeading___Toc147090_2142443653">
            <w:r>
              <w:rPr>
                <w:webHidden/>
                <w:rStyle w:val="IndexLink"/>
                <w:rtl w:val="true"/>
              </w:rPr>
              <w:t>بیان ما دلّ علی عدم غَسل الثوب الذی وقع علی حمار میت</w:t>
            </w:r>
            <w:r>
              <w:rPr>
                <w:rStyle w:val="IndexLink"/>
                <w:rtl w:val="true"/>
              </w:rPr>
              <w:tab/>
            </w:r>
            <w:r>
              <w:rPr>
                <w:rStyle w:val="IndexLink"/>
              </w:rPr>
              <w:t>343</w:t>
            </w:r>
          </w:hyperlink>
        </w:p>
        <w:p>
          <w:pPr>
            <w:pStyle w:val="Contents4"/>
            <w:tabs>
              <w:tab w:val="clear" w:pos="8176"/>
              <w:tab w:val="right" w:pos="9026" w:leader="dot"/>
            </w:tabs>
            <w:rPr/>
          </w:pPr>
          <w:hyperlink w:anchor="__RefHeading___Toc147092_2142443653">
            <w:r>
              <w:rPr>
                <w:webHidden/>
                <w:rStyle w:val="IndexLink"/>
                <w:rtl w:val="true"/>
              </w:rPr>
              <w:t>بیان ما دلّ علی نضح الثوب الذی وقع علی کلب میت</w:t>
            </w:r>
            <w:r>
              <w:rPr>
                <w:rStyle w:val="IndexLink"/>
                <w:rtl w:val="true"/>
              </w:rPr>
              <w:tab/>
            </w:r>
            <w:r>
              <w:rPr>
                <w:rStyle w:val="IndexLink"/>
              </w:rPr>
              <w:t>343</w:t>
            </w:r>
          </w:hyperlink>
        </w:p>
        <w:p>
          <w:pPr>
            <w:pStyle w:val="Contents3"/>
            <w:tabs>
              <w:tab w:val="clear" w:pos="8459"/>
              <w:tab w:val="right" w:pos="9026" w:leader="dot"/>
            </w:tabs>
            <w:rPr/>
          </w:pPr>
          <w:hyperlink w:anchor="__RefHeading___Toc147094_2142443653">
            <w:r>
              <w:rPr>
                <w:webHidden/>
                <w:rStyle w:val="IndexLink"/>
                <w:rtl w:val="true"/>
              </w:rPr>
              <w:t>الأرض والبواری والحصر یصیبها البول وتحقّقها الشمس</w:t>
            </w:r>
            <w:r>
              <w:rPr>
                <w:rStyle w:val="IndexLink"/>
                <w:rtl w:val="true"/>
              </w:rPr>
              <w:tab/>
            </w:r>
            <w:r>
              <w:rPr>
                <w:rStyle w:val="IndexLink"/>
              </w:rPr>
              <w:t>344</w:t>
            </w:r>
          </w:hyperlink>
        </w:p>
        <w:p>
          <w:pPr>
            <w:pStyle w:val="Contents4"/>
            <w:tabs>
              <w:tab w:val="clear" w:pos="8176"/>
              <w:tab w:val="right" w:pos="9026" w:leader="dot"/>
            </w:tabs>
            <w:rPr/>
          </w:pPr>
          <w:hyperlink w:anchor="__RefHeading___Toc147096_2142443653">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147098_2142443653">
            <w:r>
              <w:rPr>
                <w:webHidden/>
                <w:rStyle w:val="IndexLink"/>
                <w:rtl w:val="true"/>
              </w:rPr>
              <w:t>عثمان بن عبدالله مهمل</w:t>
            </w:r>
            <w:r>
              <w:rPr>
                <w:rStyle w:val="IndexLink"/>
                <w:rtl w:val="true"/>
              </w:rPr>
              <w:tab/>
            </w:r>
            <w:r>
              <w:rPr>
                <w:rStyle w:val="IndexLink"/>
              </w:rPr>
              <w:t>345</w:t>
            </w:r>
          </w:hyperlink>
        </w:p>
        <w:p>
          <w:pPr>
            <w:pStyle w:val="Contents4"/>
            <w:tabs>
              <w:tab w:val="clear" w:pos="8176"/>
              <w:tab w:val="right" w:pos="9026" w:leader="dot"/>
            </w:tabs>
            <w:rPr/>
          </w:pPr>
          <w:hyperlink w:anchor="__RefHeading___Toc147100_2142443653">
            <w:r>
              <w:rPr>
                <w:webHidden/>
                <w:rStyle w:val="IndexLink"/>
                <w:rtl w:val="true"/>
              </w:rPr>
              <w:t>عثمان بن عبد الملک مجهول</w:t>
            </w:r>
            <w:r>
              <w:rPr>
                <w:rStyle w:val="IndexLink"/>
                <w:rtl w:val="true"/>
              </w:rPr>
              <w:tab/>
            </w:r>
            <w:r>
              <w:rPr>
                <w:rStyle w:val="IndexLink"/>
              </w:rPr>
              <w:t>345</w:t>
            </w:r>
          </w:hyperlink>
        </w:p>
        <w:p>
          <w:pPr>
            <w:pStyle w:val="Contents4"/>
            <w:tabs>
              <w:tab w:val="clear" w:pos="8176"/>
              <w:tab w:val="right" w:pos="9026" w:leader="dot"/>
            </w:tabs>
            <w:rPr/>
          </w:pPr>
          <w:hyperlink w:anchor="__RefHeading___Toc147102_2142443653">
            <w:r>
              <w:rPr>
                <w:webHidden/>
                <w:rStyle w:val="IndexLink"/>
                <w:rtl w:val="true"/>
              </w:rPr>
              <w:t>أبو بکر الحضرمی غیر ثقة ولا ممدوح</w:t>
            </w:r>
            <w:r>
              <w:rPr>
                <w:rStyle w:val="IndexLink"/>
                <w:rtl w:val="true"/>
              </w:rPr>
              <w:tab/>
            </w:r>
            <w:r>
              <w:rPr>
                <w:rStyle w:val="IndexLink"/>
              </w:rPr>
              <w:t>345</w:t>
            </w:r>
          </w:hyperlink>
        </w:p>
        <w:p>
          <w:pPr>
            <w:pStyle w:val="Contents4"/>
            <w:tabs>
              <w:tab w:val="clear" w:pos="8176"/>
              <w:tab w:val="right" w:pos="9026" w:leader="dot"/>
            </w:tabs>
            <w:rPr/>
          </w:pPr>
          <w:hyperlink w:anchor="__RefHeading___Toc147104_2142443653">
            <w:r>
              <w:rPr>
                <w:webHidden/>
                <w:rStyle w:val="IndexLink"/>
                <w:rtl w:val="true"/>
              </w:rPr>
              <w:t>هل الشمس مطهرة لکلّ موضع؟</w:t>
            </w:r>
            <w:r>
              <w:rPr>
                <w:rStyle w:val="IndexLink"/>
                <w:rtl w:val="true"/>
              </w:rPr>
              <w:tab/>
            </w:r>
            <w:r>
              <w:rPr>
                <w:rStyle w:val="IndexLink"/>
              </w:rPr>
              <w:t>346</w:t>
            </w:r>
          </w:hyperlink>
        </w:p>
        <w:p>
          <w:pPr>
            <w:pStyle w:val="Contents4"/>
            <w:tabs>
              <w:tab w:val="clear" w:pos="8176"/>
              <w:tab w:val="right" w:pos="9026" w:leader="dot"/>
            </w:tabs>
            <w:rPr/>
          </w:pPr>
          <w:hyperlink w:anchor="__RefHeading___Toc147106_2142443653">
            <w:r>
              <w:rPr>
                <w:webHidden/>
                <w:rStyle w:val="IndexLink"/>
                <w:rtl w:val="true"/>
              </w:rPr>
              <w:t>هل مجرّد إصابة الشمس کافٍ للطهارة؟</w:t>
            </w:r>
            <w:r>
              <w:rPr>
                <w:rStyle w:val="IndexLink"/>
                <w:rtl w:val="true"/>
              </w:rPr>
              <w:tab/>
            </w:r>
            <w:r>
              <w:rPr>
                <w:rStyle w:val="IndexLink"/>
              </w:rPr>
              <w:t>347</w:t>
            </w:r>
          </w:hyperlink>
        </w:p>
        <w:p>
          <w:pPr>
            <w:pStyle w:val="Contents4"/>
            <w:tabs>
              <w:tab w:val="clear" w:pos="8176"/>
              <w:tab w:val="right" w:pos="9026" w:leader="dot"/>
            </w:tabs>
            <w:rPr/>
          </w:pPr>
          <w:hyperlink w:anchor="__RefHeading___Toc147108_2142443653">
            <w:r>
              <w:rPr>
                <w:webHidden/>
                <w:rStyle w:val="IndexLink"/>
                <w:rtl w:val="true"/>
              </w:rPr>
              <w:t>دلالة الأدلّة علی جواز الصلاة علی الموضع لا طهارته</w:t>
            </w:r>
            <w:r>
              <w:rPr>
                <w:rStyle w:val="IndexLink"/>
                <w:rtl w:val="true"/>
              </w:rPr>
              <w:tab/>
            </w:r>
            <w:r>
              <w:rPr>
                <w:rStyle w:val="IndexLink"/>
              </w:rPr>
              <w:t>347</w:t>
            </w:r>
          </w:hyperlink>
        </w:p>
        <w:p>
          <w:pPr>
            <w:pStyle w:val="Contents4"/>
            <w:tabs>
              <w:tab w:val="clear" w:pos="8176"/>
              <w:tab w:val="right" w:pos="9026" w:leader="dot"/>
            </w:tabs>
            <w:rPr/>
          </w:pPr>
          <w:hyperlink w:anchor="__RefHeading___Toc147110_2142443653">
            <w:r>
              <w:rPr>
                <w:webHidden/>
                <w:rStyle w:val="IndexLink"/>
                <w:rtl w:val="true"/>
              </w:rPr>
              <w:t>لو أصابت الشمس المحل ولم ییبس</w:t>
            </w:r>
            <w:r>
              <w:rPr>
                <w:rStyle w:val="IndexLink"/>
                <w:rtl w:val="true"/>
              </w:rPr>
              <w:tab/>
            </w:r>
            <w:r>
              <w:rPr>
                <w:rStyle w:val="IndexLink"/>
              </w:rPr>
              <w:t>352</w:t>
            </w:r>
          </w:hyperlink>
        </w:p>
        <w:p>
          <w:pPr>
            <w:pStyle w:val="Contents4"/>
            <w:tabs>
              <w:tab w:val="clear" w:pos="8176"/>
              <w:tab w:val="right" w:pos="9026" w:leader="dot"/>
            </w:tabs>
            <w:rPr/>
          </w:pPr>
          <w:hyperlink w:anchor="__RefHeading___Toc147112_2142443653">
            <w:r>
              <w:rPr>
                <w:webHidden/>
                <w:rStyle w:val="IndexLink"/>
                <w:rtl w:val="true"/>
              </w:rPr>
              <w:t>إشعار روایة عمّار ببقاء المحل علی النجاسة والجواب عنه</w:t>
            </w:r>
            <w:r>
              <w:rPr>
                <w:rStyle w:val="IndexLink"/>
                <w:rtl w:val="true"/>
              </w:rPr>
              <w:tab/>
            </w:r>
            <w:r>
              <w:rPr>
                <w:rStyle w:val="IndexLink"/>
              </w:rPr>
              <w:t>352</w:t>
            </w:r>
          </w:hyperlink>
        </w:p>
        <w:p>
          <w:pPr>
            <w:pStyle w:val="Contents4"/>
            <w:tabs>
              <w:tab w:val="clear" w:pos="8176"/>
              <w:tab w:val="right" w:pos="9026" w:leader="dot"/>
            </w:tabs>
            <w:rPr/>
          </w:pPr>
          <w:hyperlink w:anchor="__RefHeading___Toc147114_2142443653">
            <w:r>
              <w:rPr>
                <w:webHidden/>
                <w:rStyle w:val="IndexLink"/>
                <w:rtl w:val="true"/>
              </w:rPr>
              <w:t>التدافع فی روایة عمّار فیما لو جفّ بغیر الشمس والجواب عنه</w:t>
            </w:r>
            <w:r>
              <w:rPr>
                <w:rStyle w:val="IndexLink"/>
                <w:rtl w:val="true"/>
              </w:rPr>
              <w:tab/>
            </w:r>
            <w:r>
              <w:rPr>
                <w:rStyle w:val="IndexLink"/>
              </w:rPr>
              <w:t>352</w:t>
            </w:r>
          </w:hyperlink>
        </w:p>
        <w:p>
          <w:pPr>
            <w:pStyle w:val="Contents4"/>
            <w:tabs>
              <w:tab w:val="clear" w:pos="8176"/>
              <w:tab w:val="right" w:pos="9026" w:leader="dot"/>
            </w:tabs>
            <w:rPr/>
          </w:pPr>
          <w:hyperlink w:anchor="__RefHeading___Toc147116_2142443653">
            <w:r>
              <w:rPr>
                <w:webHidden/>
                <w:rStyle w:val="IndexLink"/>
                <w:rtl w:val="true"/>
              </w:rPr>
              <w:t>بیان روایة علی بن جعفر</w:t>
            </w:r>
            <w:r>
              <w:rPr>
                <w:rStyle w:val="IndexLink"/>
                <w:rtl w:val="true"/>
              </w:rPr>
              <w:tab/>
            </w:r>
            <w:r>
              <w:rPr>
                <w:rStyle w:val="IndexLink"/>
              </w:rPr>
              <w:t>353</w:t>
            </w:r>
          </w:hyperlink>
        </w:p>
        <w:p>
          <w:pPr>
            <w:pStyle w:val="Contents4"/>
            <w:tabs>
              <w:tab w:val="clear" w:pos="8176"/>
              <w:tab w:val="right" w:pos="9026" w:leader="dot"/>
            </w:tabs>
            <w:rPr/>
          </w:pPr>
          <w:hyperlink w:anchor="__RefHeading___Toc147118_2142443653">
            <w:r>
              <w:rPr>
                <w:webHidden/>
                <w:rStyle w:val="IndexLink"/>
                <w:rtl w:val="true"/>
              </w:rPr>
              <w:t>توجیه روایة محمّد بن إسماعیل بن بزیع الدالّة علی عدم مطهّریة الشمس</w:t>
            </w:r>
            <w:r>
              <w:rPr>
                <w:rStyle w:val="IndexLink"/>
                <w:rtl w:val="true"/>
              </w:rPr>
              <w:tab/>
            </w:r>
            <w:r>
              <w:rPr>
                <w:rStyle w:val="IndexLink"/>
              </w:rPr>
              <w:t>354</w:t>
            </w:r>
          </w:hyperlink>
        </w:p>
        <w:p>
          <w:pPr>
            <w:pStyle w:val="Contents2"/>
            <w:tabs>
              <w:tab w:val="clear" w:pos="8743"/>
              <w:tab w:val="right" w:pos="9026" w:leader="dot"/>
            </w:tabs>
            <w:rPr/>
          </w:pPr>
          <w:hyperlink w:anchor="__RefHeading___Toc147120_2142443653">
            <w:r>
              <w:rPr>
                <w:webHidden/>
                <w:rStyle w:val="IndexLink"/>
                <w:rtl w:val="true"/>
              </w:rPr>
              <w:t>أبواب الجنائز</w:t>
            </w:r>
            <w:r>
              <w:rPr>
                <w:rStyle w:val="IndexLink"/>
                <w:rtl w:val="true"/>
              </w:rPr>
              <w:tab/>
            </w:r>
            <w:r>
              <w:rPr>
                <w:rStyle w:val="IndexLink"/>
              </w:rPr>
              <w:t>354</w:t>
            </w:r>
          </w:hyperlink>
        </w:p>
        <w:p>
          <w:pPr>
            <w:pStyle w:val="Contents3"/>
            <w:tabs>
              <w:tab w:val="clear" w:pos="8459"/>
              <w:tab w:val="right" w:pos="9026" w:leader="dot"/>
            </w:tabs>
            <w:rPr/>
          </w:pPr>
          <w:hyperlink w:anchor="__RefHeading___Toc147122_2142443653">
            <w:r>
              <w:rPr>
                <w:webHidden/>
                <w:rStyle w:val="IndexLink"/>
                <w:rtl w:val="true"/>
              </w:rPr>
              <w:t>الرجل یموت وهو جنب</w:t>
            </w:r>
            <w:r>
              <w:rPr>
                <w:rStyle w:val="IndexLink"/>
                <w:rtl w:val="true"/>
              </w:rPr>
              <w:tab/>
            </w:r>
            <w:r>
              <w:rPr>
                <w:rStyle w:val="IndexLink"/>
              </w:rPr>
              <w:t>354</w:t>
            </w:r>
          </w:hyperlink>
        </w:p>
        <w:p>
          <w:pPr>
            <w:pStyle w:val="Contents4"/>
            <w:tabs>
              <w:tab w:val="clear" w:pos="8176"/>
              <w:tab w:val="right" w:pos="9026" w:leader="dot"/>
            </w:tabs>
            <w:rPr/>
          </w:pPr>
          <w:hyperlink w:anchor="__RefHeading___Toc147124_2142443653">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147126_2142443653">
            <w:r>
              <w:rPr>
                <w:webHidden/>
                <w:rStyle w:val="IndexLink"/>
                <w:rtl w:val="true"/>
              </w:rPr>
              <w:t>بحث حول الحسن بن حمزة العلوی</w:t>
            </w:r>
            <w:r>
              <w:rPr>
                <w:rStyle w:val="IndexLink"/>
                <w:rtl w:val="true"/>
              </w:rPr>
              <w:tab/>
            </w:r>
            <w:r>
              <w:rPr>
                <w:rStyle w:val="IndexLink"/>
              </w:rPr>
              <w:t>355</w:t>
            </w:r>
          </w:hyperlink>
        </w:p>
        <w:p>
          <w:pPr>
            <w:pStyle w:val="Contents4"/>
            <w:tabs>
              <w:tab w:val="clear" w:pos="8176"/>
              <w:tab w:val="right" w:pos="9026" w:leader="dot"/>
            </w:tabs>
            <w:rPr/>
          </w:pPr>
          <w:hyperlink w:anchor="__RefHeading___Toc147128_2142443653">
            <w:r>
              <w:rPr>
                <w:webHidden/>
                <w:rStyle w:val="IndexLink"/>
                <w:rtl w:val="true"/>
              </w:rPr>
              <w:t>بحث حول علی الذی یروی عنه الحسین بن سعید</w:t>
            </w:r>
            <w:r>
              <w:rPr>
                <w:rStyle w:val="IndexLink"/>
                <w:rtl w:val="true"/>
              </w:rPr>
              <w:tab/>
            </w:r>
            <w:r>
              <w:rPr>
                <w:rStyle w:val="IndexLink"/>
              </w:rPr>
              <w:t>356</w:t>
            </w:r>
          </w:hyperlink>
        </w:p>
        <w:p>
          <w:pPr>
            <w:pStyle w:val="Contents4"/>
            <w:tabs>
              <w:tab w:val="clear" w:pos="8176"/>
              <w:tab w:val="right" w:pos="9026" w:leader="dot"/>
            </w:tabs>
            <w:rPr/>
          </w:pPr>
          <w:hyperlink w:anchor="__RefHeading___Toc147130_2142443653">
            <w:r>
              <w:rPr>
                <w:webHidden/>
                <w:rStyle w:val="IndexLink"/>
                <w:rtl w:val="true"/>
              </w:rPr>
              <w:t>علی بن الصلت مذدور بما لایفید توثیقاً والمدحاً</w:t>
            </w:r>
            <w:r>
              <w:rPr>
                <w:rStyle w:val="IndexLink"/>
                <w:rtl w:val="true"/>
              </w:rPr>
              <w:tab/>
            </w:r>
            <w:r>
              <w:rPr>
                <w:rStyle w:val="IndexLink"/>
              </w:rPr>
              <w:t>356</w:t>
            </w:r>
          </w:hyperlink>
        </w:p>
        <w:p>
          <w:pPr>
            <w:pStyle w:val="Contents4"/>
            <w:tabs>
              <w:tab w:val="clear" w:pos="8176"/>
              <w:tab w:val="right" w:pos="9026" w:leader="dot"/>
            </w:tabs>
            <w:rPr/>
          </w:pPr>
          <w:hyperlink w:anchor="__RefHeading___Toc147132_2142443653">
            <w:r>
              <w:rPr>
                <w:webHidden/>
                <w:rStyle w:val="IndexLink"/>
                <w:rtl w:val="true"/>
              </w:rPr>
              <w:t>بحث حول عبدالرحمان بن أبی نجران</w:t>
            </w:r>
            <w:r>
              <w:rPr>
                <w:rStyle w:val="IndexLink"/>
                <w:rtl w:val="true"/>
              </w:rPr>
              <w:tab/>
            </w:r>
            <w:r>
              <w:rPr>
                <w:rStyle w:val="IndexLink"/>
              </w:rPr>
              <w:t>356</w:t>
            </w:r>
          </w:hyperlink>
        </w:p>
        <w:p>
          <w:pPr>
            <w:pStyle w:val="Contents4"/>
            <w:tabs>
              <w:tab w:val="clear" w:pos="8176"/>
              <w:tab w:val="right" w:pos="9026" w:leader="dot"/>
            </w:tabs>
            <w:rPr/>
          </w:pPr>
          <w:hyperlink w:anchor="__RefHeading___Toc147134_2142443653">
            <w:r>
              <w:rPr>
                <w:webHidden/>
                <w:rStyle w:val="IndexLink"/>
                <w:rtl w:val="true"/>
              </w:rPr>
              <w:t>المثنّی مشترک</w:t>
            </w:r>
            <w:r>
              <w:rPr>
                <w:rStyle w:val="IndexLink"/>
                <w:rtl w:val="true"/>
              </w:rPr>
              <w:tab/>
            </w:r>
            <w:r>
              <w:rPr>
                <w:rStyle w:val="IndexLink"/>
              </w:rPr>
              <w:t>357</w:t>
            </w:r>
          </w:hyperlink>
        </w:p>
        <w:p>
          <w:pPr>
            <w:pStyle w:val="Contents4"/>
            <w:tabs>
              <w:tab w:val="clear" w:pos="8176"/>
              <w:tab w:val="right" w:pos="9026" w:leader="dot"/>
            </w:tabs>
            <w:rPr/>
          </w:pPr>
          <w:hyperlink w:anchor="__RefHeading___Toc147136_2142443653">
            <w:r>
              <w:rPr>
                <w:webHidden/>
                <w:rStyle w:val="IndexLink"/>
                <w:rtl w:val="true"/>
              </w:rPr>
              <w:t>ابن مسکان فیه الحتمال الاشتراک</w:t>
            </w:r>
            <w:r>
              <w:rPr>
                <w:rStyle w:val="IndexLink"/>
                <w:rtl w:val="true"/>
              </w:rPr>
              <w:tab/>
            </w:r>
            <w:r>
              <w:rPr>
                <w:rStyle w:val="IndexLink"/>
              </w:rPr>
              <w:t>357</w:t>
            </w:r>
          </w:hyperlink>
        </w:p>
        <w:p>
          <w:pPr>
            <w:pStyle w:val="Contents4"/>
            <w:tabs>
              <w:tab w:val="clear" w:pos="8176"/>
              <w:tab w:val="right" w:pos="9026" w:leader="dot"/>
            </w:tabs>
            <w:rPr/>
          </w:pPr>
          <w:hyperlink w:anchor="__RefHeading___Toc147138_2142443653">
            <w:r>
              <w:rPr>
                <w:webHidden/>
                <w:rStyle w:val="IndexLink"/>
                <w:rtl w:val="true"/>
              </w:rPr>
              <w:t>بیان ما دلّ علی کفایة غُسل واحد للمیت الجنب</w:t>
            </w:r>
            <w:r>
              <w:rPr>
                <w:rStyle w:val="IndexLink"/>
                <w:rtl w:val="true"/>
              </w:rPr>
              <w:tab/>
            </w:r>
            <w:r>
              <w:rPr>
                <w:rStyle w:val="IndexLink"/>
              </w:rPr>
              <w:t>357</w:t>
            </w:r>
          </w:hyperlink>
        </w:p>
        <w:p>
          <w:pPr>
            <w:pStyle w:val="Contents4"/>
            <w:tabs>
              <w:tab w:val="clear" w:pos="8176"/>
              <w:tab w:val="right" w:pos="9026" w:leader="dot"/>
            </w:tabs>
            <w:rPr/>
          </w:pPr>
          <w:hyperlink w:anchor="__RefHeading___Toc147140_2142443653">
            <w:r>
              <w:rPr>
                <w:webHidden/>
                <w:rStyle w:val="IndexLink"/>
                <w:rtl w:val="true"/>
              </w:rPr>
              <w:t>بحث فی تداخل الاُغسال</w:t>
            </w:r>
            <w:r>
              <w:rPr>
                <w:rStyle w:val="IndexLink"/>
                <w:rtl w:val="true"/>
              </w:rPr>
              <w:tab/>
            </w:r>
            <w:r>
              <w:rPr>
                <w:rStyle w:val="IndexLink"/>
              </w:rPr>
              <w:t>359</w:t>
            </w:r>
          </w:hyperlink>
        </w:p>
        <w:p>
          <w:pPr>
            <w:pStyle w:val="Contents4"/>
            <w:tabs>
              <w:tab w:val="clear" w:pos="8176"/>
              <w:tab w:val="right" w:pos="9026" w:leader="dot"/>
            </w:tabs>
            <w:rPr/>
          </w:pPr>
          <w:hyperlink w:anchor="__RefHeading___Toc147142_2142443653">
            <w:r>
              <w:rPr>
                <w:webHidden/>
                <w:rStyle w:val="IndexLink"/>
                <w:rtl w:val="true"/>
              </w:rPr>
              <w:t>لیس للشیخ طریق إلی إبراهیم بن هاشم فی المشیخة</w:t>
            </w:r>
            <w:r>
              <w:rPr>
                <w:rStyle w:val="IndexLink"/>
                <w:rtl w:val="true"/>
              </w:rPr>
              <w:tab/>
            </w:r>
            <w:r>
              <w:rPr>
                <w:rStyle w:val="IndexLink"/>
              </w:rPr>
              <w:t>362</w:t>
            </w:r>
          </w:hyperlink>
        </w:p>
        <w:p>
          <w:pPr>
            <w:pStyle w:val="Contents4"/>
            <w:tabs>
              <w:tab w:val="clear" w:pos="8176"/>
              <w:tab w:val="right" w:pos="9026" w:leader="dot"/>
            </w:tabs>
            <w:rPr/>
          </w:pPr>
          <w:hyperlink w:anchor="__RefHeading___Toc147144_2142443653">
            <w:r>
              <w:rPr>
                <w:webHidden/>
                <w:rStyle w:val="IndexLink"/>
                <w:rtl w:val="true"/>
              </w:rPr>
              <w:t>علی بن محمّد مشترک</w:t>
            </w:r>
            <w:r>
              <w:rPr>
                <w:rStyle w:val="IndexLink"/>
                <w:rtl w:val="true"/>
              </w:rPr>
              <w:tab/>
            </w:r>
            <w:r>
              <w:rPr>
                <w:rStyle w:val="IndexLink"/>
              </w:rPr>
              <w:t>362</w:t>
            </w:r>
          </w:hyperlink>
        </w:p>
        <w:p>
          <w:pPr>
            <w:pStyle w:val="Contents4"/>
            <w:tabs>
              <w:tab w:val="clear" w:pos="8176"/>
              <w:tab w:val="right" w:pos="9026" w:leader="dot"/>
            </w:tabs>
            <w:rPr/>
          </w:pPr>
          <w:hyperlink w:anchor="__RefHeading___Toc147146_2142443653">
            <w:r>
              <w:rPr>
                <w:webHidden/>
                <w:rStyle w:val="IndexLink"/>
                <w:rtl w:val="true"/>
              </w:rPr>
              <w:t>سعید بن محمّد الکوفی غیر مذکور فی الرجال</w:t>
            </w:r>
            <w:r>
              <w:rPr>
                <w:rStyle w:val="IndexLink"/>
                <w:rtl w:val="true"/>
              </w:rPr>
              <w:tab/>
            </w:r>
            <w:r>
              <w:rPr>
                <w:rStyle w:val="IndexLink"/>
              </w:rPr>
              <w:t>363</w:t>
            </w:r>
          </w:hyperlink>
        </w:p>
        <w:p>
          <w:pPr>
            <w:pStyle w:val="Contents4"/>
            <w:tabs>
              <w:tab w:val="clear" w:pos="8176"/>
              <w:tab w:val="right" w:pos="9026" w:leader="dot"/>
            </w:tabs>
            <w:rPr/>
          </w:pPr>
          <w:hyperlink w:anchor="__RefHeading___Toc147148_2142443653">
            <w:r>
              <w:rPr>
                <w:webHidden/>
                <w:rStyle w:val="IndexLink"/>
                <w:rtl w:val="true"/>
              </w:rPr>
              <w:t>محمّد بن أبی حمزة التیملی مهمل</w:t>
            </w:r>
            <w:r>
              <w:rPr>
                <w:rStyle w:val="IndexLink"/>
                <w:rtl w:val="true"/>
              </w:rPr>
              <w:tab/>
            </w:r>
            <w:r>
              <w:rPr>
                <w:rStyle w:val="IndexLink"/>
              </w:rPr>
              <w:t>363</w:t>
            </w:r>
          </w:hyperlink>
        </w:p>
        <w:p>
          <w:pPr>
            <w:pStyle w:val="Contents4"/>
            <w:tabs>
              <w:tab w:val="clear" w:pos="8176"/>
              <w:tab w:val="right" w:pos="9026" w:leader="dot"/>
            </w:tabs>
            <w:rPr/>
          </w:pPr>
          <w:hyperlink w:anchor="__RefHeading___Toc147150_2142443653">
            <w:r>
              <w:rPr>
                <w:webHidden/>
                <w:rStyle w:val="IndexLink"/>
                <w:rtl w:val="true"/>
              </w:rPr>
              <w:t>محمّد بن خالد مشترک</w:t>
            </w:r>
            <w:r>
              <w:rPr>
                <w:rStyle w:val="IndexLink"/>
                <w:rtl w:val="true"/>
              </w:rPr>
              <w:tab/>
            </w:r>
            <w:r>
              <w:rPr>
                <w:rStyle w:val="IndexLink"/>
              </w:rPr>
              <w:t>363</w:t>
            </w:r>
          </w:hyperlink>
        </w:p>
        <w:p>
          <w:pPr>
            <w:pStyle w:val="Contents4"/>
            <w:tabs>
              <w:tab w:val="clear" w:pos="8176"/>
              <w:tab w:val="right" w:pos="9026" w:leader="dot"/>
            </w:tabs>
            <w:rPr/>
          </w:pPr>
          <w:hyperlink w:anchor="__RefHeading___Toc147152_2142443653">
            <w:r>
              <w:rPr>
                <w:webHidden/>
                <w:rStyle w:val="IndexLink"/>
                <w:rtl w:val="true"/>
              </w:rPr>
              <w:t>محمّد بن أحمد بن علی بن حفص ثقة</w:t>
            </w:r>
            <w:r>
              <w:rPr>
                <w:rStyle w:val="IndexLink"/>
                <w:rtl w:val="true"/>
              </w:rPr>
              <w:tab/>
            </w:r>
            <w:r>
              <w:rPr>
                <w:rStyle w:val="IndexLink"/>
              </w:rPr>
              <w:t>363</w:t>
            </w:r>
          </w:hyperlink>
        </w:p>
        <w:p>
          <w:pPr>
            <w:pStyle w:val="Contents4"/>
            <w:tabs>
              <w:tab w:val="clear" w:pos="8176"/>
              <w:tab w:val="right" w:pos="9026" w:leader="dot"/>
            </w:tabs>
            <w:rPr/>
          </w:pPr>
          <w:hyperlink w:anchor="__RefHeading___Toc147154_2142443653">
            <w:r>
              <w:rPr>
                <w:webHidden/>
                <w:rStyle w:val="IndexLink"/>
                <w:rtl w:val="true"/>
              </w:rPr>
              <w:t>المناقشة فی توجیه الشیخ لما دلّ علی عدم کفایة غُسل واحد للمیت الجنب</w:t>
            </w:r>
            <w:r>
              <w:rPr>
                <w:rStyle w:val="IndexLink"/>
                <w:rtl w:val="true"/>
              </w:rPr>
              <w:tab/>
            </w:r>
            <w:r>
              <w:rPr>
                <w:rStyle w:val="IndexLink"/>
              </w:rPr>
              <w:t>363</w:t>
            </w:r>
          </w:hyperlink>
        </w:p>
        <w:p>
          <w:pPr>
            <w:pStyle w:val="Contents4"/>
            <w:tabs>
              <w:tab w:val="clear" w:pos="8176"/>
              <w:tab w:val="right" w:pos="9026" w:leader="dot"/>
            </w:tabs>
            <w:rPr/>
          </w:pPr>
          <w:hyperlink w:anchor="__RefHeading___Toc147156_2142443653">
            <w:r>
              <w:rPr>
                <w:webHidden/>
                <w:rStyle w:val="IndexLink"/>
                <w:rtl w:val="true"/>
              </w:rPr>
              <w:t>حکم من مات وعلیه غُسل غیر غُسل الجنابة</w:t>
            </w:r>
            <w:r>
              <w:rPr>
                <w:rStyle w:val="IndexLink"/>
                <w:rtl w:val="true"/>
              </w:rPr>
              <w:tab/>
            </w:r>
            <w:r>
              <w:rPr>
                <w:rStyle w:val="IndexLink"/>
              </w:rPr>
              <w:t>365</w:t>
            </w:r>
          </w:hyperlink>
        </w:p>
        <w:p>
          <w:pPr>
            <w:pStyle w:val="Contents3"/>
            <w:tabs>
              <w:tab w:val="clear" w:pos="8459"/>
              <w:tab w:val="right" w:pos="9026" w:leader="dot"/>
            </w:tabs>
            <w:rPr/>
          </w:pPr>
          <w:hyperlink w:anchor="__RefHeading___Toc147158_2142443653">
            <w:r>
              <w:rPr>
                <w:webHidden/>
                <w:rStyle w:val="IndexLink"/>
                <w:rtl w:val="true"/>
              </w:rPr>
              <w:t>حدّ الماء الذی یغسّل به المیت</w:t>
            </w:r>
            <w:r>
              <w:rPr>
                <w:rStyle w:val="IndexLink"/>
                <w:rtl w:val="true"/>
              </w:rPr>
              <w:tab/>
            </w:r>
            <w:r>
              <w:rPr>
                <w:rStyle w:val="IndexLink"/>
              </w:rPr>
              <w:t>365</w:t>
            </w:r>
          </w:hyperlink>
        </w:p>
        <w:p>
          <w:pPr>
            <w:pStyle w:val="Contents4"/>
            <w:tabs>
              <w:tab w:val="clear" w:pos="8176"/>
              <w:tab w:val="right" w:pos="9026" w:leader="dot"/>
            </w:tabs>
            <w:rPr/>
          </w:pPr>
          <w:hyperlink w:anchor="__RefHeading___Toc147160_2142443653">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147162_2142443653">
            <w:r>
              <w:rPr>
                <w:webHidden/>
                <w:rStyle w:val="IndexLink"/>
                <w:rtl w:val="true"/>
              </w:rPr>
              <w:t>بحث حول حفص بن البختری</w:t>
            </w:r>
            <w:r>
              <w:rPr>
                <w:rStyle w:val="IndexLink"/>
                <w:rtl w:val="true"/>
              </w:rPr>
              <w:tab/>
            </w:r>
            <w:r>
              <w:rPr>
                <w:rStyle w:val="IndexLink"/>
              </w:rPr>
              <w:t>366</w:t>
            </w:r>
          </w:hyperlink>
        </w:p>
        <w:p>
          <w:pPr>
            <w:pStyle w:val="Contents4"/>
            <w:tabs>
              <w:tab w:val="clear" w:pos="8176"/>
              <w:tab w:val="right" w:pos="9026" w:leader="dot"/>
            </w:tabs>
            <w:rPr/>
          </w:pPr>
          <w:hyperlink w:anchor="__RefHeading___Toc147164_2142443653">
            <w:r>
              <w:rPr>
                <w:webHidden/>
                <w:rStyle w:val="IndexLink"/>
                <w:rtl w:val="true"/>
              </w:rPr>
              <w:t>فضیل سُکّرة مهمل</w:t>
            </w:r>
            <w:r>
              <w:rPr>
                <w:rStyle w:val="IndexLink"/>
                <w:rtl w:val="true"/>
              </w:rPr>
              <w:tab/>
            </w:r>
            <w:r>
              <w:rPr>
                <w:rStyle w:val="IndexLink"/>
              </w:rPr>
              <w:t>367</w:t>
            </w:r>
          </w:hyperlink>
        </w:p>
        <w:p>
          <w:pPr>
            <w:pStyle w:val="Contents4"/>
            <w:tabs>
              <w:tab w:val="clear" w:pos="8176"/>
              <w:tab w:val="right" w:pos="9026" w:leader="dot"/>
            </w:tabs>
            <w:rPr/>
          </w:pPr>
          <w:hyperlink w:anchor="__RefHeading___Toc147166_2142443653">
            <w:r>
              <w:rPr>
                <w:webHidden/>
                <w:rStyle w:val="IndexLink"/>
                <w:rtl w:val="true"/>
              </w:rPr>
              <w:t>المناقشة فی توجیه الشیخ لما دلّ علی تحدید ماء غُسل المیت</w:t>
            </w:r>
            <w:r>
              <w:rPr>
                <w:rStyle w:val="IndexLink"/>
                <w:rtl w:val="true"/>
              </w:rPr>
              <w:tab/>
            </w:r>
            <w:r>
              <w:rPr>
                <w:rStyle w:val="IndexLink"/>
              </w:rPr>
              <w:t>367</w:t>
            </w:r>
          </w:hyperlink>
        </w:p>
        <w:p>
          <w:pPr>
            <w:pStyle w:val="Contents4"/>
            <w:tabs>
              <w:tab w:val="clear" w:pos="8176"/>
              <w:tab w:val="right" w:pos="9026" w:leader="dot"/>
            </w:tabs>
            <w:rPr/>
          </w:pPr>
          <w:hyperlink w:anchor="__RefHeading___Toc147168_2142443653">
            <w:r>
              <w:rPr>
                <w:webHidden/>
                <w:rStyle w:val="IndexLink"/>
                <w:rtl w:val="true"/>
              </w:rPr>
              <w:t>توضیح حول بئر غرس</w:t>
            </w:r>
            <w:r>
              <w:rPr>
                <w:rStyle w:val="IndexLink"/>
                <w:rtl w:val="true"/>
              </w:rPr>
              <w:tab/>
            </w:r>
            <w:r>
              <w:rPr>
                <w:rStyle w:val="IndexLink"/>
              </w:rPr>
              <w:t>368</w:t>
            </w:r>
          </w:hyperlink>
        </w:p>
        <w:p>
          <w:pPr>
            <w:pStyle w:val="Contents3"/>
            <w:tabs>
              <w:tab w:val="clear" w:pos="8459"/>
              <w:tab w:val="right" w:pos="9026" w:leader="dot"/>
            </w:tabs>
            <w:rPr/>
          </w:pPr>
          <w:hyperlink w:anchor="__RefHeading___Toc147170_2142443653">
            <w:r>
              <w:rPr>
                <w:webHidden/>
                <w:rStyle w:val="IndexLink"/>
                <w:rtl w:val="true"/>
              </w:rPr>
              <w:t>جواز غسل الرجل امرأته والمرأة زوجها</w:t>
            </w:r>
            <w:r>
              <w:rPr>
                <w:rStyle w:val="IndexLink"/>
                <w:rtl w:val="true"/>
              </w:rPr>
              <w:tab/>
            </w:r>
            <w:r>
              <w:rPr>
                <w:rStyle w:val="IndexLink"/>
              </w:rPr>
              <w:t>368</w:t>
            </w:r>
          </w:hyperlink>
        </w:p>
        <w:p>
          <w:pPr>
            <w:pStyle w:val="Contents4"/>
            <w:tabs>
              <w:tab w:val="clear" w:pos="8176"/>
              <w:tab w:val="right" w:pos="9026" w:leader="dot"/>
            </w:tabs>
            <w:rPr/>
          </w:pPr>
          <w:hyperlink w:anchor="__RefHeading___Toc147172_2142443653">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147174_2142443653">
            <w:r>
              <w:rPr>
                <w:webHidden/>
                <w:rStyle w:val="IndexLink"/>
                <w:rtl w:val="true"/>
              </w:rPr>
              <w:t>بحث حول داود بن سرحان</w:t>
            </w:r>
            <w:r>
              <w:rPr>
                <w:rStyle w:val="IndexLink"/>
                <w:rtl w:val="true"/>
              </w:rPr>
              <w:tab/>
            </w:r>
            <w:r>
              <w:rPr>
                <w:rStyle w:val="IndexLink"/>
              </w:rPr>
              <w:t>370</w:t>
            </w:r>
          </w:hyperlink>
        </w:p>
        <w:p>
          <w:pPr>
            <w:pStyle w:val="Contents4"/>
            <w:tabs>
              <w:tab w:val="clear" w:pos="8176"/>
              <w:tab w:val="right" w:pos="9026" w:leader="dot"/>
            </w:tabs>
            <w:rPr/>
          </w:pPr>
          <w:hyperlink w:anchor="__RefHeading___Toc147176_2142443653">
            <w:r>
              <w:rPr>
                <w:webHidden/>
                <w:rStyle w:val="IndexLink"/>
                <w:rtl w:val="true"/>
              </w:rPr>
              <w:t>بحث حول ابن نوح</w:t>
            </w:r>
            <w:r>
              <w:rPr>
                <w:rStyle w:val="IndexLink"/>
                <w:rtl w:val="true"/>
              </w:rPr>
              <w:tab/>
            </w:r>
            <w:r>
              <w:rPr>
                <w:rStyle w:val="IndexLink"/>
              </w:rPr>
              <w:t>370</w:t>
            </w:r>
          </w:hyperlink>
        </w:p>
        <w:p>
          <w:pPr>
            <w:pStyle w:val="Contents4"/>
            <w:tabs>
              <w:tab w:val="clear" w:pos="8176"/>
              <w:tab w:val="right" w:pos="9026" w:leader="dot"/>
            </w:tabs>
            <w:rPr/>
          </w:pPr>
          <w:hyperlink w:anchor="__RefHeading___Toc147178_2142443653">
            <w:r>
              <w:rPr>
                <w:webHidden/>
                <w:rStyle w:val="IndexLink"/>
                <w:rtl w:val="true"/>
              </w:rPr>
              <w:t>بیان ما دلّ علی جواز تغسیل المرأة زوجها والرجل امرأته من وراء الثیاب</w:t>
            </w:r>
            <w:r>
              <w:rPr>
                <w:rStyle w:val="IndexLink"/>
                <w:rtl w:val="true"/>
              </w:rPr>
              <w:tab/>
            </w:r>
            <w:r>
              <w:rPr>
                <w:rStyle w:val="IndexLink"/>
              </w:rPr>
              <w:t>371</w:t>
            </w:r>
          </w:hyperlink>
        </w:p>
        <w:p>
          <w:pPr>
            <w:pStyle w:val="Contents4"/>
            <w:tabs>
              <w:tab w:val="clear" w:pos="8176"/>
              <w:tab w:val="right" w:pos="9026" w:leader="dot"/>
            </w:tabs>
            <w:rPr/>
          </w:pPr>
          <w:hyperlink w:anchor="__RefHeading___Toc147180_2142443653">
            <w:r>
              <w:rPr>
                <w:webHidden/>
                <w:rStyle w:val="IndexLink"/>
                <w:rtl w:val="true"/>
              </w:rPr>
              <w:t>بحث حول حمید بن زیاد</w:t>
            </w:r>
            <w:r>
              <w:rPr>
                <w:rStyle w:val="IndexLink"/>
                <w:rtl w:val="true"/>
              </w:rPr>
              <w:tab/>
            </w:r>
            <w:r>
              <w:rPr>
                <w:rStyle w:val="IndexLink"/>
              </w:rPr>
              <w:t>374</w:t>
            </w:r>
          </w:hyperlink>
        </w:p>
        <w:p>
          <w:pPr>
            <w:pStyle w:val="Contents4"/>
            <w:tabs>
              <w:tab w:val="clear" w:pos="8176"/>
              <w:tab w:val="right" w:pos="9026" w:leader="dot"/>
            </w:tabs>
            <w:rPr/>
          </w:pPr>
          <w:hyperlink w:anchor="__RefHeading___Toc147182_2142443653">
            <w:r>
              <w:rPr>
                <w:webHidden/>
                <w:rStyle w:val="IndexLink"/>
                <w:rtl w:val="true"/>
              </w:rPr>
              <w:t>بحث حول الحسن بن محمّد الکندی</w:t>
            </w:r>
            <w:r>
              <w:rPr>
                <w:rStyle w:val="IndexLink"/>
                <w:rtl w:val="true"/>
              </w:rPr>
              <w:tab/>
            </w:r>
            <w:r>
              <w:rPr>
                <w:rStyle w:val="IndexLink"/>
              </w:rPr>
              <w:t>376</w:t>
            </w:r>
          </w:hyperlink>
        </w:p>
        <w:p>
          <w:pPr>
            <w:pStyle w:val="Contents4"/>
            <w:tabs>
              <w:tab w:val="clear" w:pos="8176"/>
              <w:tab w:val="right" w:pos="9026" w:leader="dot"/>
            </w:tabs>
            <w:rPr/>
          </w:pPr>
          <w:hyperlink w:anchor="__RefHeading___Toc147184_2142443653">
            <w:r>
              <w:rPr>
                <w:webHidden/>
                <w:rStyle w:val="IndexLink"/>
                <w:rtl w:val="true"/>
              </w:rPr>
              <w:t>إشارة إلی حال الوشّاء</w:t>
            </w:r>
            <w:r>
              <w:rPr>
                <w:rStyle w:val="IndexLink"/>
                <w:rtl w:val="true"/>
              </w:rPr>
              <w:tab/>
            </w:r>
            <w:r>
              <w:rPr>
                <w:rStyle w:val="IndexLink"/>
              </w:rPr>
              <w:t>377</w:t>
            </w:r>
          </w:hyperlink>
        </w:p>
        <w:p>
          <w:pPr>
            <w:pStyle w:val="Contents4"/>
            <w:tabs>
              <w:tab w:val="clear" w:pos="8176"/>
              <w:tab w:val="right" w:pos="9026" w:leader="dot"/>
            </w:tabs>
            <w:rPr/>
          </w:pPr>
          <w:hyperlink w:anchor="__RefHeading___Toc147186_2142443653">
            <w:r>
              <w:rPr>
                <w:webHidden/>
                <w:rStyle w:val="IndexLink"/>
                <w:rtl w:val="true"/>
              </w:rPr>
              <w:t xml:space="preserve">مالمراد بالمحرم فی قوله علیه السلام </w:t>
            </w:r>
            <w:r>
              <w:rPr>
                <w:rStyle w:val="IndexLink"/>
                <w:rtl w:val="true"/>
              </w:rPr>
              <w:t xml:space="preserve">: « </w:t>
            </w:r>
            <w:r>
              <w:rPr>
                <w:rStyle w:val="IndexLink"/>
                <w:rtl w:val="true"/>
              </w:rPr>
              <w:t xml:space="preserve">أوذات محرم </w:t>
            </w:r>
            <w:r>
              <w:rPr>
                <w:rStyle w:val="IndexLink"/>
                <w:rtl w:val="true"/>
              </w:rPr>
              <w:t>»</w:t>
            </w:r>
            <w:r>
              <w:rPr>
                <w:rStyle w:val="IndexLink"/>
                <w:rtl w:val="true"/>
              </w:rPr>
              <w:t>؟</w:t>
            </w:r>
            <w:r>
              <w:rPr>
                <w:rStyle w:val="IndexLink"/>
                <w:rtl w:val="true"/>
              </w:rPr>
              <w:tab/>
            </w:r>
            <w:r>
              <w:rPr>
                <w:rStyle w:val="IndexLink"/>
              </w:rPr>
              <w:t>377</w:t>
            </w:r>
          </w:hyperlink>
        </w:p>
        <w:p>
          <w:pPr>
            <w:pStyle w:val="Contents4"/>
            <w:tabs>
              <w:tab w:val="clear" w:pos="8176"/>
              <w:tab w:val="right" w:pos="9026" w:leader="dot"/>
            </w:tabs>
            <w:rPr/>
          </w:pPr>
          <w:hyperlink w:anchor="__RefHeading___Toc147188_2142443653">
            <w:r>
              <w:rPr>
                <w:webHidden/>
                <w:rStyle w:val="IndexLink"/>
                <w:rtl w:val="true"/>
              </w:rPr>
              <w:t>بیان حول روایتی عبدالله بن سنان وزرارة</w:t>
            </w:r>
            <w:r>
              <w:rPr>
                <w:rStyle w:val="IndexLink"/>
                <w:rtl w:val="true"/>
              </w:rPr>
              <w:tab/>
            </w:r>
            <w:r>
              <w:rPr>
                <w:rStyle w:val="IndexLink"/>
              </w:rPr>
              <w:t>378</w:t>
            </w:r>
          </w:hyperlink>
        </w:p>
        <w:p>
          <w:pPr>
            <w:pStyle w:val="Contents4"/>
            <w:tabs>
              <w:tab w:val="clear" w:pos="8176"/>
              <w:tab w:val="right" w:pos="9026" w:leader="dot"/>
            </w:tabs>
            <w:rPr/>
          </w:pPr>
          <w:hyperlink w:anchor="__RefHeading___Toc147190_2142443653">
            <w:r>
              <w:rPr>
                <w:webHidden/>
                <w:rStyle w:val="IndexLink"/>
                <w:rtl w:val="true"/>
              </w:rPr>
              <w:t>المرأة التی خرجت من العدّة هل یجوز لها أن تغسّل زوجها؟</w:t>
            </w:r>
            <w:r>
              <w:rPr>
                <w:rStyle w:val="IndexLink"/>
                <w:rtl w:val="true"/>
              </w:rPr>
              <w:tab/>
            </w:r>
            <w:r>
              <w:rPr>
                <w:rStyle w:val="IndexLink"/>
              </w:rPr>
              <w:t>379</w:t>
            </w:r>
          </w:hyperlink>
        </w:p>
        <w:p>
          <w:pPr>
            <w:pStyle w:val="Contents4"/>
            <w:tabs>
              <w:tab w:val="clear" w:pos="8176"/>
              <w:tab w:val="right" w:pos="9026" w:leader="dot"/>
            </w:tabs>
            <w:rPr/>
          </w:pPr>
          <w:hyperlink w:anchor="__RefHeading___Toc147192_2142443653">
            <w:r>
              <w:rPr>
                <w:webHidden/>
                <w:rStyle w:val="IndexLink"/>
                <w:rtl w:val="true"/>
              </w:rPr>
              <w:t>منصور الذی یروی عنه صفوان بن یحیی هو ابن حازم</w:t>
            </w:r>
            <w:r>
              <w:rPr>
                <w:rStyle w:val="IndexLink"/>
                <w:rtl w:val="true"/>
              </w:rPr>
              <w:tab/>
            </w:r>
            <w:r>
              <w:rPr>
                <w:rStyle w:val="IndexLink"/>
              </w:rPr>
              <w:t>381</w:t>
            </w:r>
          </w:hyperlink>
        </w:p>
        <w:p>
          <w:pPr>
            <w:pStyle w:val="Contents4"/>
            <w:tabs>
              <w:tab w:val="clear" w:pos="8176"/>
              <w:tab w:val="right" w:pos="9026" w:leader="dot"/>
            </w:tabs>
            <w:rPr/>
          </w:pPr>
          <w:hyperlink w:anchor="__RefHeading___Toc147194_2142443653">
            <w:r>
              <w:rPr>
                <w:webHidden/>
                <w:rStyle w:val="IndexLink"/>
                <w:rtl w:val="true"/>
              </w:rPr>
              <w:t>بیان ما دلّ علی جواز غسل الرجل امرأته مطلقاً</w:t>
            </w:r>
            <w:r>
              <w:rPr>
                <w:rStyle w:val="IndexLink"/>
                <w:rtl w:val="true"/>
              </w:rPr>
              <w:tab/>
            </w:r>
            <w:r>
              <w:rPr>
                <w:rStyle w:val="IndexLink"/>
              </w:rPr>
              <w:t>382</w:t>
            </w:r>
          </w:hyperlink>
        </w:p>
        <w:p>
          <w:pPr>
            <w:pStyle w:val="Contents4"/>
            <w:tabs>
              <w:tab w:val="clear" w:pos="8176"/>
              <w:tab w:val="right" w:pos="9026" w:leader="dot"/>
            </w:tabs>
            <w:rPr/>
          </w:pPr>
          <w:hyperlink w:anchor="__RefHeading___Toc147196_2142443653">
            <w:r>
              <w:rPr>
                <w:webHidden/>
                <w:rStyle w:val="IndexLink"/>
                <w:rtl w:val="true"/>
              </w:rPr>
              <w:t>بحث حول أبی خالد القمّاط</w:t>
            </w:r>
            <w:r>
              <w:rPr>
                <w:rStyle w:val="IndexLink"/>
                <w:rtl w:val="true"/>
              </w:rPr>
              <w:tab/>
            </w:r>
            <w:r>
              <w:rPr>
                <w:rStyle w:val="IndexLink"/>
              </w:rPr>
              <w:t>384</w:t>
            </w:r>
          </w:hyperlink>
        </w:p>
        <w:p>
          <w:pPr>
            <w:pStyle w:val="Contents4"/>
            <w:tabs>
              <w:tab w:val="clear" w:pos="8176"/>
              <w:tab w:val="right" w:pos="9026" w:leader="dot"/>
            </w:tabs>
            <w:rPr/>
          </w:pPr>
          <w:hyperlink w:anchor="__RefHeading___Toc147198_2142443653">
            <w:r>
              <w:rPr>
                <w:webHidden/>
                <w:rStyle w:val="IndexLink"/>
                <w:rtl w:val="true"/>
              </w:rPr>
              <w:t>أبو حمزة مشترک</w:t>
            </w:r>
            <w:r>
              <w:rPr>
                <w:rStyle w:val="IndexLink"/>
                <w:rtl w:val="true"/>
              </w:rPr>
              <w:tab/>
            </w:r>
            <w:r>
              <w:rPr>
                <w:rStyle w:val="IndexLink"/>
              </w:rPr>
              <w:t>385</w:t>
            </w:r>
          </w:hyperlink>
        </w:p>
        <w:p>
          <w:pPr>
            <w:pStyle w:val="Contents4"/>
            <w:tabs>
              <w:tab w:val="clear" w:pos="8176"/>
              <w:tab w:val="right" w:pos="9026" w:leader="dot"/>
            </w:tabs>
            <w:rPr/>
          </w:pPr>
          <w:hyperlink w:anchor="__RefHeading___Toc147200_2142443653">
            <w:r>
              <w:rPr>
                <w:webHidden/>
                <w:rStyle w:val="IndexLink"/>
                <w:rtl w:val="true"/>
              </w:rPr>
              <w:t>عبدالرحمان بن سالم الأشل ضعیف</w:t>
            </w:r>
            <w:r>
              <w:rPr>
                <w:rStyle w:val="IndexLink"/>
                <w:rtl w:val="true"/>
              </w:rPr>
              <w:tab/>
            </w:r>
            <w:r>
              <w:rPr>
                <w:rStyle w:val="IndexLink"/>
              </w:rPr>
              <w:t>385</w:t>
            </w:r>
          </w:hyperlink>
        </w:p>
        <w:p>
          <w:pPr>
            <w:pStyle w:val="Contents4"/>
            <w:tabs>
              <w:tab w:val="clear" w:pos="8176"/>
              <w:tab w:val="right" w:pos="9026" w:leader="dot"/>
            </w:tabs>
            <w:rPr/>
          </w:pPr>
          <w:hyperlink w:anchor="__RefHeading___Toc147202_2142443653">
            <w:r>
              <w:rPr>
                <w:webHidden/>
                <w:rStyle w:val="IndexLink"/>
                <w:rtl w:val="true"/>
              </w:rPr>
              <w:t>المفضّل بن عمر ضعیف</w:t>
            </w:r>
            <w:r>
              <w:rPr>
                <w:rStyle w:val="IndexLink"/>
                <w:rtl w:val="true"/>
              </w:rPr>
              <w:tab/>
            </w:r>
            <w:r>
              <w:rPr>
                <w:rStyle w:val="IndexLink"/>
              </w:rPr>
              <w:t>385</w:t>
            </w:r>
          </w:hyperlink>
        </w:p>
        <w:p>
          <w:pPr>
            <w:pStyle w:val="Contents4"/>
            <w:tabs>
              <w:tab w:val="clear" w:pos="8176"/>
              <w:tab w:val="right" w:pos="9026" w:leader="dot"/>
            </w:tabs>
            <w:rPr/>
          </w:pPr>
          <w:hyperlink w:anchor="__RefHeading___Toc147204_2142443653">
            <w:r>
              <w:rPr>
                <w:webHidden/>
                <w:rStyle w:val="IndexLink"/>
                <w:rtl w:val="true"/>
              </w:rPr>
              <w:t>الحسن بن موسی الخشاب ممدوح</w:t>
            </w:r>
            <w:r>
              <w:rPr>
                <w:rStyle w:val="IndexLink"/>
                <w:rtl w:val="true"/>
              </w:rPr>
              <w:tab/>
            </w:r>
            <w:r>
              <w:rPr>
                <w:rStyle w:val="IndexLink"/>
              </w:rPr>
              <w:t>385</w:t>
            </w:r>
          </w:hyperlink>
        </w:p>
        <w:p>
          <w:pPr>
            <w:pStyle w:val="Contents4"/>
            <w:tabs>
              <w:tab w:val="clear" w:pos="8176"/>
              <w:tab w:val="right" w:pos="9026" w:leader="dot"/>
            </w:tabs>
            <w:rPr/>
          </w:pPr>
          <w:hyperlink w:anchor="__RefHeading___Toc147206_2142443653">
            <w:r>
              <w:rPr>
                <w:webHidden/>
                <w:rStyle w:val="IndexLink"/>
                <w:rtl w:val="true"/>
              </w:rPr>
              <w:t>بحث حول غیاث بن کلوب</w:t>
            </w:r>
            <w:r>
              <w:rPr>
                <w:rStyle w:val="IndexLink"/>
                <w:rtl w:val="true"/>
              </w:rPr>
              <w:tab/>
            </w:r>
            <w:r>
              <w:rPr>
                <w:rStyle w:val="IndexLink"/>
              </w:rPr>
              <w:t>386</w:t>
            </w:r>
          </w:hyperlink>
        </w:p>
        <w:p>
          <w:pPr>
            <w:pStyle w:val="Contents4"/>
            <w:tabs>
              <w:tab w:val="clear" w:pos="8176"/>
              <w:tab w:val="right" w:pos="9026" w:leader="dot"/>
            </w:tabs>
            <w:rPr/>
          </w:pPr>
          <w:hyperlink w:anchor="__RefHeading___Toc147208_2142443653">
            <w:r>
              <w:rPr>
                <w:webHidden/>
                <w:rStyle w:val="IndexLink"/>
                <w:rtl w:val="true"/>
              </w:rPr>
              <w:t>بیان ما دلّ علی عدم جواز غسل الرجل المرأة إلّا عند الضرورة</w:t>
            </w:r>
            <w:r>
              <w:rPr>
                <w:rStyle w:val="IndexLink"/>
                <w:rtl w:val="true"/>
              </w:rPr>
              <w:tab/>
            </w:r>
            <w:r>
              <w:rPr>
                <w:rStyle w:val="IndexLink"/>
              </w:rPr>
              <w:t>386</w:t>
            </w:r>
          </w:hyperlink>
        </w:p>
        <w:p>
          <w:pPr>
            <w:pStyle w:val="Contents4"/>
            <w:tabs>
              <w:tab w:val="clear" w:pos="8176"/>
              <w:tab w:val="right" w:pos="9026" w:leader="dot"/>
            </w:tabs>
            <w:rPr/>
          </w:pPr>
          <w:hyperlink w:anchor="__RefHeading___Toc147210_2142443653">
            <w:r>
              <w:rPr>
                <w:webHidden/>
                <w:rStyle w:val="IndexLink"/>
                <w:rtl w:val="true"/>
              </w:rPr>
              <w:t>بحث حول الولایة فی تغسیل المیت</w:t>
            </w:r>
            <w:r>
              <w:rPr>
                <w:rStyle w:val="IndexLink"/>
                <w:rtl w:val="true"/>
              </w:rPr>
              <w:tab/>
            </w:r>
            <w:r>
              <w:rPr>
                <w:rStyle w:val="IndexLink"/>
              </w:rPr>
              <w:t>387</w:t>
            </w:r>
          </w:hyperlink>
        </w:p>
        <w:p>
          <w:pPr>
            <w:pStyle w:val="Contents3"/>
            <w:tabs>
              <w:tab w:val="clear" w:pos="8459"/>
              <w:tab w:val="right" w:pos="9026" w:leader="dot"/>
            </w:tabs>
            <w:rPr/>
          </w:pPr>
          <w:hyperlink w:anchor="__RefHeading___Toc147212_2142443653">
            <w:r>
              <w:rPr>
                <w:webHidden/>
                <w:rStyle w:val="IndexLink"/>
                <w:rtl w:val="true"/>
              </w:rPr>
              <w:t>من یموت فی السفر ولیس له معه مماثل ولامحرم</w:t>
            </w:r>
            <w:r>
              <w:rPr>
                <w:rStyle w:val="IndexLink"/>
                <w:rtl w:val="true"/>
              </w:rPr>
              <w:tab/>
            </w:r>
            <w:r>
              <w:rPr>
                <w:rStyle w:val="IndexLink"/>
              </w:rPr>
              <w:t>391</w:t>
            </w:r>
          </w:hyperlink>
        </w:p>
        <w:p>
          <w:pPr>
            <w:pStyle w:val="Contents4"/>
            <w:tabs>
              <w:tab w:val="clear" w:pos="8176"/>
              <w:tab w:val="right" w:pos="9026" w:leader="dot"/>
            </w:tabs>
            <w:rPr/>
          </w:pPr>
          <w:hyperlink w:anchor="__RefHeading___Toc147214_2142443653">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47216_2142443653">
            <w:r>
              <w:rPr>
                <w:webHidden/>
                <w:rStyle w:val="IndexLink"/>
                <w:rtl w:val="true"/>
              </w:rPr>
              <w:t>عبدالرحمان بن سالم ضعیف</w:t>
            </w:r>
            <w:r>
              <w:rPr>
                <w:rStyle w:val="IndexLink"/>
                <w:rtl w:val="true"/>
              </w:rPr>
              <w:tab/>
            </w:r>
            <w:r>
              <w:rPr>
                <w:rStyle w:val="IndexLink"/>
              </w:rPr>
              <w:t>393</w:t>
            </w:r>
          </w:hyperlink>
        </w:p>
        <w:p>
          <w:pPr>
            <w:pStyle w:val="Contents4"/>
            <w:tabs>
              <w:tab w:val="clear" w:pos="8176"/>
              <w:tab w:val="right" w:pos="9026" w:leader="dot"/>
            </w:tabs>
            <w:rPr/>
          </w:pPr>
          <w:hyperlink w:anchor="__RefHeading___Toc147218_2142443653">
            <w:r>
              <w:rPr>
                <w:webHidden/>
                <w:rStyle w:val="IndexLink"/>
                <w:rtl w:val="true"/>
              </w:rPr>
              <w:t>إشارة إلی ضعیف المفضّل بن عمر</w:t>
            </w:r>
            <w:r>
              <w:rPr>
                <w:rStyle w:val="IndexLink"/>
                <w:rtl w:val="true"/>
              </w:rPr>
              <w:tab/>
            </w:r>
            <w:r>
              <w:rPr>
                <w:rStyle w:val="IndexLink"/>
              </w:rPr>
              <w:t>393</w:t>
            </w:r>
          </w:hyperlink>
        </w:p>
        <w:p>
          <w:pPr>
            <w:pStyle w:val="Contents4"/>
            <w:tabs>
              <w:tab w:val="clear" w:pos="8176"/>
              <w:tab w:val="right" w:pos="9026" w:leader="dot"/>
            </w:tabs>
            <w:rPr/>
          </w:pPr>
          <w:hyperlink w:anchor="__RefHeading___Toc147220_2142443653">
            <w:r>
              <w:rPr>
                <w:webHidden/>
                <w:rStyle w:val="IndexLink"/>
                <w:rtl w:val="true"/>
              </w:rPr>
              <w:t>محمّد بن مروان مشترک</w:t>
            </w:r>
            <w:r>
              <w:rPr>
                <w:rStyle w:val="IndexLink"/>
                <w:rtl w:val="true"/>
              </w:rPr>
              <w:tab/>
            </w:r>
            <w:r>
              <w:rPr>
                <w:rStyle w:val="IndexLink"/>
              </w:rPr>
              <w:t>393</w:t>
            </w:r>
          </w:hyperlink>
        </w:p>
        <w:p>
          <w:pPr>
            <w:pStyle w:val="Contents4"/>
            <w:tabs>
              <w:tab w:val="clear" w:pos="8176"/>
              <w:tab w:val="right" w:pos="9026" w:leader="dot"/>
            </w:tabs>
            <w:rPr/>
          </w:pPr>
          <w:hyperlink w:anchor="__RefHeading___Toc147222_2142443653">
            <w:r>
              <w:rPr>
                <w:webHidden/>
                <w:rStyle w:val="IndexLink"/>
                <w:rtl w:val="true"/>
              </w:rPr>
              <w:t>بیان ما دلّ علی الاکتفاء بغَسل مواضغ التیمّم</w:t>
            </w:r>
            <w:r>
              <w:rPr>
                <w:rStyle w:val="IndexLink"/>
                <w:rtl w:val="true"/>
              </w:rPr>
              <w:tab/>
            </w:r>
            <w:r>
              <w:rPr>
                <w:rStyle w:val="IndexLink"/>
              </w:rPr>
              <w:t>393</w:t>
            </w:r>
          </w:hyperlink>
        </w:p>
        <w:p>
          <w:pPr>
            <w:pStyle w:val="Contents4"/>
            <w:tabs>
              <w:tab w:val="clear" w:pos="8176"/>
              <w:tab w:val="right" w:pos="9026" w:leader="dot"/>
            </w:tabs>
            <w:rPr/>
          </w:pPr>
          <w:hyperlink w:anchor="__RefHeading___Toc147224_2142443653">
            <w:r>
              <w:rPr>
                <w:webHidden/>
                <w:rStyle w:val="IndexLink"/>
                <w:rtl w:val="true"/>
              </w:rPr>
              <w:t>الجمع بین ما دلّ علی غسل مواضع التیمّم وما دلّ علی عدم الغسل أصلاَ</w:t>
            </w:r>
            <w:r>
              <w:rPr>
                <w:rStyle w:val="IndexLink"/>
                <w:rtl w:val="true"/>
              </w:rPr>
              <w:tab/>
            </w:r>
            <w:r>
              <w:rPr>
                <w:rStyle w:val="IndexLink"/>
              </w:rPr>
              <w:t>394</w:t>
            </w:r>
          </w:hyperlink>
        </w:p>
        <w:p>
          <w:pPr>
            <w:pStyle w:val="Contents4"/>
            <w:tabs>
              <w:tab w:val="clear" w:pos="8176"/>
              <w:tab w:val="right" w:pos="9026" w:leader="dot"/>
            </w:tabs>
            <w:rPr/>
          </w:pPr>
          <w:hyperlink w:anchor="__RefHeading___Toc147226_2142443653">
            <w:r>
              <w:rPr>
                <w:webHidden/>
                <w:rStyle w:val="IndexLink"/>
                <w:rtl w:val="true"/>
              </w:rPr>
              <w:t>هل یسقط التیمّم أیضاً؟</w:t>
            </w:r>
            <w:r>
              <w:rPr>
                <w:rStyle w:val="IndexLink"/>
                <w:rtl w:val="true"/>
              </w:rPr>
              <w:tab/>
            </w:r>
            <w:r>
              <w:rPr>
                <w:rStyle w:val="IndexLink"/>
              </w:rPr>
              <w:t>395</w:t>
            </w:r>
          </w:hyperlink>
        </w:p>
        <w:p>
          <w:pPr>
            <w:pStyle w:val="Contents4"/>
            <w:tabs>
              <w:tab w:val="clear" w:pos="8176"/>
              <w:tab w:val="right" w:pos="9026" w:leader="dot"/>
            </w:tabs>
            <w:rPr/>
          </w:pPr>
          <w:hyperlink w:anchor="__RefHeading___Toc147228_2142443653">
            <w:r>
              <w:rPr>
                <w:webHidden/>
                <w:rStyle w:val="IndexLink"/>
                <w:rtl w:val="true"/>
              </w:rPr>
              <w:t>الحسین بن علوان عامی</w:t>
            </w:r>
            <w:r>
              <w:rPr>
                <w:rStyle w:val="IndexLink"/>
                <w:rtl w:val="true"/>
              </w:rPr>
              <w:tab/>
            </w:r>
            <w:r>
              <w:rPr>
                <w:rStyle w:val="IndexLink"/>
              </w:rPr>
              <w:t>396</w:t>
            </w:r>
          </w:hyperlink>
        </w:p>
        <w:p>
          <w:pPr>
            <w:pStyle w:val="Contents4"/>
            <w:tabs>
              <w:tab w:val="clear" w:pos="8176"/>
              <w:tab w:val="right" w:pos="9026" w:leader="dot"/>
            </w:tabs>
            <w:rPr/>
          </w:pPr>
          <w:hyperlink w:anchor="__RefHeading___Toc147230_2142443653">
            <w:r>
              <w:rPr>
                <w:webHidden/>
                <w:rStyle w:val="IndexLink"/>
                <w:rtl w:val="true"/>
              </w:rPr>
              <w:t>بحث حول عمرو بن خالد</w:t>
            </w:r>
            <w:r>
              <w:rPr>
                <w:rStyle w:val="IndexLink"/>
                <w:rtl w:val="true"/>
              </w:rPr>
              <w:tab/>
            </w:r>
            <w:r>
              <w:rPr>
                <w:rStyle w:val="IndexLink"/>
              </w:rPr>
              <w:t>396</w:t>
            </w:r>
          </w:hyperlink>
        </w:p>
        <w:p>
          <w:pPr>
            <w:pStyle w:val="Contents4"/>
            <w:tabs>
              <w:tab w:val="clear" w:pos="8176"/>
              <w:tab w:val="right" w:pos="9026" w:leader="dot"/>
            </w:tabs>
            <w:rPr/>
          </w:pPr>
          <w:hyperlink w:anchor="__RefHeading___Toc147232_2142443653">
            <w:r>
              <w:rPr>
                <w:webHidden/>
                <w:rStyle w:val="IndexLink"/>
                <w:rtl w:val="true"/>
              </w:rPr>
              <w:t>کلمة حول طریق الشیخ إلی علی بن الحسین</w:t>
            </w:r>
            <w:r>
              <w:rPr>
                <w:rStyle w:val="IndexLink"/>
                <w:rtl w:val="true"/>
              </w:rPr>
              <w:tab/>
            </w:r>
            <w:r>
              <w:rPr>
                <w:rStyle w:val="IndexLink"/>
              </w:rPr>
              <w:t>397</w:t>
            </w:r>
          </w:hyperlink>
        </w:p>
        <w:p>
          <w:pPr>
            <w:pStyle w:val="Contents4"/>
            <w:tabs>
              <w:tab w:val="clear" w:pos="8176"/>
              <w:tab w:val="right" w:pos="9026" w:leader="dot"/>
            </w:tabs>
            <w:rPr/>
          </w:pPr>
          <w:hyperlink w:anchor="__RefHeading___Toc147234_2142443653">
            <w:r>
              <w:rPr>
                <w:webHidden/>
                <w:rStyle w:val="IndexLink"/>
                <w:rtl w:val="true"/>
              </w:rPr>
              <w:t>محمّد بن سالم مشترک</w:t>
            </w:r>
            <w:r>
              <w:rPr>
                <w:rStyle w:val="IndexLink"/>
                <w:rtl w:val="true"/>
              </w:rPr>
              <w:tab/>
            </w:r>
            <w:r>
              <w:rPr>
                <w:rStyle w:val="IndexLink"/>
              </w:rPr>
              <w:t>397</w:t>
            </w:r>
          </w:hyperlink>
        </w:p>
        <w:p>
          <w:pPr>
            <w:pStyle w:val="Contents4"/>
            <w:tabs>
              <w:tab w:val="clear" w:pos="8176"/>
              <w:tab w:val="right" w:pos="9026" w:leader="dot"/>
            </w:tabs>
            <w:rPr/>
          </w:pPr>
          <w:hyperlink w:anchor="__RefHeading___Toc147236_2142443653">
            <w:r>
              <w:rPr>
                <w:webHidden/>
                <w:rStyle w:val="IndexLink"/>
                <w:rtl w:val="true"/>
              </w:rPr>
              <w:t>أحمد بن النضر ثقة</w:t>
            </w:r>
            <w:r>
              <w:rPr>
                <w:rStyle w:val="IndexLink"/>
                <w:rtl w:val="true"/>
              </w:rPr>
              <w:tab/>
            </w:r>
            <w:r>
              <w:rPr>
                <w:rStyle w:val="IndexLink"/>
              </w:rPr>
              <w:t>397</w:t>
            </w:r>
          </w:hyperlink>
        </w:p>
        <w:p>
          <w:pPr>
            <w:pStyle w:val="Contents4"/>
            <w:tabs>
              <w:tab w:val="clear" w:pos="8176"/>
              <w:tab w:val="right" w:pos="9026" w:leader="dot"/>
            </w:tabs>
            <w:rPr/>
          </w:pPr>
          <w:hyperlink w:anchor="__RefHeading___Toc147238_2142443653">
            <w:r>
              <w:rPr>
                <w:webHidden/>
                <w:rStyle w:val="IndexLink"/>
                <w:rtl w:val="true"/>
              </w:rPr>
              <w:t>عمرو بن شمر ضعیف</w:t>
            </w:r>
            <w:r>
              <w:rPr>
                <w:rStyle w:val="IndexLink"/>
                <w:rtl w:val="true"/>
              </w:rPr>
              <w:tab/>
            </w:r>
            <w:r>
              <w:rPr>
                <w:rStyle w:val="IndexLink"/>
              </w:rPr>
              <w:t>397</w:t>
            </w:r>
          </w:hyperlink>
        </w:p>
        <w:p>
          <w:pPr>
            <w:pStyle w:val="Contents4"/>
            <w:tabs>
              <w:tab w:val="clear" w:pos="8176"/>
              <w:tab w:val="right" w:pos="9026" w:leader="dot"/>
            </w:tabs>
            <w:rPr/>
          </w:pPr>
          <w:hyperlink w:anchor="__RefHeading___Toc147240_2142443653">
            <w:r>
              <w:rPr>
                <w:webHidden/>
                <w:rStyle w:val="IndexLink"/>
                <w:rtl w:val="true"/>
              </w:rPr>
              <w:t>بحث حول جابر بن یزید الجعفی</w:t>
            </w:r>
            <w:r>
              <w:rPr>
                <w:rStyle w:val="IndexLink"/>
                <w:rtl w:val="true"/>
              </w:rPr>
              <w:tab/>
            </w:r>
            <w:r>
              <w:rPr>
                <w:rStyle w:val="IndexLink"/>
              </w:rPr>
              <w:t>397</w:t>
            </w:r>
          </w:hyperlink>
        </w:p>
        <w:p>
          <w:pPr>
            <w:pStyle w:val="Contents4"/>
            <w:tabs>
              <w:tab w:val="clear" w:pos="8176"/>
              <w:tab w:val="right" w:pos="9026" w:leader="dot"/>
            </w:tabs>
            <w:rPr/>
          </w:pPr>
          <w:hyperlink w:anchor="__RefHeading___Toc147242_2142443653">
            <w:r>
              <w:rPr>
                <w:webHidden/>
                <w:rStyle w:val="IndexLink"/>
                <w:rtl w:val="true"/>
              </w:rPr>
              <w:t>بیان روایتی عمرو بن خالد وجابر والمناقشة فی توجیه الشیخ لهما</w:t>
            </w:r>
            <w:r>
              <w:rPr>
                <w:rStyle w:val="IndexLink"/>
                <w:rtl w:val="true"/>
              </w:rPr>
              <w:tab/>
            </w:r>
            <w:r>
              <w:rPr>
                <w:rStyle w:val="IndexLink"/>
              </w:rPr>
              <w:t>397</w:t>
            </w:r>
          </w:hyperlink>
        </w:p>
        <w:p>
          <w:pPr>
            <w:pStyle w:val="Contents4"/>
            <w:tabs>
              <w:tab w:val="clear" w:pos="8176"/>
              <w:tab w:val="right" w:pos="9026" w:leader="dot"/>
            </w:tabs>
            <w:rPr/>
          </w:pPr>
          <w:hyperlink w:anchor="__RefHeading___Toc147244_2142443653">
            <w:r>
              <w:rPr>
                <w:webHidden/>
                <w:rStyle w:val="IndexLink"/>
                <w:rtl w:val="true"/>
              </w:rPr>
              <w:t>بحث حول محمّد بن أسلم الجبلی</w:t>
            </w:r>
            <w:r>
              <w:rPr>
                <w:rStyle w:val="IndexLink"/>
                <w:rtl w:val="true"/>
              </w:rPr>
              <w:tab/>
            </w:r>
            <w:r>
              <w:rPr>
                <w:rStyle w:val="IndexLink"/>
              </w:rPr>
              <w:t>401</w:t>
            </w:r>
          </w:hyperlink>
        </w:p>
        <w:p>
          <w:pPr>
            <w:pStyle w:val="Contents4"/>
            <w:tabs>
              <w:tab w:val="clear" w:pos="8176"/>
              <w:tab w:val="right" w:pos="9026" w:leader="dot"/>
            </w:tabs>
            <w:rPr/>
          </w:pPr>
          <w:hyperlink w:anchor="__RefHeading___Toc147246_2142443653">
            <w:r>
              <w:rPr>
                <w:webHidden/>
                <w:rStyle w:val="IndexLink"/>
                <w:rtl w:val="true"/>
              </w:rPr>
              <w:t>بیان ما دلّ علی غَسل الکفّین أو موضع التیمّم أو موضع الوضوء</w:t>
            </w:r>
            <w:r>
              <w:rPr>
                <w:rStyle w:val="IndexLink"/>
                <w:rtl w:val="true"/>
              </w:rPr>
              <w:tab/>
            </w:r>
            <w:r>
              <w:rPr>
                <w:rStyle w:val="IndexLink"/>
              </w:rPr>
              <w:t>402</w:t>
            </w:r>
          </w:hyperlink>
        </w:p>
        <w:p>
          <w:pPr>
            <w:pStyle w:val="Contents4"/>
            <w:tabs>
              <w:tab w:val="clear" w:pos="8176"/>
              <w:tab w:val="right" w:pos="9026" w:leader="dot"/>
            </w:tabs>
            <w:rPr/>
          </w:pPr>
          <w:hyperlink w:anchor="__RefHeading___Toc147248_2142443653">
            <w:r>
              <w:rPr>
                <w:webHidden/>
                <w:rStyle w:val="IndexLink"/>
                <w:rtl w:val="true"/>
              </w:rPr>
              <w:t>الحسن بن علی الراوی عن أبی جمیلة هو ابن فضّال</w:t>
            </w:r>
            <w:r>
              <w:rPr>
                <w:rStyle w:val="IndexLink"/>
                <w:rtl w:val="true"/>
              </w:rPr>
              <w:tab/>
            </w:r>
            <w:r>
              <w:rPr>
                <w:rStyle w:val="IndexLink"/>
              </w:rPr>
              <w:t>404</w:t>
            </w:r>
          </w:hyperlink>
        </w:p>
        <w:p>
          <w:pPr>
            <w:pStyle w:val="Contents4"/>
            <w:tabs>
              <w:tab w:val="clear" w:pos="8176"/>
              <w:tab w:val="right" w:pos="9026" w:leader="dot"/>
            </w:tabs>
            <w:rPr/>
          </w:pPr>
          <w:hyperlink w:anchor="__RefHeading___Toc147250_2142443653">
            <w:r>
              <w:rPr>
                <w:webHidden/>
                <w:rStyle w:val="IndexLink"/>
                <w:rtl w:val="true"/>
              </w:rPr>
              <w:t>بیان روایة زید الشحّام</w:t>
            </w:r>
            <w:r>
              <w:rPr>
                <w:rStyle w:val="IndexLink"/>
                <w:rtl w:val="true"/>
              </w:rPr>
              <w:tab/>
            </w:r>
            <w:r>
              <w:rPr>
                <w:rStyle w:val="IndexLink"/>
              </w:rPr>
              <w:t>404</w:t>
            </w:r>
          </w:hyperlink>
        </w:p>
        <w:p>
          <w:pPr>
            <w:pStyle w:val="Contents4"/>
            <w:tabs>
              <w:tab w:val="clear" w:pos="8176"/>
              <w:tab w:val="right" w:pos="9026" w:leader="dot"/>
            </w:tabs>
            <w:rPr/>
          </w:pPr>
          <w:hyperlink w:anchor="__RefHeading___Toc147252_2142443653">
            <w:r>
              <w:rPr>
                <w:webHidden/>
                <w:rStyle w:val="IndexLink"/>
                <w:rtl w:val="true"/>
              </w:rPr>
              <w:t>هل یجوز تفصیل أهل الکتاب للمسلم؟</w:t>
            </w:r>
            <w:r>
              <w:rPr>
                <w:rStyle w:val="IndexLink"/>
                <w:rtl w:val="true"/>
              </w:rPr>
              <w:tab/>
            </w:r>
            <w:r>
              <w:rPr>
                <w:rStyle w:val="IndexLink"/>
              </w:rPr>
              <w:t>405</w:t>
            </w:r>
          </w:hyperlink>
        </w:p>
        <w:p>
          <w:pPr>
            <w:pStyle w:val="Contents4"/>
            <w:tabs>
              <w:tab w:val="clear" w:pos="8176"/>
              <w:tab w:val="right" w:pos="9026" w:leader="dot"/>
            </w:tabs>
            <w:rPr/>
          </w:pPr>
          <w:hyperlink w:anchor="__RefHeading___Toc147254_2142443653">
            <w:r>
              <w:rPr>
                <w:webHidden/>
                <w:rStyle w:val="IndexLink"/>
                <w:rtl w:val="true"/>
              </w:rPr>
              <w:t>بحث حول روایة الحسن بن علی الوشّاء عن عبدالله بن سنان</w:t>
            </w:r>
            <w:r>
              <w:rPr>
                <w:rStyle w:val="IndexLink"/>
                <w:rtl w:val="true"/>
              </w:rPr>
              <w:tab/>
            </w:r>
            <w:r>
              <w:rPr>
                <w:rStyle w:val="IndexLink"/>
              </w:rPr>
              <w:t>408</w:t>
            </w:r>
          </w:hyperlink>
        </w:p>
        <w:p>
          <w:pPr>
            <w:pStyle w:val="Contents4"/>
            <w:tabs>
              <w:tab w:val="clear" w:pos="8176"/>
              <w:tab w:val="right" w:pos="9026" w:leader="dot"/>
            </w:tabs>
            <w:rPr/>
          </w:pPr>
          <w:hyperlink w:anchor="__RefHeading___Toc147256_2142443653">
            <w:r>
              <w:rPr>
                <w:webHidden/>
                <w:rStyle w:val="IndexLink"/>
                <w:rtl w:val="true"/>
              </w:rPr>
              <w:t>بحث حول الحسن بن علی بن خرّزاد</w:t>
            </w:r>
            <w:r>
              <w:rPr>
                <w:rStyle w:val="IndexLink"/>
                <w:rtl w:val="true"/>
              </w:rPr>
              <w:tab/>
            </w:r>
            <w:r>
              <w:rPr>
                <w:rStyle w:val="IndexLink"/>
              </w:rPr>
              <w:t>408</w:t>
            </w:r>
          </w:hyperlink>
        </w:p>
        <w:p>
          <w:pPr>
            <w:pStyle w:val="Contents4"/>
            <w:tabs>
              <w:tab w:val="clear" w:pos="8176"/>
              <w:tab w:val="right" w:pos="9026" w:leader="dot"/>
            </w:tabs>
            <w:rPr/>
          </w:pPr>
          <w:hyperlink w:anchor="__RefHeading___Toc147258_2142443653">
            <w:r>
              <w:rPr>
                <w:webHidden/>
                <w:rStyle w:val="IndexLink"/>
                <w:rtl w:val="true"/>
              </w:rPr>
              <w:t>بحث حول الحسن بن راشد</w:t>
            </w:r>
            <w:r>
              <w:rPr>
                <w:rStyle w:val="IndexLink"/>
                <w:rtl w:val="true"/>
              </w:rPr>
              <w:tab/>
            </w:r>
            <w:r>
              <w:rPr>
                <w:rStyle w:val="IndexLink"/>
              </w:rPr>
              <w:t>409</w:t>
            </w:r>
          </w:hyperlink>
        </w:p>
        <w:p>
          <w:pPr>
            <w:pStyle w:val="Contents4"/>
            <w:tabs>
              <w:tab w:val="clear" w:pos="8176"/>
              <w:tab w:val="right" w:pos="9026" w:leader="dot"/>
            </w:tabs>
            <w:rPr/>
          </w:pPr>
          <w:hyperlink w:anchor="__RefHeading___Toc147260_2142443653">
            <w:r>
              <w:rPr>
                <w:webHidden/>
                <w:rStyle w:val="IndexLink"/>
                <w:rtl w:val="true"/>
              </w:rPr>
              <w:t>بحث حول علی بن إسماعیل</w:t>
            </w:r>
            <w:r>
              <w:rPr>
                <w:rStyle w:val="IndexLink"/>
                <w:rtl w:val="true"/>
              </w:rPr>
              <w:tab/>
            </w:r>
            <w:r>
              <w:rPr>
                <w:rStyle w:val="IndexLink"/>
              </w:rPr>
              <w:t>409</w:t>
            </w:r>
          </w:hyperlink>
        </w:p>
        <w:p>
          <w:pPr>
            <w:pStyle w:val="Contents4"/>
            <w:tabs>
              <w:tab w:val="clear" w:pos="8176"/>
              <w:tab w:val="right" w:pos="9026" w:leader="dot"/>
            </w:tabs>
            <w:rPr/>
          </w:pPr>
          <w:hyperlink w:anchor="__RefHeading___Toc147262_2142443653">
            <w:r>
              <w:rPr>
                <w:webHidden/>
                <w:rStyle w:val="IndexLink"/>
                <w:rtl w:val="true"/>
              </w:rPr>
              <w:t>أبو سعید الراوی عن أبی عبدالله علیه السلام غیر معلوم الحال</w:t>
            </w:r>
            <w:r>
              <w:rPr>
                <w:rStyle w:val="IndexLink"/>
                <w:rtl w:val="true"/>
              </w:rPr>
              <w:tab/>
            </w:r>
            <w:r>
              <w:rPr>
                <w:rStyle w:val="IndexLink"/>
              </w:rPr>
              <w:t>409</w:t>
            </w:r>
          </w:hyperlink>
        </w:p>
        <w:p>
          <w:pPr>
            <w:pStyle w:val="Contents4"/>
            <w:tabs>
              <w:tab w:val="clear" w:pos="8176"/>
              <w:tab w:val="right" w:pos="9026" w:leader="dot"/>
            </w:tabs>
            <w:rPr/>
          </w:pPr>
          <w:hyperlink w:anchor="__RefHeading___Toc147264_2142443653">
            <w:r>
              <w:rPr>
                <w:webHidden/>
                <w:rStyle w:val="IndexLink"/>
                <w:rtl w:val="true"/>
              </w:rPr>
              <w:t>المناقشة فی توجیه الشیخ لما دلّ علی جواز تغسیل الأجنبی للأجنبیة من وراء الثیاب</w:t>
            </w:r>
            <w:r>
              <w:rPr>
                <w:rStyle w:val="IndexLink"/>
                <w:rtl w:val="true"/>
              </w:rPr>
              <w:t>.</w:t>
              <w:tab/>
            </w:r>
            <w:r>
              <w:rPr>
                <w:rStyle w:val="IndexLink"/>
              </w:rPr>
              <w:t>410</w:t>
            </w:r>
          </w:hyperlink>
        </w:p>
        <w:p>
          <w:pPr>
            <w:pStyle w:val="Contents3"/>
            <w:tabs>
              <w:tab w:val="clear" w:pos="8459"/>
              <w:tab w:val="right" w:pos="9026" w:leader="dot"/>
            </w:tabs>
            <w:rPr/>
          </w:pPr>
          <w:hyperlink w:anchor="__RefHeading___Toc147266_2142443653">
            <w:r>
              <w:rPr>
                <w:webHidden/>
                <w:rStyle w:val="IndexLink"/>
                <w:rtl w:val="true"/>
              </w:rPr>
              <w:t>کیفیة غُسل المیت</w:t>
            </w:r>
            <w:r>
              <w:rPr>
                <w:rStyle w:val="IndexLink"/>
                <w:rtl w:val="true"/>
              </w:rPr>
              <w:tab/>
            </w:r>
            <w:r>
              <w:rPr>
                <w:rStyle w:val="IndexLink"/>
              </w:rPr>
              <w:t>410</w:t>
            </w:r>
          </w:hyperlink>
        </w:p>
        <w:p>
          <w:pPr>
            <w:pStyle w:val="Contents4"/>
            <w:tabs>
              <w:tab w:val="clear" w:pos="8176"/>
              <w:tab w:val="right" w:pos="9026" w:leader="dot"/>
            </w:tabs>
            <w:rPr/>
          </w:pPr>
          <w:hyperlink w:anchor="__RefHeading___Toc147268_2142443653">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147270_2142443653">
            <w:r>
              <w:rPr>
                <w:webHidden/>
                <w:rStyle w:val="IndexLink"/>
                <w:rtl w:val="true"/>
              </w:rPr>
              <w:t>عثمان النواء مهمل</w:t>
            </w:r>
            <w:r>
              <w:rPr>
                <w:rStyle w:val="IndexLink"/>
                <w:rtl w:val="true"/>
              </w:rPr>
              <w:tab/>
            </w:r>
            <w:r>
              <w:rPr>
                <w:rStyle w:val="IndexLink"/>
              </w:rPr>
              <w:t>411</w:t>
            </w:r>
          </w:hyperlink>
        </w:p>
        <w:p>
          <w:pPr>
            <w:pStyle w:val="Contents4"/>
            <w:tabs>
              <w:tab w:val="clear" w:pos="8176"/>
              <w:tab w:val="right" w:pos="9026" w:leader="dot"/>
            </w:tabs>
            <w:rPr/>
          </w:pPr>
          <w:hyperlink w:anchor="__RefHeading___Toc147272_2142443653">
            <w:r>
              <w:rPr>
                <w:webHidden/>
                <w:rStyle w:val="IndexLink"/>
                <w:rtl w:val="true"/>
              </w:rPr>
              <w:t>بحث حول إبراهیم الخزّاز</w:t>
            </w:r>
            <w:r>
              <w:rPr>
                <w:rStyle w:val="IndexLink"/>
                <w:rtl w:val="true"/>
              </w:rPr>
              <w:tab/>
            </w:r>
            <w:r>
              <w:rPr>
                <w:rStyle w:val="IndexLink"/>
              </w:rPr>
              <w:t>411</w:t>
            </w:r>
          </w:hyperlink>
        </w:p>
        <w:p>
          <w:pPr>
            <w:pStyle w:val="Contents4"/>
            <w:tabs>
              <w:tab w:val="clear" w:pos="8176"/>
              <w:tab w:val="right" w:pos="9026" w:leader="dot"/>
            </w:tabs>
            <w:rPr/>
          </w:pPr>
          <w:hyperlink w:anchor="__RefHeading___Toc147274_2142443653">
            <w:r>
              <w:rPr>
                <w:webHidden/>
                <w:rStyle w:val="IndexLink"/>
                <w:rtl w:val="true"/>
              </w:rPr>
              <w:t>حمران بن أعین فیه کلام</w:t>
            </w:r>
            <w:r>
              <w:rPr>
                <w:rStyle w:val="IndexLink"/>
                <w:rtl w:val="true"/>
              </w:rPr>
              <w:tab/>
            </w:r>
            <w:r>
              <w:rPr>
                <w:rStyle w:val="IndexLink"/>
              </w:rPr>
              <w:t>411</w:t>
            </w:r>
          </w:hyperlink>
        </w:p>
        <w:p>
          <w:pPr>
            <w:pStyle w:val="Contents4"/>
            <w:tabs>
              <w:tab w:val="clear" w:pos="8176"/>
              <w:tab w:val="right" w:pos="9026" w:leader="dot"/>
            </w:tabs>
            <w:rPr/>
          </w:pPr>
          <w:hyperlink w:anchor="__RefHeading___Toc147276_2142443653">
            <w:r>
              <w:rPr>
                <w:webHidden/>
                <w:rStyle w:val="IndexLink"/>
                <w:rtl w:val="true"/>
              </w:rPr>
              <w:t>حکم جعل الحنوط فی مسامع المیت</w:t>
            </w:r>
            <w:r>
              <w:rPr>
                <w:rStyle w:val="IndexLink"/>
                <w:rtl w:val="true"/>
              </w:rPr>
              <w:tab/>
            </w:r>
            <w:r>
              <w:rPr>
                <w:rStyle w:val="IndexLink"/>
              </w:rPr>
              <w:t>412</w:t>
            </w:r>
          </w:hyperlink>
        </w:p>
        <w:p>
          <w:pPr>
            <w:pStyle w:val="Contents4"/>
            <w:tabs>
              <w:tab w:val="clear" w:pos="8176"/>
              <w:tab w:val="right" w:pos="9026" w:leader="dot"/>
            </w:tabs>
            <w:rPr/>
          </w:pPr>
          <w:hyperlink w:anchor="__RefHeading___Toc147278_2142443653">
            <w:r>
              <w:rPr>
                <w:webHidden/>
                <w:rStyle w:val="IndexLink"/>
                <w:rtl w:val="true"/>
              </w:rPr>
              <w:t>الرفق بالمیت حین الغُسل وعدم غمز مفاصله</w:t>
            </w:r>
            <w:r>
              <w:rPr>
                <w:rStyle w:val="IndexLink"/>
                <w:rtl w:val="true"/>
              </w:rPr>
              <w:tab/>
            </w:r>
            <w:r>
              <w:rPr>
                <w:rStyle w:val="IndexLink"/>
              </w:rPr>
              <w:t>414</w:t>
            </w:r>
          </w:hyperlink>
        </w:p>
        <w:p>
          <w:pPr>
            <w:pStyle w:val="Contents4"/>
            <w:tabs>
              <w:tab w:val="clear" w:pos="8176"/>
              <w:tab w:val="right" w:pos="9026" w:leader="dot"/>
            </w:tabs>
            <w:rPr/>
          </w:pPr>
          <w:hyperlink w:anchor="__RefHeading___Toc147280_2142443653">
            <w:r>
              <w:rPr>
                <w:webHidden/>
                <w:rStyle w:val="IndexLink"/>
                <w:rtl w:val="true"/>
              </w:rPr>
              <w:t>کیفیة العمامة</w:t>
            </w:r>
            <w:r>
              <w:rPr>
                <w:rStyle w:val="IndexLink"/>
                <w:rtl w:val="true"/>
              </w:rPr>
              <w:tab/>
            </w:r>
            <w:r>
              <w:rPr>
                <w:rStyle w:val="IndexLink"/>
              </w:rPr>
              <w:t>414</w:t>
            </w:r>
          </w:hyperlink>
        </w:p>
        <w:p>
          <w:pPr>
            <w:pStyle w:val="Contents4"/>
            <w:tabs>
              <w:tab w:val="clear" w:pos="8176"/>
              <w:tab w:val="right" w:pos="9026" w:leader="dot"/>
            </w:tabs>
            <w:rPr/>
          </w:pPr>
          <w:hyperlink w:anchor="__RefHeading___Toc147282_2142443653">
            <w:r>
              <w:rPr>
                <w:webHidden/>
                <w:rStyle w:val="IndexLink"/>
                <w:rtl w:val="true"/>
              </w:rPr>
              <w:t>وضع الکافور علی منخر المیت ومساجده</w:t>
            </w:r>
            <w:r>
              <w:rPr>
                <w:rStyle w:val="IndexLink"/>
                <w:rtl w:val="true"/>
              </w:rPr>
              <w:tab/>
            </w:r>
            <w:r>
              <w:rPr>
                <w:rStyle w:val="IndexLink"/>
              </w:rPr>
              <w:t>415</w:t>
            </w:r>
          </w:hyperlink>
        </w:p>
        <w:p>
          <w:pPr>
            <w:pStyle w:val="Contents4"/>
            <w:tabs>
              <w:tab w:val="clear" w:pos="8176"/>
              <w:tab w:val="right" w:pos="9026" w:leader="dot"/>
            </w:tabs>
            <w:rPr/>
          </w:pPr>
          <w:hyperlink w:anchor="__RefHeading___Toc147284_2142443653">
            <w:r>
              <w:rPr>
                <w:webHidden/>
                <w:rStyle w:val="IndexLink"/>
                <w:rtl w:val="true"/>
              </w:rPr>
              <w:t>قِطَع الکفن</w:t>
            </w:r>
            <w:r>
              <w:rPr>
                <w:rStyle w:val="IndexLink"/>
                <w:rtl w:val="true"/>
              </w:rPr>
              <w:tab/>
            </w:r>
            <w:r>
              <w:rPr>
                <w:rStyle w:val="IndexLink"/>
              </w:rPr>
              <w:t>416</w:t>
            </w:r>
          </w:hyperlink>
        </w:p>
        <w:p>
          <w:pPr>
            <w:pStyle w:val="Contents4"/>
            <w:tabs>
              <w:tab w:val="clear" w:pos="8176"/>
              <w:tab w:val="right" w:pos="9026" w:leader="dot"/>
            </w:tabs>
            <w:rPr/>
          </w:pPr>
          <w:hyperlink w:anchor="__RefHeading___Toc147286_2142443653">
            <w:r>
              <w:rPr>
                <w:webHidden/>
                <w:rStyle w:val="IndexLink"/>
                <w:rtl w:val="true"/>
              </w:rPr>
              <w:t>معنی الرفق والغمز</w:t>
            </w:r>
            <w:r>
              <w:rPr>
                <w:rStyle w:val="IndexLink"/>
                <w:rtl w:val="true"/>
              </w:rPr>
              <w:tab/>
            </w:r>
            <w:r>
              <w:rPr>
                <w:rStyle w:val="IndexLink"/>
              </w:rPr>
              <w:t>419</w:t>
            </w:r>
          </w:hyperlink>
        </w:p>
        <w:p>
          <w:pPr>
            <w:pStyle w:val="Contents4"/>
            <w:tabs>
              <w:tab w:val="clear" w:pos="8176"/>
              <w:tab w:val="right" w:pos="9026" w:leader="dot"/>
            </w:tabs>
            <w:rPr/>
          </w:pPr>
          <w:hyperlink w:anchor="__RefHeading___Toc147288_2142443653">
            <w:r>
              <w:rPr>
                <w:webHidden/>
                <w:rStyle w:val="IndexLink"/>
                <w:rtl w:val="true"/>
              </w:rPr>
              <w:t>أبو العباس هو الفضل بن عبدالملک</w:t>
            </w:r>
            <w:r>
              <w:rPr>
                <w:rStyle w:val="IndexLink"/>
                <w:rtl w:val="true"/>
              </w:rPr>
              <w:tab/>
            </w:r>
            <w:r>
              <w:rPr>
                <w:rStyle w:val="IndexLink"/>
              </w:rPr>
              <w:t>421</w:t>
            </w:r>
          </w:hyperlink>
        </w:p>
        <w:p>
          <w:pPr>
            <w:pStyle w:val="Contents4"/>
            <w:tabs>
              <w:tab w:val="clear" w:pos="8176"/>
              <w:tab w:val="right" w:pos="9026" w:leader="dot"/>
            </w:tabs>
            <w:rPr/>
          </w:pPr>
          <w:hyperlink w:anchor="__RefHeading___Toc147290_2142443653">
            <w:r>
              <w:rPr>
                <w:webHidden/>
                <w:rStyle w:val="IndexLink"/>
                <w:rtl w:val="true"/>
              </w:rPr>
              <w:t>بحث حول علی بن عقبه</w:t>
            </w:r>
            <w:r>
              <w:rPr>
                <w:rStyle w:val="IndexLink"/>
                <w:rtl w:val="true"/>
              </w:rPr>
              <w:tab/>
            </w:r>
            <w:r>
              <w:rPr>
                <w:rStyle w:val="IndexLink"/>
              </w:rPr>
              <w:t>421</w:t>
            </w:r>
          </w:hyperlink>
        </w:p>
        <w:p>
          <w:pPr>
            <w:pStyle w:val="Contents4"/>
            <w:tabs>
              <w:tab w:val="clear" w:pos="8176"/>
              <w:tab w:val="right" w:pos="9026" w:leader="dot"/>
            </w:tabs>
            <w:rPr/>
          </w:pPr>
          <w:hyperlink w:anchor="__RefHeading___Toc147292_2142443653">
            <w:r>
              <w:rPr>
                <w:webHidden/>
                <w:rStyle w:val="IndexLink"/>
                <w:rtl w:val="true"/>
              </w:rPr>
              <w:t>ذبیان بن حکیم مهمل</w:t>
            </w:r>
            <w:r>
              <w:rPr>
                <w:rStyle w:val="IndexLink"/>
                <w:rtl w:val="true"/>
              </w:rPr>
              <w:tab/>
            </w:r>
            <w:r>
              <w:rPr>
                <w:rStyle w:val="IndexLink"/>
              </w:rPr>
              <w:t>422</w:t>
            </w:r>
          </w:hyperlink>
        </w:p>
        <w:p>
          <w:pPr>
            <w:pStyle w:val="Contents4"/>
            <w:tabs>
              <w:tab w:val="clear" w:pos="8176"/>
              <w:tab w:val="right" w:pos="9026" w:leader="dot"/>
            </w:tabs>
            <w:rPr/>
          </w:pPr>
          <w:hyperlink w:anchor="__RefHeading___Toc147294_2142443653">
            <w:r>
              <w:rPr>
                <w:webHidden/>
                <w:rStyle w:val="IndexLink"/>
                <w:rtl w:val="true"/>
              </w:rPr>
              <w:t>العلاء بن سیابة</w:t>
            </w:r>
            <w:r>
              <w:rPr>
                <w:rStyle w:val="IndexLink"/>
                <w:rtl w:val="true"/>
              </w:rPr>
              <w:tab/>
            </w:r>
            <w:r>
              <w:rPr>
                <w:rStyle w:val="IndexLink"/>
              </w:rPr>
              <w:t>422</w:t>
            </w:r>
          </w:hyperlink>
        </w:p>
        <w:p>
          <w:pPr>
            <w:pStyle w:val="Contents4"/>
            <w:tabs>
              <w:tab w:val="clear" w:pos="8176"/>
              <w:tab w:val="right" w:pos="9026" w:leader="dot"/>
            </w:tabs>
            <w:rPr/>
          </w:pPr>
          <w:hyperlink w:anchor="__RefHeading___Toc147296_2142443653">
            <w:r>
              <w:rPr>
                <w:webHidden/>
                <w:rStyle w:val="IndexLink"/>
                <w:rtl w:val="true"/>
              </w:rPr>
              <w:t>حکم غمز بطن المیت</w:t>
            </w:r>
            <w:r>
              <w:rPr>
                <w:rStyle w:val="IndexLink"/>
                <w:rtl w:val="true"/>
              </w:rPr>
              <w:tab/>
            </w:r>
            <w:r>
              <w:rPr>
                <w:rStyle w:val="IndexLink"/>
              </w:rPr>
              <w:t>423</w:t>
            </w:r>
          </w:hyperlink>
        </w:p>
        <w:p>
          <w:pPr>
            <w:pStyle w:val="Contents4"/>
            <w:tabs>
              <w:tab w:val="clear" w:pos="8176"/>
              <w:tab w:val="right" w:pos="9026" w:leader="dot"/>
            </w:tabs>
            <w:rPr/>
          </w:pPr>
          <w:hyperlink w:anchor="__RefHeading___Toc147298_2142443653">
            <w:r>
              <w:rPr>
                <w:webHidden/>
                <w:rStyle w:val="IndexLink"/>
                <w:rtl w:val="true"/>
              </w:rPr>
              <w:t>حکم إقعاد المیت</w:t>
            </w:r>
            <w:r>
              <w:rPr>
                <w:rStyle w:val="IndexLink"/>
                <w:rtl w:val="true"/>
              </w:rPr>
              <w:tab/>
            </w:r>
            <w:r>
              <w:rPr>
                <w:rStyle w:val="IndexLink"/>
              </w:rPr>
              <w:t>424</w:t>
            </w:r>
          </w:hyperlink>
        </w:p>
        <w:p>
          <w:pPr>
            <w:pStyle w:val="Contents4"/>
            <w:tabs>
              <w:tab w:val="clear" w:pos="8176"/>
              <w:tab w:val="right" w:pos="9026" w:leader="dot"/>
            </w:tabs>
            <w:rPr/>
          </w:pPr>
          <w:hyperlink w:anchor="__RefHeading___Toc147300_2142443653">
            <w:r>
              <w:rPr>
                <w:webHidden/>
                <w:rStyle w:val="IndexLink"/>
                <w:rtl w:val="true"/>
              </w:rPr>
              <w:t>معنی القَراح</w:t>
            </w:r>
            <w:r>
              <w:rPr>
                <w:rStyle w:val="IndexLink"/>
                <w:rtl w:val="true"/>
              </w:rPr>
              <w:tab/>
            </w:r>
            <w:r>
              <w:rPr>
                <w:rStyle w:val="IndexLink"/>
              </w:rPr>
              <w:t>424</w:t>
            </w:r>
          </w:hyperlink>
        </w:p>
        <w:p>
          <w:pPr>
            <w:pStyle w:val="Contents3"/>
            <w:tabs>
              <w:tab w:val="clear" w:pos="8459"/>
              <w:tab w:val="right" w:pos="9026" w:leader="dot"/>
            </w:tabs>
            <w:rPr/>
          </w:pPr>
          <w:hyperlink w:anchor="__RefHeading___Toc147302_2142443653">
            <w:r>
              <w:rPr>
                <w:webHidden/>
                <w:rStyle w:val="IndexLink"/>
                <w:rtl w:val="true"/>
              </w:rPr>
              <w:t>تقدیم الوضوء علی غسل المیت</w:t>
            </w:r>
            <w:r>
              <w:rPr>
                <w:rStyle w:val="IndexLink"/>
                <w:rtl w:val="true"/>
              </w:rPr>
              <w:tab/>
            </w:r>
            <w:r>
              <w:rPr>
                <w:rStyle w:val="IndexLink"/>
              </w:rPr>
              <w:t>425</w:t>
            </w:r>
          </w:hyperlink>
        </w:p>
        <w:p>
          <w:pPr>
            <w:pStyle w:val="Contents4"/>
            <w:tabs>
              <w:tab w:val="clear" w:pos="8176"/>
              <w:tab w:val="right" w:pos="9026" w:leader="dot"/>
            </w:tabs>
            <w:rPr/>
          </w:pPr>
          <w:hyperlink w:anchor="__RefHeading___Toc147304_2142443653">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147306_2142443653">
            <w:r>
              <w:rPr>
                <w:webHidden/>
                <w:rStyle w:val="IndexLink"/>
                <w:rtl w:val="true"/>
              </w:rPr>
              <w:t>بحث حول المُسلی</w:t>
            </w:r>
            <w:r>
              <w:rPr>
                <w:rStyle w:val="IndexLink"/>
                <w:rtl w:val="true"/>
              </w:rPr>
              <w:tab/>
            </w:r>
            <w:r>
              <w:rPr>
                <w:rStyle w:val="IndexLink"/>
              </w:rPr>
              <w:t>428</w:t>
            </w:r>
          </w:hyperlink>
        </w:p>
        <w:p>
          <w:pPr>
            <w:pStyle w:val="Contents4"/>
            <w:tabs>
              <w:tab w:val="clear" w:pos="8176"/>
              <w:tab w:val="right" w:pos="9026" w:leader="dot"/>
            </w:tabs>
            <w:rPr/>
          </w:pPr>
          <w:hyperlink w:anchor="__RefHeading___Toc147308_2142443653">
            <w:r>
              <w:rPr>
                <w:webHidden/>
                <w:rStyle w:val="IndexLink"/>
                <w:rtl w:val="true"/>
              </w:rPr>
              <w:t>عبدالله بن عبید مشترک بین مهملین</w:t>
            </w:r>
            <w:r>
              <w:rPr>
                <w:rStyle w:val="IndexLink"/>
                <w:rtl w:val="true"/>
              </w:rPr>
              <w:tab/>
            </w:r>
            <w:r>
              <w:rPr>
                <w:rStyle w:val="IndexLink"/>
              </w:rPr>
              <w:t>428</w:t>
            </w:r>
          </w:hyperlink>
        </w:p>
        <w:p>
          <w:pPr>
            <w:pStyle w:val="Contents4"/>
            <w:tabs>
              <w:tab w:val="clear" w:pos="8176"/>
              <w:tab w:val="right" w:pos="9026" w:leader="dot"/>
            </w:tabs>
            <w:rPr/>
          </w:pPr>
          <w:hyperlink w:anchor="__RefHeading___Toc147310_2142443653">
            <w:r>
              <w:rPr>
                <w:webHidden/>
                <w:rStyle w:val="IndexLink"/>
                <w:rtl w:val="true"/>
              </w:rPr>
              <w:t>إشارة إلی ضعف علی بن حدید</w:t>
            </w:r>
            <w:r>
              <w:rPr>
                <w:rStyle w:val="IndexLink"/>
                <w:rtl w:val="true"/>
              </w:rPr>
              <w:tab/>
            </w:r>
            <w:r>
              <w:rPr>
                <w:rStyle w:val="IndexLink"/>
              </w:rPr>
              <w:t>428</w:t>
            </w:r>
          </w:hyperlink>
        </w:p>
        <w:p>
          <w:pPr>
            <w:pStyle w:val="Contents4"/>
            <w:tabs>
              <w:tab w:val="clear" w:pos="8176"/>
              <w:tab w:val="right" w:pos="9026" w:leader="dot"/>
            </w:tabs>
            <w:rPr/>
          </w:pPr>
          <w:hyperlink w:anchor="__RefHeading___Toc147312_2142443653">
            <w:r>
              <w:rPr>
                <w:webHidden/>
                <w:rStyle w:val="IndexLink"/>
                <w:rtl w:val="true"/>
              </w:rPr>
              <w:t>بحث حول سند روایة حریز</w:t>
            </w:r>
            <w:r>
              <w:rPr>
                <w:rStyle w:val="IndexLink"/>
                <w:rtl w:val="true"/>
              </w:rPr>
              <w:tab/>
            </w:r>
            <w:r>
              <w:rPr>
                <w:rStyle w:val="IndexLink"/>
              </w:rPr>
              <w:t>429</w:t>
            </w:r>
          </w:hyperlink>
        </w:p>
        <w:p>
          <w:pPr>
            <w:pStyle w:val="Contents4"/>
            <w:tabs>
              <w:tab w:val="clear" w:pos="8176"/>
              <w:tab w:val="right" w:pos="9026" w:leader="dot"/>
            </w:tabs>
            <w:rPr/>
          </w:pPr>
          <w:hyperlink w:anchor="__RefHeading___Toc147314_2142443653">
            <w:r>
              <w:rPr>
                <w:webHidden/>
                <w:rStyle w:val="IndexLink"/>
                <w:rtl w:val="true"/>
              </w:rPr>
              <w:t>بحث حول محمّد بن یحیی المعاذی</w:t>
            </w:r>
            <w:r>
              <w:rPr>
                <w:rStyle w:val="IndexLink"/>
                <w:rtl w:val="true"/>
              </w:rPr>
              <w:tab/>
            </w:r>
            <w:r>
              <w:rPr>
                <w:rStyle w:val="IndexLink"/>
              </w:rPr>
              <w:t>429</w:t>
            </w:r>
          </w:hyperlink>
        </w:p>
        <w:p>
          <w:pPr>
            <w:pStyle w:val="Contents4"/>
            <w:tabs>
              <w:tab w:val="clear" w:pos="8176"/>
              <w:tab w:val="right" w:pos="9026" w:leader="dot"/>
            </w:tabs>
            <w:rPr/>
          </w:pPr>
          <w:hyperlink w:anchor="__RefHeading___Toc147316_2142443653">
            <w:r>
              <w:rPr>
                <w:webHidden/>
                <w:rStyle w:val="IndexLink"/>
                <w:rtl w:val="true"/>
              </w:rPr>
              <w:t>بحث حول محمّد بن حفص بن غیاث</w:t>
            </w:r>
            <w:r>
              <w:rPr>
                <w:rStyle w:val="IndexLink"/>
                <w:rtl w:val="true"/>
              </w:rPr>
              <w:tab/>
            </w:r>
            <w:r>
              <w:rPr>
                <w:rStyle w:val="IndexLink"/>
              </w:rPr>
              <w:t>430</w:t>
            </w:r>
          </w:hyperlink>
        </w:p>
        <w:p>
          <w:pPr>
            <w:pStyle w:val="Contents4"/>
            <w:tabs>
              <w:tab w:val="clear" w:pos="8176"/>
              <w:tab w:val="right" w:pos="9026" w:leader="dot"/>
            </w:tabs>
            <w:rPr/>
          </w:pPr>
          <w:hyperlink w:anchor="__RefHeading___Toc147318_2142443653">
            <w:r>
              <w:rPr>
                <w:webHidden/>
                <w:rStyle w:val="IndexLink"/>
                <w:rtl w:val="true"/>
              </w:rPr>
              <w:t>لیث مشترک</w:t>
            </w:r>
            <w:r>
              <w:rPr>
                <w:rStyle w:val="IndexLink"/>
                <w:rtl w:val="true"/>
              </w:rPr>
              <w:tab/>
            </w:r>
            <w:r>
              <w:rPr>
                <w:rStyle w:val="IndexLink"/>
              </w:rPr>
              <w:t>431</w:t>
            </w:r>
          </w:hyperlink>
        </w:p>
        <w:p>
          <w:pPr>
            <w:pStyle w:val="Contents4"/>
            <w:tabs>
              <w:tab w:val="clear" w:pos="8176"/>
              <w:tab w:val="right" w:pos="9026" w:leader="dot"/>
            </w:tabs>
            <w:rPr/>
          </w:pPr>
          <w:hyperlink w:anchor="__RefHeading___Toc147320_2142443653">
            <w:r>
              <w:rPr>
                <w:webHidden/>
                <w:rStyle w:val="IndexLink"/>
                <w:rtl w:val="true"/>
              </w:rPr>
              <w:t>بحث حول علی بن محمّد القاشانی</w:t>
            </w:r>
            <w:r>
              <w:rPr>
                <w:rStyle w:val="IndexLink"/>
                <w:rtl w:val="true"/>
              </w:rPr>
              <w:tab/>
            </w:r>
            <w:r>
              <w:rPr>
                <w:rStyle w:val="IndexLink"/>
              </w:rPr>
              <w:t>431</w:t>
            </w:r>
          </w:hyperlink>
        </w:p>
        <w:p>
          <w:pPr>
            <w:pStyle w:val="Contents4"/>
            <w:tabs>
              <w:tab w:val="clear" w:pos="8176"/>
              <w:tab w:val="right" w:pos="9026" w:leader="dot"/>
            </w:tabs>
            <w:rPr/>
          </w:pPr>
          <w:hyperlink w:anchor="__RefHeading___Toc147322_2142443653">
            <w:r>
              <w:rPr>
                <w:webHidden/>
                <w:rStyle w:val="IndexLink"/>
                <w:rtl w:val="true"/>
              </w:rPr>
              <w:t xml:space="preserve">مالمراد بالوضوء فی قوله علیه السلام </w:t>
            </w:r>
            <w:r>
              <w:rPr>
                <w:rStyle w:val="IndexLink"/>
                <w:rtl w:val="true"/>
              </w:rPr>
              <w:t xml:space="preserve">: « </w:t>
            </w:r>
            <w:r>
              <w:rPr>
                <w:rStyle w:val="IndexLink"/>
                <w:rtl w:val="true"/>
              </w:rPr>
              <w:t xml:space="preserve">یوضّأ وضوء الصلاة </w:t>
            </w:r>
            <w:r>
              <w:rPr>
                <w:rStyle w:val="IndexLink"/>
                <w:rtl w:val="true"/>
              </w:rPr>
              <w:t>»</w:t>
            </w:r>
            <w:r>
              <w:rPr>
                <w:rStyle w:val="IndexLink"/>
                <w:rtl w:val="true"/>
              </w:rPr>
              <w:t>؟</w:t>
            </w:r>
            <w:r>
              <w:rPr>
                <w:rStyle w:val="IndexLink"/>
                <w:rtl w:val="true"/>
              </w:rPr>
              <w:tab/>
            </w:r>
            <w:r>
              <w:rPr>
                <w:rStyle w:val="IndexLink"/>
              </w:rPr>
              <w:t>432</w:t>
            </w:r>
          </w:hyperlink>
        </w:p>
        <w:p>
          <w:pPr>
            <w:pStyle w:val="Contents4"/>
            <w:tabs>
              <w:tab w:val="clear" w:pos="8176"/>
              <w:tab w:val="right" w:pos="9026" w:leader="dot"/>
            </w:tabs>
            <w:rPr/>
          </w:pPr>
          <w:hyperlink w:anchor="__RefHeading___Toc147324_2142443653">
            <w:r>
              <w:rPr>
                <w:webHidden/>
                <w:rStyle w:val="IndexLink"/>
                <w:rtl w:val="true"/>
              </w:rPr>
              <w:t>هل وضوء المیت قبل غسله واجب؟</w:t>
            </w:r>
            <w:r>
              <w:rPr>
                <w:rStyle w:val="IndexLink"/>
                <w:rtl w:val="true"/>
              </w:rPr>
              <w:tab/>
            </w:r>
            <w:r>
              <w:rPr>
                <w:rStyle w:val="IndexLink"/>
              </w:rPr>
              <w:t>432</w:t>
            </w:r>
          </w:hyperlink>
        </w:p>
        <w:p>
          <w:pPr>
            <w:pStyle w:val="Contents4"/>
            <w:tabs>
              <w:tab w:val="clear" w:pos="8176"/>
              <w:tab w:val="right" w:pos="9026" w:leader="dot"/>
            </w:tabs>
            <w:rPr/>
          </w:pPr>
          <w:hyperlink w:anchor="__RefHeading___Toc147326_2142443653">
            <w:r>
              <w:rPr>
                <w:webHidden/>
                <w:rStyle w:val="IndexLink"/>
                <w:rtl w:val="true"/>
              </w:rPr>
              <w:t xml:space="preserve">بیان حول قوله علیه السلام </w:t>
            </w:r>
            <w:r>
              <w:rPr>
                <w:rStyle w:val="IndexLink"/>
                <w:rtl w:val="true"/>
              </w:rPr>
              <w:t xml:space="preserve">: « </w:t>
            </w:r>
            <w:r>
              <w:rPr>
                <w:rStyle w:val="IndexLink"/>
                <w:rtl w:val="true"/>
              </w:rPr>
              <w:t xml:space="preserve">ویطرح فیه سبع ورقات </w:t>
            </w:r>
            <w:r>
              <w:rPr>
                <w:rStyle w:val="IndexLink"/>
                <w:rtl w:val="true"/>
              </w:rPr>
              <w:t>... »</w:t>
              <w:tab/>
            </w:r>
            <w:r>
              <w:rPr>
                <w:rStyle w:val="IndexLink"/>
              </w:rPr>
              <w:t>436</w:t>
            </w:r>
          </w:hyperlink>
        </w:p>
        <w:p>
          <w:pPr>
            <w:pStyle w:val="Contents4"/>
            <w:tabs>
              <w:tab w:val="clear" w:pos="8176"/>
              <w:tab w:val="right" w:pos="9026" w:leader="dot"/>
            </w:tabs>
            <w:rPr/>
          </w:pPr>
          <w:hyperlink w:anchor="__RefHeading___Toc147328_2142443653">
            <w:r>
              <w:rPr>
                <w:webHidden/>
                <w:rStyle w:val="IndexLink"/>
                <w:rtl w:val="true"/>
              </w:rPr>
              <w:t>بیان حول روایتی معاویة بن عمّار وأبی خیثمة</w:t>
            </w:r>
            <w:r>
              <w:rPr>
                <w:rStyle w:val="IndexLink"/>
                <w:rtl w:val="true"/>
              </w:rPr>
              <w:tab/>
            </w:r>
            <w:r>
              <w:rPr>
                <w:rStyle w:val="IndexLink"/>
              </w:rPr>
              <w:t>437</w:t>
            </w:r>
          </w:hyperlink>
        </w:p>
        <w:p>
          <w:pPr>
            <w:pStyle w:val="Contents4"/>
            <w:tabs>
              <w:tab w:val="clear" w:pos="8176"/>
              <w:tab w:val="right" w:pos="9026" w:leader="dot"/>
            </w:tabs>
            <w:rPr/>
          </w:pPr>
          <w:hyperlink w:anchor="__RefHeading___Toc147330_2142443653">
            <w:r>
              <w:rPr>
                <w:webHidden/>
                <w:rStyle w:val="IndexLink"/>
                <w:rtl w:val="true"/>
              </w:rPr>
              <w:t>معنی الاُشنان والکرسف</w:t>
            </w:r>
            <w:r>
              <w:rPr>
                <w:rStyle w:val="IndexLink"/>
                <w:rtl w:val="true"/>
              </w:rPr>
              <w:tab/>
            </w:r>
            <w:r>
              <w:rPr>
                <w:rStyle w:val="IndexLink"/>
              </w:rPr>
              <w:t>437</w:t>
            </w:r>
          </w:hyperlink>
        </w:p>
        <w:p>
          <w:pPr>
            <w:pStyle w:val="Contents4"/>
            <w:tabs>
              <w:tab w:val="clear" w:pos="8176"/>
              <w:tab w:val="right" w:pos="9026" w:leader="dot"/>
            </w:tabs>
            <w:rPr/>
          </w:pPr>
          <w:hyperlink w:anchor="__RefHeading___Toc147332_2142443653">
            <w:r>
              <w:rPr>
                <w:webHidden/>
                <w:rStyle w:val="IndexLink"/>
                <w:rtl w:val="true"/>
              </w:rPr>
              <w:t>کلمة حول طریق الشیخ إلی علی بن الحسین</w:t>
            </w:r>
            <w:r>
              <w:rPr>
                <w:rStyle w:val="IndexLink"/>
                <w:rtl w:val="true"/>
              </w:rPr>
              <w:tab/>
            </w:r>
            <w:r>
              <w:rPr>
                <w:rStyle w:val="IndexLink"/>
              </w:rPr>
              <w:t>439</w:t>
            </w:r>
          </w:hyperlink>
        </w:p>
        <w:p>
          <w:pPr>
            <w:pStyle w:val="Contents4"/>
            <w:tabs>
              <w:tab w:val="clear" w:pos="8176"/>
              <w:tab w:val="right" w:pos="9026" w:leader="dot"/>
            </w:tabs>
            <w:rPr/>
          </w:pPr>
          <w:hyperlink w:anchor="__RefHeading___Toc147334_2142443653">
            <w:r>
              <w:rPr>
                <w:webHidden/>
                <w:rStyle w:val="IndexLink"/>
                <w:rtl w:val="true"/>
              </w:rPr>
              <w:t>إشارة إلی جلالة عبدالله بن جعفر الحمیری</w:t>
            </w:r>
            <w:r>
              <w:rPr>
                <w:rStyle w:val="IndexLink"/>
                <w:rtl w:val="true"/>
              </w:rPr>
              <w:tab/>
            </w:r>
            <w:r>
              <w:rPr>
                <w:rStyle w:val="IndexLink"/>
              </w:rPr>
              <w:t>440</w:t>
            </w:r>
          </w:hyperlink>
        </w:p>
        <w:p>
          <w:pPr>
            <w:pStyle w:val="Contents4"/>
            <w:tabs>
              <w:tab w:val="clear" w:pos="8176"/>
              <w:tab w:val="right" w:pos="9026" w:leader="dot"/>
            </w:tabs>
            <w:rPr/>
          </w:pPr>
          <w:hyperlink w:anchor="__RefHeading___Toc147336_2142443653">
            <w:r>
              <w:rPr>
                <w:webHidden/>
                <w:rStyle w:val="IndexLink"/>
                <w:rtl w:val="true"/>
              </w:rPr>
              <w:t>بحث حول إبراهیم بن مهزیار</w:t>
            </w:r>
            <w:r>
              <w:rPr>
                <w:rStyle w:val="IndexLink"/>
                <w:rtl w:val="true"/>
              </w:rPr>
              <w:tab/>
            </w:r>
            <w:r>
              <w:rPr>
                <w:rStyle w:val="IndexLink"/>
              </w:rPr>
              <w:t>440</w:t>
            </w:r>
          </w:hyperlink>
        </w:p>
        <w:p>
          <w:pPr>
            <w:pStyle w:val="Contents4"/>
            <w:tabs>
              <w:tab w:val="clear" w:pos="8176"/>
              <w:tab w:val="right" w:pos="9026" w:leader="dot"/>
            </w:tabs>
            <w:rPr/>
          </w:pPr>
          <w:hyperlink w:anchor="__RefHeading___Toc147338_2142443653">
            <w:r>
              <w:rPr>
                <w:webHidden/>
                <w:rStyle w:val="IndexLink"/>
                <w:rtl w:val="true"/>
              </w:rPr>
              <w:t>کلمة حول مراسیل ابن أبی عمیر</w:t>
            </w:r>
            <w:r>
              <w:rPr>
                <w:rStyle w:val="IndexLink"/>
                <w:rtl w:val="true"/>
              </w:rPr>
              <w:tab/>
            </w:r>
            <w:r>
              <w:rPr>
                <w:rStyle w:val="IndexLink"/>
              </w:rPr>
              <w:t>440</w:t>
            </w:r>
          </w:hyperlink>
        </w:p>
        <w:p>
          <w:pPr>
            <w:pStyle w:val="Contents4"/>
            <w:tabs>
              <w:tab w:val="clear" w:pos="8176"/>
              <w:tab w:val="right" w:pos="9026" w:leader="dot"/>
            </w:tabs>
            <w:rPr/>
          </w:pPr>
          <w:hyperlink w:anchor="__RefHeading___Toc147340_2142443653">
            <w:r>
              <w:rPr>
                <w:webHidden/>
                <w:rStyle w:val="IndexLink"/>
                <w:rtl w:val="true"/>
              </w:rPr>
              <w:t>بیان روایة یعقوب بن یقطین والمناقشة فی توجیه لها</w:t>
            </w:r>
            <w:r>
              <w:rPr>
                <w:rStyle w:val="IndexLink"/>
                <w:rtl w:val="true"/>
              </w:rPr>
              <w:tab/>
            </w:r>
            <w:r>
              <w:rPr>
                <w:rStyle w:val="IndexLink"/>
              </w:rPr>
              <w:t>440</w:t>
            </w:r>
          </w:hyperlink>
        </w:p>
        <w:p>
          <w:pPr>
            <w:pStyle w:val="Contents4"/>
            <w:tabs>
              <w:tab w:val="clear" w:pos="8176"/>
              <w:tab w:val="right" w:pos="9026" w:leader="dot"/>
            </w:tabs>
            <w:rPr/>
          </w:pPr>
          <w:hyperlink w:anchor="__RefHeading___Toc147342_2142443653">
            <w:r>
              <w:rPr>
                <w:webHidden/>
                <w:rStyle w:val="IndexLink"/>
                <w:rtl w:val="true"/>
              </w:rPr>
              <w:t>الترتیب بین الأعضاء فی غسل المیت</w:t>
            </w:r>
            <w:r>
              <w:rPr>
                <w:rStyle w:val="IndexLink"/>
                <w:rtl w:val="true"/>
              </w:rPr>
              <w:tab/>
            </w:r>
            <w:r>
              <w:rPr>
                <w:rStyle w:val="IndexLink"/>
              </w:rPr>
              <w:t>443</w:t>
            </w:r>
          </w:hyperlink>
        </w:p>
        <w:p>
          <w:pPr>
            <w:pStyle w:val="Contents4"/>
            <w:tabs>
              <w:tab w:val="clear" w:pos="8176"/>
              <w:tab w:val="right" w:pos="9026" w:leader="dot"/>
            </w:tabs>
            <w:rPr/>
          </w:pPr>
          <w:hyperlink w:anchor="__RefHeading___Toc147344_2142443653">
            <w:r>
              <w:rPr>
                <w:webHidden/>
                <w:rStyle w:val="IndexLink"/>
                <w:rtl w:val="true"/>
              </w:rPr>
              <w:t>لادلیل علی وجوب وضوء المیت قبل غسله</w:t>
            </w:r>
            <w:r>
              <w:rPr>
                <w:rStyle w:val="IndexLink"/>
                <w:rtl w:val="true"/>
              </w:rPr>
              <w:tab/>
            </w:r>
            <w:r>
              <w:rPr>
                <w:rStyle w:val="IndexLink"/>
              </w:rPr>
              <w:t>445</w:t>
            </w:r>
          </w:hyperlink>
        </w:p>
        <w:p>
          <w:pPr>
            <w:pStyle w:val="Contents4"/>
            <w:tabs>
              <w:tab w:val="clear" w:pos="8176"/>
              <w:tab w:val="right" w:pos="9026" w:leader="dot"/>
            </w:tabs>
            <w:rPr/>
          </w:pPr>
          <w:hyperlink w:anchor="__RefHeading___Toc147346_2142443653">
            <w:r>
              <w:rPr>
                <w:webHidden/>
                <w:rStyle w:val="IndexLink"/>
                <w:rtl w:val="true"/>
              </w:rPr>
              <w:t>الارتماس فی غسل المیت</w:t>
            </w:r>
            <w:r>
              <w:rPr>
                <w:rStyle w:val="IndexLink"/>
                <w:rtl w:val="true"/>
              </w:rPr>
              <w:tab/>
            </w:r>
            <w:r>
              <w:rPr>
                <w:rStyle w:val="IndexLink"/>
              </w:rPr>
              <w:t>447</w:t>
            </w:r>
          </w:hyperlink>
        </w:p>
        <w:p>
          <w:pPr>
            <w:pStyle w:val="Contents4"/>
            <w:tabs>
              <w:tab w:val="clear" w:pos="8176"/>
              <w:tab w:val="right" w:pos="9026" w:leader="dot"/>
            </w:tabs>
            <w:rPr/>
          </w:pPr>
          <w:hyperlink w:anchor="__RefHeading___Toc147348_2142443653">
            <w:r>
              <w:rPr>
                <w:webHidden/>
                <w:rStyle w:val="IndexLink"/>
                <w:rtl w:val="true"/>
              </w:rPr>
              <w:t>معنی الإفاضة والحُرض</w:t>
            </w:r>
            <w:r>
              <w:rPr>
                <w:rStyle w:val="IndexLink"/>
                <w:rtl w:val="true"/>
              </w:rPr>
              <w:tab/>
            </w:r>
            <w:r>
              <w:rPr>
                <w:rStyle w:val="IndexLink"/>
              </w:rPr>
              <w:t>448</w:t>
            </w:r>
          </w:hyperlink>
        </w:p>
        <w:p>
          <w:pPr>
            <w:pStyle w:val="Contents3"/>
            <w:tabs>
              <w:tab w:val="clear" w:pos="8459"/>
              <w:tab w:val="right" w:pos="9026" w:leader="dot"/>
            </w:tabs>
            <w:rPr/>
          </w:pPr>
          <w:hyperlink w:anchor="__RefHeading___Toc147350_2142443653">
            <w:r>
              <w:rPr>
                <w:webHidden/>
                <w:rStyle w:val="IndexLink"/>
                <w:rtl w:val="true"/>
              </w:rPr>
              <w:t>تجمیر الکفن</w:t>
            </w:r>
            <w:r>
              <w:rPr>
                <w:rStyle w:val="IndexLink"/>
                <w:rtl w:val="true"/>
              </w:rPr>
              <w:tab/>
            </w:r>
            <w:r>
              <w:rPr>
                <w:rStyle w:val="IndexLink"/>
              </w:rPr>
              <w:t>448</w:t>
            </w:r>
          </w:hyperlink>
        </w:p>
        <w:p>
          <w:pPr>
            <w:pStyle w:val="Contents4"/>
            <w:tabs>
              <w:tab w:val="clear" w:pos="8176"/>
              <w:tab w:val="right" w:pos="9026" w:leader="dot"/>
            </w:tabs>
            <w:rPr/>
          </w:pPr>
          <w:hyperlink w:anchor="__RefHeading___Toc147352_2142443653">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147354_2142443653">
            <w:r>
              <w:rPr>
                <w:webHidden/>
                <w:rStyle w:val="IndexLink"/>
                <w:rtl w:val="true"/>
              </w:rPr>
              <w:t>بحث حول أحمد بن محمّد الکوفی</w:t>
            </w:r>
            <w:r>
              <w:rPr>
                <w:rStyle w:val="IndexLink"/>
                <w:rtl w:val="true"/>
              </w:rPr>
              <w:tab/>
            </w:r>
            <w:r>
              <w:rPr>
                <w:rStyle w:val="IndexLink"/>
              </w:rPr>
              <w:t>450</w:t>
            </w:r>
          </w:hyperlink>
        </w:p>
        <w:p>
          <w:pPr>
            <w:pStyle w:val="Contents4"/>
            <w:tabs>
              <w:tab w:val="clear" w:pos="8176"/>
              <w:tab w:val="right" w:pos="9026" w:leader="dot"/>
            </w:tabs>
            <w:rPr/>
          </w:pPr>
          <w:hyperlink w:anchor="__RefHeading___Toc147356_2142443653">
            <w:r>
              <w:rPr>
                <w:webHidden/>
                <w:rStyle w:val="IndexLink"/>
                <w:rtl w:val="true"/>
              </w:rPr>
              <w:t>بحث حول ابن جمهور</w:t>
            </w:r>
            <w:r>
              <w:rPr>
                <w:rStyle w:val="IndexLink"/>
                <w:rtl w:val="true"/>
              </w:rPr>
              <w:tab/>
            </w:r>
            <w:r>
              <w:rPr>
                <w:rStyle w:val="IndexLink"/>
              </w:rPr>
              <w:t>450</w:t>
            </w:r>
          </w:hyperlink>
        </w:p>
        <w:p>
          <w:pPr>
            <w:pStyle w:val="Contents4"/>
            <w:tabs>
              <w:tab w:val="clear" w:pos="8176"/>
              <w:tab w:val="right" w:pos="9026" w:leader="dot"/>
            </w:tabs>
            <w:rPr/>
          </w:pPr>
          <w:hyperlink w:anchor="__RefHeading___Toc147358_2142443653">
            <w:r>
              <w:rPr>
                <w:webHidden/>
                <w:rStyle w:val="IndexLink"/>
                <w:rtl w:val="true"/>
              </w:rPr>
              <w:t>جمهور غیر معلوم الحال</w:t>
            </w:r>
            <w:r>
              <w:rPr>
                <w:rStyle w:val="IndexLink"/>
                <w:rtl w:val="true"/>
              </w:rPr>
              <w:tab/>
            </w:r>
            <w:r>
              <w:rPr>
                <w:rStyle w:val="IndexLink"/>
              </w:rPr>
              <w:t>451</w:t>
            </w:r>
          </w:hyperlink>
        </w:p>
        <w:p>
          <w:pPr>
            <w:pStyle w:val="Contents4"/>
            <w:tabs>
              <w:tab w:val="clear" w:pos="8176"/>
              <w:tab w:val="right" w:pos="9026" w:leader="dot"/>
            </w:tabs>
            <w:rPr/>
          </w:pPr>
          <w:hyperlink w:anchor="__RefHeading___Toc147360_2142443653">
            <w:r>
              <w:rPr>
                <w:webHidden/>
                <w:rStyle w:val="IndexLink"/>
                <w:rtl w:val="true"/>
              </w:rPr>
              <w:t>عبدالرحمان بن عبدالله مجهول</w:t>
            </w:r>
            <w:r>
              <w:rPr>
                <w:rStyle w:val="IndexLink"/>
                <w:rtl w:val="true"/>
              </w:rPr>
              <w:tab/>
            </w:r>
            <w:r>
              <w:rPr>
                <w:rStyle w:val="IndexLink"/>
              </w:rPr>
              <w:t>451</w:t>
            </w:r>
          </w:hyperlink>
        </w:p>
        <w:p>
          <w:pPr>
            <w:pStyle w:val="Contents4"/>
            <w:tabs>
              <w:tab w:val="clear" w:pos="8176"/>
              <w:tab w:val="right" w:pos="9026" w:leader="dot"/>
            </w:tabs>
            <w:rPr/>
          </w:pPr>
          <w:hyperlink w:anchor="__RefHeading___Toc147362_2142443653">
            <w:r>
              <w:rPr>
                <w:webHidden/>
                <w:rStyle w:val="IndexLink"/>
                <w:rtl w:val="true"/>
              </w:rPr>
              <w:t>الحسن بن علی الوشّاء ممدوح</w:t>
            </w:r>
            <w:r>
              <w:rPr>
                <w:rStyle w:val="IndexLink"/>
                <w:rtl w:val="true"/>
              </w:rPr>
              <w:tab/>
            </w:r>
            <w:r>
              <w:rPr>
                <w:rStyle w:val="IndexLink"/>
              </w:rPr>
              <w:t>451</w:t>
            </w:r>
          </w:hyperlink>
        </w:p>
        <w:p>
          <w:pPr>
            <w:pStyle w:val="Contents4"/>
            <w:tabs>
              <w:tab w:val="clear" w:pos="8176"/>
              <w:tab w:val="right" w:pos="9026" w:leader="dot"/>
            </w:tabs>
            <w:rPr/>
          </w:pPr>
          <w:hyperlink w:anchor="__RefHeading___Toc147364_2142443653">
            <w:r>
              <w:rPr>
                <w:webHidden/>
                <w:rStyle w:val="IndexLink"/>
                <w:rtl w:val="true"/>
              </w:rPr>
              <w:t>بحث حول غیاث بن إبراهیم</w:t>
            </w:r>
            <w:r>
              <w:rPr>
                <w:rStyle w:val="IndexLink"/>
                <w:rtl w:val="true"/>
              </w:rPr>
              <w:tab/>
            </w:r>
            <w:r>
              <w:rPr>
                <w:rStyle w:val="IndexLink"/>
              </w:rPr>
              <w:t>451</w:t>
            </w:r>
          </w:hyperlink>
        </w:p>
        <w:p>
          <w:pPr>
            <w:pStyle w:val="Contents4"/>
            <w:tabs>
              <w:tab w:val="clear" w:pos="8176"/>
              <w:tab w:val="right" w:pos="9026" w:leader="dot"/>
            </w:tabs>
            <w:rPr/>
          </w:pPr>
          <w:hyperlink w:anchor="__RefHeading___Toc147366_2142443653">
            <w:r>
              <w:rPr>
                <w:webHidden/>
                <w:rStyle w:val="IndexLink"/>
                <w:rtl w:val="true"/>
              </w:rPr>
              <w:t>بیان الأخبار الناهیة عن تجمیر الکفن والجمع بینها وبین ما یعارضها</w:t>
            </w:r>
            <w:r>
              <w:rPr>
                <w:rStyle w:val="IndexLink"/>
                <w:rtl w:val="true"/>
              </w:rPr>
              <w:tab/>
            </w:r>
            <w:r>
              <w:rPr>
                <w:rStyle w:val="IndexLink"/>
              </w:rPr>
              <w:t>452</w:t>
            </w:r>
          </w:hyperlink>
        </w:p>
        <w:p>
          <w:pPr>
            <w:pStyle w:val="Contents4"/>
            <w:tabs>
              <w:tab w:val="clear" w:pos="8176"/>
              <w:tab w:val="right" w:pos="9026" w:leader="dot"/>
            </w:tabs>
            <w:rPr/>
          </w:pPr>
          <w:hyperlink w:anchor="__RefHeading___Toc147368_2142443653">
            <w:r>
              <w:rPr>
                <w:webHidden/>
                <w:rStyle w:val="IndexLink"/>
                <w:rtl w:val="true"/>
              </w:rPr>
              <w:t>معنی المِجْمَر والدُخْتَة</w:t>
            </w:r>
            <w:r>
              <w:rPr>
                <w:rStyle w:val="IndexLink"/>
                <w:rtl w:val="true"/>
              </w:rPr>
              <w:tab/>
            </w:r>
            <w:r>
              <w:rPr>
                <w:rStyle w:val="IndexLink"/>
              </w:rPr>
              <w:t>453</w:t>
            </w:r>
          </w:hyperlink>
        </w:p>
        <w:p>
          <w:pPr>
            <w:pStyle w:val="Contents3"/>
            <w:tabs>
              <w:tab w:val="clear" w:pos="8459"/>
              <w:tab w:val="right" w:pos="9026" w:leader="dot"/>
            </w:tabs>
            <w:rPr/>
          </w:pPr>
          <w:hyperlink w:anchor="__RefHeading___Toc147370_2142443653">
            <w:r>
              <w:rPr>
                <w:webHidden/>
                <w:rStyle w:val="IndexLink"/>
                <w:rtl w:val="true"/>
              </w:rPr>
              <w:t>الکفن لایکون إلّا قطناً</w:t>
            </w:r>
            <w:r>
              <w:rPr>
                <w:rStyle w:val="IndexLink"/>
                <w:rtl w:val="true"/>
              </w:rPr>
              <w:tab/>
            </w:r>
            <w:r>
              <w:rPr>
                <w:rStyle w:val="IndexLink"/>
              </w:rPr>
              <w:t>454</w:t>
            </w:r>
          </w:hyperlink>
        </w:p>
        <w:p>
          <w:pPr>
            <w:pStyle w:val="Contents4"/>
            <w:tabs>
              <w:tab w:val="clear" w:pos="8176"/>
              <w:tab w:val="right" w:pos="9026" w:leader="dot"/>
            </w:tabs>
            <w:rPr/>
          </w:pPr>
          <w:hyperlink w:anchor="__RefHeading___Toc147372_2142443653">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147374_2142443653">
            <w:r>
              <w:rPr>
                <w:webHidden/>
                <w:rStyle w:val="IndexLink"/>
                <w:rtl w:val="true"/>
              </w:rPr>
              <w:t>بحث حول أبی خدیجة</w:t>
            </w:r>
            <w:r>
              <w:rPr>
                <w:rStyle w:val="IndexLink"/>
                <w:rtl w:val="true"/>
              </w:rPr>
              <w:tab/>
            </w:r>
            <w:r>
              <w:rPr>
                <w:rStyle w:val="IndexLink"/>
              </w:rPr>
              <w:t>456</w:t>
            </w:r>
          </w:hyperlink>
        </w:p>
        <w:p>
          <w:pPr>
            <w:pStyle w:val="Contents4"/>
            <w:tabs>
              <w:tab w:val="clear" w:pos="8176"/>
              <w:tab w:val="right" w:pos="9026" w:leader="dot"/>
            </w:tabs>
            <w:rPr/>
          </w:pPr>
          <w:hyperlink w:anchor="__RefHeading___Toc147376_2142443653">
            <w:r>
              <w:rPr>
                <w:webHidden/>
                <w:rStyle w:val="IndexLink"/>
                <w:rtl w:val="true"/>
              </w:rPr>
              <w:t>بحث حول عبدالرحمان بن أبی هاشم</w:t>
            </w:r>
            <w:r>
              <w:rPr>
                <w:rStyle w:val="IndexLink"/>
                <w:rtl w:val="true"/>
              </w:rPr>
              <w:tab/>
            </w:r>
            <w:r>
              <w:rPr>
                <w:rStyle w:val="IndexLink"/>
              </w:rPr>
              <w:t>456</w:t>
            </w:r>
          </w:hyperlink>
        </w:p>
        <w:p>
          <w:pPr>
            <w:pStyle w:val="Contents4"/>
            <w:tabs>
              <w:tab w:val="clear" w:pos="8176"/>
              <w:tab w:val="right" w:pos="9026" w:leader="dot"/>
            </w:tabs>
            <w:rPr/>
          </w:pPr>
          <w:hyperlink w:anchor="__RefHeading___Toc147378_2142443653">
            <w:r>
              <w:rPr>
                <w:webHidden/>
                <w:rStyle w:val="IndexLink"/>
                <w:rtl w:val="true"/>
              </w:rPr>
              <w:t>محمّد بن عمرو بن سعید هو ابن الزیّات الثقة</w:t>
            </w:r>
            <w:r>
              <w:rPr>
                <w:rStyle w:val="IndexLink"/>
                <w:rtl w:val="true"/>
              </w:rPr>
              <w:tab/>
            </w:r>
            <w:r>
              <w:rPr>
                <w:rStyle w:val="IndexLink"/>
              </w:rPr>
              <w:t>457</w:t>
            </w:r>
          </w:hyperlink>
        </w:p>
        <w:p>
          <w:pPr>
            <w:pStyle w:val="Contents4"/>
            <w:tabs>
              <w:tab w:val="clear" w:pos="8176"/>
              <w:tab w:val="right" w:pos="9026" w:leader="dot"/>
            </w:tabs>
            <w:rPr/>
          </w:pPr>
          <w:hyperlink w:anchor="__RefHeading___Toc147380_2142443653">
            <w:r>
              <w:rPr>
                <w:webHidden/>
                <w:rStyle w:val="IndexLink"/>
                <w:rtl w:val="true"/>
              </w:rPr>
              <w:t>یونس بن یعقوب ثقة</w:t>
            </w:r>
            <w:r>
              <w:rPr>
                <w:rStyle w:val="IndexLink"/>
                <w:rtl w:val="true"/>
              </w:rPr>
              <w:tab/>
            </w:r>
            <w:r>
              <w:rPr>
                <w:rStyle w:val="IndexLink"/>
              </w:rPr>
              <w:t>457</w:t>
            </w:r>
          </w:hyperlink>
        </w:p>
        <w:p>
          <w:pPr>
            <w:pStyle w:val="Contents4"/>
            <w:tabs>
              <w:tab w:val="clear" w:pos="8176"/>
              <w:tab w:val="right" w:pos="9026" w:leader="dot"/>
            </w:tabs>
            <w:rPr/>
          </w:pPr>
          <w:hyperlink w:anchor="__RefHeading___Toc147382_2142443653">
            <w:r>
              <w:rPr>
                <w:webHidden/>
                <w:rStyle w:val="IndexLink"/>
                <w:rtl w:val="true"/>
              </w:rPr>
              <w:t>محمّد بن سعید مشترک</w:t>
            </w:r>
            <w:r>
              <w:rPr>
                <w:rStyle w:val="IndexLink"/>
                <w:rtl w:val="true"/>
              </w:rPr>
              <w:tab/>
            </w:r>
            <w:r>
              <w:rPr>
                <w:rStyle w:val="IndexLink"/>
              </w:rPr>
              <w:t>457</w:t>
            </w:r>
          </w:hyperlink>
        </w:p>
        <w:p>
          <w:pPr>
            <w:pStyle w:val="Contents4"/>
            <w:tabs>
              <w:tab w:val="clear" w:pos="8176"/>
              <w:tab w:val="right" w:pos="9026" w:leader="dot"/>
            </w:tabs>
            <w:rPr/>
          </w:pPr>
          <w:hyperlink w:anchor="__RefHeading___Toc147384_2142443653">
            <w:r>
              <w:rPr>
                <w:webHidden/>
                <w:rStyle w:val="IndexLink"/>
                <w:rtl w:val="true"/>
              </w:rPr>
              <w:t>کلمة حول إسماعیل بن أبی زیاد</w:t>
            </w:r>
            <w:r>
              <w:rPr>
                <w:rStyle w:val="IndexLink"/>
                <w:rtl w:val="true"/>
              </w:rPr>
              <w:tab/>
            </w:r>
            <w:r>
              <w:rPr>
                <w:rStyle w:val="IndexLink"/>
              </w:rPr>
              <w:t>457</w:t>
            </w:r>
          </w:hyperlink>
        </w:p>
        <w:p>
          <w:pPr>
            <w:pStyle w:val="Contents4"/>
            <w:tabs>
              <w:tab w:val="clear" w:pos="8176"/>
              <w:tab w:val="right" w:pos="9026" w:leader="dot"/>
            </w:tabs>
            <w:rPr/>
          </w:pPr>
          <w:hyperlink w:anchor="__RefHeading___Toc147386_2142443653">
            <w:r>
              <w:rPr>
                <w:webHidden/>
                <w:rStyle w:val="IndexLink"/>
                <w:rtl w:val="true"/>
              </w:rPr>
              <w:t>الحسن بن راشد مشترک</w:t>
            </w:r>
            <w:r>
              <w:rPr>
                <w:rStyle w:val="IndexLink"/>
                <w:rtl w:val="true"/>
              </w:rPr>
              <w:tab/>
            </w:r>
            <w:r>
              <w:rPr>
                <w:rStyle w:val="IndexLink"/>
              </w:rPr>
              <w:t>457</w:t>
            </w:r>
          </w:hyperlink>
        </w:p>
        <w:p>
          <w:pPr>
            <w:pStyle w:val="Contents4"/>
            <w:tabs>
              <w:tab w:val="clear" w:pos="8176"/>
              <w:tab w:val="right" w:pos="9026" w:leader="dot"/>
            </w:tabs>
            <w:rPr/>
          </w:pPr>
          <w:hyperlink w:anchor="__RefHeading___Toc147388_2142443653">
            <w:r>
              <w:rPr>
                <w:webHidden/>
                <w:rStyle w:val="IndexLink"/>
                <w:rtl w:val="true"/>
              </w:rPr>
              <w:t xml:space="preserve">معنی </w:t>
            </w:r>
            <w:r>
              <w:rPr>
                <w:rStyle w:val="IndexLink"/>
                <w:rtl w:val="true"/>
              </w:rPr>
              <w:t xml:space="preserve">: </w:t>
            </w:r>
            <w:r>
              <w:rPr>
                <w:rStyle w:val="IndexLink"/>
                <w:rtl w:val="true"/>
              </w:rPr>
              <w:t>البُرد ، السابری ، الحُلّة والقصب</w:t>
            </w:r>
            <w:r>
              <w:rPr>
                <w:rStyle w:val="IndexLink"/>
                <w:rtl w:val="true"/>
              </w:rPr>
              <w:tab/>
            </w:r>
            <w:r>
              <w:rPr>
                <w:rStyle w:val="IndexLink"/>
              </w:rPr>
              <w:t>457</w:t>
            </w:r>
          </w:hyperlink>
        </w:p>
        <w:p>
          <w:pPr>
            <w:pStyle w:val="Contents4"/>
            <w:tabs>
              <w:tab w:val="clear" w:pos="8176"/>
              <w:tab w:val="right" w:pos="9026" w:leader="dot"/>
            </w:tabs>
            <w:rPr/>
          </w:pPr>
          <w:hyperlink w:anchor="__RefHeading___Toc147390_2142443653">
            <w:r>
              <w:rPr>
                <w:webHidden/>
                <w:rStyle w:val="IndexLink"/>
                <w:rtl w:val="true"/>
              </w:rPr>
              <w:t>بیان الأخبار الناهیة عن التکفین بالکتان والحریر والجلد</w:t>
            </w:r>
            <w:r>
              <w:rPr>
                <w:rStyle w:val="IndexLink"/>
                <w:rtl w:val="true"/>
              </w:rPr>
              <w:tab/>
            </w:r>
            <w:r>
              <w:rPr>
                <w:rStyle w:val="IndexLink"/>
              </w:rPr>
              <w:t>458</w:t>
            </w:r>
          </w:hyperlink>
        </w:p>
        <w:p>
          <w:pPr>
            <w:pStyle w:val="Contents3"/>
            <w:tabs>
              <w:tab w:val="clear" w:pos="8459"/>
              <w:tab w:val="right" w:pos="9026" w:leader="dot"/>
            </w:tabs>
            <w:rPr/>
          </w:pPr>
          <w:hyperlink w:anchor="__RefHeading___Toc147392_2142443653">
            <w:r>
              <w:rPr>
                <w:webHidden/>
                <w:rStyle w:val="IndexLink"/>
                <w:rtl w:val="true"/>
              </w:rPr>
              <w:t>موضع الکافور من المیت</w:t>
            </w:r>
            <w:r>
              <w:rPr>
                <w:rStyle w:val="IndexLink"/>
                <w:rtl w:val="true"/>
              </w:rPr>
              <w:tab/>
            </w:r>
            <w:r>
              <w:rPr>
                <w:rStyle w:val="IndexLink"/>
              </w:rPr>
              <w:t>461</w:t>
            </w:r>
          </w:hyperlink>
        </w:p>
        <w:p>
          <w:pPr>
            <w:pStyle w:val="Contents4"/>
            <w:tabs>
              <w:tab w:val="clear" w:pos="8176"/>
              <w:tab w:val="right" w:pos="9026" w:leader="dot"/>
            </w:tabs>
            <w:rPr/>
          </w:pPr>
          <w:hyperlink w:anchor="__RefHeading___Toc147394_2142443653">
            <w:r>
              <w:rPr>
                <w:webHidden/>
                <w:rStyle w:val="IndexLink"/>
                <w:rtl w:val="true"/>
              </w:rPr>
              <w:t>اشارة</w:t>
            </w:r>
            <w:r>
              <w:rPr>
                <w:rStyle w:val="IndexLink"/>
                <w:rtl w:val="true"/>
              </w:rPr>
              <w:tab/>
            </w:r>
            <w:r>
              <w:rPr>
                <w:rStyle w:val="IndexLink"/>
              </w:rPr>
              <w:t>461</w:t>
            </w:r>
          </w:hyperlink>
        </w:p>
        <w:p>
          <w:pPr>
            <w:pStyle w:val="Contents4"/>
            <w:tabs>
              <w:tab w:val="clear" w:pos="8176"/>
              <w:tab w:val="right" w:pos="9026" w:leader="dot"/>
            </w:tabs>
            <w:rPr/>
          </w:pPr>
          <w:hyperlink w:anchor="__RefHeading___Toc147396_2142443653">
            <w:r>
              <w:rPr>
                <w:webHidden/>
                <w:rStyle w:val="IndexLink"/>
                <w:rtl w:val="true"/>
              </w:rPr>
              <w:t>علی بن محمّد الراوی عن أیوب بن نوح غیر معلوم</w:t>
            </w:r>
            <w:r>
              <w:rPr>
                <w:rStyle w:val="IndexLink"/>
                <w:rtl w:val="true"/>
              </w:rPr>
              <w:tab/>
            </w:r>
            <w:r>
              <w:rPr>
                <w:rStyle w:val="IndexLink"/>
              </w:rPr>
              <w:t>463</w:t>
            </w:r>
          </w:hyperlink>
        </w:p>
        <w:p>
          <w:pPr>
            <w:pStyle w:val="Contents4"/>
            <w:tabs>
              <w:tab w:val="clear" w:pos="8176"/>
              <w:tab w:val="right" w:pos="9026" w:leader="dot"/>
            </w:tabs>
            <w:rPr/>
          </w:pPr>
          <w:hyperlink w:anchor="__RefHeading___Toc147398_2142443653">
            <w:r>
              <w:rPr>
                <w:webHidden/>
                <w:rStyle w:val="IndexLink"/>
                <w:rtl w:val="true"/>
              </w:rPr>
              <w:t>کلمة حول روایة ایوب بن نوح عن عبدالله بن مسکان</w:t>
            </w:r>
            <w:r>
              <w:rPr>
                <w:rStyle w:val="IndexLink"/>
                <w:rtl w:val="true"/>
              </w:rPr>
              <w:tab/>
            </w:r>
            <w:r>
              <w:rPr>
                <w:rStyle w:val="IndexLink"/>
              </w:rPr>
              <w:t>463</w:t>
            </w:r>
          </w:hyperlink>
        </w:p>
        <w:p>
          <w:pPr>
            <w:pStyle w:val="Contents4"/>
            <w:tabs>
              <w:tab w:val="clear" w:pos="8176"/>
              <w:tab w:val="right" w:pos="9026" w:leader="dot"/>
            </w:tabs>
            <w:rPr/>
          </w:pPr>
          <w:hyperlink w:anchor="__RefHeading___Toc147400_2142443653">
            <w:r>
              <w:rPr>
                <w:webHidden/>
                <w:rStyle w:val="IndexLink"/>
                <w:rtl w:val="true"/>
              </w:rPr>
              <w:t>الکاهلی هو عبدالله بن یحیی وهو ممدوح</w:t>
            </w:r>
            <w:r>
              <w:rPr>
                <w:rStyle w:val="IndexLink"/>
                <w:rtl w:val="true"/>
              </w:rPr>
              <w:tab/>
            </w:r>
            <w:r>
              <w:rPr>
                <w:rStyle w:val="IndexLink"/>
              </w:rPr>
              <w:t>463</w:t>
            </w:r>
          </w:hyperlink>
        </w:p>
        <w:p>
          <w:pPr>
            <w:pStyle w:val="Contents4"/>
            <w:tabs>
              <w:tab w:val="clear" w:pos="8176"/>
              <w:tab w:val="right" w:pos="9026" w:leader="dot"/>
            </w:tabs>
            <w:rPr/>
          </w:pPr>
          <w:hyperlink w:anchor="__RefHeading___Toc147402_2142443653">
            <w:r>
              <w:rPr>
                <w:webHidden/>
                <w:rStyle w:val="IndexLink"/>
                <w:rtl w:val="true"/>
              </w:rPr>
              <w:t>بحث حول الحسین بن المختار</w:t>
            </w:r>
            <w:r>
              <w:rPr>
                <w:rStyle w:val="IndexLink"/>
                <w:rtl w:val="true"/>
              </w:rPr>
              <w:tab/>
            </w:r>
            <w:r>
              <w:rPr>
                <w:rStyle w:val="IndexLink"/>
              </w:rPr>
              <w:t>463</w:t>
            </w:r>
          </w:hyperlink>
        </w:p>
        <w:p>
          <w:pPr>
            <w:pStyle w:val="Contents4"/>
            <w:tabs>
              <w:tab w:val="clear" w:pos="8176"/>
              <w:tab w:val="right" w:pos="9026" w:leader="dot"/>
            </w:tabs>
            <w:rPr/>
          </w:pPr>
          <w:hyperlink w:anchor="__RefHeading___Toc147404_2142443653">
            <w:r>
              <w:rPr>
                <w:webHidden/>
                <w:rStyle w:val="IndexLink"/>
                <w:rtl w:val="true"/>
              </w:rPr>
              <w:t>کلمة حول روایة فضالة عن عبدالرحمان بن أبی عبدالله</w:t>
            </w:r>
            <w:r>
              <w:rPr>
                <w:rStyle w:val="IndexLink"/>
                <w:rtl w:val="true"/>
              </w:rPr>
              <w:tab/>
            </w:r>
            <w:r>
              <w:rPr>
                <w:rStyle w:val="IndexLink"/>
              </w:rPr>
              <w:t>464</w:t>
            </w:r>
          </w:hyperlink>
        </w:p>
        <w:p>
          <w:pPr>
            <w:pStyle w:val="Contents4"/>
            <w:tabs>
              <w:tab w:val="clear" w:pos="8176"/>
              <w:tab w:val="right" w:pos="9026" w:leader="dot"/>
            </w:tabs>
            <w:rPr/>
          </w:pPr>
          <w:hyperlink w:anchor="__RefHeading___Toc147406_2142443653">
            <w:r>
              <w:rPr>
                <w:webHidden/>
                <w:rStyle w:val="IndexLink"/>
                <w:rtl w:val="true"/>
              </w:rPr>
              <w:t>بحث حول محمّد بن أحمد بن علی</w:t>
            </w:r>
            <w:r>
              <w:rPr>
                <w:rStyle w:val="IndexLink"/>
                <w:rtl w:val="true"/>
              </w:rPr>
              <w:tab/>
            </w:r>
            <w:r>
              <w:rPr>
                <w:rStyle w:val="IndexLink"/>
              </w:rPr>
              <w:t>464</w:t>
            </w:r>
          </w:hyperlink>
        </w:p>
        <w:p>
          <w:pPr>
            <w:pStyle w:val="Contents4"/>
            <w:tabs>
              <w:tab w:val="clear" w:pos="8176"/>
              <w:tab w:val="right" w:pos="9026" w:leader="dot"/>
            </w:tabs>
            <w:rPr/>
          </w:pPr>
          <w:hyperlink w:anchor="__RefHeading___Toc147408_2142443653">
            <w:r>
              <w:rPr>
                <w:webHidden/>
                <w:rStyle w:val="IndexLink"/>
                <w:rtl w:val="true"/>
              </w:rPr>
              <w:t>بیان مواضع الحنوط من المیت</w:t>
            </w:r>
            <w:r>
              <w:rPr>
                <w:rStyle w:val="IndexLink"/>
                <w:rtl w:val="true"/>
              </w:rPr>
              <w:tab/>
            </w:r>
            <w:r>
              <w:rPr>
                <w:rStyle w:val="IndexLink"/>
              </w:rPr>
              <w:t>464</w:t>
            </w:r>
          </w:hyperlink>
        </w:p>
        <w:p>
          <w:pPr>
            <w:pStyle w:val="Contents4"/>
            <w:tabs>
              <w:tab w:val="clear" w:pos="8176"/>
              <w:tab w:val="right" w:pos="9026" w:leader="dot"/>
            </w:tabs>
            <w:rPr/>
          </w:pPr>
          <w:hyperlink w:anchor="__RefHeading___Toc147410_2142443653">
            <w:r>
              <w:rPr>
                <w:webHidden/>
                <w:rStyle w:val="IndexLink"/>
                <w:rtl w:val="true"/>
              </w:rPr>
              <w:t>مقدار کافور الحنوط</w:t>
            </w:r>
            <w:r>
              <w:rPr>
                <w:rStyle w:val="IndexLink"/>
                <w:rtl w:val="true"/>
              </w:rPr>
              <w:tab/>
            </w:r>
            <w:r>
              <w:rPr>
                <w:rStyle w:val="IndexLink"/>
              </w:rPr>
              <w:t>468</w:t>
            </w:r>
          </w:hyperlink>
        </w:p>
        <w:p>
          <w:pPr>
            <w:pStyle w:val="Contents4"/>
            <w:tabs>
              <w:tab w:val="clear" w:pos="8176"/>
              <w:tab w:val="right" w:pos="9026" w:leader="dot"/>
            </w:tabs>
            <w:rPr/>
          </w:pPr>
          <w:hyperlink w:anchor="__RefHeading___Toc147412_2142443653">
            <w:r>
              <w:rPr>
                <w:webHidden/>
                <w:rStyle w:val="IndexLink"/>
                <w:rtl w:val="true"/>
              </w:rPr>
              <w:t>معننی الَّبَّة والحَنوط وعَمَدَ</w:t>
            </w:r>
            <w:r>
              <w:rPr>
                <w:rStyle w:val="IndexLink"/>
                <w:rtl w:val="true"/>
              </w:rPr>
              <w:tab/>
            </w:r>
            <w:r>
              <w:rPr>
                <w:rStyle w:val="IndexLink"/>
              </w:rPr>
              <w:t>468</w:t>
            </w:r>
          </w:hyperlink>
        </w:p>
        <w:p>
          <w:pPr>
            <w:pStyle w:val="Contents3"/>
            <w:tabs>
              <w:tab w:val="clear" w:pos="8459"/>
              <w:tab w:val="right" w:pos="9026" w:leader="dot"/>
            </w:tabs>
            <w:rPr/>
          </w:pPr>
          <w:hyperlink w:anchor="__RefHeading___Toc147414_2142443653">
            <w:r>
              <w:rPr>
                <w:webHidden/>
                <w:rStyle w:val="IndexLink"/>
                <w:rtl w:val="true"/>
              </w:rPr>
              <w:t>السنّة فی حلّ الأزرار عند نزول القبر</w:t>
            </w:r>
            <w:r>
              <w:rPr>
                <w:rStyle w:val="IndexLink"/>
                <w:rtl w:val="true"/>
              </w:rPr>
              <w:tab/>
            </w:r>
            <w:r>
              <w:rPr>
                <w:rStyle w:val="IndexLink"/>
              </w:rPr>
              <w:t>469</w:t>
            </w:r>
          </w:hyperlink>
        </w:p>
        <w:p>
          <w:pPr>
            <w:pStyle w:val="Contents4"/>
            <w:tabs>
              <w:tab w:val="clear" w:pos="8176"/>
              <w:tab w:val="right" w:pos="9026" w:leader="dot"/>
            </w:tabs>
            <w:rPr/>
          </w:pPr>
          <w:hyperlink w:anchor="__RefHeading___Toc147416_2142443653">
            <w:r>
              <w:rPr>
                <w:webHidden/>
                <w:rStyle w:val="IndexLink"/>
                <w:rtl w:val="true"/>
              </w:rPr>
              <w:t>محمّد بن عبدالله المسمعی غیر مذکور فی الرجال</w:t>
            </w:r>
            <w:r>
              <w:rPr>
                <w:rStyle w:val="IndexLink"/>
                <w:rtl w:val="true"/>
              </w:rPr>
              <w:tab/>
            </w:r>
            <w:r>
              <w:rPr>
                <w:rStyle w:val="IndexLink"/>
              </w:rPr>
              <w:t>469</w:t>
            </w:r>
          </w:hyperlink>
        </w:p>
        <w:p>
          <w:pPr>
            <w:pStyle w:val="Contents4"/>
            <w:tabs>
              <w:tab w:val="clear" w:pos="8176"/>
              <w:tab w:val="right" w:pos="9026" w:leader="dot"/>
            </w:tabs>
            <w:rPr/>
          </w:pPr>
          <w:hyperlink w:anchor="__RefHeading___Toc147418_2142443653">
            <w:r>
              <w:rPr>
                <w:webHidden/>
                <w:rStyle w:val="IndexLink"/>
                <w:rtl w:val="true"/>
              </w:rPr>
              <w:t>بحث حول إسماعیل بن یسار</w:t>
            </w:r>
            <w:r>
              <w:rPr>
                <w:rStyle w:val="IndexLink"/>
                <w:rtl w:val="true"/>
              </w:rPr>
              <w:tab/>
            </w:r>
            <w:r>
              <w:rPr>
                <w:rStyle w:val="IndexLink"/>
              </w:rPr>
              <w:t>470</w:t>
            </w:r>
          </w:hyperlink>
        </w:p>
        <w:p>
          <w:pPr>
            <w:pStyle w:val="Contents4"/>
            <w:tabs>
              <w:tab w:val="clear" w:pos="8176"/>
              <w:tab w:val="right" w:pos="9026" w:leader="dot"/>
            </w:tabs>
            <w:rPr/>
          </w:pPr>
          <w:hyperlink w:anchor="__RefHeading___Toc147420_2142443653">
            <w:r>
              <w:rPr>
                <w:webHidden/>
                <w:rStyle w:val="IndexLink"/>
                <w:rtl w:val="true"/>
              </w:rPr>
              <w:t>إبراهیم بن عقبة مهمل</w:t>
            </w:r>
            <w:r>
              <w:rPr>
                <w:rStyle w:val="IndexLink"/>
                <w:rtl w:val="true"/>
              </w:rPr>
              <w:tab/>
            </w:r>
            <w:r>
              <w:rPr>
                <w:rStyle w:val="IndexLink"/>
              </w:rPr>
              <w:t>470</w:t>
            </w:r>
          </w:hyperlink>
        </w:p>
        <w:p>
          <w:pPr>
            <w:pStyle w:val="Contents4"/>
            <w:tabs>
              <w:tab w:val="clear" w:pos="8176"/>
              <w:tab w:val="right" w:pos="9026" w:leader="dot"/>
            </w:tabs>
            <w:rPr/>
          </w:pPr>
          <w:hyperlink w:anchor="__RefHeading___Toc147422_2142443653">
            <w:r>
              <w:rPr>
                <w:webHidden/>
                <w:rStyle w:val="IndexLink"/>
                <w:rtl w:val="true"/>
              </w:rPr>
              <w:t>استحباب حلّ الأزرار عند نزول القبر</w:t>
            </w:r>
            <w:r>
              <w:rPr>
                <w:rStyle w:val="IndexLink"/>
                <w:rtl w:val="true"/>
              </w:rPr>
              <w:tab/>
            </w:r>
            <w:r>
              <w:rPr>
                <w:rStyle w:val="IndexLink"/>
              </w:rPr>
              <w:t>470</w:t>
            </w:r>
          </w:hyperlink>
        </w:p>
        <w:p>
          <w:pPr>
            <w:pStyle w:val="Contents3"/>
            <w:tabs>
              <w:tab w:val="clear" w:pos="8459"/>
              <w:tab w:val="right" w:pos="9026" w:leader="dot"/>
            </w:tabs>
            <w:rPr/>
          </w:pPr>
          <w:hyperlink w:anchor="__RefHeading___Toc147424_2142443653">
            <w:r>
              <w:rPr>
                <w:webHidden/>
                <w:rStyle w:val="IndexLink"/>
                <w:rtl w:val="true"/>
              </w:rPr>
              <w:t>المقتول شهیداً بین الصَفَّین</w:t>
            </w:r>
            <w:r>
              <w:rPr>
                <w:rStyle w:val="IndexLink"/>
                <w:rtl w:val="true"/>
              </w:rPr>
              <w:tab/>
            </w:r>
            <w:r>
              <w:rPr>
                <w:rStyle w:val="IndexLink"/>
              </w:rPr>
              <w:t>471</w:t>
            </w:r>
          </w:hyperlink>
        </w:p>
        <w:p>
          <w:pPr>
            <w:pStyle w:val="Contents4"/>
            <w:tabs>
              <w:tab w:val="clear" w:pos="8176"/>
              <w:tab w:val="right" w:pos="9026" w:leader="dot"/>
            </w:tabs>
            <w:rPr/>
          </w:pPr>
          <w:hyperlink w:anchor="__RefHeading___Toc147426_2142443653">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147428_2142443653">
            <w:r>
              <w:rPr>
                <w:webHidden/>
                <w:rStyle w:val="IndexLink"/>
                <w:rtl w:val="true"/>
              </w:rPr>
              <w:t>بحث حول موسی بن جعفر البغدادی</w:t>
            </w:r>
            <w:r>
              <w:rPr>
                <w:rStyle w:val="IndexLink"/>
                <w:rtl w:val="true"/>
              </w:rPr>
              <w:tab/>
            </w:r>
            <w:r>
              <w:rPr>
                <w:rStyle w:val="IndexLink"/>
              </w:rPr>
              <w:t>473</w:t>
            </w:r>
          </w:hyperlink>
        </w:p>
        <w:p>
          <w:pPr>
            <w:pStyle w:val="Contents4"/>
            <w:tabs>
              <w:tab w:val="clear" w:pos="8176"/>
              <w:tab w:val="right" w:pos="9026" w:leader="dot"/>
            </w:tabs>
            <w:rPr/>
          </w:pPr>
          <w:hyperlink w:anchor="__RefHeading___Toc147430_2142443653">
            <w:r>
              <w:rPr>
                <w:webHidden/>
                <w:rStyle w:val="IndexLink"/>
                <w:rtl w:val="true"/>
              </w:rPr>
              <w:t>علی بن سعید مشترک بین مهملین</w:t>
            </w:r>
            <w:r>
              <w:rPr>
                <w:rStyle w:val="IndexLink"/>
                <w:rtl w:val="true"/>
              </w:rPr>
              <w:tab/>
            </w:r>
            <w:r>
              <w:rPr>
                <w:rStyle w:val="IndexLink"/>
              </w:rPr>
              <w:t>473</w:t>
            </w:r>
          </w:hyperlink>
        </w:p>
        <w:p>
          <w:pPr>
            <w:pStyle w:val="Contents4"/>
            <w:tabs>
              <w:tab w:val="clear" w:pos="8176"/>
              <w:tab w:val="right" w:pos="9026" w:leader="dot"/>
            </w:tabs>
            <w:rPr/>
          </w:pPr>
          <w:hyperlink w:anchor="__RefHeading___Toc147432_2142443653">
            <w:r>
              <w:rPr>
                <w:webHidden/>
                <w:rStyle w:val="IndexLink"/>
                <w:rtl w:val="true"/>
              </w:rPr>
              <w:t>عبید الله بن الدهقان ضعیف</w:t>
            </w:r>
            <w:r>
              <w:rPr>
                <w:rStyle w:val="IndexLink"/>
                <w:rtl w:val="true"/>
              </w:rPr>
              <w:tab/>
            </w:r>
            <w:r>
              <w:rPr>
                <w:rStyle w:val="IndexLink"/>
              </w:rPr>
              <w:t>473</w:t>
            </w:r>
          </w:hyperlink>
        </w:p>
        <w:p>
          <w:pPr>
            <w:pStyle w:val="Contents4"/>
            <w:tabs>
              <w:tab w:val="clear" w:pos="8176"/>
              <w:tab w:val="right" w:pos="9026" w:leader="dot"/>
            </w:tabs>
            <w:rPr/>
          </w:pPr>
          <w:hyperlink w:anchor="__RefHeading___Toc147434_2142443653">
            <w:r>
              <w:rPr>
                <w:webHidden/>
                <w:rStyle w:val="IndexLink"/>
                <w:rtl w:val="true"/>
              </w:rPr>
              <w:t>بحث حول هارون بن مسلم</w:t>
            </w:r>
            <w:r>
              <w:rPr>
                <w:rStyle w:val="IndexLink"/>
                <w:rtl w:val="true"/>
              </w:rPr>
              <w:tab/>
            </w:r>
            <w:r>
              <w:rPr>
                <w:rStyle w:val="IndexLink"/>
              </w:rPr>
              <w:t>473</w:t>
            </w:r>
          </w:hyperlink>
        </w:p>
        <w:p>
          <w:pPr>
            <w:pStyle w:val="Contents4"/>
            <w:tabs>
              <w:tab w:val="clear" w:pos="8176"/>
              <w:tab w:val="right" w:pos="9026" w:leader="dot"/>
            </w:tabs>
            <w:rPr/>
          </w:pPr>
          <w:hyperlink w:anchor="__RefHeading___Toc147436_2142443653">
            <w:r>
              <w:rPr>
                <w:webHidden/>
                <w:rStyle w:val="IndexLink"/>
                <w:rtl w:val="true"/>
              </w:rPr>
              <w:t>بحث حول مسعدة بن صدقة</w:t>
            </w:r>
            <w:r>
              <w:rPr>
                <w:rStyle w:val="IndexLink"/>
                <w:rtl w:val="true"/>
              </w:rPr>
              <w:tab/>
            </w:r>
            <w:r>
              <w:rPr>
                <w:rStyle w:val="IndexLink"/>
              </w:rPr>
              <w:t>474</w:t>
            </w:r>
          </w:hyperlink>
        </w:p>
        <w:p>
          <w:pPr>
            <w:pStyle w:val="Contents4"/>
            <w:tabs>
              <w:tab w:val="clear" w:pos="8176"/>
              <w:tab w:val="right" w:pos="9026" w:leader="dot"/>
            </w:tabs>
            <w:rPr/>
          </w:pPr>
          <w:hyperlink w:anchor="__RefHeading___Toc147438_2142443653">
            <w:r>
              <w:rPr>
                <w:webHidden/>
                <w:rStyle w:val="IndexLink"/>
                <w:rtl w:val="true"/>
              </w:rPr>
              <w:t>أبو مریم الأنصاری ثقة</w:t>
            </w:r>
            <w:r>
              <w:rPr>
                <w:rStyle w:val="IndexLink"/>
                <w:rtl w:val="true"/>
              </w:rPr>
              <w:tab/>
            </w:r>
            <w:r>
              <w:rPr>
                <w:rStyle w:val="IndexLink"/>
              </w:rPr>
              <w:t>474</w:t>
            </w:r>
          </w:hyperlink>
        </w:p>
        <w:p>
          <w:pPr>
            <w:pStyle w:val="Contents4"/>
            <w:tabs>
              <w:tab w:val="clear" w:pos="8176"/>
              <w:tab w:val="right" w:pos="9026" w:leader="dot"/>
            </w:tabs>
            <w:rPr/>
          </w:pPr>
          <w:hyperlink w:anchor="__RefHeading___Toc147440_2142443653">
            <w:r>
              <w:rPr>
                <w:webHidden/>
                <w:rStyle w:val="IndexLink"/>
                <w:rtl w:val="true"/>
              </w:rPr>
              <w:t>بیان ما دلّ علی عدم غسل الشهید ودفعة بثیابه</w:t>
            </w:r>
            <w:r>
              <w:rPr>
                <w:rStyle w:val="IndexLink"/>
                <w:rtl w:val="true"/>
              </w:rPr>
              <w:tab/>
            </w:r>
            <w:r>
              <w:rPr>
                <w:rStyle w:val="IndexLink"/>
              </w:rPr>
              <w:t>474</w:t>
            </w:r>
          </w:hyperlink>
        </w:p>
        <w:p>
          <w:pPr>
            <w:pStyle w:val="Contents4"/>
            <w:tabs>
              <w:tab w:val="clear" w:pos="8176"/>
              <w:tab w:val="right" w:pos="9026" w:leader="dot"/>
            </w:tabs>
            <w:rPr/>
          </w:pPr>
          <w:hyperlink w:anchor="__RefHeading___Toc147442_2142443653">
            <w:r>
              <w:rPr>
                <w:webHidden/>
                <w:rStyle w:val="IndexLink"/>
                <w:rtl w:val="true"/>
              </w:rPr>
              <w:t>معنی الرَمَق</w:t>
            </w:r>
            <w:r>
              <w:rPr>
                <w:rStyle w:val="IndexLink"/>
                <w:rtl w:val="true"/>
              </w:rPr>
              <w:tab/>
            </w:r>
            <w:r>
              <w:rPr>
                <w:rStyle w:val="IndexLink"/>
              </w:rPr>
              <w:t>477</w:t>
            </w:r>
          </w:hyperlink>
        </w:p>
        <w:p>
          <w:pPr>
            <w:pStyle w:val="Contents3"/>
            <w:tabs>
              <w:tab w:val="clear" w:pos="8459"/>
              <w:tab w:val="right" w:pos="9026" w:leader="dot"/>
            </w:tabs>
            <w:rPr/>
          </w:pPr>
          <w:hyperlink w:anchor="__RefHeading___Toc147444_2142443653">
            <w:r>
              <w:rPr>
                <w:webHidden/>
                <w:rStyle w:val="IndexLink"/>
                <w:rtl w:val="true"/>
              </w:rPr>
              <w:t>المیت یموت فی المرکب</w:t>
            </w:r>
            <w:r>
              <w:rPr>
                <w:rStyle w:val="IndexLink"/>
                <w:rtl w:val="true"/>
              </w:rPr>
              <w:tab/>
            </w:r>
            <w:r>
              <w:rPr>
                <w:rStyle w:val="IndexLink"/>
              </w:rPr>
              <w:t>477</w:t>
            </w:r>
          </w:hyperlink>
        </w:p>
        <w:p>
          <w:pPr>
            <w:pStyle w:val="Contents4"/>
            <w:tabs>
              <w:tab w:val="clear" w:pos="8176"/>
              <w:tab w:val="right" w:pos="9026" w:leader="dot"/>
            </w:tabs>
            <w:rPr/>
          </w:pPr>
          <w:hyperlink w:anchor="__RefHeading___Toc147446_2142443653">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147448_2142443653">
            <w:r>
              <w:rPr>
                <w:webHidden/>
                <w:rStyle w:val="IndexLink"/>
                <w:rtl w:val="true"/>
              </w:rPr>
              <w:t>حمید بن زیاد واقفی</w:t>
            </w:r>
            <w:r>
              <w:rPr>
                <w:rStyle w:val="IndexLink"/>
                <w:rtl w:val="true"/>
              </w:rPr>
              <w:tab/>
            </w:r>
            <w:r>
              <w:rPr>
                <w:rStyle w:val="IndexLink"/>
              </w:rPr>
              <w:t>478</w:t>
            </w:r>
          </w:hyperlink>
        </w:p>
        <w:p>
          <w:pPr>
            <w:pStyle w:val="Contents4"/>
            <w:tabs>
              <w:tab w:val="clear" w:pos="8176"/>
              <w:tab w:val="right" w:pos="9026" w:leader="dot"/>
            </w:tabs>
            <w:rPr/>
          </w:pPr>
          <w:hyperlink w:anchor="__RefHeading___Toc147450_2142443653">
            <w:r>
              <w:rPr>
                <w:webHidden/>
                <w:rStyle w:val="IndexLink"/>
                <w:rtl w:val="true"/>
              </w:rPr>
              <w:t>بحث حول أبی البختری وهب بن وهب</w:t>
            </w:r>
            <w:r>
              <w:rPr>
                <w:rStyle w:val="IndexLink"/>
                <w:rtl w:val="true"/>
              </w:rPr>
              <w:tab/>
            </w:r>
            <w:r>
              <w:rPr>
                <w:rStyle w:val="IndexLink"/>
              </w:rPr>
              <w:t>478</w:t>
            </w:r>
          </w:hyperlink>
        </w:p>
        <w:p>
          <w:pPr>
            <w:pStyle w:val="Contents4"/>
            <w:tabs>
              <w:tab w:val="clear" w:pos="8176"/>
              <w:tab w:val="right" w:pos="9026" w:leader="dot"/>
            </w:tabs>
            <w:rPr/>
          </w:pPr>
          <w:hyperlink w:anchor="__RefHeading___Toc147452_2142443653">
            <w:r>
              <w:rPr>
                <w:webHidden/>
                <w:rStyle w:val="IndexLink"/>
                <w:rtl w:val="true"/>
              </w:rPr>
              <w:t>إشارة إلی حال محمّد بن قولویه</w:t>
            </w:r>
            <w:r>
              <w:rPr>
                <w:rStyle w:val="IndexLink"/>
                <w:rtl w:val="true"/>
              </w:rPr>
              <w:tab/>
            </w:r>
            <w:r>
              <w:rPr>
                <w:rStyle w:val="IndexLink"/>
              </w:rPr>
              <w:t>479</w:t>
            </w:r>
          </w:hyperlink>
        </w:p>
        <w:p>
          <w:pPr>
            <w:pStyle w:val="Contents4"/>
            <w:tabs>
              <w:tab w:val="clear" w:pos="8176"/>
              <w:tab w:val="right" w:pos="9026" w:leader="dot"/>
            </w:tabs>
            <w:rPr/>
          </w:pPr>
          <w:hyperlink w:anchor="__RefHeading___Toc147454_2142443653">
            <w:r>
              <w:rPr>
                <w:webHidden/>
                <w:rStyle w:val="IndexLink"/>
                <w:rtl w:val="true"/>
              </w:rPr>
              <w:t>کیفیة دفن المیت فی البحر</w:t>
            </w:r>
            <w:r>
              <w:rPr>
                <w:rStyle w:val="IndexLink"/>
                <w:rtl w:val="true"/>
              </w:rPr>
              <w:tab/>
            </w:r>
            <w:r>
              <w:rPr>
                <w:rStyle w:val="IndexLink"/>
              </w:rPr>
              <w:t>479</w:t>
            </w:r>
          </w:hyperlink>
        </w:p>
        <w:p>
          <w:pPr>
            <w:pStyle w:val="Contents4"/>
            <w:tabs>
              <w:tab w:val="clear" w:pos="8176"/>
              <w:tab w:val="right" w:pos="9026" w:leader="dot"/>
            </w:tabs>
            <w:rPr/>
          </w:pPr>
          <w:hyperlink w:anchor="__RefHeading___Toc147456_2142443653">
            <w:r>
              <w:rPr>
                <w:webHidden/>
                <w:rStyle w:val="IndexLink"/>
                <w:rtl w:val="true"/>
              </w:rPr>
              <w:t>معنی الوکاء والخابیة</w:t>
            </w:r>
            <w:r>
              <w:rPr>
                <w:rStyle w:val="IndexLink"/>
                <w:rtl w:val="true"/>
              </w:rPr>
              <w:tab/>
            </w:r>
            <w:r>
              <w:rPr>
                <w:rStyle w:val="IndexLink"/>
              </w:rPr>
              <w:t>480</w:t>
            </w:r>
          </w:hyperlink>
        </w:p>
        <w:p>
          <w:pPr>
            <w:pStyle w:val="Contents3"/>
            <w:tabs>
              <w:tab w:val="clear" w:pos="8459"/>
              <w:tab w:val="right" w:pos="9026" w:leader="dot"/>
            </w:tabs>
            <w:rPr/>
          </w:pPr>
          <w:hyperlink w:anchor="__RefHeading___Toc147458_2142443653">
            <w:r>
              <w:rPr>
                <w:webHidden/>
                <w:rStyle w:val="IndexLink"/>
                <w:rtl w:val="true"/>
              </w:rPr>
              <w:t>تربیع الجنازة</w:t>
            </w:r>
            <w:r>
              <w:rPr>
                <w:rStyle w:val="IndexLink"/>
                <w:rtl w:val="true"/>
              </w:rPr>
              <w:tab/>
            </w:r>
            <w:r>
              <w:rPr>
                <w:rStyle w:val="IndexLink"/>
              </w:rPr>
              <w:t>481</w:t>
            </w:r>
          </w:hyperlink>
        </w:p>
        <w:p>
          <w:pPr>
            <w:pStyle w:val="Contents4"/>
            <w:tabs>
              <w:tab w:val="clear" w:pos="8176"/>
              <w:tab w:val="right" w:pos="9026" w:leader="dot"/>
            </w:tabs>
            <w:rPr/>
          </w:pPr>
          <w:hyperlink w:anchor="__RefHeading___Toc147460_2142443653">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147462_2142443653">
            <w:r>
              <w:rPr>
                <w:webHidden/>
                <w:rStyle w:val="IndexLink"/>
                <w:rtl w:val="true"/>
              </w:rPr>
              <w:t>بحث حول علی بن عقبة</w:t>
            </w:r>
            <w:r>
              <w:rPr>
                <w:rStyle w:val="IndexLink"/>
                <w:rtl w:val="true"/>
              </w:rPr>
              <w:tab/>
            </w:r>
            <w:r>
              <w:rPr>
                <w:rStyle w:val="IndexLink"/>
              </w:rPr>
              <w:t>482</w:t>
            </w:r>
          </w:hyperlink>
        </w:p>
        <w:p>
          <w:pPr>
            <w:pStyle w:val="Contents4"/>
            <w:tabs>
              <w:tab w:val="clear" w:pos="8176"/>
              <w:tab w:val="right" w:pos="9026" w:leader="dot"/>
            </w:tabs>
            <w:rPr/>
          </w:pPr>
          <w:hyperlink w:anchor="__RefHeading___Toc147464_2142443653">
            <w:r>
              <w:rPr>
                <w:webHidden/>
                <w:rStyle w:val="IndexLink"/>
                <w:rtl w:val="true"/>
              </w:rPr>
              <w:t>موسی بن أکیل ثقة</w:t>
            </w:r>
            <w:r>
              <w:rPr>
                <w:rStyle w:val="IndexLink"/>
                <w:rtl w:val="true"/>
              </w:rPr>
              <w:tab/>
            </w:r>
            <w:r>
              <w:rPr>
                <w:rStyle w:val="IndexLink"/>
              </w:rPr>
              <w:t>483</w:t>
            </w:r>
          </w:hyperlink>
        </w:p>
        <w:p>
          <w:pPr>
            <w:pStyle w:val="Contents4"/>
            <w:tabs>
              <w:tab w:val="clear" w:pos="8176"/>
              <w:tab w:val="right" w:pos="9026" w:leader="dot"/>
            </w:tabs>
            <w:rPr/>
          </w:pPr>
          <w:hyperlink w:anchor="__RefHeading___Toc147466_2142443653">
            <w:r>
              <w:rPr>
                <w:webHidden/>
                <w:rStyle w:val="IndexLink"/>
                <w:rtl w:val="true"/>
              </w:rPr>
              <w:t>العلاء بن سیّابة مهمل</w:t>
            </w:r>
            <w:r>
              <w:rPr>
                <w:rStyle w:val="IndexLink"/>
                <w:rtl w:val="true"/>
              </w:rPr>
              <w:tab/>
            </w:r>
            <w:r>
              <w:rPr>
                <w:rStyle w:val="IndexLink"/>
              </w:rPr>
              <w:t>483</w:t>
            </w:r>
          </w:hyperlink>
        </w:p>
        <w:p>
          <w:pPr>
            <w:pStyle w:val="Contents4"/>
            <w:tabs>
              <w:tab w:val="clear" w:pos="8176"/>
              <w:tab w:val="right" w:pos="9026" w:leader="dot"/>
            </w:tabs>
            <w:rPr/>
          </w:pPr>
          <w:hyperlink w:anchor="__RefHeading___Toc147468_2142443653">
            <w:r>
              <w:rPr>
                <w:webHidden/>
                <w:rStyle w:val="IndexLink"/>
                <w:rtl w:val="true"/>
              </w:rPr>
              <w:t>یونس الذی یروی عن علی بن یقطین هو ابن عبدالرحمان</w:t>
            </w:r>
            <w:r>
              <w:rPr>
                <w:rStyle w:val="IndexLink"/>
                <w:rtl w:val="true"/>
              </w:rPr>
              <w:tab/>
            </w:r>
            <w:r>
              <w:rPr>
                <w:rStyle w:val="IndexLink"/>
              </w:rPr>
              <w:t>483</w:t>
            </w:r>
          </w:hyperlink>
        </w:p>
        <w:p>
          <w:pPr>
            <w:pStyle w:val="Contents4"/>
            <w:tabs>
              <w:tab w:val="clear" w:pos="8176"/>
              <w:tab w:val="right" w:pos="9026" w:leader="dot"/>
            </w:tabs>
            <w:rPr/>
          </w:pPr>
          <w:hyperlink w:anchor="__RefHeading___Toc147470_2142443653">
            <w:r>
              <w:rPr>
                <w:webHidden/>
                <w:rStyle w:val="IndexLink"/>
                <w:rtl w:val="true"/>
              </w:rPr>
              <w:t>إشارة إلی ضعف علی بن حدید</w:t>
            </w:r>
            <w:r>
              <w:rPr>
                <w:rStyle w:val="IndexLink"/>
                <w:rtl w:val="true"/>
              </w:rPr>
              <w:tab/>
            </w:r>
            <w:r>
              <w:rPr>
                <w:rStyle w:val="IndexLink"/>
              </w:rPr>
              <w:t>483</w:t>
            </w:r>
          </w:hyperlink>
        </w:p>
        <w:p>
          <w:pPr>
            <w:pStyle w:val="Contents4"/>
            <w:tabs>
              <w:tab w:val="clear" w:pos="8176"/>
              <w:tab w:val="right" w:pos="9026" w:leader="dot"/>
            </w:tabs>
            <w:rPr/>
          </w:pPr>
          <w:hyperlink w:anchor="__RefHeading___Toc147472_2142443653">
            <w:r>
              <w:rPr>
                <w:webHidden/>
                <w:rStyle w:val="IndexLink"/>
                <w:rtl w:val="true"/>
              </w:rPr>
              <w:t>علی بن موسی غیر مذکور فی الرجال</w:t>
            </w:r>
            <w:r>
              <w:rPr>
                <w:rStyle w:val="IndexLink"/>
                <w:rtl w:val="true"/>
              </w:rPr>
              <w:tab/>
            </w:r>
            <w:r>
              <w:rPr>
                <w:rStyle w:val="IndexLink"/>
              </w:rPr>
              <w:t>483</w:t>
            </w:r>
          </w:hyperlink>
        </w:p>
        <w:p>
          <w:pPr>
            <w:pStyle w:val="Contents4"/>
            <w:tabs>
              <w:tab w:val="clear" w:pos="8176"/>
              <w:tab w:val="right" w:pos="9026" w:leader="dot"/>
            </w:tabs>
            <w:rPr/>
          </w:pPr>
          <w:hyperlink w:anchor="__RefHeading___Toc147474_2142443653">
            <w:r>
              <w:rPr>
                <w:webHidden/>
                <w:rStyle w:val="IndexLink"/>
                <w:rtl w:val="true"/>
              </w:rPr>
              <w:t>علی بن الحسین مشترک</w:t>
            </w:r>
            <w:r>
              <w:rPr>
                <w:rStyle w:val="IndexLink"/>
                <w:rtl w:val="true"/>
              </w:rPr>
              <w:tab/>
            </w:r>
            <w:r>
              <w:rPr>
                <w:rStyle w:val="IndexLink"/>
              </w:rPr>
              <w:t>483</w:t>
            </w:r>
          </w:hyperlink>
        </w:p>
        <w:p>
          <w:pPr>
            <w:pStyle w:val="Contents4"/>
            <w:tabs>
              <w:tab w:val="clear" w:pos="8176"/>
              <w:tab w:val="right" w:pos="9026" w:leader="dot"/>
            </w:tabs>
            <w:rPr/>
          </w:pPr>
          <w:hyperlink w:anchor="__RefHeading___Toc147476_2142443653">
            <w:r>
              <w:rPr>
                <w:webHidden/>
                <w:rStyle w:val="IndexLink"/>
                <w:rtl w:val="true"/>
              </w:rPr>
              <w:t>کیفیة التربیع</w:t>
            </w:r>
            <w:r>
              <w:rPr>
                <w:rStyle w:val="IndexLink"/>
                <w:rtl w:val="true"/>
              </w:rPr>
              <w:tab/>
            </w:r>
            <w:r>
              <w:rPr>
                <w:rStyle w:val="IndexLink"/>
              </w:rPr>
              <w:t>483</w:t>
            </w:r>
          </w:hyperlink>
        </w:p>
        <w:p>
          <w:pPr>
            <w:pStyle w:val="Contents4"/>
            <w:tabs>
              <w:tab w:val="clear" w:pos="8176"/>
              <w:tab w:val="right" w:pos="9026" w:leader="dot"/>
            </w:tabs>
            <w:rPr/>
          </w:pPr>
          <w:hyperlink w:anchor="__RefHeading___Toc147478_2142443653">
            <w:r>
              <w:rPr>
                <w:webHidden/>
                <w:rStyle w:val="IndexLink"/>
                <w:rtl w:val="true"/>
              </w:rPr>
              <w:t>کلام الشهید الثانی فی معنی التربیع والمناقشة فیه</w:t>
            </w:r>
            <w:r>
              <w:rPr>
                <w:rStyle w:val="IndexLink"/>
                <w:rtl w:val="true"/>
              </w:rPr>
              <w:tab/>
            </w:r>
            <w:r>
              <w:rPr>
                <w:rStyle w:val="IndexLink"/>
              </w:rPr>
              <w:t>488</w:t>
            </w:r>
          </w:hyperlink>
        </w:p>
        <w:p>
          <w:pPr>
            <w:pStyle w:val="Contents3"/>
            <w:tabs>
              <w:tab w:val="clear" w:pos="8459"/>
              <w:tab w:val="right" w:pos="9026" w:leader="dot"/>
            </w:tabs>
            <w:rPr/>
          </w:pPr>
          <w:hyperlink w:anchor="__RefHeading___Toc147480_2142443653">
            <w:r>
              <w:rPr>
                <w:webHidden/>
                <w:rStyle w:val="IndexLink"/>
                <w:rtl w:val="true"/>
              </w:rPr>
              <w:t>النهی عن تجصیص القبر وتطیینه</w:t>
            </w:r>
            <w:r>
              <w:rPr>
                <w:rStyle w:val="IndexLink"/>
                <w:rtl w:val="true"/>
              </w:rPr>
              <w:tab/>
            </w:r>
            <w:r>
              <w:rPr>
                <w:rStyle w:val="IndexLink"/>
              </w:rPr>
              <w:t>488</w:t>
            </w:r>
          </w:hyperlink>
        </w:p>
        <w:p>
          <w:pPr>
            <w:pStyle w:val="Contents4"/>
            <w:tabs>
              <w:tab w:val="clear" w:pos="8176"/>
              <w:tab w:val="right" w:pos="9026" w:leader="dot"/>
            </w:tabs>
            <w:rPr/>
          </w:pPr>
          <w:hyperlink w:anchor="__RefHeading___Toc147482_2142443653">
            <w:r>
              <w:rPr>
                <w:webHidden/>
                <w:rStyle w:val="IndexLink"/>
                <w:rtl w:val="true"/>
              </w:rPr>
              <w:t>اشارة</w:t>
            </w:r>
            <w:r>
              <w:rPr>
                <w:rStyle w:val="IndexLink"/>
                <w:rtl w:val="true"/>
              </w:rPr>
              <w:tab/>
            </w:r>
            <w:r>
              <w:rPr>
                <w:rStyle w:val="IndexLink"/>
              </w:rPr>
              <w:t>488</w:t>
            </w:r>
          </w:hyperlink>
        </w:p>
        <w:p>
          <w:pPr>
            <w:pStyle w:val="Contents4"/>
            <w:tabs>
              <w:tab w:val="clear" w:pos="8176"/>
              <w:tab w:val="right" w:pos="9026" w:leader="dot"/>
            </w:tabs>
            <w:rPr/>
          </w:pPr>
          <w:hyperlink w:anchor="__RefHeading___Toc147484_2142443653">
            <w:r>
              <w:rPr>
                <w:webHidden/>
                <w:rStyle w:val="IndexLink"/>
                <w:rtl w:val="true"/>
              </w:rPr>
              <w:t>بحث حول علی بن أسباط</w:t>
            </w:r>
            <w:r>
              <w:rPr>
                <w:rStyle w:val="IndexLink"/>
                <w:rtl w:val="true"/>
              </w:rPr>
              <w:tab/>
            </w:r>
            <w:r>
              <w:rPr>
                <w:rStyle w:val="IndexLink"/>
              </w:rPr>
              <w:t>489</w:t>
            </w:r>
          </w:hyperlink>
        </w:p>
        <w:p>
          <w:pPr>
            <w:pStyle w:val="Contents4"/>
            <w:tabs>
              <w:tab w:val="clear" w:pos="8176"/>
              <w:tab w:val="right" w:pos="9026" w:leader="dot"/>
            </w:tabs>
            <w:rPr/>
          </w:pPr>
          <w:hyperlink w:anchor="__RefHeading___Toc147486_2142443653">
            <w:r>
              <w:rPr>
                <w:webHidden/>
                <w:rStyle w:val="IndexLink"/>
                <w:rtl w:val="true"/>
              </w:rPr>
              <w:t>کراهیة تجصیص القبور وتطیینها والبناء علیها</w:t>
            </w:r>
            <w:r>
              <w:rPr>
                <w:rStyle w:val="IndexLink"/>
                <w:rtl w:val="true"/>
              </w:rPr>
              <w:tab/>
            </w:r>
            <w:r>
              <w:rPr>
                <w:rStyle w:val="IndexLink"/>
              </w:rPr>
              <w:t>490</w:t>
            </w:r>
          </w:hyperlink>
        </w:p>
        <w:p>
          <w:pPr>
            <w:pStyle w:val="Contents4"/>
            <w:tabs>
              <w:tab w:val="clear" w:pos="8176"/>
              <w:tab w:val="right" w:pos="9026" w:leader="dot"/>
            </w:tabs>
            <w:rPr/>
          </w:pPr>
          <w:hyperlink w:anchor="__RefHeading___Toc147488_2142443653">
            <w:r>
              <w:rPr>
                <w:webHidden/>
                <w:rStyle w:val="IndexLink"/>
                <w:rtl w:val="true"/>
              </w:rPr>
              <w:t>معنی فید</w:t>
            </w:r>
            <w:r>
              <w:rPr>
                <w:rStyle w:val="IndexLink"/>
                <w:rtl w:val="true"/>
              </w:rPr>
              <w:tab/>
            </w:r>
            <w:r>
              <w:rPr>
                <w:rStyle w:val="IndexLink"/>
              </w:rPr>
              <w:t>491</w:t>
            </w:r>
          </w:hyperlink>
        </w:p>
        <w:p>
          <w:pPr>
            <w:pStyle w:val="Contents3"/>
            <w:tabs>
              <w:tab w:val="clear" w:pos="8459"/>
              <w:tab w:val="right" w:pos="9026" w:leader="dot"/>
            </w:tabs>
            <w:rPr/>
          </w:pPr>
          <w:hyperlink w:anchor="__RefHeading___Toc147490_2142443653">
            <w:r>
              <w:rPr>
                <w:webHidden/>
                <w:rStyle w:val="IndexLink"/>
                <w:rtl w:val="true"/>
              </w:rPr>
              <w:t>کیفیة التعزیة</w:t>
            </w:r>
            <w:r>
              <w:rPr>
                <w:rStyle w:val="IndexLink"/>
                <w:rtl w:val="true"/>
              </w:rPr>
              <w:tab/>
            </w:r>
            <w:r>
              <w:rPr>
                <w:rStyle w:val="IndexLink"/>
              </w:rPr>
              <w:t>491</w:t>
            </w:r>
          </w:hyperlink>
        </w:p>
        <w:p>
          <w:pPr>
            <w:pStyle w:val="Contents4"/>
            <w:tabs>
              <w:tab w:val="clear" w:pos="8176"/>
              <w:tab w:val="right" w:pos="9026" w:leader="dot"/>
            </w:tabs>
            <w:rPr/>
          </w:pPr>
          <w:hyperlink w:anchor="__RefHeading___Toc147492_2142443653">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147494_2142443653">
            <w:r>
              <w:rPr>
                <w:webHidden/>
                <w:rStyle w:val="IndexLink"/>
                <w:rtl w:val="true"/>
              </w:rPr>
              <w:t>کلمة حول طریق الشیخ إلی ابن أبی عمیر</w:t>
            </w:r>
            <w:r>
              <w:rPr>
                <w:rStyle w:val="IndexLink"/>
                <w:rtl w:val="true"/>
              </w:rPr>
              <w:tab/>
            </w:r>
            <w:r>
              <w:rPr>
                <w:rStyle w:val="IndexLink"/>
              </w:rPr>
              <w:t>492</w:t>
            </w:r>
          </w:hyperlink>
        </w:p>
        <w:p>
          <w:pPr>
            <w:pStyle w:val="Contents4"/>
            <w:tabs>
              <w:tab w:val="clear" w:pos="8176"/>
              <w:tab w:val="right" w:pos="9026" w:leader="dot"/>
            </w:tabs>
            <w:rPr/>
          </w:pPr>
          <w:hyperlink w:anchor="__RefHeading___Toc147496_2142443653">
            <w:r>
              <w:rPr>
                <w:webHidden/>
                <w:rStyle w:val="IndexLink"/>
                <w:rtl w:val="true"/>
              </w:rPr>
              <w:t>التعزیة قبل الدفن أو بعده؟</w:t>
            </w:r>
            <w:r>
              <w:rPr>
                <w:rStyle w:val="IndexLink"/>
                <w:rtl w:val="true"/>
              </w:rPr>
              <w:tab/>
            </w:r>
            <w:r>
              <w:rPr>
                <w:rStyle w:val="IndexLink"/>
              </w:rPr>
              <w:t>492</w:t>
            </w:r>
          </w:hyperlink>
        </w:p>
        <w:p>
          <w:pPr>
            <w:pStyle w:val="Contents4"/>
            <w:tabs>
              <w:tab w:val="clear" w:pos="8176"/>
              <w:tab w:val="right" w:pos="9026" w:leader="dot"/>
            </w:tabs>
            <w:rPr/>
          </w:pPr>
          <w:hyperlink w:anchor="__RefHeading___Toc147498_2142443653">
            <w:r>
              <w:rPr>
                <w:webHidden/>
                <w:rStyle w:val="IndexLink"/>
                <w:rtl w:val="true"/>
              </w:rPr>
              <w:t>معنی التعزیة</w:t>
            </w:r>
            <w:r>
              <w:rPr>
                <w:rStyle w:val="IndexLink"/>
                <w:rtl w:val="true"/>
              </w:rPr>
              <w:tab/>
            </w:r>
            <w:r>
              <w:rPr>
                <w:rStyle w:val="IndexLink"/>
              </w:rPr>
              <w:t>493</w:t>
            </w:r>
          </w:hyperlink>
        </w:p>
        <w:p>
          <w:pPr>
            <w:pStyle w:val="Contents2"/>
            <w:tabs>
              <w:tab w:val="clear" w:pos="8743"/>
              <w:tab w:val="right" w:pos="9026" w:leader="dot"/>
            </w:tabs>
            <w:rPr/>
          </w:pPr>
          <w:hyperlink w:anchor="__RefHeading___Toc147500_2142443653">
            <w:r>
              <w:rPr>
                <w:webHidden/>
                <w:rStyle w:val="IndexLink"/>
                <w:rtl w:val="true"/>
              </w:rPr>
              <w:t>فهرس الموضوعات</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25_160132"/>
      <w:bookmarkStart w:id="1" w:name="pg15025_160132"/>
      <w:bookmarkEnd w:id="1"/>
    </w:p>
    <w:p>
      <w:pPr>
        <w:pStyle w:val="Heading2"/>
        <w:numPr>
          <w:ilvl w:val="1"/>
          <w:numId w:val="1"/>
        </w:numPr>
        <w:rPr/>
      </w:pPr>
      <w:bookmarkStart w:id="2" w:name="pg15025_160132"/>
      <w:bookmarkStart w:id="3" w:name="__RefHeading___Toc146446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محمد بن الحسن ،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استقصاء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محمد بن الحسن بن الشهيد الثاني ؛ تحقيق مؤسسة آل البيت علیهم السلام الإحياء التراث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مؤسسةآل البيت علیهم السلام الإحياء التراث ، مشهد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بالهامش</w:t>
      </w:r>
    </w:p>
    <w:p>
      <w:pPr>
        <w:pStyle w:val="BookText"/>
        <w:rPr/>
      </w:pPr>
      <w:r>
        <w:rPr>
          <w:rFonts w:ascii="Amiri" w:hAnsi="Amiri" w:eastAsia="Amiri" w:cs="Amiri"/>
          <w:color w:val="111111"/>
          <w:sz w:val="28"/>
          <w:sz w:val="28"/>
          <w:szCs w:val="28"/>
          <w:rtl w:val="true"/>
          <w:lang w:bidi="ar-SA"/>
        </w:rPr>
        <w:t xml:space="preserve">هذا الكتاب شرح للاستبصار للشيخ الطوسي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 محمد بن الحسن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 محمد بن الحسن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 xml:space="preserve">شايك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p>
    <w:p>
      <w:pPr>
        <w:pStyle w:val="BookText"/>
        <w:rPr/>
      </w:pPr>
      <w:r>
        <w:rPr>
          <w:rFonts w:eastAsia="Times New Roman" w:cs="Times New Roman" w:ascii="Times New Roman" w:hAnsi="Times New Roman"/>
          <w:color w:val="111111"/>
          <w:sz w:val="28"/>
          <w:szCs w:val="28"/>
          <w:lang w:val="en-US" w:bidi="en-US"/>
        </w:rPr>
        <w:t>ISBN 964 - 319 - 172 - 9 / 7 VOLS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ISBN 964 - 319 - 175 - 3 / VOL. 3</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بن الشهيد الثاني</w:t>
      </w:r>
    </w:p>
    <w:p>
      <w:pPr>
        <w:pStyle w:val="BookText"/>
        <w:rPr/>
      </w:pP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الفلم والالواح الحساسة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44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25_160136"/>
      <w:bookmarkStart w:id="8" w:name="pg15025_160136"/>
      <w:bookmarkEnd w:id="8"/>
    </w:p>
    <w:p>
      <w:pPr>
        <w:pStyle w:val="BookText"/>
        <w:rPr/>
      </w:pPr>
      <w:bookmarkStart w:id="9" w:name="pg15025_160136"/>
      <w:bookmarkEnd w:id="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قدّس الله روحه </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أبواب التیمم</w:t>
      </w:r>
    </w:p>
    <w:p>
      <w:pPr>
        <w:pStyle w:val="BookText"/>
        <w:rPr/>
      </w:pPr>
      <w:r>
        <w:rPr>
          <w:rFonts w:ascii="IRNazanin" w:hAnsi="IRNazanin" w:eastAsia="IRNazanin"/>
          <w:color w:val="111111"/>
          <w:sz w:val="28"/>
          <w:sz w:val="28"/>
          <w:szCs w:val="28"/>
          <w:rtl w:val="true"/>
          <w:lang w:bidi="fa-IR"/>
        </w:rPr>
        <w:t>باب أنّ الدقیق لا یجوز التیمم به</w:t>
      </w:r>
    </w:p>
    <w:p>
      <w:pPr>
        <w:pStyle w:val="BookText"/>
        <w:rPr/>
      </w:pPr>
      <w:r>
        <w:rPr>
          <w:rFonts w:ascii="IRNazanin" w:hAnsi="IRNazanin" w:eastAsia="IRNazanin"/>
          <w:color w:val="111111"/>
          <w:sz w:val="28"/>
          <w:sz w:val="28"/>
          <w:szCs w:val="28"/>
          <w:rtl w:val="true"/>
          <w:lang w:bidi="fa-IR"/>
        </w:rPr>
        <w:t xml:space="preserve">أخبرنی الشیخ رحمه الله عن أبی جعفر محمد بن علی بن الحسین بن بابویه ، عن محمد بن الحسن ، عن محمد بن یحیی ، عن محمد ابن أحمد بن یحیی ، عن محمد بن عیسی ، عن یاسین الضریر ، عن حریز ، عن أبی بصیر ، عن أبی عبد الله علیه السلام عن الرجل یکون معه اللبن أیتوضّأ منه؟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إنّما هو الماء والصعید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فنفی أن یکون ما سوی الماء والصعید یجوز </w:t>
      </w:r>
      <w:r>
        <w:rPr>
          <w:rStyle w:val="FootnoteAnchor"/>
          <w:rtl w:val="true"/>
        </w:rPr>
        <w:footnoteReference w:id="3"/>
      </w:r>
      <w:r>
        <w:rPr>
          <w:rFonts w:ascii="IRNazanin" w:hAnsi="IRNazanin" w:eastAsia="IRNazanin"/>
          <w:color w:val="111111"/>
          <w:sz w:val="28"/>
          <w:sz w:val="28"/>
          <w:szCs w:val="28"/>
          <w:rtl w:val="true"/>
          <w:lang w:bidi="fa-IR"/>
        </w:rPr>
        <w:t xml:space="preserve">التوضّؤ به بلفظة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مستفاد منها علی ما بینّاه فی کتابنا الکبیر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قدمنا فی جملة من رجاله القول بما یغنی عن الإعادة ، والذی ینبغی علمه هنا أنّ محمد بن علی بن بابویه من أجلاّء الطائفة وثقاتهم ،</w:t>
      </w:r>
    </w:p>
    <w:p>
      <w:pPr>
        <w:pStyle w:val="Heading2"/>
        <w:numPr>
          <w:ilvl w:val="1"/>
          <w:numId w:val="1"/>
        </w:numPr>
        <w:rPr/>
      </w:pPr>
      <w:bookmarkStart w:id="10" w:name="__RefHeading___Toc146450_2142443653"/>
      <w:bookmarkStart w:id="11" w:name="_Toc3"/>
      <w:bookmarkEnd w:id="10"/>
      <w:r>
        <w:rPr>
          <w:rtl w:val="true"/>
        </w:rPr>
        <w:t>أبواب التیمّم</w:t>
      </w:r>
      <w:bookmarkEnd w:id="11"/>
    </w:p>
    <w:p>
      <w:pPr>
        <w:pStyle w:val="Heading3"/>
        <w:numPr>
          <w:ilvl w:val="2"/>
          <w:numId w:val="1"/>
        </w:numPr>
        <w:rPr/>
      </w:pPr>
      <w:bookmarkStart w:id="12" w:name="__RefHeading___Toc146452_2142443653"/>
      <w:bookmarkStart w:id="13" w:name="_Toc4"/>
      <w:bookmarkEnd w:id="12"/>
      <w:r>
        <w:rPr>
          <w:rtl w:val="true"/>
        </w:rPr>
        <w:t>الدقیق لا یجوز التیمّم به</w:t>
      </w:r>
      <w:bookmarkEnd w:id="1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 w:name="__RefHeading___Toc146454_2142443653"/>
      <w:bookmarkStart w:id="15" w:name="_Toc5"/>
      <w:bookmarkEnd w:id="14"/>
      <w:r>
        <w:rPr>
          <w:rtl w:val="true"/>
        </w:rPr>
        <w:t>بحث حول محمّد بن علی بن بابویه</w:t>
      </w:r>
      <w:bookmarkStart w:id="16" w:name="pg15025_160137"/>
      <w:bookmarkEnd w:id="15"/>
    </w:p>
    <w:p>
      <w:pPr>
        <w:pStyle w:val="BookText"/>
        <w:rPr/>
      </w:pPr>
      <w:bookmarkEnd w:id="16"/>
      <w:r>
        <w:rPr>
          <w:rFonts w:ascii="IRNazanin" w:hAnsi="IRNazanin" w:eastAsia="IRNazanin"/>
          <w:color w:val="111111"/>
          <w:sz w:val="28"/>
          <w:sz w:val="28"/>
          <w:szCs w:val="28"/>
          <w:rtl w:val="true"/>
          <w:lang w:bidi="fa-IR"/>
        </w:rPr>
        <w:t xml:space="preserve">وتوضیح حاله أظهر من أن یبیّن ، وقد ذکر فی کتاب کمال الدین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علی الأسود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علی ابن الحسین ابن بابویه رحمه الله بعد موت محمد بن عثمان العمری أن أسأل أبا القاسم الروحی أن یسأل مولانا صاحب الزمان علیه السلام أن یدعو الله أن یرزقه ولداً ذکراً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w:t>
      </w:r>
      <w:r>
        <w:rPr>
          <w:rStyle w:val="FootnoteAnchor"/>
          <w:rtl w:val="true"/>
        </w:rPr>
        <w:footnoteReference w:id="5"/>
      </w:r>
      <w:r>
        <w:rPr>
          <w:rFonts w:ascii="IRNazanin" w:hAnsi="IRNazanin" w:eastAsia="IRNazanin"/>
          <w:color w:val="111111"/>
          <w:sz w:val="28"/>
          <w:sz w:val="28"/>
          <w:szCs w:val="28"/>
          <w:rtl w:val="true"/>
          <w:lang w:bidi="fa-IR"/>
        </w:rPr>
        <w:t xml:space="preserve">ذلک ، ثم أخبرنی بعد ذلک بثلاثة أیّام أنّه قد دعا لعلی ابن الحسین وأنّه سیولد له ولد مبارک ینفع الله به وبعده أولاد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لعلی بن الحسین رحمه الله تلک السنة ابنه محمد وبعده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جعفر محمد بن علی الأسود رضی الله عنه کثیراً ما یقول لی إذا رآنی اختلف إلی مجلس شیخنا محمد بن الحسن بن أحمد بن الولید رضی الله عنه وأرغب فی کتب العلم وحفظه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بعجب أن یکون لک هذه الرغبة فی العلم وأنت ولدت بدعاء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الأمر علیه السلام </w:t>
      </w:r>
      <w:r>
        <w:rPr>
          <w:rFonts w:eastAsia="IRNazanin" w:cs="IRNazanin"/>
          <w:color w:val="111111"/>
          <w:sz w:val="28"/>
          <w:szCs w:val="28"/>
          <w:rtl w:val="true"/>
          <w:lang w:bidi="fa-IR"/>
        </w:rPr>
        <w:t xml:space="preserve">) </w:t>
      </w:r>
      <w:r>
        <w:rPr>
          <w:rStyle w:val="FootnoteAnchor"/>
          <w:rtl w:val="true"/>
        </w:rPr>
        <w:footnoteReference w:id="6"/>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والصدوق رحمه الله کثیراً ما یروی عن محمد بن علی الأسود ، والنجاشی رحمه الله حکی أنّ السؤال کان علی ید علی بن جعفر الأسود </w:t>
      </w:r>
      <w:r>
        <w:rPr>
          <w:rStyle w:val="FootnoteAnchor"/>
          <w:rtl w:val="true"/>
        </w:rPr>
        <w:footnoteReference w:id="8"/>
      </w:r>
      <w:r>
        <w:rPr>
          <w:rFonts w:ascii="IRNazanin" w:hAnsi="IRNazanin" w:eastAsia="IRNazanin"/>
          <w:color w:val="111111"/>
          <w:sz w:val="28"/>
          <w:sz w:val="28"/>
          <w:szCs w:val="28"/>
          <w:rtl w:val="true"/>
          <w:lang w:bidi="fa-IR"/>
        </w:rPr>
        <w:t>، ولا أدری الصحة فی أیّ الروایتین ، إلاّ أنّ دلالة الروایة علی علوّ شأن محمد بن علی بن بابویه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الحسن المذکور فی السند هو ابن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بن أحمد بن یحیی فقد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ثقة فی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146456_2142443653"/>
      <w:bookmarkStart w:id="18" w:name="_Toc6"/>
      <w:bookmarkEnd w:id="17"/>
      <w:r>
        <w:rPr>
          <w:rtl w:val="true"/>
        </w:rPr>
        <w:t>بحث حول محمّد بن أحمد بن یحیی</w:t>
      </w:r>
      <w:bookmarkEnd w:id="18"/>
    </w:p>
    <w:p>
      <w:pPr>
        <w:pStyle w:val="BookText"/>
        <w:rPr/>
      </w:pPr>
      <w:r>
        <w:rPr>
          <w:rFonts w:ascii="IRNazanin" w:hAnsi="IRNazanin" w:eastAsia="IRNazanin"/>
          <w:color w:val="111111"/>
          <w:sz w:val="28"/>
          <w:sz w:val="28"/>
          <w:szCs w:val="28"/>
          <w:rtl w:val="true"/>
          <w:lang w:bidi="fa-IR"/>
        </w:rPr>
        <w:t xml:space="preserve">الحدیث ، إلاّ أنّ أصحابنا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یروی عن الضعفاء ویعتمد المراسیل ، ولا یبالی عمّن أخذ ، وما علیه فی نفسه مطعن فی شی‌ء ، وکان محمد بن الحسن بن الولید یستثنی من روایة محمد بن أحمد بن یحیی ما رواه عن </w:t>
      </w:r>
      <w:r>
        <w:rPr>
          <w:rStyle w:val="FootnoteAnchor"/>
          <w:rtl w:val="true"/>
        </w:rPr>
        <w:footnoteReference w:id="9"/>
      </w:r>
      <w:r>
        <w:rPr>
          <w:rFonts w:ascii="IRNazanin" w:hAnsi="IRNazanin" w:eastAsia="IRNazanin"/>
          <w:color w:val="111111"/>
          <w:sz w:val="28"/>
          <w:sz w:val="28"/>
          <w:szCs w:val="28"/>
          <w:rtl w:val="true"/>
          <w:lang w:bidi="fa-IR"/>
        </w:rPr>
        <w:t xml:space="preserve">محمد بن موسی الهمدانی ، وما رواه عن رجل ، أو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أصحابنا ، أو عن محمد بن یحیی المعاذی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عن محمد بن عیسی بن عبید بإسناد 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العباس ابن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أصاب شیخنا أبو جعفر محمد بن الحسن بن الولید فی ذلک کلّه ، وتبعه أبو جعفر بن بابویه رحمه الله علی ذلک إلاّ فی محمد بن عیسی بن عبید فلا أدری ما رأیه فیه ، لأنّه کان علی ظاهر العدالة والثقة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رجال من لم یرو عن الأئمّة علیهم السلام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أحمد بن یحیی الأشعری صاحب نوادر الحکمة روی عنه سعد ، ومحمد بن یحیی </w:t>
      </w:r>
      <w:r>
        <w:rPr>
          <w:rStyle w:val="FootnoteAnchor"/>
          <w:rtl w:val="true"/>
        </w:rPr>
        <w:footnoteReference w:id="11"/>
      </w:r>
      <w:r>
        <w:rPr>
          <w:rFonts w:ascii="IRNazanin" w:hAnsi="IRNazanin" w:eastAsia="IRNazanin"/>
          <w:color w:val="111111"/>
          <w:sz w:val="28"/>
          <w:sz w:val="28"/>
          <w:szCs w:val="28"/>
          <w:rtl w:val="true"/>
          <w:lang w:bidi="fa-IR"/>
        </w:rPr>
        <w:t xml:space="preserve">، وأحمد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إدریس ، ومحمد </w:t>
      </w:r>
      <w:r>
        <w:rPr>
          <w:rStyle w:val="FootnoteAnchor"/>
          <w:rtl w:val="true"/>
        </w:rPr>
        <w:footnoteReference w:id="12"/>
      </w:r>
      <w:r>
        <w:rPr>
          <w:rFonts w:ascii="IRNazanin" w:hAnsi="IRNazanin" w:eastAsia="IRNazanin"/>
          <w:color w:val="111111"/>
          <w:sz w:val="28"/>
          <w:sz w:val="28"/>
          <w:szCs w:val="28"/>
          <w:rtl w:val="true"/>
          <w:lang w:bidi="fa-IR"/>
        </w:rPr>
        <w:t xml:space="preserve">بن یحیی المعاذی ، ومحمد بن علی الهمدانی ، ومحمد بن هارون ، وممویه ، ومحمد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ابن عبد الله بن مهران ، ضعفاء روی عنهم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إذا تأمّلت المقام تری أنّه لا یخلو من إشکال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النجاشی عن الأصحاب أنّه کان یروی عن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واضح الاختصاص بمحمد بن أحمد بن یحیی ، لأنّ هذا شأن أکثر الرجال المعتبرین ، واعتماد </w:t>
      </w:r>
    </w:p>
    <w:p>
      <w:pPr>
        <w:pStyle w:val="BookText"/>
        <w:rPr/>
      </w:pPr>
      <w:r>
        <w:rPr>
          <w:rFonts w:ascii="IRNazanin" w:hAnsi="IRNazanin" w:eastAsia="IRNazanin"/>
          <w:color w:val="111111"/>
          <w:sz w:val="28"/>
          <w:sz w:val="28"/>
          <w:szCs w:val="28"/>
          <w:rtl w:val="true"/>
          <w:lang w:bidi="fa-IR"/>
        </w:rPr>
        <w:t xml:space="preserve">المراسیل أمر مرجعه إلی الاجتهاد ، فلا وجه لکونه مضرّاً بالحال ، فإنّ کان قول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علیه فی نفسه مطعن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هذا فله وجه ، إلاّ أنّ ظاهر کلامه یأباه ، مضافاً إلی أنّ تخصیصه الثقة بالحدیث ، مع أنّ ظاهر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علیه فی نفسه مطعن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ثقة مطلقا ، ولعل أمر هذا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اعتماد المراسیل محتمل لأنّ یکون المراد به أنّه یجوّز الإرسال فی الروایة مع عدم ذکره ، بل یجوّز أن یؤتی بالروایة متصلة بمن لم یلقه الراوی ، وهذا یفید نوع قدح فی روایته لا فی نفسه ، وحینئذ یشکل الاعتماد علی روایاته ، إلاّ أنّ الظاهر الاحتمال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استثناء بعض المذکورین مع کونهم 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 لأنّ روایة محمد بن أحمد بن یحیی عن کل ضعیف غیر مقبولة ، والاختصاص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ابن الولید فی محمد بن عیسی أتی بلفظ إسناد منقطع ، ومعنی هذا لا یخلو من خفاء ، فإنّ أُرید به أنّه إذا روی محمد بن أحمد بن یحیی عن محمد بن عیسی مرسلاً ، فلا وجه له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إذا کان الإرسال مانعا </w:t>
      </w:r>
      <w:r>
        <w:rPr>
          <w:rStyle w:val="FootnoteAnchor"/>
          <w:rtl w:val="true"/>
        </w:rPr>
        <w:footnoteReference w:id="15"/>
      </w:r>
      <w:r>
        <w:rPr>
          <w:rFonts w:ascii="IRNazanin" w:hAnsi="IRNazanin" w:eastAsia="IRNazanin"/>
          <w:color w:val="111111"/>
          <w:sz w:val="28"/>
          <w:sz w:val="28"/>
          <w:szCs w:val="28"/>
          <w:rtl w:val="true"/>
          <w:lang w:bidi="fa-IR"/>
        </w:rPr>
        <w:t xml:space="preserve">لا فرق بین محمد بن عیسی وغیره ، وقول أبی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یدری رأیه فی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غرابة بعد ما قررناه ، وقد أوضحت المقام زیادة علی ما هنا فی معاهد التنبیه علی کتاب من لا یحضره الفقیه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قاله الشیخ لا یخلو من خلل فیما أظن ، </w:t>
      </w:r>
      <w:r>
        <w:rPr>
          <w:rStyle w:val="FootnoteAnchor"/>
          <w:rtl w:val="true"/>
        </w:rPr>
        <w:footnoteReference w:id="16"/>
      </w:r>
      <w:r>
        <w:rPr>
          <w:rFonts w:ascii="Amiri" w:hAnsi="Amiri" w:eastAsia="Amiri" w:cs="Amiri"/>
          <w:color w:val="111111"/>
          <w:sz w:val="28"/>
          <w:sz w:val="28"/>
          <w:szCs w:val="28"/>
          <w:rtl w:val="true"/>
          <w:lang w:bidi="ar-SA"/>
        </w:rPr>
        <w:t xml:space="preserve">لأنّ ظاهر </w:t>
      </w:r>
    </w:p>
    <w:p>
      <w:pPr>
        <w:pStyle w:val="BookText"/>
        <w:rPr/>
      </w:pPr>
      <w:r>
        <w:rPr>
          <w:rFonts w:ascii="IRNazanin" w:hAnsi="IRNazanin" w:eastAsia="IRNazanin"/>
          <w:color w:val="111111"/>
          <w:sz w:val="28"/>
          <w:sz w:val="28"/>
          <w:szCs w:val="28"/>
          <w:rtl w:val="true"/>
          <w:lang w:bidi="fa-IR"/>
        </w:rPr>
        <w:t>أوّل الکلام أنّ محمد بن أحمد بن یحیی المعاذی یروی عن محمد بن أحمد بن یحیی الأشعری ، وآخر الکلام یقتضی أنّ محمد بن أحمد بن یحیی یروی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ابتداء من یروی عنهم محمد بن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أحمد بن یحیی المعاذی ، وآخر من یروی عنه أحمد بن إدریس ، والتشویش من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المذکور فی کتاب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Style w:val="FootnoteAnchor"/>
          <w:rtl w:val="true"/>
        </w:rPr>
        <w:footnoteReference w:id="17"/>
      </w:r>
      <w:r>
        <w:rPr>
          <w:rFonts w:ascii="IRNazanin" w:hAnsi="IRNazanin" w:eastAsia="IRNazanin"/>
          <w:color w:val="111111"/>
          <w:sz w:val="28"/>
          <w:sz w:val="28"/>
          <w:szCs w:val="28"/>
          <w:rtl w:val="true"/>
          <w:lang w:bidi="fa-IR"/>
        </w:rPr>
        <w:t xml:space="preserve">بن یحیی المُعاذی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سمعته ، والشیخ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أمر هذا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الفهرست قال الشیخ بعد ذکر جملة من الطرق إلی کتب محمد ابن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جماعة ، عن محمد بن علی بن الحسین ، عن أبیه ، ومحمد بن الحسن ، عن أحمد بن إدریس ، ومحمد بن یحیی ، عن محمد بن أحمد بن یحیی ، وقال محمد بن علی بن الحسین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کان فیها من تخلیط وهو الذی یکون طریقه محمد بن موسی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من ابن بابویه المنقول یقتضی أنّ ما رواه عن </w:t>
      </w:r>
      <w:r>
        <w:rPr>
          <w:rStyle w:val="FootnoteAnchor"/>
          <w:rtl w:val="true"/>
        </w:rPr>
        <w:footnoteReference w:id="21"/>
      </w:r>
      <w:r>
        <w:rPr>
          <w:rFonts w:ascii="IRNazanin" w:hAnsi="IRNazanin" w:eastAsia="IRNazanin"/>
          <w:color w:val="111111"/>
          <w:sz w:val="28"/>
          <w:sz w:val="28"/>
          <w:szCs w:val="28"/>
          <w:rtl w:val="true"/>
          <w:lang w:bidi="fa-IR"/>
        </w:rPr>
        <w:t xml:space="preserve">محمد بن موسی الهمدانی خاصّ بالتخلیط ، وکلام ابن الولید یقتضی ردّ مطلق ما رواه </w:t>
      </w:r>
      <w:bookmarkStart w:id="19" w:name="pg15025_160141"/>
    </w:p>
    <w:p>
      <w:pPr>
        <w:pStyle w:val="BookText"/>
        <w:rPr/>
      </w:pPr>
      <w:bookmarkEnd w:id="19"/>
      <w:r>
        <w:rPr>
          <w:rFonts w:ascii="IRNazanin" w:hAnsi="IRNazanin" w:eastAsia="IRNazanin"/>
          <w:color w:val="111111"/>
          <w:sz w:val="28"/>
          <w:sz w:val="28"/>
          <w:szCs w:val="28"/>
          <w:rtl w:val="true"/>
          <w:lang w:bidi="fa-IR"/>
        </w:rPr>
        <w:t xml:space="preserve">عن </w:t>
      </w:r>
      <w:r>
        <w:rPr>
          <w:rStyle w:val="FootnoteAnchor"/>
          <w:rtl w:val="true"/>
        </w:rPr>
        <w:footnoteReference w:id="22"/>
      </w:r>
      <w:r>
        <w:rPr>
          <w:rFonts w:ascii="IRNazanin" w:hAnsi="IRNazanin" w:eastAsia="IRNazanin"/>
          <w:color w:val="111111"/>
          <w:sz w:val="28"/>
          <w:sz w:val="28"/>
          <w:szCs w:val="28"/>
          <w:rtl w:val="true"/>
          <w:lang w:bidi="fa-IR"/>
        </w:rPr>
        <w:t xml:space="preserve">محمد بن موسی الهمدانی ، ولا أدری الوجه فی هذا الاختلاف ، ولعل مراد ابن بابویه أنّ کل ما رواه عن </w:t>
      </w:r>
      <w:r>
        <w:rPr>
          <w:rStyle w:val="FootnoteAnchor"/>
          <w:rtl w:val="true"/>
        </w:rPr>
        <w:footnoteReference w:id="23"/>
      </w:r>
      <w:r>
        <w:rPr>
          <w:rFonts w:ascii="IRNazanin" w:hAnsi="IRNazanin" w:eastAsia="IRNazanin"/>
          <w:color w:val="111111"/>
          <w:sz w:val="28"/>
          <w:sz w:val="28"/>
          <w:szCs w:val="28"/>
          <w:rtl w:val="true"/>
          <w:lang w:bidi="fa-IR"/>
        </w:rPr>
        <w:t>محمد بن موسی فهو مخلط ، والمعنیّ من التخلیط غیر واضح علی کلا الحالین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فالروایة المذکورة قد اشتملت علی روایة محمد بن أحمد بن یحیی عن محمد بن عیسی ، لکن الإسناد غیر منقطع ، فالتوقف من هذه الجهة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فی السؤال عن الوضوء باللبن ، لکن استفادة عدم جواز التیمم بالدقیق إنّما هی من جهة الحصر ، فلا یتوجه علی الشیخ أنّ الحدیث لا دخل له بالعنوان کما هو واضح ، وما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یحتمل أن یکون اللبِن بکسر الباء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 المفخور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البُعد بمکان ، لکنّه فی حیّز الإمکان </w:t>
      </w:r>
      <w:r>
        <w:rPr>
          <w:rFonts w:eastAsia="IRNazanin" w:cs="IRNazanin"/>
          <w:color w:val="111111"/>
          <w:sz w:val="28"/>
          <w:szCs w:val="28"/>
          <w:rtl w:val="true"/>
          <w:lang w:bidi="fa-IR"/>
        </w:rPr>
        <w:t xml:space="preserve">) </w:t>
      </w:r>
      <w:r>
        <w:rPr>
          <w:rStyle w:val="FootnoteAnchor"/>
          <w:rtl w:val="true"/>
        </w:rPr>
        <w:footnoteReference w:id="24"/>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ذکره رحمه الله فی التهذیب بعد هذه الروایة لا یزید عما هنا </w:t>
      </w:r>
      <w:r>
        <w:rPr>
          <w:rStyle w:val="FootnoteAnchor"/>
          <w:rtl w:val="true"/>
        </w:rPr>
        <w:footnoteReference w:id="26"/>
      </w:r>
      <w:r>
        <w:rPr>
          <w:rFonts w:ascii="IRNazanin" w:hAnsi="IRNazanin" w:eastAsia="IRNazanin"/>
          <w:color w:val="111111"/>
          <w:sz w:val="28"/>
          <w:sz w:val="28"/>
          <w:szCs w:val="28"/>
          <w:rtl w:val="true"/>
          <w:lang w:bidi="fa-IR"/>
        </w:rPr>
        <w:t xml:space="preserve">، لکن فی أوّل کتاب الطهارة فی بحث الوضوء ذکر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لامرئ ما 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یدل علی أن لیس له ما لم ینو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حکم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اللغة ، ألا تری أنّ القائل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لک عندی درهم ، وإنّما أکلت رغیفاً ، دل علی نفی أکثر من درهم وأکل أکثر من رغیف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أنّ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لما ذکرنا أنّ ابن عباس کان یری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 w:name="__RefHeading___Toc146458_2142443653"/>
      <w:bookmarkStart w:id="21" w:name="_Toc7"/>
      <w:bookmarkEnd w:id="20"/>
      <w:r>
        <w:rPr>
          <w:rtl w:val="true"/>
        </w:rPr>
        <w:t xml:space="preserve">وجه استفاده عدم جواز التیمّم بالدقیق من قوله علیه السلام </w:t>
      </w:r>
      <w:r>
        <w:rPr>
          <w:rtl w:val="true"/>
        </w:rPr>
        <w:t xml:space="preserve">: « </w:t>
      </w:r>
      <w:r>
        <w:rPr>
          <w:rtl w:val="true"/>
        </w:rPr>
        <w:t xml:space="preserve">إنّما هو الماء أو الصعید </w:t>
      </w:r>
      <w:r>
        <w:rPr>
          <w:rtl w:val="true"/>
        </w:rPr>
        <w:t>»</w:t>
      </w:r>
      <w:bookmarkEnd w:id="21"/>
    </w:p>
    <w:p>
      <w:pPr>
        <w:pStyle w:val="BookText"/>
        <w:rPr/>
      </w:pPr>
      <w:r>
        <w:rPr>
          <w:rFonts w:ascii="IRNazanin" w:hAnsi="IRNazanin" w:eastAsia="IRNazanin"/>
          <w:color w:val="111111"/>
          <w:sz w:val="28"/>
          <w:sz w:val="28"/>
          <w:szCs w:val="28"/>
          <w:rtl w:val="true"/>
          <w:lang w:bidi="fa-IR"/>
        </w:rPr>
        <w:t xml:space="preserve">جواز بیع الدرهم بالدرهمین نقداً ، وناظره علی ذلک وجوه الصحابة واحتجّوا علیه بنهی النبی صلی الله علیه و آله عن بیع الذهب بالذهب والفضة بالفضة ، فعارضهم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الربا فی النسیئة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ابن عباس هذا الخبر دلیلاً علی أنّه لا ربا إلاّ فی النسیئة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أیضا علی أنّ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ما ذکرناه أنّ الصحابة لما تنازعت فی التقاء الختانین واحتجّ من لم یر ذلک موجباً للغسل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الماء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الآخرون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أنّ الفریقین رأوا هذه اللفظة مانعة من وجوب الغسل من غیر إنزال لما احتجّ بالخبر نافوا وجوب الغسل ولا ادّعی نسخه الباقون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فی باب المیاه الخبر المبحوث عنه دلیلاً علی عدم جواز الطهارة بالمضاف ، وأشار إلی أنّه قدّم القول فی بیان الحصر فیه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أنّه یمکن المناقشة فی بعض الدلیل علی الحصر بإنّما ، فإنّ استدلال ابن عباس بمجرّده لا یثبت حکماً یلزم غیره ، إلاّ إذا وافقه الغیر ، ولم ینقل الشیخ الموافقة ؛ والأمثلة المذکورة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لک عندی درهم ، وإنّما أکلت رغیفاً ، یجوز أن یکون للقرائن فیها مدخلیّة ، وما نحن فیه لا یبعد استفادة الحصر من القرینة أیضاً ، وهو کاف فی المطلوب ، وقد قدّمنا فی الخبر الأوّل کلاماً عن العلاّمة فی الاستدلال علی الحصر بإنّما لا حاجة لإعادته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الضمیر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 المرجع ، وکأنّه عائد إلی ما یتطهّر به ، والمقام قرینته</w:t>
      </w:r>
      <w:r>
        <w:rPr>
          <w:rFonts w:eastAsia="IRNazanin" w:cs="IRNazanin"/>
          <w:color w:val="111111"/>
          <w:sz w:val="28"/>
          <w:szCs w:val="28"/>
          <w:rtl w:val="true"/>
          <w:lang w:bidi="fa-IR"/>
        </w:rPr>
        <w:t xml:space="preserve">. </w:t>
      </w:r>
      <w:bookmarkStart w:id="22" w:name="pg15025_160143"/>
    </w:p>
    <w:p>
      <w:pPr>
        <w:pStyle w:val="BookText"/>
        <w:rPr/>
      </w:pPr>
      <w:bookmarkEnd w:id="22"/>
      <w:r>
        <w:rPr>
          <w:rFonts w:ascii="IRNazanin" w:hAnsi="IRNazanin" w:eastAsia="IRNazanin"/>
          <w:color w:val="111111"/>
          <w:sz w:val="28"/>
          <w:sz w:val="28"/>
          <w:szCs w:val="28"/>
          <w:rtl w:val="true"/>
          <w:lang w:bidi="fa-IR"/>
        </w:rPr>
        <w:t xml:space="preserve">أمّا توجیه الجواب عمّا عساه یقال 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السؤال عن الوضوء فأیّ حاجة لذکر الصعید ، فیمکن أن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أتی بفائدة زائدة عن مقتضی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التوضّؤ باللبن لأنّ الوضوء إنّما هو بالماء أو الصعید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فی حاشیته ما یتوجه علیه ، غیر أنّه ینبغی أن یعلم هنا أنّ الظاهر من کلامه إرجاع الضمیر للوضوء ، وحینئذ یجوز أن یراد بالوضوء ما یتناول التیمم مجازاً من باب استعمال اللفظ فی حقیقته ومجازه ، أو یراد بالوضوء ما یدخل به فی الصلاة فیکون من باب عموم المجاز ،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أو </w:t>
      </w:r>
      <w:r>
        <w:rPr>
          <w:rStyle w:val="FootnoteAnchor"/>
          <w:rtl w:val="true"/>
        </w:rPr>
        <w:footnoteReference w:id="30"/>
      </w:r>
      <w:r>
        <w:rPr>
          <w:rFonts w:ascii="IRNazanin" w:hAnsi="IRNazanin" w:eastAsia="IRNazanin"/>
          <w:color w:val="111111"/>
          <w:sz w:val="28"/>
          <w:sz w:val="28"/>
          <w:szCs w:val="28"/>
          <w:rtl w:val="true"/>
          <w:lang w:bidi="fa-IR"/>
        </w:rPr>
        <w:t xml:space="preserve">وجه الأرض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وینقل عن السید المرتضی أنّه قال باشتراط التراب فی التیمم ، واحتجّ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فَتَیَمَّمُوا صَعِیداً طَیِّباً </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الصعید هو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بالنقل عن أهل اللغة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والمفید فی المقنعة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والصعید هو التراب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والجوهری نقل عنه ذلک أیضا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146460_2142443653"/>
      <w:bookmarkStart w:id="24" w:name="_Toc8"/>
      <w:bookmarkEnd w:id="23"/>
      <w:r>
        <w:rPr>
          <w:rtl w:val="true"/>
        </w:rPr>
        <w:t>معنی الصعید</w:t>
      </w:r>
      <w:bookmarkEnd w:id="24"/>
    </w:p>
    <w:p>
      <w:pPr>
        <w:pStyle w:val="BookText"/>
        <w:rPr/>
      </w:pPr>
      <w:r>
        <w:rPr>
          <w:rFonts w:ascii="IRNazanin" w:hAnsi="IRNazanin" w:eastAsia="IRNazanin"/>
          <w:color w:val="111111"/>
          <w:sz w:val="28"/>
          <w:sz w:val="28"/>
          <w:szCs w:val="28"/>
          <w:rtl w:val="true"/>
          <w:lang w:bidi="fa-IR"/>
        </w:rPr>
        <w:t xml:space="preserve">ونقل عن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وجه الأرض </w:t>
      </w:r>
      <w:r>
        <w:rPr>
          <w:rStyle w:val="FootnoteAnchor"/>
          <w:rtl w:val="true"/>
        </w:rPr>
        <w:footnoteReference w:id="37"/>
      </w:r>
      <w:r>
        <w:rPr>
          <w:rFonts w:ascii="IRNazanin" w:hAnsi="IRNazanin" w:eastAsia="IRNazanin"/>
          <w:color w:val="111111"/>
          <w:sz w:val="28"/>
          <w:sz w:val="28"/>
          <w:szCs w:val="28"/>
          <w:rtl w:val="true"/>
          <w:lang w:bidi="fa-IR"/>
        </w:rPr>
        <w:t xml:space="preserve">، وکذا عن الزجاج </w:t>
      </w:r>
      <w:r>
        <w:rPr>
          <w:rStyle w:val="FootnoteAnchor"/>
          <w:rtl w:val="true"/>
        </w:rPr>
        <w:footnoteReference w:id="38"/>
      </w:r>
      <w:r>
        <w:rPr>
          <w:rFonts w:ascii="IRNazanin" w:hAnsi="IRNazanin" w:eastAsia="IRNazanin"/>
          <w:color w:val="111111"/>
          <w:sz w:val="28"/>
          <w:sz w:val="28"/>
          <w:szCs w:val="28"/>
          <w:rtl w:val="true"/>
          <w:lang w:bidi="fa-IR"/>
        </w:rPr>
        <w:t xml:space="preserve">، وحکاه ثعلب عن ابن الأعرابی </w:t>
      </w:r>
      <w:r>
        <w:rPr>
          <w:rStyle w:val="FootnoteAnchor"/>
          <w:rtl w:val="true"/>
        </w:rPr>
        <w:footnoteReference w:id="39"/>
      </w:r>
      <w:r>
        <w:rPr>
          <w:rFonts w:ascii="IRNazanin" w:hAnsi="IRNazanin" w:eastAsia="IRNazanin"/>
          <w:color w:val="111111"/>
          <w:sz w:val="28"/>
          <w:sz w:val="28"/>
          <w:szCs w:val="28"/>
          <w:rtl w:val="true"/>
          <w:lang w:bidi="fa-IR"/>
        </w:rPr>
        <w:t>، وقد ذکرت ما لا بد منه فی حاشیة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ذکره هنا أنّ الأولی الاستدلال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الصعید التراب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بخبر زرارة السابق فی باب مقدار ما یمسح الرأس ، حیث 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ماءً فَتَیَمَّمُوا صَعِیداً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ذلک التیمم ، لأنّه علم أنّ ذلک لا یجزی علی الوجه ، لأنّه یعلق من ذلک ببعض الکف ولا یعلق ببعضها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الآن من تعرّض للاستدلال بالخبر ، وهو أسلم من الشبهات الواردة علی الاستدلال بکلام أهل اللغة </w:t>
      </w:r>
      <w:r>
        <w:rPr>
          <w:rStyle w:val="FootnoteAnchor"/>
          <w:rtl w:val="true"/>
        </w:rPr>
        <w:footnoteReference w:id="4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الحسین بن سعید ، عن صفوان ، عن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الدقیق یتوضّأ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یتوضّأ به وینتفع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یتوضّأ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به الوضوء الذی هو التحسین وتدلک الجسد به دون الوضوء للصلاة ، والذی یکشف عن ذلک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أخبرنی به الشیخ رحمه الله عن أحمد بن محمد ، عن أبیه محمد ابن الحسن ، عن الحسین بن الحسن بن أبان ، عن الحسین بن سعید ، </w:t>
      </w:r>
      <w:bookmarkStart w:id="25" w:name="pg15025_160145"/>
    </w:p>
    <w:p>
      <w:pPr>
        <w:pStyle w:val="BookText"/>
        <w:rPr/>
      </w:pPr>
      <w:bookmarkEnd w:id="25"/>
      <w:r>
        <w:rPr>
          <w:rFonts w:ascii="IRNazanin" w:hAnsi="IRNazanin" w:eastAsia="IRNazanin"/>
          <w:color w:val="111111"/>
          <w:sz w:val="28"/>
          <w:sz w:val="28"/>
          <w:szCs w:val="28"/>
          <w:rtl w:val="true"/>
          <w:lang w:bidi="fa-IR"/>
        </w:rPr>
        <w:t xml:space="preserve">عن صفوان ، 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یطلی بالنورة فیجعل الدقیق بالزیت یلته به ویتمسح به بعد النورة لیقطع ریحها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قد تکرّر القول فی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الثانی ، إلاّ أنّ عبد الرحمن بن الحجاج قد قدّمنا فیه کلاماً لا یخلو من إجمال </w:t>
      </w:r>
      <w:r>
        <w:rPr>
          <w:rStyle w:val="FootnoteAnchor"/>
          <w:rtl w:val="true"/>
        </w:rPr>
        <w:footnoteReference w:id="42"/>
      </w:r>
      <w:r>
        <w:rPr>
          <w:rFonts w:ascii="IRNazanin" w:hAnsi="IRNazanin" w:eastAsia="IRNazanin"/>
          <w:color w:val="111111"/>
          <w:sz w:val="28"/>
          <w:sz w:val="28"/>
          <w:szCs w:val="28"/>
          <w:rtl w:val="true"/>
          <w:lang w:bidi="fa-IR"/>
        </w:rPr>
        <w:t xml:space="preserve">، ولا بأس بذکر حاله هنا زیادة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 النجاشی قال فی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رمی بالکیسانیة ، وروی عن أبی عبد الله وأبی الحسن علیهماالسلام ، وبقی بعد أبی الحسن ورجع إلی الحق ولقی الرضا علیه السلام وکان ثقة ثقة ثبتاً وجهاً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الکلام کما تری وإن کان یقتضی أنّ الرامی له بالکیسانیة غیر معلوم لیفید قدحاً فیه ، إلاّ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الاعتراف من النجاشی بذلک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تتمّة القول المحکی عن الغیر ، وفیه بُعد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والصدوق ذکر فی مشیخة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الرحمن بن الحجاج کان موسی علیه السلام إذا ذکر عنده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لثقیل فی الفؤاد </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والکشی روی هذا أیضا لکن بنوع مغایرة ، فإنّه قال فی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ثقیل علی الفؤاد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والروایة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 w:name="__RefHeading___Toc146462_2142443653"/>
      <w:bookmarkStart w:id="27" w:name="_Toc9"/>
      <w:bookmarkEnd w:id="26"/>
      <w:r>
        <w:rPr>
          <w:rtl w:val="true"/>
        </w:rPr>
        <w:t>بحث حول عبدالرحمان بن الحجاج</w:t>
      </w:r>
      <w:bookmarkStart w:id="28" w:name="pg15025_160146"/>
      <w:bookmarkEnd w:id="27"/>
    </w:p>
    <w:p>
      <w:pPr>
        <w:pStyle w:val="BookText"/>
        <w:rPr/>
      </w:pPr>
      <w:bookmarkEnd w:id="28"/>
      <w:r>
        <w:rPr>
          <w:rFonts w:ascii="IRNazanin" w:hAnsi="IRNazanin" w:eastAsia="IRNazanin"/>
          <w:color w:val="111111"/>
          <w:sz w:val="28"/>
          <w:sz w:val="28"/>
          <w:szCs w:val="28"/>
          <w:rtl w:val="true"/>
          <w:lang w:bidi="fa-IR"/>
        </w:rPr>
        <w:t>غیر سلیمة الطریق ، وظاهر الصدوق الاعتماد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ولشیخنا المحقق میرزا محمد أیّده الله توجیه لهذا القول بما لا یقدح فی شأن عبد الرحمن ، وأظنّه تقدّم ، وهو أن یکون ثقیلاً علی فؤاد المخالفین ، أو الاسم ثقیل فیه وفی أبیه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التوجیه وإن بَعُد إلاّ أنّه وجه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تقدیر الارتیاب إذا روی عبد الرحمن عن الرضا علیه السلام فلا ریب فی صحّة الروایة ، لأنّها بعد الرجوع ، أمّا روایته عن أبی عبد الله وأبی الحسن علیهماالسلام فالارتیاب حاصل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فی الخلاصة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وکیلاً لأبی عبد الله علیه السلام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ثبوت التوثیق بالوکالة علی الإطلاق نظر أشرنا إلی وجهه فیما تقدّم ، وهو أن الوکالة إنّما تُثبت التوثیق فیما یتوقف علی ذلک ، ولم أقف علی طریق معتبر لثبوت الوکالة ، هذا کلّه إذا لم یعمل بالموثّق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فالأمر </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رجال الصادق علیه السلام من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الرحمن کان أُستاذ صفوان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وصفوان هو ابن یحیی ، وحاله أظهر من أن 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أنّه متضمن للوضوء ، فذکره فی باب التیمم قد ینکر علی الشیخ ، ویجاب بأنّ الوضوء لا یمکن حمله علی ظاهره ، بل احتمال إرادة التیمم منه ظاهر ، فیتم احتمال المعارضة لما سبق ، وما قاله الشیخ من</w:t>
      </w:r>
    </w:p>
    <w:p>
      <w:pPr>
        <w:pStyle w:val="Heading4"/>
        <w:numPr>
          <w:ilvl w:val="3"/>
          <w:numId w:val="1"/>
        </w:numPr>
        <w:rPr/>
      </w:pPr>
      <w:bookmarkStart w:id="29" w:name="__RefHeading___Toc146464_2142443653"/>
      <w:bookmarkStart w:id="30" w:name="_Toc10"/>
      <w:bookmarkEnd w:id="29"/>
      <w:r>
        <w:rPr>
          <w:rtl w:val="true"/>
        </w:rPr>
        <w:t>هل بثبت التوثیق بالوکالة؟</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 w:name="__RefHeading___Toc146466_2142443653"/>
      <w:bookmarkStart w:id="32" w:name="_Toc11"/>
      <w:bookmarkEnd w:id="31"/>
      <w:r>
        <w:rPr>
          <w:rtl w:val="true"/>
        </w:rPr>
        <w:t>المراد بالوضوء فی حدیث عبید بن زرارة هو التیمّم</w:t>
      </w:r>
      <w:bookmarkStart w:id="33" w:name="pg15025_160147"/>
      <w:bookmarkEnd w:id="32"/>
    </w:p>
    <w:p>
      <w:pPr>
        <w:pStyle w:val="BookText"/>
        <w:rPr/>
      </w:pPr>
      <w:bookmarkEnd w:id="33"/>
      <w:r>
        <w:rPr>
          <w:rFonts w:ascii="IRNazanin" w:hAnsi="IRNazanin" w:eastAsia="IRNazanin"/>
          <w:color w:val="111111"/>
          <w:sz w:val="28"/>
          <w:sz w:val="28"/>
          <w:szCs w:val="28"/>
          <w:rtl w:val="true"/>
          <w:lang w:bidi="fa-IR"/>
        </w:rPr>
        <w:t>التوجیه واضح ، والاستشهاد له فی الخبر الثانی غیر محتاج إلیه ، بل ربما یظن عدم الدلالة علی المطلوب من إطلاق الوضوء علی استعمال الدقیق ، لکن الأمر سهل بعد ما تسمعه من کلام أهل اللغة ، وفی الأخبار أیضاً ما یدلّ علی استعمال الوضوء فی مثل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والنظافة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الوضاءة ، الحسن والبهجة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وضُأت فهی وضیئة ؛ 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أوضأ منک ، أی أحسن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التیمم فی الأرض الوحلة والطین والماء</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محمد بن یحیی عن محمد بن أحمد بن یحیی ، عن العباس بن معروف ، عن الحسن بن محبوب ، عن علی بن رئاب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فی حال لا تقدر إلاّ علی الطین فتیمم به ، فإنّ الله تعالی أولی بالعذر ، إذا لم یکن معک ثوب جاف ولا لبد تقدر علی أن تنفضه وتتیمم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 عن أحمد بن محمد ، عن أبیه ، عن محمد بن یحیی ، عن محمد بن علی بن محبوب ، عن معاویة بن حکیم ، عن عبد الله</w:t>
      </w:r>
    </w:p>
    <w:p>
      <w:pPr>
        <w:pStyle w:val="Heading4"/>
        <w:numPr>
          <w:ilvl w:val="3"/>
          <w:numId w:val="1"/>
        </w:numPr>
        <w:rPr/>
      </w:pPr>
      <w:bookmarkStart w:id="34" w:name="__RefHeading___Toc146468_2142443653"/>
      <w:bookmarkStart w:id="35" w:name="_Toc12"/>
      <w:bookmarkEnd w:id="34"/>
      <w:r>
        <w:rPr>
          <w:rtl w:val="true"/>
        </w:rPr>
        <w:t>معنی الوضاءة</w:t>
      </w:r>
      <w:bookmarkEnd w:id="35"/>
    </w:p>
    <w:p>
      <w:pPr>
        <w:pStyle w:val="Heading3"/>
        <w:numPr>
          <w:ilvl w:val="2"/>
          <w:numId w:val="1"/>
        </w:numPr>
        <w:rPr/>
      </w:pPr>
      <w:bookmarkStart w:id="36" w:name="__RefHeading___Toc146470_2142443653"/>
      <w:bookmarkStart w:id="37" w:name="_Toc13"/>
      <w:bookmarkEnd w:id="36"/>
      <w:r>
        <w:rPr>
          <w:rtl w:val="true"/>
        </w:rPr>
        <w:t>التیمّم فی الأرض الوحلة والطین والماء</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 w:name="__RefHeading___Toc146472_2142443653"/>
      <w:bookmarkStart w:id="39" w:name="_Toc14"/>
      <w:bookmarkEnd w:id="38"/>
      <w:r>
        <w:rPr>
          <w:rtl w:val="true"/>
        </w:rPr>
        <w:t>اشارة</w:t>
      </w:r>
      <w:bookmarkStart w:id="40" w:name="pg15025_160148"/>
      <w:bookmarkEnd w:id="39"/>
    </w:p>
    <w:p>
      <w:pPr>
        <w:pStyle w:val="BookText"/>
        <w:rPr/>
      </w:pPr>
      <w:bookmarkEnd w:id="40"/>
      <w:r>
        <w:rPr>
          <w:rFonts w:ascii="IRNazanin" w:hAnsi="IRNazanin" w:eastAsia="IRNazanin"/>
          <w:color w:val="111111"/>
          <w:sz w:val="28"/>
          <w:sz w:val="28"/>
          <w:szCs w:val="28"/>
          <w:rtl w:val="true"/>
          <w:lang w:bidi="fa-IR"/>
        </w:rPr>
        <w:t xml:space="preserve">ابن المغیرة ، عن ابن بکیر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فی حال لا تجد إلاّ الطین فلا بأس أنّ تتیمم </w:t>
      </w:r>
      <w:r>
        <w:rPr>
          <w:rStyle w:val="FootnoteAnchor"/>
          <w:rtl w:val="true"/>
        </w:rPr>
        <w:footnoteReference w:id="52"/>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محمد ، عن أبیه ، عن سعد بن عبد الله ، عن أحمد بن محمد ، عن أبیه ، عن عبد الله بن المغیرة ، عن رفاعة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الأرض مبتلّة لیس فیها تراب ولا ماء فانظر أجفّ موضع تجده فتیمم منه ، فإنّ ذلک توسیع من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فی حال لا یجد إلاّ الطین فلا بأس أنّ یتیمم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الجمیع لیس فیه لبس بعد ما قدّمناه ، سوی أنّه ینبغی أن یعلم أنّ السند الأخیر </w:t>
      </w:r>
      <w:r>
        <w:rPr>
          <w:rStyle w:val="FootnoteAnchor"/>
          <w:rtl w:val="true"/>
        </w:rPr>
        <w:footnoteReference w:id="54"/>
      </w:r>
      <w:r>
        <w:rPr>
          <w:rFonts w:ascii="IRNazanin" w:hAnsi="IRNazanin" w:eastAsia="IRNazanin"/>
          <w:color w:val="111111"/>
          <w:sz w:val="28"/>
          <w:sz w:val="28"/>
          <w:szCs w:val="28"/>
          <w:rtl w:val="true"/>
          <w:lang w:bidi="fa-IR"/>
        </w:rPr>
        <w:t xml:space="preserve">لیس من قسم الصحیح ، لأنّ محمد بن عیسی الأشعری الواقع التعبیر عنه بأبیه بعد أحمد بن محمد الراوی عنه سعد غیر معلوم التوثیق ، إلاّ من حیث إنّ العلامة ذکره فی القسم الأوّل من الخلاصة وأتی بعبارة النجاشی ، وهی أنّه شیخ القمیین ووجه الأشاعرة متقدّم عند السلطان ودخل علی الرضا علیه السلام وسمع منه ، وروی عن أبی جعفر الثانی علیه السلام </w:t>
      </w:r>
      <w:r>
        <w:rPr>
          <w:rStyle w:val="FootnoteAnchor"/>
          <w:rtl w:val="true"/>
        </w:rPr>
        <w:footnoteReference w:id="55"/>
      </w:r>
      <w:r>
        <w:rPr>
          <w:rFonts w:ascii="IRNazanin" w:hAnsi="IRNazanin" w:eastAsia="IRNazanin"/>
          <w:color w:val="111111"/>
          <w:sz w:val="28"/>
          <w:sz w:val="28"/>
          <w:szCs w:val="28"/>
          <w:rtl w:val="true"/>
          <w:lang w:bidi="fa-IR"/>
        </w:rPr>
        <w:t xml:space="preserve">، وقد وصف أیضا بعض روایات هو فیها بالصحة فی بعض مصنفاته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بأنّ هذا لا یفید توثیقاً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 w:name="__RefHeading___Toc146474_2142443653"/>
      <w:bookmarkStart w:id="42" w:name="_Toc15"/>
      <w:bookmarkEnd w:id="41"/>
      <w:r>
        <w:rPr>
          <w:rtl w:val="true"/>
        </w:rPr>
        <w:t>بحث حول محمّد بن عیسی الأشعری</w:t>
      </w:r>
      <w:bookmarkStart w:id="43" w:name="pg15025_160149"/>
      <w:bookmarkEnd w:id="42"/>
    </w:p>
    <w:p>
      <w:pPr>
        <w:pStyle w:val="BookText"/>
        <w:rPr/>
      </w:pPr>
      <w:bookmarkEnd w:id="43"/>
      <w:r>
        <w:rPr>
          <w:rFonts w:ascii="IRNazanin" w:hAnsi="IRNazanin" w:eastAsia="IRNazanin"/>
          <w:color w:val="111111"/>
          <w:sz w:val="28"/>
          <w:sz w:val="28"/>
          <w:szCs w:val="28"/>
          <w:rtl w:val="true"/>
          <w:lang w:bidi="fa-IR"/>
        </w:rPr>
        <w:t xml:space="preserve">وأشار إلی ما فی الخلاصة جدّی قدس سره فی الفوائد علیها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 لا تدلّ صریحاً علی توثیقه ، نعم قد یظهر منها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کونه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شیخ القمیین یفید التوثیق ، لأنّ المعروف من المشیخة ذلک کما فی کثیر من مشایخ الشیخ ، بل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السند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صحّته ، لولا عدم توثیق ابن بکیر من النجاشی </w:t>
      </w:r>
      <w:r>
        <w:rPr>
          <w:rStyle w:val="FootnoteAnchor"/>
          <w:rtl w:val="true"/>
        </w:rPr>
        <w:footnoteReference w:id="58"/>
      </w:r>
      <w:r>
        <w:rPr>
          <w:rFonts w:ascii="IRNazanin" w:hAnsi="IRNazanin" w:eastAsia="IRNazanin"/>
          <w:color w:val="111111"/>
          <w:sz w:val="28"/>
          <w:sz w:val="28"/>
          <w:szCs w:val="28"/>
          <w:rtl w:val="true"/>
          <w:lang w:bidi="fa-IR"/>
        </w:rPr>
        <w:t xml:space="preserve">، نظراً إلی ما أسلفناه من أنّ توثیق النجاشی مع عدم التعرض لفساد المذهب مقدّم علی قدح الشیخ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ولیس فیه غیر من ذکرناه إلاّ معاویة بن حکیم ، وقد وثّقه النجاشی ساکتاً عن کونه فطحیاً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عبد الله بن المغیرة فلیس فیه ارتیاب ، لأنّ النجاشی وثّقه مرّتین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یعدل به أحد من جلالته ودینه وورعه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فی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وجد بخط أبی عبد الله بن محمد الشاذانی قال العبیدی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علی 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واقفاً فحججت علی تلک الحالة فلمّا صرت مکة خلج فی صدری شی‌ء فتعلّقت بالملتزم ، ثم ذکر أنّه دعا الله بالتوفیق لدینه ثم أتی الرضا علیه السلام واعترف بأنّه حجّة الله وأمینه علی خلقه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146476_2142443653"/>
      <w:bookmarkStart w:id="45" w:name="_Toc16"/>
      <w:bookmarkEnd w:id="44"/>
      <w:r>
        <w:rPr>
          <w:rtl w:val="true"/>
        </w:rPr>
        <w:t>بحث حول ابن بکیر</w:t>
      </w:r>
      <w:bookmarkEnd w:id="45"/>
    </w:p>
    <w:p>
      <w:pPr>
        <w:pStyle w:val="Heading4"/>
        <w:numPr>
          <w:ilvl w:val="3"/>
          <w:numId w:val="1"/>
        </w:numPr>
        <w:rPr/>
      </w:pPr>
      <w:bookmarkStart w:id="46" w:name="__RefHeading___Toc146478_2142443653"/>
      <w:bookmarkStart w:id="47" w:name="_Toc17"/>
      <w:bookmarkEnd w:id="46"/>
      <w:r>
        <w:rPr>
          <w:rtl w:val="true"/>
        </w:rPr>
        <w:t>معاویة بن حکیم وثّقه النجاشی</w:t>
      </w:r>
      <w:bookmarkEnd w:id="4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 w:name="__RefHeading___Toc146480_2142443653"/>
      <w:bookmarkStart w:id="49" w:name="_Toc18"/>
      <w:bookmarkEnd w:id="48"/>
      <w:r>
        <w:rPr>
          <w:rtl w:val="true"/>
        </w:rPr>
        <w:t>بحث حول عبدالله بن المغیرة</w:t>
      </w:r>
      <w:bookmarkEnd w:id="49"/>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مشتملة علی الشاذانی وحاله غیر معلوم علی وجه یعتمد علیه ، والحسن بن علی بن فضال یتوقف قبول قوله علی العمل بالموثّق لو سلمت حال الشاذانی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وقع فی الخلاصة بعد توثیقه مرّتین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 کان واقفیاً ثم رجع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یخفی ما فیه ، وقد نقل الکشی الإجماع علی تصحیح ما یصح عنه والإقرار له بالفقه </w:t>
      </w:r>
      <w:r>
        <w:rPr>
          <w:rStyle w:val="FootnoteAnchor"/>
          <w:rtl w:val="true"/>
        </w:rPr>
        <w:footnoteReference w:id="64"/>
      </w:r>
      <w:r>
        <w:rPr>
          <w:rFonts w:ascii="IRNazanin" w:hAnsi="IRNazanin" w:eastAsia="IRNazanin"/>
          <w:color w:val="111111"/>
          <w:sz w:val="28"/>
          <w:sz w:val="28"/>
          <w:szCs w:val="28"/>
          <w:rtl w:val="true"/>
          <w:lang w:bidi="fa-IR"/>
        </w:rPr>
        <w:t>فهو مؤیّد لما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 الکشی فی محمد بن أحمد بن نعیم الشاذانی روایة تدل علی علوّ مرتبته فکیف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معلوم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بتقدیر تسلیم سندها راجعة إلی شهادته لنفسه فلا یفید شیئا ، وعلی تقدیر عدم ضرر ذلک لا یفید أیضا ، والروایة سندها آدم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شاذان بن نعیم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عندی مال الغریم فأنفذتُ به إلیه وألقیتُ فیه شیئاً من صلب مالی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فی الجواب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وصل إلیّ ما أنفذتَ من خاصّة مالک فیها کذا وکذا تقبّل الله منک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وقد رواها الصدوق فی کمال الدین عن أحمد بن محمد بن یحیی العطار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شاذان </w:t>
      </w:r>
      <w:r>
        <w:rPr>
          <w:rStyle w:val="FootnoteAnchor"/>
          <w:rtl w:val="true"/>
        </w:rPr>
        <w:footnoteReference w:id="66"/>
      </w:r>
      <w:r>
        <w:rPr>
          <w:rFonts w:ascii="IRNazanin" w:hAnsi="IRNazanin" w:eastAsia="IRNazanin"/>
          <w:color w:val="111111"/>
          <w:sz w:val="28"/>
          <w:sz w:val="28"/>
          <w:szCs w:val="28"/>
          <w:rtl w:val="true"/>
          <w:lang w:bidi="fa-IR"/>
        </w:rPr>
        <w:t>وذکر الروایة ، والکلام فیما عدا السند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ظاهر الدلالة علی أنّ الطین یتیمم به إذا لم یکن مع الإنسان </w:t>
      </w:r>
      <w:bookmarkStart w:id="50" w:name="pg15025_160151"/>
    </w:p>
    <w:p>
      <w:pPr>
        <w:pStyle w:val="BookText"/>
        <w:rPr/>
      </w:pPr>
      <w:bookmarkEnd w:id="50"/>
      <w:r>
        <w:rPr>
          <w:rFonts w:ascii="IRNazanin" w:hAnsi="IRNazanin" w:eastAsia="IRNazanin"/>
          <w:color w:val="111111"/>
          <w:sz w:val="28"/>
          <w:sz w:val="28"/>
          <w:szCs w:val="28"/>
          <w:rtl w:val="true"/>
          <w:lang w:bidi="fa-IR"/>
        </w:rPr>
        <w:t xml:space="preserve">ثوب جاف ولا لبد یقدر علی أن ینفضه ، والظاهر أنّ المراد لیس مجرد النفض ، بل إذا خرج منه تراب ، کما یدل علیه خبر رفاعة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فی النسخة التی رأیتها للکتاب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فیه </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نقیض ما هو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فی ثلج فلینظر لبد سرجه فلیتیمم من غباره أو شی‌ء مغبّر ، وإن کان فی حال لا یجد إلاّ الطین فلا بأس أن یتیمم به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وهذه الزیادة هی المطلوبة لتقیید ما قلناه ، وقد نقله فی المختلف العلاّمة واصفاً لها بالصحة </w:t>
      </w:r>
      <w:r>
        <w:rPr>
          <w:rStyle w:val="FootnoteAnchor"/>
          <w:rtl w:val="true"/>
        </w:rPr>
        <w:footnoteReference w:id="70"/>
      </w:r>
      <w:r>
        <w:rPr>
          <w:rFonts w:ascii="IRNazanin" w:hAnsi="IRNazanin" w:eastAsia="IRNazanin"/>
          <w:color w:val="111111"/>
          <w:sz w:val="28"/>
          <w:sz w:val="28"/>
          <w:szCs w:val="28"/>
          <w:rtl w:val="true"/>
          <w:lang w:bidi="fa-IR"/>
        </w:rPr>
        <w:t xml:space="preserve">، وهو من جملة المواضع الذی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العلاّمة یصف فیه روایة فیها محمد بن عیسی الأشعری بالصحة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ظاهر الأخبار الثلاثة إطلاق التیمم بالطین ، قال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 فی أرض وحلة وهو محتاج إلی التیمم ولم یجد تراباً فلینفض ثوبه أو عرف دابّته إن کان راکباً أو لبد سرجه ورحله ، فإن خرج من شی‌ء من ذلک غبرة یتیمم بها ، وإن لم یخرج منه غبرة فلیضع یدیه علی الوحل ثم یرفعهما فیمسح إحداهما بالأُخری حتی لا یبقی فیهما نداوة ولیمسح بها وجهه وظاهر کفیه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اختار العلاّمة فی المختلف هذا القول ، وجعل من مؤیّداته موثقة زرارة وهی الروایة الثانیة ، لکن أتی بالمتن فیها زائداً علی ما هنا ، وهو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أصابه الثلج فلینظر لبد سرجه فلیتیمم من غباره أو من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 w:name="__RefHeading___Toc146482_2142443653"/>
      <w:bookmarkStart w:id="52" w:name="_Toc19"/>
      <w:bookmarkEnd w:id="51"/>
      <w:r>
        <w:rPr>
          <w:rtl w:val="true"/>
        </w:rPr>
        <w:t>التیمّم بالوحل والطین والغبار ، والأقوال فیه</w:t>
      </w:r>
      <w:bookmarkEnd w:id="52"/>
    </w:p>
    <w:p>
      <w:pPr>
        <w:pStyle w:val="BookText"/>
        <w:rPr/>
      </w:pPr>
      <w:r>
        <w:rPr>
          <w:rFonts w:ascii="IRNazanin" w:hAnsi="IRNazanin" w:eastAsia="IRNazanin"/>
          <w:color w:val="111111"/>
          <w:sz w:val="28"/>
          <w:sz w:val="28"/>
          <w:szCs w:val="28"/>
          <w:rtl w:val="true"/>
          <w:lang w:bidi="fa-IR"/>
        </w:rPr>
        <w:t xml:space="preserve">شی‌ء مغبّر ، وإن کان فی حال لا یجد إلاّ الطین فلا بأس أن یتیمّم منه </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المتن فی التهذیب کما نقله إلاّ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شی‌ء مغبّر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النسخة التی رأیتها من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شی‌ء معه </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وفی الاستبصار علی ما وجدته من النسخ کما تری ، ولا یخلو من 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العلاّمة الروایة الأخیرة أیضا من المؤیّدات وأنت خبیر بأنّ الدلالة علی جمیع مطلوب المفید غیر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واتفق للعلاّمة أیضاً أنّه نقل عن الشیخ فی النهایة جعله التیمم مراتب ، أُولاها التراب ، فإن فقد فالحجر ، فإن فقد تیمم بغبار عرف دابّته أو لبد سرجه ، فإن لم یکن معه دابّة تیمم بغبار ثوبه ، فإن لم یکن معه شی‌ء من ذلک تیمم بالوحل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بعد نقل کلام المفید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الخلاف بین الشیخین فی هذا المقام فی موضعین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المفید خیّر بین الثوب وعرف الدابّة والطوسی رتّب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المفید شرط خروج غبار من الثوب أو العرف والطوسی أطلق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الطوسی لم یطلق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بغبار عرف دابّته وغبار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یتحقق إلاّ بإخراجه أو کونه خارجاً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واحتمال أن یکون العلاّمة فهم من کلام المفید أنّ مراده التیمم بالغبار الخارج حین النفض غیر الموجود علی الثوب أو اللبد بل المصاحب للهواء ، بخلاف قول الشیخ فإنّه أطلق من هذه الجهة ، بعید عند التأمّل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یذهب علیک أنّ مفاد الأخبار الدالة علی التیمم بالغبار وإن کان الإطلاق فی الغبار من التراب وغیره ، إلاّ أنّ احتمال إرادة التراب قریب ، نظراً إلی أنّه المتعارف من الغبار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العلاّمة فی المختلف عن سلاّر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وجد الثلج والوحل والحجر نفض ثوبه وسرجه ورحله ، فإن خرج منه تراب تیمم به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المرتضی أنّه قال </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یجوز التیمم بالتراب وغبار الثوب وما أشبهه إذا کان الغبار من التراب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نقل العلاّمة الأقوال أنّه فهم من کلام غیر المذکورین إرادة إطلاق الغبار ومنهم المفید وقد اختار قوله کما قدمنا الإشارة إلیه ، غیر أنّ العجب من العلاّمة أنّه قال بعد اختیار القول المذکور وذکر الأخبار المؤیّدة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اشتراط الغبار فلمّا بیّنا من أنّ التیمم إنّما یکون بالأرض أو التراب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بأنّ هذا یخالف إطلاق مذهب المفید ، ولو حمل الإطلاق علی التراب لم یتم نقله الأقوال علی الإطلاق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شیخنا قدس سره نقل فی المدارک عن السید المرتضی فی الجمل أنّ الذی یظهر منه جواز التیمم بالغبار مع وجود التراب ،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بعید ، لأنّه لا یسمّی صعیدا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الصعید هو التراب ، والغبار إذا کان من التراب لا وجه لخروجه عنه إلاّ من حیث تسمیته غباراً ، وضرورة مثل هذه التسمیة غیر </w:t>
      </w:r>
    </w:p>
    <w:p>
      <w:pPr>
        <w:pStyle w:val="BookText"/>
        <w:rPr/>
      </w:pPr>
      <w:r>
        <w:rPr>
          <w:rFonts w:ascii="IRNazanin" w:hAnsi="IRNazanin" w:eastAsia="IRNazanin"/>
          <w:color w:val="111111"/>
          <w:sz w:val="28"/>
          <w:sz w:val="28"/>
          <w:szCs w:val="28"/>
          <w:rtl w:val="true"/>
          <w:lang w:bidi="fa-IR"/>
        </w:rPr>
        <w:t>ظاهرة ؛ وإن کان الغبار من غیر التراب فالکلام علیه ممکن فی أصل الحکم ، ولا وجه لبعده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یختلج الإشکال فی صحّة التیمم بالغبار مع وجود الطین ، فإنّ الروایات صحیحها خبر رفاعة ، وهو دالّ علی ما فی زیادة التهذیب أنّ وجود الثلج المانع من الأرض هو المجوّز للتیمم بالغبار ، وحینئذ فإطلاق القول بتقدیمه علی الطین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فللمناقشة فی تقدیم الغبار علی الطین مجال ، علی أنّ الطین قد یناقش فیه بأنّ حکم التیمم به مقید بعدم غیره ، فهو طهارة اضطراریة کالغبار ، فالترجیح محل کلام ، فما قاله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المناقشة فی جواز التیمّم بالغبار مع إمکان الطین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من حیث الإطلاق ، وإن کنّا شارکناه فی التأمّل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وهو أنّ بعض الأصحاب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الطین لو أمکن تجفیفه قدّم علی الغبار قطعا </w:t>
      </w:r>
      <w:r>
        <w:rPr>
          <w:rStyle w:val="FootnoteAnchor"/>
          <w:rtl w:val="true"/>
        </w:rPr>
        <w:footnoteReference w:id="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وجه </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یحتمل اعتبار الصبر إلی ذهاب النداوة فی الطین إذا لم یخف فوت الوقت ، کما ینقل عن العلاّمة فی التذکرة أنّه قیّد ما ذکر فی الوحل بذلک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غیر معلوم فی الوحل والطین ، واحتمال التوصل إلی ما قرب من التراب یشکل بأنّ النص مطلق</w:t>
      </w:r>
      <w:r>
        <w:rPr>
          <w:rFonts w:eastAsia="IRNazanin" w:cs="IRNazanin"/>
          <w:color w:val="111111"/>
          <w:sz w:val="28"/>
          <w:szCs w:val="28"/>
          <w:rtl w:val="true"/>
          <w:lang w:bidi="fa-IR"/>
        </w:rPr>
        <w:t xml:space="preserve">. </w:t>
      </w:r>
      <w:bookmarkStart w:id="53" w:name="pg15025_160155"/>
    </w:p>
    <w:p>
      <w:pPr>
        <w:pStyle w:val="BookText"/>
        <w:rPr/>
      </w:pPr>
      <w:bookmarkEnd w:id="53"/>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لَبَدَ الصوف کضرب نَفَشَه وبلّه بماء ثم خاطه ، 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اللبد بساط معروف وما تحت السرج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الحسن بن علی ، عن أحمد ابن هلال ، عن أحمد بن محمد ، عن أبان بن عثمان ، عن زرارة ، عن أحدهما علیهماالسلام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دخل الأجَمَة </w:t>
      </w:r>
      <w:r>
        <w:rPr>
          <w:rStyle w:val="FootnoteAnchor"/>
          <w:rtl w:val="true"/>
        </w:rPr>
        <w:footnoteReference w:id="86"/>
      </w:r>
      <w:r>
        <w:rPr>
          <w:rFonts w:ascii="IRNazanin" w:hAnsi="IRNazanin" w:eastAsia="IRNazanin"/>
          <w:color w:val="111111"/>
          <w:sz w:val="28"/>
          <w:sz w:val="28"/>
          <w:szCs w:val="28"/>
          <w:rtl w:val="true"/>
          <w:lang w:bidi="fa-IR"/>
        </w:rPr>
        <w:t xml:space="preserve">لیس فیها ماء وفیها طین ما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 فإنّه الصعید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راکب ولا یمکنه النزول من خوف ولیس هو علی وضوء؟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خاف علی نفسه من سبع أو غیره وخاف فوت الوقت فلیتیمّم یضرب بیده علی اللبد والبرذعة ویتیمّم ویصلّی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خبر أبی بصیر وخبر رفاعة فإنّ </w:t>
      </w:r>
      <w:r>
        <w:rPr>
          <w:rStyle w:val="FootnoteAnchor"/>
          <w:rtl w:val="true"/>
        </w:rPr>
        <w:footnoteReference w:id="87"/>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تقدر علی لبد أو سرج تنفضه تیمم بالطین ، وقال فی هذا الخبر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بالطین ، فإن لم یقدر علی النزول للخوف تیمم من السرج لأنّ الوجه فی الجمع بین الأخبار أنّه إذا کان فی لبد السرج أو الثوب غبار یجب أن یتیمم منه ولا یتیمم من الطین ، فإذا لم یکن فی الثوب غبرة أوّلاً یتیمم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 w:name="__RefHeading___Toc146484_2142443653"/>
      <w:bookmarkStart w:id="55" w:name="_Toc20"/>
      <w:bookmarkEnd w:id="54"/>
      <w:r>
        <w:rPr>
          <w:rtl w:val="true"/>
        </w:rPr>
        <w:t>معنی اللبد</w:t>
      </w:r>
      <w:bookmarkStart w:id="56" w:name="pg15025_160156"/>
      <w:bookmarkEnd w:id="55"/>
    </w:p>
    <w:p>
      <w:pPr>
        <w:pStyle w:val="BookText"/>
        <w:rPr/>
      </w:pPr>
      <w:bookmarkEnd w:id="56"/>
      <w:r>
        <w:rPr>
          <w:rFonts w:ascii="IRNazanin" w:hAnsi="IRNazanin" w:eastAsia="IRNazanin"/>
          <w:color w:val="111111"/>
          <w:sz w:val="28"/>
          <w:sz w:val="28"/>
          <w:szCs w:val="28"/>
          <w:rtl w:val="true"/>
          <w:lang w:bidi="fa-IR"/>
        </w:rPr>
        <w:t>بالطین ، فإن خاف من النزول تیمّم من الثوب وإن لم یکن فیه 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أنّه إنّما یسوغ له التیمم باللبد والسرج إذا کان فیهما الغبار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حماد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المواقف إن لم یکن علی وضوء کیف یصنع ولا یقدر علی النزول؟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تیمم من لبده و </w:t>
      </w:r>
      <w:r>
        <w:rPr>
          <w:rStyle w:val="FootnoteAnchor"/>
          <w:rtl w:val="true"/>
        </w:rPr>
        <w:footnoteReference w:id="88"/>
      </w:r>
      <w:r>
        <w:rPr>
          <w:rFonts w:ascii="IRNazanin" w:hAnsi="IRNazanin" w:eastAsia="IRNazanin"/>
          <w:color w:val="111111"/>
          <w:sz w:val="28"/>
          <w:sz w:val="28"/>
          <w:szCs w:val="28"/>
          <w:rtl w:val="true"/>
          <w:lang w:bidi="fa-IR"/>
        </w:rPr>
        <w:t xml:space="preserve">سرجه و </w:t>
      </w:r>
      <w:r>
        <w:rPr>
          <w:rStyle w:val="FootnoteAnchor"/>
          <w:rtl w:val="true"/>
        </w:rPr>
        <w:footnoteReference w:id="89"/>
      </w:r>
      <w:r>
        <w:rPr>
          <w:rFonts w:ascii="Amiri" w:hAnsi="Amiri" w:eastAsia="Amiri" w:cs="Amiri"/>
          <w:color w:val="111111"/>
          <w:sz w:val="28"/>
          <w:sz w:val="28"/>
          <w:szCs w:val="28"/>
          <w:rtl w:val="true"/>
          <w:lang w:bidi="ar-SA"/>
        </w:rPr>
        <w:t xml:space="preserve">مَعرفة دابّته فإنّ فیها غباراً ویصلّی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أحمد بن هلال ، وقد قدّمنا أنّ الشیخ ضعّفه فی هذا الکتاب </w:t>
      </w:r>
      <w:r>
        <w:rPr>
          <w:rStyle w:val="FootnoteAnchor"/>
          <w:rtl w:val="true"/>
        </w:rPr>
        <w:footnoteReference w:id="90"/>
      </w:r>
      <w:r>
        <w:rPr>
          <w:rFonts w:ascii="IRNazanin" w:hAnsi="IRNazanin" w:eastAsia="IRNazanin"/>
          <w:color w:val="111111"/>
          <w:sz w:val="28"/>
          <w:sz w:val="28"/>
          <w:szCs w:val="28"/>
          <w:rtl w:val="true"/>
          <w:lang w:bidi="fa-IR"/>
        </w:rPr>
        <w:t>، وحینئذ لا حاجة إلی تعیین الحسن بن علی وإن کان فی الظاهر أنّه ابن فضال ، وأمّا أحمد بن محمد فهو ابن أبی نصر علی ما یقتضیه الممارسة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 بعد ملاحظة ما قدّمناه مکرّراً ، غیر أنّه ینبغی أن یعلم أنّ الشیخ فی المشیخة لهذا الکتاب ذکر طریقه إلی الحسین بن سعید عن الشیخ المفید ، عن أبی القاسم جعفر بن محمد بن قولویه ، عن أبیه ، عن سعد بن عبد الله ،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الشیخ المفید ، عن شیخه عماد الدین أبی محمد جعفر بن محمد بن علی بن الحسین بن بابویه ، عن أبیه ، عن سعد ، عن أحمد بن محمد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146486_2142443653"/>
      <w:bookmarkStart w:id="58" w:name="_Toc21"/>
      <w:bookmarkEnd w:id="57"/>
      <w:r>
        <w:rPr>
          <w:rtl w:val="true"/>
        </w:rPr>
        <w:t>أحمد بن هلال ضعیف</w:t>
      </w:r>
      <w:bookmarkEnd w:id="5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 w:name="__RefHeading___Toc146488_2142443653"/>
      <w:bookmarkStart w:id="60" w:name="_Toc22"/>
      <w:bookmarkEnd w:id="59"/>
      <w:r>
        <w:rPr>
          <w:rtl w:val="true"/>
        </w:rPr>
        <w:t>طرق الشیخ إلی الحسین بن سعید</w:t>
      </w:r>
      <w:bookmarkStart w:id="61" w:name="pg15025_160157"/>
      <w:bookmarkEnd w:id="60"/>
    </w:p>
    <w:p>
      <w:pPr>
        <w:pStyle w:val="BookText"/>
        <w:rPr/>
      </w:pPr>
      <w:bookmarkEnd w:id="61"/>
      <w:r>
        <w:rPr>
          <w:rFonts w:ascii="IRNazanin" w:hAnsi="IRNazanin" w:eastAsia="IRNazanin"/>
          <w:color w:val="111111"/>
          <w:sz w:val="28"/>
          <w:sz w:val="28"/>
          <w:szCs w:val="28"/>
          <w:rtl w:val="true"/>
          <w:lang w:bidi="fa-IR"/>
        </w:rPr>
        <w:t xml:space="preserve">وقد روی الشیخ الحدیث فی التهذیب عن المفید ، عن أحمد بن محمد ، عن أبیه ، عن الحسین بن الحسن بن أبان ، عن الحسین بن سعید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یضرّ بحال ما ذکره فی المشیخة ، لأنّ له طرقاً إلی الرجل ، وفی المشیخة اقتصر علی البعض ، والشیخ رحمه الله لم یلتفت إلی صحّة الطریق ، ولا إلی العالی منه ، اعتماداً علی أنّ الأحادیث مأخوذة من کتب علیها المعوّل ، وإنّما ذکر الأسانید دفعاً لبعض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ما قاله الشیخ فیه بعید جدّاً ، واحتمال التخییر فی الجمع بین الأخبار لعلّه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خبر زرارة کونه إذا خاف السبع أو فوت الوقت یتیمم علی اللبد ، وظاهر المفهوم أنّه مع القدرة لا یجوز ، والتخییر ینافی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الجواب عنه بأن التخییر لا ینافی کون الأفضل الطین ویکون الشرط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التیمم بالثوب وإن لم یکن فیه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 ، فإن السابقة دل بعضها علی النفض وهو یشعر بإرادة الغبار ، والبعض الآخر وهو الساقط منه المطلوب دل علی الغبار ، ولو فرض إطلاق البعض فی النفض حمل علی المقیّد بالغبار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الثانیة المذکورة من الشیخ للدلالة علی أنّه إنّما یسوغ التیمم باللبد والسرج إذا کان فیهما الغبار ، تنافی الجمع ، علی أنّ فی دلالتها علی</w:t>
      </w:r>
    </w:p>
    <w:p>
      <w:pPr>
        <w:pStyle w:val="Heading4"/>
        <w:numPr>
          <w:ilvl w:val="3"/>
          <w:numId w:val="1"/>
        </w:numPr>
        <w:rPr/>
      </w:pPr>
      <w:bookmarkStart w:id="62" w:name="__RefHeading___Toc146490_2142443653"/>
      <w:bookmarkStart w:id="63" w:name="_Toc23"/>
      <w:bookmarkEnd w:id="62"/>
      <w:r>
        <w:rPr>
          <w:rtl w:val="true"/>
        </w:rPr>
        <w:t>التخییر بین التیمّم بالطین وغبار الثوب</w:t>
      </w:r>
      <w:bookmarkEnd w:id="6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 w:name="__RefHeading___Toc146492_2142443653"/>
      <w:bookmarkStart w:id="65" w:name="_Toc24"/>
      <w:bookmarkEnd w:id="64"/>
      <w:r>
        <w:rPr>
          <w:rtl w:val="true"/>
        </w:rPr>
        <w:t>هل یجوز التیمّم بالثوب الذی لاغبار فیه؟</w:t>
      </w:r>
      <w:bookmarkStart w:id="66" w:name="pg15025_160158"/>
      <w:bookmarkEnd w:id="65"/>
    </w:p>
    <w:p>
      <w:pPr>
        <w:pStyle w:val="BookText"/>
        <w:rPr/>
      </w:pPr>
      <w:bookmarkEnd w:id="66"/>
      <w:r>
        <w:rPr>
          <w:rFonts w:ascii="IRNazanin" w:hAnsi="IRNazanin" w:eastAsia="IRNazanin"/>
          <w:color w:val="111111"/>
          <w:sz w:val="28"/>
          <w:sz w:val="28"/>
          <w:szCs w:val="28"/>
          <w:rtl w:val="true"/>
          <w:lang w:bidi="fa-IR"/>
        </w:rPr>
        <w:t>الحصر نوع تأمّل ، لکنه سهل الجواب ، ولا یخفی عدم دلالتها علی أنّ التیمم باللبد إنّما یسوغ للضرورة ، لأنّ التقیید من کلام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یندفع ما ذکره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الروایة تدل علی جواز التیمم مع الضرورة ، فلا یتم مطلوب القائل بجواز التیمم بالغبار مع وجود الطین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خبر أبی بصیر وخبر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کونه ذکر الحدیث مع الزیادة التی فی التهذیب فکأنّها سقطت من النسخ التی رأیتها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المقام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الأُولی ما یقتضی أنّ الصعید هو الطین ، وهذا لا یخفی ما فیه ظاهراً ، ولعل المراد هو الطین من الصعید ، وقد یستبعد ذلک لکن مع ثبوت النص لا </w:t>
      </w:r>
      <w:r>
        <w:rPr>
          <w:rStyle w:val="FootnoteAnchor"/>
          <w:rtl w:val="true"/>
        </w:rPr>
        <w:footnoteReference w:id="94"/>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تضمنته الروایات فی الباب اشتمل علی الطین ، والأقوال المذکورة فی المختلف وقع التعبیر فیها بالوَحل </w:t>
      </w:r>
      <w:r>
        <w:rPr>
          <w:rStyle w:val="FootnoteAnchor"/>
          <w:rtl w:val="true"/>
        </w:rPr>
        <w:footnoteReference w:id="95"/>
      </w:r>
      <w:r>
        <w:rPr>
          <w:rFonts w:ascii="IRNazanin" w:hAnsi="IRNazanin" w:eastAsia="IRNazanin"/>
          <w:color w:val="111111"/>
          <w:sz w:val="28"/>
          <w:sz w:val="28"/>
          <w:szCs w:val="28"/>
          <w:rtl w:val="true"/>
          <w:lang w:bidi="fa-IR"/>
        </w:rPr>
        <w:t>، فکأنّ الحکم واحد علی ما فهمه الأصحاب ، وربما یظن المغایرة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الطین ترتطم فیه الدواب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ظاهره أنّه غیر الطین ، نعم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الوحل بسکون الحاء وفتحها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الطین الرقیق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الروایة الأخیرة أنّ مجرّد وجود الغبار فی المذکورین کاف فی صحّة التیمّم ، ولعل إطلاقه یقید بما تضمن النفض ، فلیتأمّل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 w:name="__RefHeading___Toc146494_2142443653"/>
      <w:bookmarkStart w:id="68" w:name="_Toc25"/>
      <w:bookmarkEnd w:id="67"/>
      <w:r>
        <w:rPr>
          <w:rtl w:val="true"/>
        </w:rPr>
        <w:t>هل الطین والوحل واحد؟</w:t>
      </w:r>
      <w:bookmarkStart w:id="69" w:name="pg15025_160159"/>
      <w:bookmarkEnd w:id="68"/>
    </w:p>
    <w:p>
      <w:pPr>
        <w:pStyle w:val="BookText"/>
        <w:rPr/>
      </w:pPr>
      <w:bookmarkEnd w:id="6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الرجل یکون </w:t>
      </w:r>
      <w:r>
        <w:rPr>
          <w:rStyle w:val="FootnoteAnchor"/>
          <w:rtl w:val="true"/>
        </w:rPr>
        <w:footnoteReference w:id="98"/>
      </w:r>
      <w:r>
        <w:rPr>
          <w:rFonts w:ascii="IRNazanin" w:hAnsi="IRNazanin" w:eastAsia="IRNazanin"/>
          <w:color w:val="111111"/>
          <w:sz w:val="28"/>
          <w:sz w:val="28"/>
          <w:szCs w:val="28"/>
          <w:rtl w:val="true"/>
          <w:lang w:bidi="fa-IR"/>
        </w:rPr>
        <w:t>فی أرض غطاها الثلج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بن یحیی ، عن أبیه ، عن محمد بن أحمد بن یحیی ، عن علی بن إسماعیل ، عن حماد بن عیسی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یجنب فی السفر لا یجد </w:t>
      </w:r>
      <w:r>
        <w:rPr>
          <w:rStyle w:val="FootnoteAnchor"/>
          <w:rtl w:val="true"/>
        </w:rPr>
        <w:footnoteReference w:id="99"/>
      </w:r>
      <w:r>
        <w:rPr>
          <w:rFonts w:ascii="IRNazanin" w:hAnsi="IRNazanin" w:eastAsia="IRNazanin"/>
          <w:color w:val="111111"/>
          <w:sz w:val="28"/>
          <w:sz w:val="28"/>
          <w:szCs w:val="28"/>
          <w:rtl w:val="true"/>
          <w:lang w:bidi="fa-IR"/>
        </w:rPr>
        <w:t xml:space="preserve">إلاّ الثلج ، قال </w:t>
      </w:r>
      <w:r>
        <w:rPr>
          <w:rStyle w:val="FootnoteAnchor"/>
          <w:rtl w:val="true"/>
        </w:rPr>
        <w:footnoteReference w:id="10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بالثلج أو ماء النهر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محمد بن أحمد ابن یحیی ، عن أحمد بن محمد ، عن عثمان بن عیسی ، عن معاویة بن شریح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علیه السلام وأنا عنده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یصیبنا الدَّمَق والثلج ونرید أن نتوضّأ ولا نجد إلاّ ماءً جامداً فکیف أتوضّأ أدلک به جلدی؟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لبس فیه فی الخبرین بعد ما کرّرنا ذکره ، غیر أنّ علی بن إسماعیل الواقع فی الأوّل لا بأس بإعادة ما ذکرناه مجملا ، والحاصل أنّ الموجود فی الرجال الموجودة الآن علی بن إسماعیل بن میثم التمار ، وهذا مهمل فی الرجال </w:t>
      </w:r>
      <w:r>
        <w:rPr>
          <w:rStyle w:val="FootnoteAnchor"/>
          <w:rtl w:val="true"/>
        </w:rPr>
        <w:footnoteReference w:id="101"/>
      </w:r>
      <w:r>
        <w:rPr>
          <w:rFonts w:ascii="IRNazanin" w:hAnsi="IRNazanin" w:eastAsia="IRNazanin"/>
          <w:color w:val="111111"/>
          <w:sz w:val="28"/>
          <w:sz w:val="28"/>
          <w:szCs w:val="28"/>
          <w:rtl w:val="true"/>
          <w:lang w:bidi="fa-IR"/>
        </w:rPr>
        <w:t>، وعلی بن إسماعیل بن عیسی مذکور فی طرق الفقیه إلی إسحاق</w:t>
      </w:r>
    </w:p>
    <w:p>
      <w:pPr>
        <w:pStyle w:val="Heading3"/>
        <w:numPr>
          <w:ilvl w:val="2"/>
          <w:numId w:val="1"/>
        </w:numPr>
        <w:rPr/>
      </w:pPr>
      <w:bookmarkStart w:id="70" w:name="__RefHeading___Toc146496_2142443653"/>
      <w:bookmarkStart w:id="71" w:name="_Toc26"/>
      <w:bookmarkEnd w:id="70"/>
      <w:r>
        <w:rPr>
          <w:rtl w:val="true"/>
        </w:rPr>
        <w:t>الرجل یکون فی أرض غطاها الثلج</w:t>
      </w:r>
      <w:bookmarkEnd w:id="7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 w:name="__RefHeading___Toc146498_2142443653"/>
      <w:bookmarkStart w:id="73" w:name="_Toc27"/>
      <w:bookmarkEnd w:id="72"/>
      <w:r>
        <w:rPr>
          <w:rtl w:val="true"/>
        </w:rPr>
        <w:t>بحث حول علی بن إسماعیل</w:t>
      </w:r>
      <w:bookmarkEnd w:id="73"/>
    </w:p>
    <w:p>
      <w:pPr>
        <w:pStyle w:val="BookText"/>
        <w:rPr/>
      </w:pPr>
      <w:r>
        <w:rPr>
          <w:rFonts w:ascii="IRNazanin" w:hAnsi="IRNazanin" w:eastAsia="IRNazanin"/>
          <w:color w:val="111111"/>
          <w:sz w:val="28"/>
          <w:sz w:val="28"/>
          <w:szCs w:val="28"/>
          <w:rtl w:val="true"/>
          <w:lang w:bidi="fa-IR"/>
        </w:rPr>
        <w:t xml:space="preserve">ابن عمار </w:t>
      </w:r>
      <w:r>
        <w:rPr>
          <w:rStyle w:val="FootnoteAnchor"/>
          <w:rtl w:val="true"/>
        </w:rPr>
        <w:footnoteReference w:id="102"/>
      </w:r>
      <w:r>
        <w:rPr>
          <w:rFonts w:ascii="Amiri" w:hAnsi="Amiri" w:eastAsia="Amiri" w:cs="Amiri"/>
          <w:color w:val="111111"/>
          <w:sz w:val="28"/>
          <w:sz w:val="28"/>
          <w:szCs w:val="28"/>
          <w:rtl w:val="true"/>
          <w:lang w:bidi="ar-SA"/>
        </w:rPr>
        <w:t xml:space="preserve">، والعلاّمة وصفه بالصحة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المذکور فی مرتبةٍ لا یبعد أن یکون هو المراد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تصحیح العلاّمة محلّ تأمّل فی إفادته التوثیق المعتبر ، لکثرة ما وقع له من الأوهام فی توثیق الرجال لا لأنّ تصحیح الأخبار اجتهادیّ ولا یفید غیر المقلد له ، لإمکان أن یقال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النجاشی وغیره من المتقدمین الذین لم یعاصروا الرواة توثیقهم أیضا بالاجتهاد کما یقتضیه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الحال فی توثیق الشیخ ؛ لأنّه أیضاً کثیر الأوهام علی نحو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التزکیة لیست من قبیل الفتوی ، بل من قبیل الإخبار ، والواحد فیها مقبول لمفهوم الآیة ، فإذا تحققت العدالة لا وجه للتوقف فی تصحیح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التصحیح محتمل لأن یرید به حصول القرائن المفیدة لصدق الراوی ، فهو ظن خاص بالمجتهد ، والتوثیق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بعینه جار فی التوثیق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احتمال الفرق کما یعرف من حقیقة التوثیق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الصحة العرفیة یتوقف علی التوثیق </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فالحکم بالصحة حکم بها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الاضطراب قد علم من العلاّمة فی التصحیح کما یعرف من المنتهی والمختلف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تصحیح الصدوق له مزیّة یقرب معها أن یکون علی نحو التوثیق ، ومن ثم تطمئن النفس إلی إخباره فی الفقیه ، حیث قال فی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یورد فیه ما یعتقد صحته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اعتقاد صحّة الحدیث عند الصدوق لا یدل علی توثیق الرجل ، لأنّ الصحّة عند المتقدّمین لا یتوقف علی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لا ندعی توثیق رجال الحدیث من الحکم بصحته من الصدوق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صحیح علی نحو الصحیح الاصطلاحی ، فینبغی تأمّل هذا فإنّه حریّ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تمهّد ما قلناه فاعلم أنّ طریق الفقیه المذکور فیه إسماعیل بن عیسی لا یخلو من خلل علی ما أظن فی ذکر ابن عیسی ، کما نبّهنا علیه فی حاشیته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الرجال علی بن إسماعیل الدهقان ،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خیّر فاضل من أصحاب العیاشی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قال الشیخ فی من لم یرو عن أحد من الأئمّة علیهم السلام فی کتابه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ومرتبة هذا الرجل لا توافق ما نحن فیه إلاّ بتکلّف</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الرجال علی بن إسماعیل بن عمار من وجوه من روی الحدیث علی ما قاله النجاشی فی ترجمة إسحاق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وحاله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الرجال علی ما ذکره العلاّمة فی الخلاصة فی علی بن السری </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نقلا عن الکشی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إسماعیل ثقة وهو علی بن السری ، </w:t>
      </w:r>
      <w:bookmarkStart w:id="74" w:name="pg15025_160162"/>
    </w:p>
    <w:p>
      <w:pPr>
        <w:pStyle w:val="BookText"/>
        <w:rPr/>
      </w:pPr>
      <w:bookmarkEnd w:id="74"/>
      <w:r>
        <w:rPr>
          <w:rFonts w:ascii="IRNazanin" w:hAnsi="IRNazanin" w:eastAsia="IRNazanin"/>
          <w:color w:val="111111"/>
          <w:sz w:val="28"/>
          <w:sz w:val="28"/>
          <w:szCs w:val="28"/>
          <w:rtl w:val="true"/>
          <w:lang w:bidi="fa-IR"/>
        </w:rPr>
        <w:t xml:space="preserve">لقّب إسماعیل بالسری </w:t>
      </w:r>
      <w:r>
        <w:rPr>
          <w:rStyle w:val="FootnoteAnchor"/>
          <w:rtl w:val="true"/>
        </w:rPr>
        <w:footnoteReference w:id="110"/>
      </w: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 بن الصباح ضعیف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حققه شیخنا المحقق أیّده الله فی کتاب الرجال أنّ لفظة ثقة تصحیف یق </w:t>
      </w:r>
      <w:r>
        <w:rPr>
          <w:rStyle w:val="FootnoteAnchor"/>
          <w:rtl w:val="true"/>
        </w:rPr>
        <w:footnoteReference w:id="112"/>
      </w:r>
      <w:r>
        <w:rPr>
          <w:rFonts w:ascii="IRNazanin" w:hAnsi="IRNazanin" w:eastAsia="IRNazanin"/>
          <w:color w:val="111111"/>
          <w:sz w:val="28"/>
          <w:sz w:val="28"/>
          <w:szCs w:val="28"/>
          <w:rtl w:val="true"/>
          <w:lang w:bidi="fa-IR"/>
        </w:rPr>
        <w:t xml:space="preserve">کما یقتضیه سوق کلام الکشی ، والعلاّمة غیّر کلام الکشی لظنّه أنّ فیه تصحیح المرام ، وعلی کل حال فالرجل المبحوث عنه غیر معلوم الحال بعد احتمال الاشتراک ، وبتقدیر کونه الدهقان فهو ممدوح ، وقد وصفها العلاّمة فی المختلف بالصحّة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معاویة بن شریح فی الثانی ، فالظاهر أنّه ابن میسرة بن شریح وهو مهمل فی رجال النجاشی </w:t>
      </w:r>
      <w:r>
        <w:rPr>
          <w:rStyle w:val="FootnoteAnchor"/>
          <w:rtl w:val="true"/>
        </w:rPr>
        <w:footnoteReference w:id="114"/>
      </w:r>
      <w:r>
        <w:rPr>
          <w:rFonts w:ascii="IRNazanin" w:hAnsi="IRNazanin" w:eastAsia="IRNazanin"/>
          <w:color w:val="111111"/>
          <w:sz w:val="28"/>
          <w:sz w:val="28"/>
          <w:szCs w:val="28"/>
          <w:rtl w:val="true"/>
          <w:lang w:bidi="fa-IR"/>
        </w:rPr>
        <w:t xml:space="preserve">، والشیخ فی الفهرست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ظاهر الدلالة علی تحقّق الغُسل بالثلج ولزوم الغُسل لا التیمّم ، فیندفع به علی تقدیر الصحة ما ینقل عن السید المرتضی رضی الله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یجد إلاّ الثلج ضرب بیده وتیمّم بنداوته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والعلاّمة جعل الخبر مؤیّداً لما اختاره من الاغتسال بالثلج ، واعتمد فی الدلیل علی أنّ المغتسل والمتوضّئ یجب علیه مماسّة أعضاء الطهارة</w:t>
      </w:r>
    </w:p>
    <w:p>
      <w:pPr>
        <w:pStyle w:val="Heading4"/>
        <w:numPr>
          <w:ilvl w:val="3"/>
          <w:numId w:val="1"/>
        </w:numPr>
        <w:rPr/>
      </w:pPr>
      <w:bookmarkStart w:id="75" w:name="__RefHeading___Toc146500_2142443653"/>
      <w:bookmarkStart w:id="76" w:name="_Toc28"/>
      <w:bookmarkEnd w:id="75"/>
      <w:r>
        <w:rPr>
          <w:rtl w:val="true"/>
        </w:rPr>
        <w:t>معاویة بن شریح مهمل</w:t>
      </w:r>
      <w:bookmarkEnd w:id="7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 w:name="__RefHeading___Toc146502_2142443653"/>
      <w:bookmarkStart w:id="78" w:name="_Toc29"/>
      <w:bookmarkEnd w:id="77"/>
      <w:r>
        <w:rPr>
          <w:rtl w:val="true"/>
        </w:rPr>
        <w:t>قول العلّامة فی حکم من لایجد إلّا الثلج ، والمناقشة فیه</w:t>
      </w:r>
      <w:bookmarkEnd w:id="78"/>
    </w:p>
    <w:p>
      <w:pPr>
        <w:pStyle w:val="BookText"/>
        <w:rPr/>
      </w:pPr>
      <w:r>
        <w:rPr>
          <w:rFonts w:ascii="IRNazanin" w:hAnsi="IRNazanin" w:eastAsia="IRNazanin"/>
          <w:color w:val="111111"/>
          <w:sz w:val="28"/>
          <w:sz w:val="28"/>
          <w:szCs w:val="28"/>
          <w:rtl w:val="true"/>
          <w:lang w:bidi="fa-IR"/>
        </w:rPr>
        <w:t>بالماء وإجراؤه علیها ، فإذا تعذّر الثانی وجب الأوّل ، إذ لا یلزم من سقوط أحد الواجبین لعذر سقوط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رواه الشیخ فی الصحیح وذکر الروایة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فی هذا الحدیث علی مطلوبکم وهو الاجتزاء بالمماسّة ، لأنّ مفهوم الاغتسال إجراء الماء الجاری علی الأعضاء ، لا نفس المماسّة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أوّلاً دخول الجریان فی مفهوم الاغتسال ، سلّمنا ، لکن الاغتسال إذا علّق بشی‌ء اقتضی جریان ذلک الشی‌ء علی العضو ، أمّا حقیقة الماء فیمنع ذلک ، ونحن نقول هنا بموجبه ، فإنّ الثلج یجوز إجراؤه علی الأعضاء لتحصل الرطوبة علیها ویعتمد علی الثلج بیده ، ویؤکد ذلک ما رواه معاویة بن شریح ، وذکر الروایة الثانیة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 کلامه محلّ تأمّل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قاله من وجوب الأمرین ، فإذا تعذر أحدهما لم یسقط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وجوب أمرین ، بل الواجب الغُسل المرکّب من الأمرین ، والمرکّب ینتفی بانتفاء أحد جزءیه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فی جواب الإیراد اقتضی أوّلاً منع دخول الجریان فی مفهوم الاغتسال ، وهو مناف لتصریحه أوّلاً فی الدلیل بأنّ الواجب أمران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الجواب اقتضی ثانیاً أنّ الاغتسال إذا علّق بشی‌ء اقتضی جریان ذلک الشی‌ء ، فظاهر الحال أنّه الثلج ، لأنّه المعلّق فی الروایة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 بموجبه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مقتضاه إجراء الثلج لتحصل الرطوبة ، والجریان للرطوبة </w:t>
      </w:r>
      <w:bookmarkStart w:id="79" w:name="pg15025_160164"/>
    </w:p>
    <w:p>
      <w:pPr>
        <w:pStyle w:val="BookText"/>
        <w:rPr/>
      </w:pPr>
      <w:bookmarkEnd w:id="79"/>
      <w:r>
        <w:rPr>
          <w:rFonts w:ascii="IRNazanin" w:hAnsi="IRNazanin" w:eastAsia="IRNazanin"/>
          <w:color w:val="111111"/>
          <w:sz w:val="28"/>
          <w:sz w:val="28"/>
          <w:szCs w:val="28"/>
          <w:rtl w:val="true"/>
          <w:lang w:bidi="fa-IR"/>
        </w:rPr>
        <w:t>لا للثلج ، وقد یمکن تسدید هذا ، إلاّ أنّ الحقّ أنّه إنّما یتم علی تقدیر صلاحیة الروایة للاستدلال علی أن یکون نصا فی جریان الثلج ، والحال أنها محتملة لأن یراد بالاغتسال بالثلج إجراء مائه ولو بمعونة ، ومن ثم جعلها العلاّمة مؤیّدة ، فالتأیید مع الاستدلال بها لا یخلو من خلل علی تقدیر الإغماض عن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الثانی المتضمن لذلک غیر سلیم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فی المختلف عن ابن إدریس أنّه منع من التیمم به والوضوء والغُسل ، وأنّه احتج بأنّ الجنب ممنوع من الصلاة إلاّ بعد الغسل ، ولا یطلق الغُسل إلاّ مع الجریان </w:t>
      </w:r>
      <w:r>
        <w:rPr>
          <w:rStyle w:val="FootnoteAnchor"/>
          <w:rtl w:val="true"/>
        </w:rPr>
        <w:footnoteReference w:id="118"/>
      </w:r>
      <w:r>
        <w:rPr>
          <w:rFonts w:ascii="IRNazanin" w:hAnsi="IRNazanin" w:eastAsia="IRNazanin"/>
          <w:color w:val="111111"/>
          <w:sz w:val="28"/>
          <w:sz w:val="28"/>
          <w:szCs w:val="28"/>
          <w:rtl w:val="true"/>
          <w:lang w:bidi="fa-IR"/>
        </w:rPr>
        <w:t>وأجاب العلاّمة بما قدّمه وقد سمعت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المقنعة 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أرض قد غطّاها الثلج ولا سبیل إلی التراب فلیکسره ولیتوضّأ به مثل الدهن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الکلام أوّلاً أنّ التیمم مقدم إذا أمکن التراب ، وعلی تقدیر التعذّر فلیتوضّأ من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 الثلج إن تحقق به الوضوء لا وجه للتیمم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بأنّ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سبیل إلی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به إرادة التیمم ، بل هو لبیان کون الثلج ساتراً للأرض ، ولا یخفی ما فیه من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 وهو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من الثلج أو ماء 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إجمال ، لأن ماء النهر مع وجوده ربما کان أقرب إلی مدلول الغسل فیتعیّن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من الإمام علیه السلام بیان عدم اعتبار</w:t>
      </w:r>
    </w:p>
    <w:p>
      <w:pPr>
        <w:pStyle w:val="Heading4"/>
        <w:numPr>
          <w:ilvl w:val="3"/>
          <w:numId w:val="1"/>
        </w:numPr>
        <w:rPr/>
      </w:pPr>
      <w:bookmarkStart w:id="80" w:name="__RefHeading___Toc146504_2142443653"/>
      <w:bookmarkStart w:id="81" w:name="_Toc30"/>
      <w:bookmarkEnd w:id="80"/>
      <w:r>
        <w:rPr>
          <w:rtl w:val="true"/>
        </w:rPr>
        <w:t>قول ابن إدریس فی المسألة</w:t>
      </w:r>
      <w:bookmarkEnd w:id="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 w:name="__RefHeading___Toc146506_2142443653"/>
      <w:bookmarkStart w:id="83" w:name="_Toc31"/>
      <w:bookmarkEnd w:id="82"/>
      <w:r>
        <w:rPr>
          <w:rtl w:val="true"/>
        </w:rPr>
        <w:t>قول المفید فی المسألة</w:t>
      </w:r>
      <w:bookmarkStart w:id="84" w:name="pg15025_160165"/>
      <w:bookmarkEnd w:id="83"/>
    </w:p>
    <w:p>
      <w:pPr>
        <w:pStyle w:val="BookText"/>
        <w:rPr/>
      </w:pPr>
      <w:bookmarkEnd w:id="84"/>
      <w:r>
        <w:rPr>
          <w:rFonts w:ascii="IRNazanin" w:hAnsi="IRNazanin" w:eastAsia="IRNazanin"/>
          <w:color w:val="111111"/>
          <w:sz w:val="28"/>
          <w:sz w:val="28"/>
          <w:szCs w:val="28"/>
          <w:rtl w:val="true"/>
          <w:lang w:bidi="fa-IR"/>
        </w:rPr>
        <w:t>الجریان فی الغسل ، وأنّه لا فرق بین ماء النهر والثلج ، وقد یحتمل أنّ یکون التردید من الراوی بحصول الشک ، ولا یخلو من بُعد ، فلیتأملّ ذلک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وثلج ، معرّبة دَمَه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العبیدی ، عن حماد ابن عیسی ، عن حریز ، عن محمد بن مسلم قال سألت أبا عبد الله علیه السلام عن الرجل یجنب فی السفر فلا یجد إلاّ الثلج أو ماءً جامداً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بمنزلة الضرورة یتیمّم ولا أری أن یعود إلی هذه الأرض التی توبق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معاویة بن حکیم ، عن عبد الله بن المغیرة ، عن ابن بکیر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أصابه الثلج فلینظر لبد سرجه فلیتیممّ من غباره أو من شی‌ء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 عن أحمد بن محمد ، عن أبیه ، عن عبد الله ابن المغیرة ، عن رفاعة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فی ثلج فلینظر لبد سرجه فلیتیمّم من غباره أو من شی‌ء مغبّر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تنافی بین هذه الأخبار و </w:t>
      </w:r>
      <w:r>
        <w:rPr>
          <w:rStyle w:val="FootnoteAnchor"/>
          <w:rtl w:val="true"/>
        </w:rPr>
        <w:footnoteReference w:id="121"/>
      </w:r>
      <w:r>
        <w:rPr>
          <w:rFonts w:ascii="IRNazanin" w:hAnsi="IRNazanin" w:eastAsia="IRNazanin"/>
          <w:color w:val="111111"/>
          <w:sz w:val="28"/>
          <w:sz w:val="28"/>
          <w:szCs w:val="28"/>
          <w:rtl w:val="true"/>
          <w:lang w:bidi="fa-IR"/>
        </w:rPr>
        <w:t>الأخبار الأوّلة ، لأنّ الوجه فی الجمع بینهما أنّه یجب علی الإنسان أن یتدلّک بالثلج أو الجمد ، لأنّه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 w:name="__RefHeading___Toc146508_2142443653"/>
      <w:bookmarkStart w:id="86" w:name="_Toc32"/>
      <w:bookmarkEnd w:id="85"/>
      <w:r>
        <w:rPr>
          <w:rtl w:val="true"/>
        </w:rPr>
        <w:t>معنی الدَمَق</w:t>
      </w:r>
      <w:bookmarkStart w:id="87" w:name="pg15025_160166"/>
      <w:bookmarkEnd w:id="86"/>
    </w:p>
    <w:p>
      <w:pPr>
        <w:pStyle w:val="BookText"/>
        <w:rPr/>
      </w:pPr>
      <w:bookmarkEnd w:id="87"/>
      <w:r>
        <w:rPr>
          <w:rFonts w:ascii="IRNazanin" w:hAnsi="IRNazanin" w:eastAsia="IRNazanin"/>
          <w:color w:val="111111"/>
          <w:sz w:val="28"/>
          <w:sz w:val="28"/>
          <w:szCs w:val="28"/>
          <w:rtl w:val="true"/>
          <w:lang w:bidi="fa-IR"/>
        </w:rPr>
        <w:t xml:space="preserve">ماء إذا أمکنه ذلک ولا یخاف علی نفسه </w:t>
      </w:r>
      <w:r>
        <w:rPr>
          <w:rStyle w:val="FootnoteAnchor"/>
          <w:rtl w:val="true"/>
        </w:rPr>
        <w:footnoteReference w:id="122"/>
      </w:r>
      <w:r>
        <w:rPr>
          <w:rFonts w:ascii="IRNazanin" w:hAnsi="IRNazanin" w:eastAsia="IRNazanin"/>
          <w:color w:val="111111"/>
          <w:sz w:val="28"/>
          <w:sz w:val="28"/>
          <w:szCs w:val="28"/>
          <w:rtl w:val="true"/>
          <w:lang w:bidi="fa-IR"/>
        </w:rPr>
        <w:t xml:space="preserve">لا یعدل عن ذلک إلی التیمم بالتراب والغبار ، 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یمکنه ذلک وخاف </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من استعماله جاز له أن یعدل إلی التیمم کما یجوز له العدول عن الماء إلی التراب عند الخوف ، 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أخبرنی به الحسین بن عبید الله ، عن أحمد بن محمد بن یحیی ، عن أبیه ، عن محمد بن علی بن محبوب ، عن محمد بن أحمد العلوی ، عن العمرکی ، عن علی بن جعفر ، عن أخیه موسی بن جعفر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غیر وضوء </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لا یکون معه ماء وهو یصیب ثلجاً وصعیداً أیّهما أفضل أیتیمم أم یتمسح بالثلج وجهه؟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الثلج إذا بلّ رأسه وجسده أفضل ، فإن لم یقدر علی أن یغتسل به فلیتیمّم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التوقف فیه إلاّ من العبیدی وهو محمد بن عیسی ، وقد قدمنا وجه عدم التوقف </w:t>
      </w:r>
      <w:r>
        <w:rPr>
          <w:rStyle w:val="FootnoteAnchor"/>
          <w:rtl w:val="true"/>
        </w:rPr>
        <w:footnoteReference w:id="125"/>
      </w:r>
      <w:r>
        <w:rPr>
          <w:rFonts w:ascii="IRNazanin" w:hAnsi="IRNazanin" w:eastAsia="IRNazanin"/>
          <w:color w:val="111111"/>
          <w:sz w:val="28"/>
          <w:sz w:val="28"/>
          <w:szCs w:val="28"/>
          <w:rtl w:val="true"/>
          <w:lang w:bidi="fa-IR"/>
        </w:rPr>
        <w:t xml:space="preserve">، والطریق إلی محمد بن علی بن محبوب فی المشیخة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عبید الله ، عن أحمد بن محمد بن یحیی ، عن</w:t>
      </w:r>
    </w:p>
    <w:p>
      <w:pPr>
        <w:pStyle w:val="Heading4"/>
        <w:numPr>
          <w:ilvl w:val="3"/>
          <w:numId w:val="1"/>
        </w:numPr>
        <w:rPr/>
      </w:pPr>
      <w:bookmarkStart w:id="88" w:name="__RefHeading___Toc146510_2142443653"/>
      <w:bookmarkStart w:id="89" w:name="_Toc33"/>
      <w:bookmarkEnd w:id="88"/>
      <w:r>
        <w:rPr>
          <w:rtl w:val="true"/>
        </w:rPr>
        <w:t>العبیدی هو محمّد بن عیسی</w:t>
      </w:r>
      <w:bookmarkEnd w:id="8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 w:name="__RefHeading___Toc146512_2142443653"/>
      <w:bookmarkStart w:id="91" w:name="_Toc34"/>
      <w:bookmarkEnd w:id="90"/>
      <w:r>
        <w:rPr>
          <w:rtl w:val="true"/>
        </w:rPr>
        <w:t>طریق الشیخ إلی محمّد بن علی بن محبوب</w:t>
      </w:r>
      <w:bookmarkStart w:id="92" w:name="pg15025_160167"/>
      <w:bookmarkEnd w:id="91"/>
    </w:p>
    <w:p>
      <w:pPr>
        <w:pStyle w:val="BookText"/>
        <w:rPr/>
      </w:pPr>
      <w:bookmarkEnd w:id="92"/>
      <w:r>
        <w:rPr>
          <w:rFonts w:ascii="IRNazanin" w:hAnsi="IRNazanin" w:eastAsia="IRNazanin"/>
          <w:color w:val="111111"/>
          <w:sz w:val="28"/>
          <w:sz w:val="28"/>
          <w:szCs w:val="28"/>
          <w:rtl w:val="true"/>
          <w:lang w:bidi="fa-IR"/>
        </w:rPr>
        <w:t xml:space="preserve">أبیه ، عن محمد بن علی بن محبوب </w:t>
      </w:r>
      <w:r>
        <w:rPr>
          <w:rStyle w:val="FootnoteAnchor"/>
          <w:rtl w:val="true"/>
        </w:rPr>
        <w:footnoteReference w:id="126"/>
      </w:r>
      <w:r>
        <w:rPr>
          <w:rFonts w:ascii="IRNazanin" w:hAnsi="IRNazanin" w:eastAsia="IRNazanin"/>
          <w:color w:val="111111"/>
          <w:sz w:val="28"/>
          <w:sz w:val="28"/>
          <w:szCs w:val="28"/>
          <w:rtl w:val="true"/>
          <w:lang w:bidi="fa-IR"/>
        </w:rPr>
        <w:t>، ولا یستبعد روایة العبیدی عن حمّاد من ممارس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القول فی رجاله ، وذکر الحدیث هنا بهذه الصورة یؤید النقیصة فی الخبر السابق ، کما حکیناه سابقا </w:t>
      </w:r>
      <w:r>
        <w:rPr>
          <w:rStyle w:val="FootnoteAnchor"/>
          <w:rtl w:val="true"/>
        </w:rPr>
        <w:footnoteReference w:id="127"/>
      </w:r>
      <w:r>
        <w:rPr>
          <w:rFonts w:ascii="IRNazanin" w:hAnsi="IRNazanin" w:eastAsia="IRNazanin"/>
          <w:color w:val="111111"/>
          <w:sz w:val="28"/>
          <w:sz w:val="28"/>
          <w:szCs w:val="28"/>
          <w:rtl w:val="true"/>
          <w:lang w:bidi="fa-IR"/>
        </w:rPr>
        <w:t xml:space="preserve">، وضمیر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ابن محبوب ، وقد تقدم اسناد آخر للخبر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أحمد العلوی ، ولم أقف فی الرجال علی ذکره ، نعم فی کتاب کمال الدین قرب باب النص علی القائم علیه السلام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الشریف الدیِّن الصدوق أبو علی محمد بن أحمد بن محمد ابن زیارة بن عبد الله بن الحسن بن الحسین بن علی بن الحسین بن علی ابن أبی طالب عن علی بن محمد بن قتیبة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الرجل یروی عنه الصدوق فروایة ابن محبوب عنه غیر معقولة ، ولا یخفی مدح الرجل من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ظاهر فی تعین التیمم وإن أمکن الغسل بالثلج والماء الجامد ، والظاهر أیضا أنّ التیمم لیس بالثلج وإن کان باب الاحتمال واسعا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أجنب فی أرض ولم یجد الماء إلاّ ماءً جامداً أو </w:t>
      </w:r>
      <w:r>
        <w:rPr>
          <w:rStyle w:val="FootnoteAnchor"/>
          <w:rtl w:val="true"/>
        </w:rPr>
        <w:footnoteReference w:id="129"/>
      </w:r>
    </w:p>
    <w:p>
      <w:pPr>
        <w:pStyle w:val="Heading4"/>
        <w:numPr>
          <w:ilvl w:val="3"/>
          <w:numId w:val="1"/>
        </w:numPr>
        <w:rPr/>
      </w:pPr>
      <w:bookmarkStart w:id="93" w:name="__RefHeading___Toc146514_2142443653"/>
      <w:bookmarkStart w:id="94" w:name="_Toc35"/>
      <w:bookmarkEnd w:id="93"/>
      <w:r>
        <w:rPr>
          <w:rtl w:val="true"/>
        </w:rPr>
        <w:t>بحث حول محمّد بن أحمد العلوی</w:t>
      </w:r>
      <w:bookmarkEnd w:id="9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 w:name="__RefHeading___Toc146516_2142443653"/>
      <w:bookmarkStart w:id="96" w:name="_Toc36"/>
      <w:bookmarkEnd w:id="95"/>
      <w:r>
        <w:rPr>
          <w:rtl w:val="true"/>
        </w:rPr>
        <w:t>ظهور روایة محمّد بن مسلم فی تعیّن التیمّم وإن أمکن الغسل بالثلج</w:t>
      </w:r>
      <w:bookmarkStart w:id="97" w:name="pg15025_160168"/>
      <w:bookmarkEnd w:id="96"/>
    </w:p>
    <w:p>
      <w:pPr>
        <w:pStyle w:val="BookText"/>
        <w:rPr/>
      </w:pPr>
      <w:bookmarkEnd w:id="97"/>
      <w:r>
        <w:rPr>
          <w:rFonts w:ascii="IRNazanin" w:hAnsi="IRNazanin" w:eastAsia="IRNazanin"/>
          <w:color w:val="111111"/>
          <w:sz w:val="28"/>
          <w:sz w:val="28"/>
          <w:szCs w:val="28"/>
          <w:rtl w:val="true"/>
          <w:lang w:bidi="fa-IR"/>
        </w:rPr>
        <w:t xml:space="preserve">لا یخلص إلی الصعید فلیصلّ بالمسح ، ثم لا یعد إلی الأرض التی یوبق فیها دینه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النسخة التی رأیتها ، والظاهر أنّه بمعنی الواو أو الألف غلط ؛ واحتمال أن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یخلص عطفاً علی لم یجد ، أی إذا حصل أحد الأمرین إمّا عدم الماء أو عدم الخلاص إلی الصعید ، لا یخفی أنّه یوجب الاختلال فی العبارة ، کما یعرف بأدنی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الصدوق أتی بمدلول الروایة ، وربما یفهم من العبارة أنّ المسح علی الماء الجامد ، واحتمال إرادة التیمم ربما کان له قرب إلی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العلاّمة فی المختلف عن سلاّر وجماعة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یتیمم بنداوة الثلج ، 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سلاّر بما رواه محمد بن مسلم فی الصحیح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الروایة الأولی ، وفی وصفها بالصحّة دلالة علی توثیق محمد بن عیسی إن کانت مأخوذة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أجاب عن الاحتجاج بجواز أن یکون المراد یتیمم بالتراب کما فهم الشیخ ، أو یتیمم بالثلج ، بمعنی أنّه یمسح الأعضاء بأجمعها ، ویطلق علیه اسم التیمم إمّا للحقیقة اللغویة أو المجاز الشرعی وهو الإمساس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ما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الشیخ فی الجمع بین الأخبار لا یخلو من نظر أیضا ، إلاّ أنّه قابل للتسدید ، والاستدلال له بالروایة الأخیرة غیر تام کما یعرف من ملاحظة کنه الروایة وکلام الشیخ ، وفی الخبر الأوّل نکتة توجب قصم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146518_2142443653"/>
      <w:bookmarkStart w:id="99" w:name="_Toc37"/>
      <w:bookmarkEnd w:id="98"/>
      <w:r>
        <w:rPr>
          <w:rtl w:val="true"/>
        </w:rPr>
        <w:t>ما المراد بالتیمّم فی حدیث محمّد بن مسلم؟</w:t>
      </w:r>
      <w:bookmarkStart w:id="100" w:name="pg15025_160169"/>
      <w:bookmarkEnd w:id="99"/>
    </w:p>
    <w:p>
      <w:pPr>
        <w:pStyle w:val="BookText"/>
        <w:rPr/>
      </w:pPr>
      <w:bookmarkEnd w:id="100"/>
      <w:r>
        <w:rPr>
          <w:rFonts w:ascii="IRNazanin" w:hAnsi="IRNazanin" w:eastAsia="IRNazanin"/>
          <w:color w:val="111111"/>
          <w:sz w:val="28"/>
          <w:sz w:val="28"/>
          <w:szCs w:val="28"/>
          <w:rtl w:val="true"/>
          <w:lang w:bidi="fa-IR"/>
        </w:rPr>
        <w:t>الظهور ، والله تعالی أعلم بحقائق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توبق دینه أی تهلکه ،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أوبقت الشی‌ء أهلکته ، کذا فی الحبل المتین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أنّ المتیمّم إذا وجد الماء لا یجب علیه إعادة الصلاة</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ابن یعقوب ، عن علی بن إبراهیم ، عن أبیه ، عن ابن أبی عمیر ، عن ابن أُذینة ، عن زرارة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یجد المسافر الماء فلیطلب ما دام فی الوقت ، فإذا خاف أن یفوته الوقت فلیتیمّم ولیصلّ فی آخر الوقت ، فإذا وجد الماء فلا قضاء علیه ولیتوضّأ لما یستقبل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أحمد بن محمد ، عن أبیه ، عن الحسین بن الحسن بن أبان ، عن الحسین بن سعید ، عن النضر بن سوید ، عن ابن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یجد الرجل طهوراً وکان جنباً فلیمسح من الأرض ولیصلّ ، فإذا وجد ماءً فلیغتسل وقد أجزأته صلاته التی صلّی </w:t>
      </w:r>
      <w:r>
        <w:rPr>
          <w:rFonts w:eastAsia="IRNazanin" w:cs="IRNazanin"/>
          <w:color w:val="111111"/>
          <w:sz w:val="28"/>
          <w:szCs w:val="28"/>
          <w:rtl w:val="true"/>
          <w:lang w:bidi="fa-IR"/>
        </w:rPr>
        <w:t>».</w:t>
      </w:r>
    </w:p>
    <w:p>
      <w:pPr>
        <w:pStyle w:val="Heading4"/>
        <w:numPr>
          <w:ilvl w:val="3"/>
          <w:numId w:val="1"/>
        </w:numPr>
        <w:rPr/>
      </w:pPr>
      <w:bookmarkStart w:id="101" w:name="__RefHeading___Toc146520_2142443653"/>
      <w:bookmarkStart w:id="102" w:name="_Toc38"/>
      <w:bookmarkEnd w:id="101"/>
      <w:r>
        <w:rPr>
          <w:rtl w:val="true"/>
        </w:rPr>
        <w:t>معنی تُوبِقُ</w:t>
      </w:r>
      <w:bookmarkEnd w:id="102"/>
    </w:p>
    <w:p>
      <w:pPr>
        <w:pStyle w:val="Heading3"/>
        <w:numPr>
          <w:ilvl w:val="2"/>
          <w:numId w:val="1"/>
        </w:numPr>
        <w:rPr/>
      </w:pPr>
      <w:bookmarkStart w:id="103" w:name="__RefHeading___Toc146522_2142443653"/>
      <w:bookmarkStart w:id="104" w:name="_Toc39"/>
      <w:bookmarkEnd w:id="103"/>
      <w:r>
        <w:rPr>
          <w:rtl w:val="true"/>
        </w:rPr>
        <w:t>المتیمّم إذا وجد الماء لا یجب علیه إعادة الصلاة</w:t>
      </w:r>
      <w:bookmarkEnd w:id="10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 w:name="__RefHeading___Toc146524_2142443653"/>
      <w:bookmarkStart w:id="106" w:name="_Toc40"/>
      <w:bookmarkEnd w:id="105"/>
      <w:r>
        <w:rPr>
          <w:rtl w:val="true"/>
        </w:rPr>
        <w:t>اشارة</w:t>
      </w:r>
      <w:bookmarkStart w:id="107" w:name="pg15025_160170"/>
      <w:bookmarkEnd w:id="106"/>
    </w:p>
    <w:p>
      <w:pPr>
        <w:pStyle w:val="BookText"/>
        <w:rPr/>
      </w:pPr>
      <w:bookmarkEnd w:id="107"/>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الخبرین واضح بعد ما قدّمناه ، وذکرنا سابقا أنّ ابن أُذینة هو عمر ابن محمد بن أُذینة الثقة فی کتاب الشیخ للرجال </w:t>
      </w:r>
      <w:r>
        <w:rPr>
          <w:rStyle w:val="FootnoteAnchor"/>
          <w:rtl w:val="true"/>
        </w:rPr>
        <w:footnoteReference w:id="134"/>
      </w:r>
      <w:r>
        <w:rPr>
          <w:rFonts w:ascii="IRNazanin" w:hAnsi="IRNazanin" w:eastAsia="IRNazanin"/>
          <w:color w:val="111111"/>
          <w:sz w:val="28"/>
          <w:sz w:val="28"/>
          <w:szCs w:val="28"/>
          <w:rtl w:val="true"/>
          <w:lang w:bidi="fa-IR"/>
        </w:rPr>
        <w:t xml:space="preserve">وإن کان التعبیر عنه بعمر بن أُذینة ، والنجاشی لم یوثّقه لکن ترجمه بعمر بن محمد بن أُذینة ، وفی السند إلی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أُذینة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قاله جدّی قدس سره من أنّ سبب وهم ابن داود فی عدّهما اثنین هو ذکر الشیخ له بعنوان عمر بن أُذینة ، والنجاشی بعنوان عمر بن محمد بن أُذینة </w:t>
      </w:r>
      <w:r>
        <w:rPr>
          <w:rStyle w:val="FootnoteAnchor"/>
          <w:rtl w:val="true"/>
        </w:rPr>
        <w:footnoteReference w:id="136"/>
      </w:r>
      <w:r>
        <w:rPr>
          <w:rFonts w:ascii="IRNazanin" w:hAnsi="IRNazanin" w:eastAsia="IRNazanin"/>
          <w:color w:val="111111"/>
          <w:sz w:val="28"/>
          <w:sz w:val="28"/>
          <w:szCs w:val="28"/>
          <w:rtl w:val="true"/>
          <w:lang w:bidi="fa-IR"/>
        </w:rPr>
        <w:t>لا یخلو من تأمّل ، فإنّ النجاشی قد سمعت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الحال بأنّ النجاشی قد قدّمنا أنّه مرجَّح علی الشیخ فی مقام تعارض الجرح والتعدیل ، لأنّ عدم ذکر الجرح فی الرجل مثل کونه فطحیاً یدل علی أنّه لم یثبت عنده ذلک ، ومن ثم یذکر مخالف المذهب فی کتابه ، وهذا ربما یعطی تقدیم قوله فی عدم التوثیق أیضا ، وحینئذ یشکل الاعتماد علی توثیق الشیخ مع تمشّی ما قلناه فیه بعینه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ظاهر فی أنّ المسافر یطلب ما دام فی الوقت فإذا خاف فوته تیمّم ، وربما یدّعی أنّ الظاهر فوت جمیع الوقت لا فوات الفضیلة وإن کان باب الاحتمال واسعاً ، سیّما واستفادة فوت وقت الفضیلة من الأخبار غیر عزیز</w:t>
      </w:r>
      <w:r>
        <w:rPr>
          <w:rFonts w:eastAsia="IRNazanin" w:cs="IRNazanin"/>
          <w:color w:val="111111"/>
          <w:sz w:val="28"/>
          <w:szCs w:val="28"/>
          <w:rtl w:val="true"/>
          <w:lang w:bidi="fa-IR"/>
        </w:rPr>
        <w:t>.</w:t>
      </w:r>
    </w:p>
    <w:p>
      <w:pPr>
        <w:pStyle w:val="Heading4"/>
        <w:numPr>
          <w:ilvl w:val="3"/>
          <w:numId w:val="1"/>
        </w:numPr>
        <w:rPr/>
      </w:pPr>
      <w:bookmarkStart w:id="108" w:name="__RefHeading___Toc146526_2142443653"/>
      <w:bookmarkStart w:id="109" w:name="_Toc41"/>
      <w:bookmarkEnd w:id="108"/>
      <w:r>
        <w:rPr>
          <w:rtl w:val="true"/>
        </w:rPr>
        <w:t>بحث حول عمر بن اُذینة</w:t>
      </w:r>
      <w:bookmarkEnd w:id="10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 w:name="__RefHeading___Toc146528_2142443653"/>
      <w:bookmarkStart w:id="111" w:name="_Toc42"/>
      <w:bookmarkEnd w:id="110"/>
      <w:r>
        <w:rPr>
          <w:rtl w:val="true"/>
        </w:rPr>
        <w:t>وجوب طلب الماء علی السمافر وکیفیّته</w:t>
      </w:r>
      <w:bookmarkStart w:id="112" w:name="pg15025_160171"/>
      <w:bookmarkEnd w:id="111"/>
    </w:p>
    <w:p>
      <w:pPr>
        <w:pStyle w:val="BookText"/>
        <w:rPr/>
      </w:pPr>
      <w:bookmarkEnd w:id="112"/>
      <w:r>
        <w:rPr>
          <w:rFonts w:ascii="IRNazanin" w:hAnsi="IRNazanin" w:eastAsia="IRNazanin"/>
          <w:color w:val="111111"/>
          <w:sz w:val="28"/>
          <w:sz w:val="28"/>
          <w:szCs w:val="28"/>
          <w:rtl w:val="true"/>
          <w:lang w:bidi="fa-IR"/>
        </w:rPr>
        <w:t xml:space="preserve">ثم الظاهر من الطلب الإطلاق کما قاله فی المعتبر </w:t>
      </w:r>
      <w:r>
        <w:rPr>
          <w:rStyle w:val="FootnoteAnchor"/>
          <w:rtl w:val="true"/>
        </w:rPr>
        <w:footnoteReference w:id="137"/>
      </w:r>
      <w:r>
        <w:rPr>
          <w:rFonts w:ascii="IRNazanin" w:hAnsi="IRNazanin" w:eastAsia="IRNazanin"/>
          <w:color w:val="111111"/>
          <w:sz w:val="28"/>
          <w:sz w:val="28"/>
          <w:szCs w:val="28"/>
          <w:rtl w:val="true"/>
          <w:lang w:bidi="fa-IR"/>
        </w:rPr>
        <w:t xml:space="preserve">، وما یأتی من الأخبار فی کیفیة الطلب قاصر السند ، ومن ثم 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بالغلوة والغلوتین روایة السکونی وهو ضعیف غیر أنّ الجماعة عملوا بها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أنّه یطلب من کل جهة یرجو فیها الإصابة ولا یکلّف التباعد بما یشقّ ، وروایة زرارة تدل علی أنّه یطلب دائما ما دام فی الوقت حتی یخشی الفوات ، وهو حسن ، والروایة واضحة السند والمعنی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ما قاله المحقق رحمه الله لا یخلو من تأمّل ، لأنّ استفادة الطلب دائماً ما دام فی الوقت من الروایة غیر واضحة ، إذ الأمر لا یفید الدوام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لزمان الطلب ، وحینئذ وضوح معنی الروایة فیما ذکره محلّ کلام ، بل ربما یدّعی دلالتها علی الطلب المتعارف ، وهو ما ذکره المحقق أوّل الکلام إن لم یثبت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تضمنته الروایة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آخر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راجع إلی الأمرین أعنی التیمم والصلاة ، واحتمال أن یراد إذا خاف أن یفوته الوقت لو طلب یتیمم ولو فی أوّل الوقت ، لکن لا یصلّی إلاّ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أظهر من أن یخفی ، نعم یحتمل إرادة إذا خاف من الطلب فوت الوقت ، لکن یؤخّر التیمم والصلاة ، وقد یوجب هذا نوع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وجد الماء فلا قضاء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لأمرین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وجد بعد الطلب ، 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وجده بعد ترک الطلب بخوف فوت الوقت ، وسیأتی إن شاء الله ذکر ما لا بدّ منه فی الباب المعنون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فی الخبر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یجد الرجل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 w:name="__RefHeading___Toc146530_2142443653"/>
      <w:bookmarkStart w:id="114" w:name="_Toc43"/>
      <w:bookmarkEnd w:id="113"/>
      <w:r>
        <w:rPr>
          <w:rtl w:val="true"/>
        </w:rPr>
        <w:t>ما المراد بالطهور فی حدیث ابن سنان؟</w:t>
      </w:r>
      <w:bookmarkEnd w:id="114"/>
    </w:p>
    <w:p>
      <w:pPr>
        <w:pStyle w:val="BookText"/>
        <w:rPr/>
      </w:pPr>
      <w:r>
        <w:rPr>
          <w:rFonts w:ascii="IRNazanin" w:hAnsi="IRNazanin" w:eastAsia="IRNazanin"/>
          <w:color w:val="111111"/>
          <w:sz w:val="28"/>
          <w:sz w:val="28"/>
          <w:szCs w:val="28"/>
          <w:rtl w:val="true"/>
          <w:lang w:bidi="fa-IR"/>
        </w:rPr>
        <w:t xml:space="preserve">الماء ، ولا مانع من إرادة الماء وحده من الطهور بقرینة وهی فی الخبر مکشوفة ، وإطلاقه یقید بما قبله من جهة الطلب ، ولا یدل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 لأنّ عدم الوجدان لا یخرج عن الإجمال بعد ذکر الطلب فی الأخبار ، وإن کان إطلاق الآیة قد یقتضی نوع أشکال ، وحلّه یظهر ممّا قلناه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دلالة الخبر الثانی علی التیمم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محمد بن خالد ، عن الحسن بن علی ، عن یونس بن یعقوب ، عن منصور بن حازم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تیمم وصلّی ثم أصاب الماء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أنا فکنت فاعلاً ، إنّی کنت أتوضأ وأُعید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أنّه تجب الإعادة إذا وجد الماء وکان الوقت باقیا ، فامّا إذا صلّی فی آخر الوقت وخرج الوقت لم تلزمه الإعادة ، والذی یدل علی ذلک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أخبرنا به الشیخ رحمه الله عن أحمد بن محمد ، عن أبیه ، عن الصفار ، عن أحمد بن محمد ، عن الحسین بن سعید ، عن یعقوب ابن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تیمم وصلّی فأصاب بعد صلاته ماءً ، أیتوضّأ ویعید الصلاة أم تجوز صلاته؟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وجد الماء قبل أن یمضی الوقت توضّأ وأعاد ، وإن مضی الوقت فلا إعادة علیه </w:t>
      </w:r>
      <w:r>
        <w:rPr>
          <w:rFonts w:eastAsia="IRNazanin" w:cs="IRNazanin"/>
          <w:color w:val="111111"/>
          <w:sz w:val="28"/>
          <w:szCs w:val="28"/>
          <w:rtl w:val="true"/>
          <w:lang w:bidi="fa-IR"/>
        </w:rPr>
        <w:t xml:space="preserve">». </w:t>
      </w:r>
      <w:bookmarkStart w:id="115" w:name="pg15025_160173"/>
    </w:p>
    <w:p>
      <w:pPr>
        <w:pStyle w:val="BookText"/>
        <w:rPr/>
      </w:pPr>
      <w:bookmarkEnd w:id="115"/>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فیه محمد بن خالد ، والظاهر من ممارسة الرجال أنّه البرقی ، وقد تقدم فیه قول </w:t>
      </w:r>
      <w:r>
        <w:rPr>
          <w:rStyle w:val="FootnoteAnchor"/>
          <w:rtl w:val="true"/>
        </w:rPr>
        <w:footnoteReference w:id="139"/>
      </w:r>
      <w:r>
        <w:rPr>
          <w:rFonts w:ascii="IRNazanin" w:hAnsi="IRNazanin" w:eastAsia="IRNazanin"/>
          <w:color w:val="111111"/>
          <w:sz w:val="28"/>
          <w:sz w:val="28"/>
          <w:szCs w:val="28"/>
          <w:rtl w:val="true"/>
          <w:lang w:bidi="fa-IR"/>
        </w:rPr>
        <w:t xml:space="preserve">، والحاصل أنّ الشیخ وثّقه فی رجال الرضا علیه السلام من کتابه </w:t>
      </w:r>
      <w:r>
        <w:rPr>
          <w:rStyle w:val="FootnoteAnchor"/>
          <w:rtl w:val="true"/>
        </w:rPr>
        <w:footnoteReference w:id="140"/>
      </w:r>
      <w:r>
        <w:rPr>
          <w:rFonts w:ascii="IRNazanin" w:hAnsi="IRNazanin" w:eastAsia="IRNazanin"/>
          <w:color w:val="111111"/>
          <w:sz w:val="28"/>
          <w:sz w:val="28"/>
          <w:szCs w:val="28"/>
          <w:rtl w:val="true"/>
          <w:lang w:bidi="fa-IR"/>
        </w:rPr>
        <w:t xml:space="preserve">، والنجاشی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ضعیفاً فی الحدیث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فوائد جدّی قدس سره علی الخلاصة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قول النجاشی لا یقتضی الطعن فیه نفسه ، بل فی من یروی عنه ، ویؤیّد ذلک کلام ابن الغضائری ، وحینئذ فالأرجح قبول قوله لتوثیق الشیخ له وخلوه عن المعارض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النجاشی لو أراد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فی الحدیث ، روایته عن الضعفاء ، فهذا لا یختص بمحمد بن خالد ، کما أوضحناه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 جدّی قدس سره إنّ کلام ابن الغضائری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ابن الغضائری غیر مؤیّد ، لأنّ عبارته علی ما فی الخلاصة نقلاً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یعرف وینکر ویروی عن الضعفاء کثیراً ویعتمد المراسیل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وینکر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الحدیث ، ولعلّ هذا هو المراد بضعف الحدیث ، وذکر ابن الغضائری الروایة عن الضعفاء زائد علی ذلک ، والحق أنّ ذکره لا وجه له ، وکذا اعتماد المراسیل کما ذکرناه مکرّراً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 w:name="__RefHeading___Toc146532_2142443653"/>
      <w:bookmarkStart w:id="117" w:name="_Toc44"/>
      <w:bookmarkEnd w:id="116"/>
      <w:r>
        <w:rPr>
          <w:rtl w:val="true"/>
        </w:rPr>
        <w:t>بحث حول محمّد بن خالد</w:t>
      </w:r>
      <w:bookmarkStart w:id="118" w:name="pg15025_160174"/>
      <w:bookmarkEnd w:id="117"/>
    </w:p>
    <w:p>
      <w:pPr>
        <w:pStyle w:val="BookText"/>
        <w:rPr/>
      </w:pPr>
      <w:bookmarkEnd w:id="118"/>
      <w:r>
        <w:rPr>
          <w:rFonts w:ascii="IRNazanin" w:hAnsi="IRNazanin" w:eastAsia="IRNazanin"/>
          <w:color w:val="111111"/>
          <w:sz w:val="28"/>
          <w:sz w:val="28"/>
          <w:szCs w:val="28"/>
          <w:rtl w:val="true"/>
          <w:lang w:bidi="fa-IR"/>
        </w:rPr>
        <w:t xml:space="preserve">ثم إنّ قول جدّی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المعارض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توثیق النجاشی معارض قویّ کما نبّهنا علیه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للمعارضة إذا لم یقدح فیه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بضعف الحدیث علی ما قرّرناه حاصل ، وعلی تقدیر غیره فعدم ذکر التوثیق مع تثبّته فی الرجال قرینة عدم ثبوت توثیقه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الحسن بن علی فاحتمال ابن فضال قریب عند الممارس ، وغیره بعید وإن أمکن قرب الوشاء ، وحال بقیة الرجال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الشیخ فیه لا یخلو من نظر ، لأنّ ظاهر النص أنّ الإمام علیه السلام فعل ذلک ، ولو کان تأخیر التیمّم واجباً علی الإطلاق أو بالتفصیل فکیف یفعله الإمام علیه السلام ؟ ولو حمل قول الإمام علیه السلام علی أنّه لو کان فاعلاً کما قد یشعر به الکلام أمکن ، لکنّه لا یوافق المقام کما لا یخفی علی من نظر فی کنه الکلام ، وعلی تقدیر الحمل علی فعل الإمام علیه السلام ، فالحمل علی الاستحباب له وجه ، وربما دل علیه قول الإمام علیه السلام ، إذ الاختصاص به لا وجه له ، فیکون مستحباً ، والتأسّی به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الشیخ من الروایة للاستدلال علی الجمیع لا یأبی الحمل علی الاستحباب ، وفیها دلالة علی جواز التیمم مع السعة مطلقا ، نظراً إلی عدم التفصیل ، فهی مضادّة لما یظهر من الشیخ ، إذ التقدیم علی تقدیر وجوب التأخیر یقتضی الإعادة مطلقا ، ولو حملت علی أنّ الوقت کان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 w:name="__RefHeading___Toc146534_2142443653"/>
      <w:bookmarkStart w:id="120" w:name="_Toc45"/>
      <w:bookmarkEnd w:id="119"/>
      <w:r>
        <w:rPr>
          <w:rtl w:val="true"/>
        </w:rPr>
        <w:t>توجیه ما دلّ علی إعادة الصلاة لمن صلّی بالتیمّم ثمّ وجد الماء</w:t>
      </w:r>
      <w:bookmarkEnd w:id="120"/>
    </w:p>
    <w:p>
      <w:pPr>
        <w:pStyle w:val="BookText"/>
        <w:rPr/>
      </w:pPr>
      <w:r>
        <w:rPr>
          <w:rFonts w:ascii="IRNazanin" w:hAnsi="IRNazanin" w:eastAsia="IRNazanin"/>
          <w:color w:val="111111"/>
          <w:sz w:val="28"/>
          <w:sz w:val="28"/>
          <w:szCs w:val="28"/>
          <w:rtl w:val="true"/>
          <w:lang w:bidi="fa-IR"/>
        </w:rPr>
        <w:t>مظنون الضیق فظهر خلافه أمکن ، لولا أنّ ترک الاستفصال یفید العموم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فی المختلف عن ابن أبی عقیل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التیمم إلاّ فی آخر الوقت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أبی عقیل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تیمم فی أوّل الوقت وصلّی ثم وجد الماء وعلیه وقت تطهَّر بالماء وأعاد الصلاة ، وإن وجد الماء بعد مضیّ الوقت فلا إعادة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العلاّمة الاحتجاج له بصحیح یعقوب بن یقطین المذکور ، وأجاب عنه بعدم الدلالة ، لاحتمال إیقاع الصلاة علی تقدیر الإعادة فی سعة الوقت لأنّه لم یفعلها علی وجهها ، وإیقاعها علی تقدیر عدمها مع ضیق الوقت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الجواب لا یخلو من غرابة ، لأنّ الإعادة علی تقدیر سعة الوقت لو حملت علیها الروایة لا یتم الاختصاص بالوقت ، والظاهر من الروایة أنّ خروج الوقت علی التقدیر المذکور یقتضی عدم الإعادة ، ولا وجه لذلک حینئذ لعدم وقوع العبادة علی وجهها ، ولو حملت الروایة علی الضیق لم یتم الحکم الأوّل ، ولو فصّلت الروایة فحکم فی الإعادة مع السعة وعدمها مع الضیق ، اختلّ الجواب ، فإنّ حکم السعة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الإعادة فی الوقت وخارجه ، نعم ما قدّمناه من احتمال ظن الضیق له وجه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قول ابن أبی عقیل لو تم استناده إلی الروایة أمکن توجیهه ، لکن الضرورة غیر داعیة بعد التوقف فی اعتبار الضیق مطلقا ، کما ستسمع القول فیه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هذا الخبر ما رواه الحسین بن سعید ، عن حماد ، عن حریز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 الماء وقد صلّی بتیمم وهو فی وقت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صلاته ولا إعادة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محمد بن أحمد بن یحیی ، عن الحسن بن علی ، عن علی بن أسباط ، عن یعقوب بن سالم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تیمم وصلّی وأصاب الماء وهو فی وقت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مضت صلاته ولیتطهّر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محمد بن علی بن محبوب ، عن العباس بن معروف ، عن عبد الله بن المغیرة ، عن معاویة بن میسرة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فی السفر لا یجد الماء فتیمم ثم صلّی ثم أتی الماء وعلیه شی‌ء من الوقت أیمضی علی صلاته أم یتوضّأ ویعید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علی صلاته فإنّ رب الماء هو رب 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أحمد بن محمد ، عن عثمان بن عیسی ، عن ابن مسکان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تیمم وصلّی ثم بلغ الماء قبل أن یخرج الوقت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إعادة الصلاة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فی هذه الأخبار أن نحمل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خروج الوقت ، أن یکون ظرفا لحال الصلاة لا لوجود الماء ، لأن وقت التیمم هو آخر الوقت علی ما ذکرناه فی کتابنا الکبیر ، وقد تقدّم أیضا من الأخبار ما یدل علی ذلک ، فیکون التقدیر فی 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 الماء وقد </w:t>
      </w:r>
      <w:bookmarkStart w:id="121" w:name="pg15025_160177"/>
    </w:p>
    <w:p>
      <w:pPr>
        <w:pStyle w:val="BookText"/>
        <w:rPr/>
      </w:pPr>
      <w:bookmarkEnd w:id="121"/>
      <w:r>
        <w:rPr>
          <w:rFonts w:ascii="IRNazanin" w:hAnsi="IRNazanin" w:eastAsia="IRNazanin"/>
          <w:color w:val="111111"/>
          <w:sz w:val="28"/>
          <w:sz w:val="28"/>
          <w:szCs w:val="28"/>
          <w:rtl w:val="true"/>
          <w:lang w:bidi="fa-IR"/>
        </w:rPr>
        <w:t xml:space="preserve">صلّی بتیمم فی وقتها ، والخبر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تیمم وصلّی وهو فی وقت ثم أصاب الماء ویکون مقدّماً ومؤخّراً ، وکذلک الخبر الثالث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یجد الماء ثم صلّی وعلیه شی‌ء من الوقت ثم أتی الماء ، وکذلک الخبر الرابع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تیمم وصلّی قبل خروج الوقت ثم بلغ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جاز هذا التقدیر فی هذه الأخبار لم یناف ما ذکرناه وسلمت الأخبار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 وحمّاد هو ابن عیسی کما سیأتی التصریح به فی مواضع من الکتاب ، ولا یضر وقوع واسطة بین الحسین وابن عیسی فی بعض الأسانید کما فی باب زکاة الجنسین من الکتاب ، حیث روی الحسین ابن سعید ، عن المختار بن زیاد ، عن حماد بن عیسی </w:t>
      </w:r>
      <w:r>
        <w:rPr>
          <w:rStyle w:val="FootnoteAnchor"/>
          <w:rtl w:val="true"/>
        </w:rPr>
        <w:footnoteReference w:id="145"/>
      </w:r>
      <w:r>
        <w:rPr>
          <w:rFonts w:ascii="IRNazanin" w:hAnsi="IRNazanin" w:eastAsia="IRNazanin"/>
          <w:color w:val="111111"/>
          <w:sz w:val="28"/>
          <w:sz w:val="28"/>
          <w:szCs w:val="28"/>
          <w:rtl w:val="true"/>
          <w:lang w:bidi="fa-IR"/>
        </w:rPr>
        <w:t>؛ وإن کانت المرتبة لا تأبی أن یکون ابن عثمان ، لأنّه من أصحاب الرضا علیه السلام ، والحسین بن سعید من أصحابه أیضا ، إلاّ أنّ الممارسة تقتضی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علی ، واحتمال ابن فضال فیه له قرب بل أظن تعیّنه ؛ وعلی بن أسباط ویعقوب قد قدّمنا فیهم القول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معاویة بن میسرة ، وهو مذکور مهملاً فی فهرست الشیخ </w:t>
      </w:r>
      <w:r>
        <w:rPr>
          <w:rStyle w:val="FootnoteAnchor"/>
          <w:rtl w:val="true"/>
        </w:rPr>
        <w:footnoteReference w:id="147"/>
      </w:r>
      <w:r>
        <w:rPr>
          <w:rFonts w:ascii="IRNazanin" w:hAnsi="IRNazanin" w:eastAsia="IRNazanin"/>
          <w:color w:val="111111"/>
          <w:sz w:val="28"/>
          <w:sz w:val="28"/>
          <w:szCs w:val="28"/>
          <w:rtl w:val="true"/>
          <w:lang w:bidi="fa-IR"/>
        </w:rPr>
        <w:t xml:space="preserve">وکتاب النجاشی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146536_2142443653"/>
      <w:bookmarkStart w:id="123" w:name="_Toc46"/>
      <w:bookmarkEnd w:id="122"/>
      <w:r>
        <w:rPr>
          <w:rtl w:val="true"/>
        </w:rPr>
        <w:t>بحث حول حمّاد</w:t>
      </w:r>
      <w:bookmarkEnd w:id="12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 w:name="__RefHeading___Toc146538_2142443653"/>
      <w:bookmarkStart w:id="125" w:name="_Toc47"/>
      <w:bookmarkEnd w:id="124"/>
      <w:r>
        <w:rPr>
          <w:rtl w:val="true"/>
        </w:rPr>
        <w:t>معاویة بن میسرة مهمل</w:t>
      </w:r>
      <w:bookmarkStart w:id="126" w:name="pg15025_160178"/>
      <w:bookmarkEnd w:id="125"/>
    </w:p>
    <w:p>
      <w:pPr>
        <w:pStyle w:val="BookText"/>
        <w:rPr/>
      </w:pPr>
      <w:bookmarkEnd w:id="126"/>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عثمان بن عیسی وأبو بصیر ، وقد کرّرنا القول فی شأنهما </w:t>
      </w:r>
      <w:r>
        <w:rPr>
          <w:rStyle w:val="FootnoteAnchor"/>
          <w:rtl w:val="true"/>
        </w:rPr>
        <w:footnoteReference w:id="149"/>
      </w:r>
      <w:r>
        <w:rPr>
          <w:rFonts w:ascii="IRNazanin" w:hAnsi="IRNazanin" w:eastAsia="IRNazanin"/>
          <w:color w:val="111111"/>
          <w:sz w:val="28"/>
          <w:sz w:val="28"/>
          <w:szCs w:val="28"/>
          <w:rtl w:val="true"/>
          <w:lang w:bidi="fa-IR"/>
        </w:rPr>
        <w:t xml:space="preserve">؛ وابن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کما هو مصرح به فی مواضع أیضاً ، وقد قدّمنا فیه قولاً أیضاً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الجمیع ظاهر بل کاد أن یلحق بالصریح فی تسویغ التیمم قبل آخر الوقت ، لأنّ عدم الاستفصال یوجب عموم السؤال ، فیندفع احتمال إرادة التقدیم مع عدم رجاء زوال العذر کما یقوله البعض </w:t>
      </w:r>
      <w:r>
        <w:rPr>
          <w:rStyle w:val="FootnoteAnchor"/>
          <w:rtl w:val="true"/>
        </w:rPr>
        <w:footnoteReference w:id="151"/>
      </w:r>
      <w:r>
        <w:rPr>
          <w:rFonts w:ascii="IRNazanin" w:hAnsi="IRNazanin" w:eastAsia="IRNazanin"/>
          <w:color w:val="111111"/>
          <w:sz w:val="28"/>
          <w:sz w:val="28"/>
          <w:szCs w:val="28"/>
          <w:rtl w:val="true"/>
          <w:lang w:bidi="fa-IR"/>
        </w:rPr>
        <w:t xml:space="preserve">وسیأتی إن شاء الله ذکره فی الباب الآتی معنوناً بتأخیر التیمم ؛ ویندفع أیضاً القول بالتأخیر مطلقا </w:t>
      </w:r>
      <w:r>
        <w:rPr>
          <w:rStyle w:val="FootnoteAnchor"/>
          <w:rtl w:val="true"/>
        </w:rPr>
        <w:footnoteReference w:id="152"/>
      </w:r>
      <w:r>
        <w:rPr>
          <w:rFonts w:ascii="IRNazanin" w:hAnsi="IRNazanin" w:eastAsia="IRNazanin"/>
          <w:color w:val="111111"/>
          <w:sz w:val="28"/>
          <w:sz w:val="28"/>
          <w:szCs w:val="28"/>
          <w:rtl w:val="true"/>
          <w:lang w:bidi="fa-IR"/>
        </w:rPr>
        <w:t xml:space="preserve">، والخبر الأوّل الدال علی التأخیر یحمل علی الاستحباب کما قدّمنا فیه القول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المعارض إذا وجد لا نفع فی ترک الاستفصال لإفادة العموم ، فجوابه أنّ المعارض غیر متعیّن لما قالوه کما ستسمعه ، نعم قد یظن أنّ ترجیح الاستحباب فی الحمل لا بد له من مرجِّح وبدونه لا یفید ، ویتوجه علیه أنّ الاحتمال یدفع جمیع الأقوال ، والترجیح سیأتی بیانه فی الباب الآتی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القول بأنّ الأخبار المذکورة محمولة علی ظن خروج</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 w:name="__RefHeading___Toc146540_2142443653"/>
      <w:bookmarkStart w:id="128" w:name="_Toc48"/>
      <w:bookmarkEnd w:id="127"/>
      <w:r>
        <w:rPr>
          <w:rtl w:val="true"/>
        </w:rPr>
        <w:t>ظهور الأخبار فی جواز التیمّم قبل آخر الوقت</w:t>
      </w:r>
      <w:bookmarkStart w:id="129" w:name="pg15025_160179"/>
      <w:bookmarkEnd w:id="128"/>
    </w:p>
    <w:p>
      <w:pPr>
        <w:pStyle w:val="BookText"/>
        <w:rPr/>
      </w:pPr>
      <w:bookmarkEnd w:id="129"/>
      <w:r>
        <w:rPr>
          <w:rFonts w:ascii="IRNazanin" w:hAnsi="IRNazanin" w:eastAsia="IRNazanin"/>
          <w:color w:val="111111"/>
          <w:sz w:val="28"/>
          <w:sz w:val="28"/>
          <w:szCs w:val="28"/>
          <w:rtl w:val="true"/>
          <w:lang w:bidi="fa-IR"/>
        </w:rPr>
        <w:t>الوقت ، ویدفعه ما قلناه من ترک الاستفصال وعدم ما یدل علیه مرجحا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قاله الشیخ فی توجیه الأخبار فممّا لا ینبغی ذکره فی الکتب العلمیة علی ما أظن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العلاّمة فی المختلف الخبر الأوّل والثالث فی حجة ابن بابویه بعد أن نقل عنه القول بجواز التیمم فی أوّل الوقت ، وأجاب عن الخبرین بوجوه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علی ما إذا علم أو ظن انتفاء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من ظن ضیق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الشیخ </w:t>
      </w:r>
      <w:r>
        <w:rPr>
          <w:rStyle w:val="FootnoteAnchor"/>
          <w:rtl w:val="true"/>
        </w:rPr>
        <w:footnoteReference w:id="154"/>
      </w:r>
      <w:r>
        <w:rPr>
          <w:rFonts w:ascii="IRNazanin" w:hAnsi="IRNazanin" w:eastAsia="IRNazanin"/>
          <w:color w:val="111111"/>
          <w:sz w:val="28"/>
          <w:sz w:val="28"/>
          <w:szCs w:val="28"/>
          <w:rtl w:val="true"/>
          <w:lang w:bidi="fa-IR"/>
        </w:rPr>
        <w:t>، وأنت قد سمعت ما ذکرناه فلا وجه لإعادته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وذکر العلاّمة أیضاً أنّ ابن بابویه احتج أیضاً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إِلَی الصَّلاةِ 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والعطف یقتضی التسویة فی الحکم ، فکما صحّ فی المعطوف علیه إیقاعه فی أوّل الوقت ، فکذا المعطوف ، وبأنّ طهارة التیمم إحدی الطهارتین فیصح فعلها فی أوّل الوقت کالأُخری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من التسویة فی الحکم مطلقاً بین المعطوف والمعطوف علیه ، سلمنا ، لکن التسویة هنا ثابتة ، لأنّ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قُمْتُمْ إِلَی الصَّلاةِ فَاغْسِلُوا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إذا أردتم القیام إلی الصلاة فیکون کذلک فی المعطوف ، ونحن نمنع أنّ المضطر له أن یقوم إلی الصلاة فی أوّل الوقت فإنّه نفس المتنازع ، ولا دلالة فی الآیة علی اتحاد وقت الإرادة فی الموضعین ، غایة ما فی الباب دلالتها علی إیجاد فعل الطهارتین عند الإرادة وإن کانت مختلفة فی الوقت</w:t>
      </w:r>
      <w:r>
        <w:rPr>
          <w:rFonts w:eastAsia="IRNazanin" w:cs="IRNazanin"/>
          <w:color w:val="111111"/>
          <w:sz w:val="28"/>
          <w:szCs w:val="28"/>
          <w:rtl w:val="true"/>
          <w:lang w:bidi="fa-IR"/>
        </w:rPr>
        <w:t>.</w:t>
      </w:r>
    </w:p>
    <w:p>
      <w:pPr>
        <w:pStyle w:val="Heading4"/>
        <w:numPr>
          <w:ilvl w:val="3"/>
          <w:numId w:val="1"/>
        </w:numPr>
        <w:rPr/>
      </w:pPr>
      <w:bookmarkStart w:id="130" w:name="__RefHeading___Toc146542_2142443653"/>
      <w:bookmarkStart w:id="131" w:name="_Toc49"/>
      <w:bookmarkEnd w:id="130"/>
      <w:r>
        <w:rPr>
          <w:rtl w:val="true"/>
        </w:rPr>
        <w:t>قول ابن بابویه بجواز التیمّم فی أوّل الوقت وجواب العلّامة عنه</w:t>
      </w:r>
      <w:bookmarkEnd w:id="13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 w:name="__RefHeading___Toc146544_2142443653"/>
      <w:bookmarkStart w:id="133" w:name="_Toc50"/>
      <w:bookmarkEnd w:id="132"/>
      <w:r>
        <w:rPr>
          <w:rtl w:val="true"/>
        </w:rPr>
        <w:t>المناقشة فی جواب العلّامة</w:t>
      </w:r>
      <w:bookmarkEnd w:id="133"/>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قیاس مع الفرق ، فإنّ إحدی الطهارتین اختیاریة والأُخری اضطراریة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 الجواب عن الأوّل غیر تامّ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من منع التسویة إن أراد به أنّ المساواة من کل وجه غیر معتبرة فمتوجه ، لکن مطلوب الصدوق ظاهره أنّ الظاهر من العطف المشارکة بین الوضوء والتیمم فی وجوبه إذا قام الإنسان إلی الصلاة ، ولما کانت إرادة القیام هی المرادة عند البعض </w:t>
      </w:r>
      <w:r>
        <w:rPr>
          <w:rStyle w:val="FootnoteAnchor"/>
          <w:rtl w:val="true"/>
        </w:rPr>
        <w:footnoteReference w:id="157"/>
      </w:r>
      <w:r>
        <w:rPr>
          <w:rFonts w:ascii="IRNazanin" w:hAnsi="IRNazanin" w:eastAsia="IRNazanin"/>
          <w:color w:val="111111"/>
          <w:sz w:val="28"/>
          <w:sz w:val="28"/>
          <w:szCs w:val="28"/>
          <w:rtl w:val="true"/>
          <w:lang w:bidi="fa-IR"/>
        </w:rPr>
        <w:t xml:space="preserve">فالمشارکة فی الوجوب عند الإرادة حاصلة ، وحینئذ فمنع المساواة لا وجه له ، وإن کان الحق أنّ تفسیر الآیة بالإرادة غیر معلوم الإرادة من الصلاة ، لما </w:t>
      </w:r>
      <w:r>
        <w:rPr>
          <w:rStyle w:val="FootnoteAnchor"/>
          <w:rtl w:val="true"/>
        </w:rPr>
        <w:footnoteReference w:id="158"/>
      </w:r>
      <w:r>
        <w:rPr>
          <w:rFonts w:ascii="IRNazanin" w:hAnsi="IRNazanin" w:eastAsia="IRNazanin"/>
          <w:color w:val="111111"/>
          <w:sz w:val="28"/>
          <w:sz w:val="28"/>
          <w:szCs w:val="28"/>
          <w:rtl w:val="true"/>
          <w:lang w:bidi="fa-IR"/>
        </w:rPr>
        <w:t xml:space="preserve">فی بعض الأخبار من أنّ المراد به القیام من النوم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من العلاّمة أنّه قال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إذا أردتم علی سبیل الجزم </w:t>
      </w:r>
      <w:r>
        <w:rPr>
          <w:rStyle w:val="FootnoteAnchor"/>
          <w:rtl w:val="true"/>
        </w:rPr>
        <w:footnoteReference w:id="160"/>
      </w:r>
      <w:r>
        <w:rPr>
          <w:rFonts w:ascii="IRNazanin" w:hAnsi="IRNazanin" w:eastAsia="IRNazanin"/>
          <w:color w:val="111111"/>
          <w:sz w:val="28"/>
          <w:sz w:val="28"/>
          <w:szCs w:val="28"/>
          <w:rtl w:val="true"/>
          <w:lang w:bidi="fa-IR"/>
        </w:rPr>
        <w:t xml:space="preserve">، وفی موجب الوضوء عند ذکر النوم استدل بکلام المفسرین علی أنّه القیام من النوم </w:t>
      </w:r>
      <w:r>
        <w:rPr>
          <w:rStyle w:val="FootnoteAnchor"/>
          <w:rtl w:val="true"/>
        </w:rPr>
        <w:footnoteReference w:id="161"/>
      </w:r>
      <w:r>
        <w:rPr>
          <w:rFonts w:ascii="IRNazanin" w:hAnsi="IRNazanin" w:eastAsia="IRNazanin"/>
          <w:color w:val="111111"/>
          <w:sz w:val="28"/>
          <w:sz w:val="28"/>
          <w:szCs w:val="28"/>
          <w:rtl w:val="true"/>
          <w:lang w:bidi="fa-IR"/>
        </w:rPr>
        <w:t xml:space="preserve">، وفی المنتهی ذکر ضد ذلک فی الأوّل </w:t>
      </w:r>
      <w:r>
        <w:rPr>
          <w:rStyle w:val="FootnoteAnchor"/>
          <w:rtl w:val="true"/>
        </w:rPr>
        <w:footnoteReference w:id="162"/>
      </w:r>
      <w:r>
        <w:rPr>
          <w:rFonts w:ascii="IRNazanin" w:hAnsi="IRNazanin" w:eastAsia="IRNazanin"/>
          <w:color w:val="111111"/>
          <w:sz w:val="28"/>
          <w:sz w:val="28"/>
          <w:szCs w:val="28"/>
          <w:rtl w:val="true"/>
          <w:lang w:bidi="fa-IR"/>
        </w:rPr>
        <w:t xml:space="preserve">، وفی النوم ذکر الخبر الدال علی القیام من النوم </w:t>
      </w:r>
      <w:r>
        <w:rPr>
          <w:rStyle w:val="FootnoteAnchor"/>
          <w:rtl w:val="true"/>
        </w:rPr>
        <w:footnoteReference w:id="163"/>
      </w:r>
      <w:r>
        <w:rPr>
          <w:rFonts w:ascii="IRNazanin" w:hAnsi="IRNazanin" w:eastAsia="IRNazanin"/>
          <w:color w:val="111111"/>
          <w:sz w:val="28"/>
          <w:sz w:val="28"/>
          <w:szCs w:val="28"/>
          <w:rtl w:val="true"/>
          <w:lang w:bidi="fa-IR"/>
        </w:rPr>
        <w:t>، وهذا من العجلة المتکرر منه أمثالها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من تسلیم التسویة إلی آخر ما قاله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 xml:space="preserve">التسویة إذا سلّمت اقتضت المشارکة فی کل من أراد القیام ، إلاّ ما خرج بالدلیل ، وحینئذ یحتاج الفرق إلی إثبات الدلیل ، فلیس من النزاع فی شی‌ء ، بل هو استدلال علی المطلوب ما لم یثبت خلافه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 الآیة علی اتحاد وقت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 بل هی ظاهرة فی ذلک حینئذ فضلاً عن احتمال التسلیم للمساواة ، وکأن العلاّمة لمّا اقتضی ظنّه التأخیر فی الجملة ، رأی أنّ الآیة تصیر دالّة علی اتحاد فعل الطهارتین فقط ، وقد عرفت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یقال فی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تعیّن العطف غیر معلوم ، بل یجوز الاستئناف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یرد </w:t>
      </w:r>
      <w:r>
        <w:rPr>
          <w:rStyle w:val="FootnoteAnchor"/>
          <w:rtl w:val="true"/>
        </w:rPr>
        <w:footnoteReference w:id="165"/>
      </w:r>
      <w:r>
        <w:rPr>
          <w:rFonts w:ascii="IRNazanin" w:hAnsi="IRNazanin" w:eastAsia="IRNazanin"/>
          <w:color w:val="111111"/>
          <w:sz w:val="28"/>
          <w:sz w:val="28"/>
          <w:szCs w:val="28"/>
          <w:rtl w:val="true"/>
          <w:lang w:bidi="fa-IR"/>
        </w:rPr>
        <w:t xml:space="preserve">أنّ الاستئناف لو جاز لوجب التیمم لنفسه ، کما قیل فی الغسل علی تقدیر الاستئناف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لإمکان الجواب بأنّ هذا لا یضر بالحال لوجود القائل بوجوب الطهارات الثلاث لنفسها ، کما حکاه الشهید فی الذکری </w:t>
      </w:r>
      <w:r>
        <w:rPr>
          <w:rStyle w:val="FootnoteAnchor"/>
          <w:rtl w:val="true"/>
        </w:rPr>
        <w:footnoteReference w:id="167"/>
      </w:r>
      <w:r>
        <w:rPr>
          <w:rFonts w:ascii="IRNazanin" w:hAnsi="IRNazanin" w:eastAsia="IRNazanin"/>
          <w:color w:val="111111"/>
          <w:sz w:val="28"/>
          <w:sz w:val="28"/>
          <w:szCs w:val="28"/>
          <w:rtl w:val="true"/>
          <w:lang w:bidi="fa-IR"/>
        </w:rPr>
        <w:t>، وقد ذکرت ما لا بد منه فی الآیة فی موضع آخر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یمکن التسدید به من جانب الصدوق حیث ذکر العطف مقتصرا علیه ، أنّ الظاهر له من الآیة العطف علی مقتضی الدلیل ، وإن کان فیه نوع تأمّل ، بل ربما کان الظاهر الاستئناف ، غیر أنّ الأخبار لمّا تظافرت علی اشتراط التیمم بدخول الوقت ، بل الإجماع المدعی من بعض أیضا کان اعتبار العطف فی الآیة علی الوضوء له ظهور وإن أمکن أن یناقش فی ذلک ، وعلی تقدیر الاستئناف لا یضر بحال الاستدلال أیضا ، لأن الإطلاق </w:t>
      </w:r>
    </w:p>
    <w:p>
      <w:pPr>
        <w:pStyle w:val="BookText"/>
        <w:rPr/>
      </w:pPr>
      <w:r>
        <w:rPr>
          <w:rFonts w:ascii="IRNazanin" w:hAnsi="IRNazanin" w:eastAsia="IRNazanin"/>
          <w:color w:val="111111"/>
          <w:sz w:val="28"/>
          <w:sz w:val="28"/>
          <w:szCs w:val="28"/>
          <w:rtl w:val="true"/>
          <w:lang w:bidi="fa-IR"/>
        </w:rPr>
        <w:t>کاف فی جواز التیمم أیّ وقت شاء ، فإذا أخرج الدلیل ما قبل الوقت بقی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والأخبار الدالة علی التأخیر </w:t>
      </w:r>
      <w:r>
        <w:rPr>
          <w:rStyle w:val="FootnoteAnchor"/>
          <w:rtl w:val="true"/>
        </w:rPr>
        <w:footnoteReference w:id="168"/>
      </w:r>
      <w:r>
        <w:rPr>
          <w:rFonts w:ascii="IRNazanin" w:hAnsi="IRNazanin" w:eastAsia="IRNazanin"/>
          <w:color w:val="111111"/>
          <w:sz w:val="28"/>
          <w:sz w:val="28"/>
          <w:szCs w:val="28"/>
          <w:rtl w:val="true"/>
          <w:lang w:bidi="fa-IR"/>
        </w:rPr>
        <w:t xml:space="preserve">لما کان معارضها وهو الدال علی التوسعة موجود فالإطلاق لا یقید إلاّ بما خلا عن المعارض ، علی أنّ التعارض یمکن الجمع فیه بوجه لا ینافی الإطلاق وهو الاستحباب فی التأخیر ، إمّا التضیق مطلقاً فالمخالفة فیه للإطلاق تقتضی أن یقید به إذا خلا عن المعارض بلا ریب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دل علی التأخیر ظاهر ، وما دل علی التوسعة مجمل فلا یقاومه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الاستفصال من الإمام علیه السلام فی الجواب یصیّر السؤال ظاهراً فی العموم ، والتأویل فی المعارض مع التساوی فی الظهور بالاستحباب له نوع رجحان إذ لا یخرج به العموم عن حقیقته بخلاف ما إذا أُرید وجوب التأخیر مطلقاً ، وحمل ما ظاهره للعموم علی ظن الضیق ثم یظهر خلافه ، فإنّ هذا یخرج العموم عن حقیقته ، والتفصیل برجاء زوال العذر وعدمه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الاستفصال فی جواب السؤال إنّما یکون ظاهراً فی العموم إذا لم تتعارض الأخبار ، أمّا مع تعارضها فیجوز أن یکون السائل عالماً بحقیقة الحال فلا یفید عدم الاستفصال عموم السؤال ، کما یظهر من تتبع مظانّ حمل العام علی الخاص والمطلق علی المقید من الأخبار ، فلیتأمل فی هذا ؛ فإنّی لم أر من حام حول تحقیقه ، وسیأتی إن شاء الله تتمّة الکلام فی بقیة الأقوال </w:t>
      </w:r>
      <w:r>
        <w:rPr>
          <w:rStyle w:val="FootnoteAnchor"/>
          <w:rtl w:val="true"/>
        </w:rPr>
        <w:footnoteReference w:id="169"/>
      </w:r>
      <w:r>
        <w:rPr>
          <w:rFonts w:ascii="IRNazanin" w:hAnsi="IRNazanin" w:eastAsia="IRNazanin"/>
          <w:color w:val="111111"/>
          <w:sz w:val="28"/>
          <w:sz w:val="28"/>
          <w:szCs w:val="28"/>
          <w:rtl w:val="true"/>
          <w:lang w:bidi="fa-IR"/>
        </w:rPr>
        <w:t>، والله تعالی أعلم بحقیقة الحال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أشیاء </w:t>
      </w:r>
      <w:r>
        <w:rPr>
          <w:rFonts w:eastAsia="IRNazanin" w:cs="IRNazanin"/>
          <w:color w:val="111111"/>
          <w:sz w:val="28"/>
          <w:szCs w:val="28"/>
          <w:rtl w:val="true"/>
          <w:lang w:bidi="fa-IR"/>
        </w:rPr>
        <w:t xml:space="preserve">: </w:t>
      </w:r>
      <w:bookmarkStart w:id="134" w:name="pg15025_160183"/>
    </w:p>
    <w:p>
      <w:pPr>
        <w:pStyle w:val="BookText"/>
        <w:rPr/>
      </w:pPr>
      <w:bookmarkEnd w:id="134"/>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وقت التیمم هو آخر الوقت علی ما ذکرناه فی کتابنا الکبیر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غرابة فی الظاهر ، لأنّه یأتی باب أنّ التیمم لا یجب إلاّ فی آخر الوقت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من الأخبار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خبر زرارة ، ولا یخفی أنّ ظاهر الخبر الطلب وهو یشعر بإمکان وجود الماء فلا یدل علی التأخیر مع عدم الإمکان </w:t>
      </w:r>
      <w:r>
        <w:rPr>
          <w:rStyle w:val="FootnoteAnchor"/>
          <w:rtl w:val="true"/>
        </w:rPr>
        <w:footnoteReference w:id="171"/>
      </w:r>
      <w:r>
        <w:rPr>
          <w:rFonts w:ascii="IRNazanin" w:hAnsi="IRNazanin" w:eastAsia="IRNazanin"/>
          <w:color w:val="111111"/>
          <w:sz w:val="28"/>
          <w:sz w:val="28"/>
          <w:szCs w:val="28"/>
          <w:rtl w:val="true"/>
          <w:lang w:bidi="fa-IR"/>
        </w:rPr>
        <w:t>، والمذکور منه فی التهذیب یقتضی اعتبار التأخیر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الخبر المشار إلیه اقتضی وجوب الطلب بظاهره ، والآیة الکریمة اقتضت بظاهرها أنّ عدم الوجدان کاف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وحینئذ یمکن تقیید الإطلاق فی الآیة بالخبر إن صلح لذلک ، وإن کان فی تقیید الإطلاق بالأخبار نوع کلام ذکرته فی حاشیة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یقال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الدال علی التأخیر إذا حمل علی الاستحباب لم یکن الطلب واجباً ما دام فی الوقت ، ویشکل الحال بأنّ ظاهر الآیة وإن کان عدم الوجدان دون الطلب ، إلاّ أنّ العلاّمة فی المختلف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یثبت کون الإنسان غیر واجد إلاّ بعد الطلب ، لجواز أن یکون الماء بقربه ولا یعلمه ، ولهذا لم یعدّ من لم یطلب الرقبة فی کفّارة الظهار غیر واجد ولم یبح له الصوم حتی یطلب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له نوع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فالخبر لا یقید إطلاق الآیة بل یفید مدلولها علی وجه أوضح</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 w:name="__RefHeading___Toc146546_2142443653"/>
      <w:bookmarkStart w:id="136" w:name="_Toc51"/>
      <w:bookmarkEnd w:id="135"/>
      <w:r>
        <w:rPr>
          <w:rtl w:val="true"/>
        </w:rPr>
        <w:t>الجمع بین ما دلّ علی وجوب الطلب وآیة التیمّم</w:t>
      </w:r>
      <w:bookmarkStart w:id="137" w:name="pg15025_160184"/>
      <w:bookmarkEnd w:id="136"/>
    </w:p>
    <w:p>
      <w:pPr>
        <w:pStyle w:val="BookText"/>
        <w:rPr/>
      </w:pPr>
      <w:bookmarkEnd w:id="137"/>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الخبر إذا لم یجد الماء فلیطلب ، وهذا یدل علی أنّ الطلب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نظری القاصر إمکان توجیه الاستحباب بأنّ المطلوب منه کون الطلب ما دام فی الوقت غیر واجب ، لأنّ مطلق الطلب غیر واجب ، أمّا من یقول بالتضیق مطلقا کالشیخ ، فالخبر یحتاج بالنسبة إلی الآیة لیکون مقیداً أو مخصصا إلی نوع تأمّل لا ینبغی الغفلة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محققی المتأخرین قدس سره إنّ من الأدلة علی التوسعة فی التیمم مطلقا الأخبار الدالة علی أفضلیة أوّل الوقت أو 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الماء ورب الصعید واحد </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الصحیح الدال علی أنّ المتیمم إذا أصاب وقد دخل فی الصلاة ینصرف ما لم یرکع ، فإن کان قد رکع مضی فی صلاته ، فإنّ التیمم هو أحد الطهورین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هذا الحکم لا یتم الاّ مع سعة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الأخبار الصحیحة الدالة علی أنّ الرجل یصلّی صلاة اللیل والنهار بتیمم واحد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لا یجد الماء یتیمم لکل 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هو بمنزلة الماء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وغیر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وجوب تأخیر التیمم إلی آخر الوقت إنّما هو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 w:name="__RefHeading___Toc146548_2142443653"/>
      <w:bookmarkStart w:id="139" w:name="_Toc52"/>
      <w:bookmarkEnd w:id="138"/>
      <w:r>
        <w:rPr>
          <w:rtl w:val="true"/>
        </w:rPr>
        <w:t>استدلال المحقّق الأردبیلی للتوسعة فی التیمّم مطلقاً</w:t>
      </w:r>
      <w:bookmarkStart w:id="140" w:name="pg15025_160185"/>
      <w:bookmarkEnd w:id="139"/>
    </w:p>
    <w:p>
      <w:pPr>
        <w:pStyle w:val="BookText"/>
        <w:rPr/>
      </w:pPr>
      <w:bookmarkEnd w:id="140"/>
      <w:r>
        <w:rPr>
          <w:rFonts w:ascii="IRNazanin" w:hAnsi="IRNazanin" w:eastAsia="IRNazanin"/>
          <w:color w:val="111111"/>
          <w:sz w:val="28"/>
          <w:sz w:val="28"/>
          <w:szCs w:val="28"/>
          <w:rtl w:val="true"/>
          <w:lang w:bidi="fa-IR"/>
        </w:rPr>
        <w:t xml:space="preserve">لوقوع الصلاة فی آخره علی ما هو الظاهر ، ویدلُّ علیه الخبر الدال علی التأخیر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فلیتیمّم ولیصلّ فی آخر الوقت </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فیکون الأمر سهلا ، إذ یجوز للإنسان أن یصلّی النوافل دائماً فیجوز أن یتیمم فی أوّل الوقت بل قبل الوقت للنافلة أو صلاة نذر ثم یدخل الوقت فیصلّی دائماً متیمّماً ، وحینئذ یصیر تأخیر التیمم من الشارع إلی آخر الوقت عبثا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کلام لا بأس به فی مقام التأیید ، إلاّ أنّه لا یخلو من مناقشة علی تقدیر إرادة الاستقلال بالاستدلال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مؤیّدات الحمل علی الاستحباب فیما دل علی التأخیر ما سیأتی فی روایة محمد بن حمران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أنّه لیس ینبغی لأحد أن یتیمم إلاّ فی آخر الوقت </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فإنّ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ظهور فی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شیخنا قدس سره خبر محمد بن حمران صحیحا </w:t>
      </w:r>
      <w:r>
        <w:rPr>
          <w:rStyle w:val="FootnoteAnchor"/>
          <w:rtl w:val="true"/>
        </w:rPr>
        <w:footnoteReference w:id="181"/>
      </w:r>
      <w:r>
        <w:rPr>
          <w:rFonts w:ascii="IRNazanin" w:hAnsi="IRNazanin" w:eastAsia="IRNazanin"/>
          <w:color w:val="111111"/>
          <w:sz w:val="28"/>
          <w:sz w:val="28"/>
          <w:szCs w:val="28"/>
          <w:rtl w:val="true"/>
          <w:lang w:bidi="fa-IR"/>
        </w:rPr>
        <w:t>، وسنذکر حال سنده هنا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الجنب إذا تیمم وصلّی هل تجب علیه الإعادة أم لا؟</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ابن الحسن بن أبان ، عن الحسین بن سعید ، عن صفوان ، عن العیص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یأتی الماء وهو جنب</w:t>
      </w:r>
    </w:p>
    <w:p>
      <w:pPr>
        <w:pStyle w:val="Heading3"/>
        <w:numPr>
          <w:ilvl w:val="2"/>
          <w:numId w:val="1"/>
        </w:numPr>
        <w:rPr/>
      </w:pPr>
      <w:bookmarkStart w:id="141" w:name="__RefHeading___Toc146550_2142443653"/>
      <w:bookmarkStart w:id="142" w:name="_Toc53"/>
      <w:bookmarkEnd w:id="141"/>
      <w:r>
        <w:rPr>
          <w:rtl w:val="true"/>
        </w:rPr>
        <w:t>الجنب إذا تیمّم وصلّی هل تجب علیه الإعادة أم لا؟</w:t>
      </w:r>
      <w:bookmarkEnd w:id="14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 w:name="__RefHeading___Toc146552_2142443653"/>
      <w:bookmarkStart w:id="144" w:name="_Toc54"/>
      <w:bookmarkEnd w:id="143"/>
      <w:r>
        <w:rPr>
          <w:rtl w:val="true"/>
        </w:rPr>
        <w:t>اشارة</w:t>
      </w:r>
      <w:bookmarkStart w:id="145" w:name="pg15025_160186"/>
      <w:bookmarkEnd w:id="144"/>
    </w:p>
    <w:p>
      <w:pPr>
        <w:pStyle w:val="BookText"/>
        <w:rPr/>
      </w:pPr>
      <w:bookmarkEnd w:id="145"/>
      <w:r>
        <w:rPr>
          <w:rFonts w:ascii="IRNazanin" w:hAnsi="IRNazanin" w:eastAsia="IRNazanin"/>
          <w:color w:val="111111"/>
          <w:sz w:val="28"/>
          <w:sz w:val="28"/>
          <w:szCs w:val="28"/>
          <w:rtl w:val="true"/>
          <w:lang w:bidi="fa-IR"/>
        </w:rPr>
        <w:t xml:space="preserve">وقد صلّی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ولا یعید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الحسین بن سعید ، عن حماد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أجنب فتیمم بالصعید وصلّی ثم وجد الماء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 إنّ ربّ الماء ربّ الصعید فقد فعل أحد الطهورین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النضر ، عن ابن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یجد الرجل طهوراً وکان جنباً فلیمسح من الأرض ولیصلِّ ، فإذا وجد الماء فلیغتسل وقد أجزأته صلاته التی 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لیس فیه ارتیاب ، غیر أنّه اتفق للعلاّمة بسبب العیص شی‌ء لا بأس بالتنبیه علیه ، وهو أنّ العیص قد صرح النجاشی والعلاّمة تبعاً بأنّه ابن أُخت سلیمان بن خالد </w:t>
      </w:r>
      <w:r>
        <w:rPr>
          <w:rStyle w:val="FootnoteAnchor"/>
          <w:rtl w:val="true"/>
        </w:rPr>
        <w:footnoteReference w:id="182"/>
      </w:r>
      <w:r>
        <w:rPr>
          <w:rFonts w:ascii="IRNazanin" w:hAnsi="IRNazanin" w:eastAsia="IRNazanin"/>
          <w:color w:val="111111"/>
          <w:sz w:val="28"/>
          <w:sz w:val="28"/>
          <w:szCs w:val="28"/>
          <w:rtl w:val="true"/>
          <w:lang w:bidi="fa-IR"/>
        </w:rPr>
        <w:t xml:space="preserve">، ثم إنّ العلاّمة ذکر فی الخلاصة الحکم بن عیص ، وهذا لم یذکره أحد من أصحاب الرجال ، وفی الخلاصة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بن عیص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الکشی عن محمد بن الحسن الرازی ، عن إسماعیل بن محمد بن موسی ، عن الحکم بن عیص ابن خالة سلیمان بن خالد قال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یعرف هذا الأمر </w:t>
      </w:r>
      <w:r>
        <w:rPr>
          <w:rStyle w:val="FootnoteAnchor"/>
          <w:rtl w:val="true"/>
        </w:rPr>
        <w:footnoteReference w:id="18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بأیسر نظر أنّ الحدیث فی الکشی مغلوط ، وأنّ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 عن عیص أنّ خاله سلیمان ، لأنّه قد علم أنّ خاله سلیمان ، لا أن الحکم بن عیص ابن خالة سلیمان ، ولا العیص ابن خالة سلیمان أیضاً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6" w:name="__RefHeading___Toc146554_2142443653"/>
      <w:bookmarkStart w:id="147" w:name="_Toc55"/>
      <w:bookmarkEnd w:id="146"/>
      <w:r>
        <w:rPr>
          <w:rtl w:val="true"/>
        </w:rPr>
        <w:t>بحث حول العیص</w:t>
      </w:r>
      <w:bookmarkStart w:id="148" w:name="pg15025_160187"/>
      <w:bookmarkEnd w:id="147"/>
    </w:p>
    <w:p>
      <w:pPr>
        <w:pStyle w:val="BookText"/>
        <w:rPr/>
      </w:pPr>
      <w:bookmarkEnd w:id="148"/>
      <w:r>
        <w:rPr>
          <w:rFonts w:ascii="IRNazanin" w:hAnsi="IRNazanin" w:eastAsia="IRNazanin"/>
          <w:color w:val="111111"/>
          <w:sz w:val="28"/>
          <w:sz w:val="28"/>
          <w:szCs w:val="28"/>
          <w:rtl w:val="true"/>
          <w:lang w:bidi="fa-IR"/>
        </w:rPr>
        <w:t xml:space="preserve">وعلی تقدیر البناء علی الموجود فالروایة متهافتة المتن ، بخلاف ما إذا کان الکلام بما ذکر ، وهو أنّ خاله قال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العیص یعرف هذا الأمر ، فلا ینبغی الغفلة عن هذا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خفاء فیه أیضا بعد ما کرّرنا القول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النضر ، والظن علی أنّه ابن سوید لا یعتریه شوب شک بعد الممارسة للأخبار وکتب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الأخبار الثلاثة صریح الدلالة علی إجزاء الصلاة الواقعة بالتیمم وهی شاملة لعدم الإعادة فی الوقت وخارجه ، وما دل من الأخبار السابقة علی أنّ من وجد الماء فی الوقت لا یلزمه الإعادة ظاهر التأیید لهذه الأخبار ، وقد أسلفنا استدلال بعض الأصحاب بظواهر بعض هذه الأخبار علی توسعة وقت التیمم من حیث التعلیل بأنّ ربّ الماء ربّ الصعید فقد فعل أحد الطهورین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تضمنه خبر یعقوب بن یقطین </w:t>
      </w:r>
      <w:r>
        <w:rPr>
          <w:rStyle w:val="FootnoteAnchor"/>
          <w:rtl w:val="true"/>
        </w:rPr>
        <w:footnoteReference w:id="185"/>
      </w:r>
      <w:r>
        <w:rPr>
          <w:rFonts w:ascii="IRNazanin" w:hAnsi="IRNazanin" w:eastAsia="IRNazanin"/>
          <w:color w:val="111111"/>
          <w:sz w:val="28"/>
          <w:sz w:val="28"/>
          <w:szCs w:val="28"/>
          <w:rtl w:val="true"/>
          <w:lang w:bidi="fa-IR"/>
        </w:rPr>
        <w:t>من الإعادة فی الوقت فأقرب شی‌ء إلی حمله الاستحباب فیما أظنه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اتفق للعلاّمة أنّه استدل بخبر یعقوب بن یقطین علی وجوب التأخیر مع رجاء زوال العذر بعد أن مهّد له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التیمّم فی أوّل الوقت والصلاة به لما وجب علیه إعادتها بعد وجود الماء ، والتالی باطل فالمقدم مثله ؛ ثم بیّن الشرطیة بأنّ الأمر یقتضی الإجزاء</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9" w:name="__RefHeading___Toc146556_2142443653"/>
      <w:bookmarkStart w:id="150" w:name="_Toc56"/>
      <w:bookmarkEnd w:id="149"/>
      <w:r>
        <w:rPr>
          <w:rtl w:val="true"/>
        </w:rPr>
        <w:t>دلالة الأخبار علی إجزاء الصلاة الواقعة بالتیمّم وعدم وجوب إعادتها مطلقاً</w:t>
      </w:r>
      <w:bookmarkEnd w:id="150"/>
    </w:p>
    <w:p>
      <w:pPr>
        <w:pStyle w:val="BookText"/>
        <w:rPr/>
      </w:pPr>
      <w:r>
        <w:rPr>
          <w:rFonts w:ascii="IRNazanin" w:hAnsi="IRNazanin" w:eastAsia="IRNazanin"/>
          <w:color w:val="111111"/>
          <w:sz w:val="28"/>
          <w:sz w:val="28"/>
          <w:szCs w:val="28"/>
          <w:rtl w:val="true"/>
          <w:lang w:bidi="fa-IR"/>
        </w:rPr>
        <w:t xml:space="preserve">وبطلان الثانی بروایة یعقوب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بأنّ الأخبار الدالة علی عدم الإعادة مطلقا تقتضی حمل خبر یعقوب علی الاستحباب فیما یظهر ، ولا أقل من الاحتمال ، فالحکم من العلاّمة بأنه یقتضی الوجوب من غیر التفات إلی المعارض لا یخلو من 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فی حواشی المختلف غیر ذلک ممّا یزید فی الإیراد علی استدلاله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اشتمال الخبر الثالث علی الأرض ، وما تضمن الصعید وهو الثانی لا یفید حکماً ، لأنّه من کلام السائل ، ولا إشکال فی صحة التیمم بالصعید ، ولا حصر فی الخبر من جهة تقریر الإمام ، علی أنّ التقریر فی المقام غیر ظاهر ، بل هو سؤال عن فرد من الأفراد ، وکثیراً ما یغفل عن ذلک وهو من المهمات ، فلیتأمّل فیه حق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محمد بن الحسین ، عن جعفر بن بشیر ، عمن رواه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أصابته جنابة فی لیلة باردة ویخاف علی نفسه التلف إن اغتسل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فإذا أمن البرد اغتسل وأعاد الصلاة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أیضا عن سعد و </w:t>
      </w:r>
      <w:r>
        <w:rPr>
          <w:rStyle w:val="FootnoteAnchor"/>
          <w:rtl w:val="true"/>
        </w:rPr>
        <w:footnoteReference w:id="187"/>
      </w:r>
      <w:r>
        <w:rPr>
          <w:rFonts w:ascii="IRNazanin" w:hAnsi="IRNazanin" w:eastAsia="IRNazanin"/>
          <w:color w:val="111111"/>
          <w:sz w:val="28"/>
          <w:sz w:val="28"/>
          <w:szCs w:val="28"/>
          <w:rtl w:val="true"/>
          <w:lang w:bidi="fa-IR"/>
        </w:rPr>
        <w:t xml:space="preserve">محمد بن الحسین بن أبی الخطاب ، </w:t>
      </w:r>
      <w:bookmarkStart w:id="151" w:name="pg15025_160189"/>
    </w:p>
    <w:p>
      <w:pPr>
        <w:pStyle w:val="BookText"/>
        <w:rPr/>
      </w:pPr>
      <w:bookmarkEnd w:id="151"/>
      <w:r>
        <w:rPr>
          <w:rFonts w:ascii="IRNazanin" w:hAnsi="IRNazanin" w:eastAsia="IRNazanin"/>
          <w:color w:val="111111"/>
          <w:sz w:val="28"/>
          <w:sz w:val="28"/>
          <w:szCs w:val="28"/>
          <w:rtl w:val="true"/>
          <w:lang w:bidi="fa-IR"/>
        </w:rPr>
        <w:t>عن جعفر بن بشیر ، عن عبد الله بن سنان أو غیره ، عن أبی عبد الله علیه السلام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ما فیه أنّه خبر مرسل منقطع الإسناد ، لأنّ جعفر بن بشیر فی الروایة الأُولی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الروایة الثانیة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أو غیره فأورده وهو شاک ، وما یجری هذا المجری لا یجب العمل به ، ولو صحّ الخبر علی ما فیه لکان محمولاً علی من أجنب نفسه مختاراً لأنّ من کان کذلک ففرضة الغسل علی کل حال ، فإذا لم یتمکن تیمم وصلّی ثم أعاد إذا تمکن من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الخبرین مرسل ، ورجاله المذکورون لا ارتیاب فیهم کما قدّمناه ، غیر أنّ سند الثانی لا یخلو من تشویش فی النسخ التی رأیتها ، ففی البعض ما نقلته ، ولفظ عن سعد لا وجه له ، إذ لا یوجد فی غیر هذا الموضع علی ما أظن روایة محمد بن أحمد بن یحیی عن سعد ، بل المذکور فی رجال الشیخ أنّ سعداً یروی عنه </w:t>
      </w:r>
      <w:r>
        <w:rPr>
          <w:rStyle w:val="FootnoteAnchor"/>
          <w:rtl w:val="true"/>
        </w:rPr>
        <w:footnoteReference w:id="188"/>
      </w:r>
      <w:r>
        <w:rPr>
          <w:rFonts w:ascii="IRNazanin" w:hAnsi="IRNazanin" w:eastAsia="IRNazanin"/>
          <w:color w:val="111111"/>
          <w:sz w:val="28"/>
          <w:sz w:val="28"/>
          <w:szCs w:val="28"/>
          <w:rtl w:val="true"/>
          <w:lang w:bidi="fa-IR"/>
        </w:rPr>
        <w:t xml:space="preserve">، واحتمال روایة کل منهما من الآخر فی غایة البعد ، فالظاهر 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 النسخة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یؤیّد أن یکون الراوی عن سعد محمد بن أحمد بن یحیی لأنّه یروی عن محمد بن الحسین فی الخبر الأوّل ، لکن الحال ما سمعته ، 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عن سعد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کالأول فی الإشکال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2" w:name="__RefHeading___Toc146558_2142443653"/>
      <w:bookmarkStart w:id="153" w:name="_Toc57"/>
      <w:bookmarkEnd w:id="152"/>
      <w:r>
        <w:rPr>
          <w:rtl w:val="true"/>
        </w:rPr>
        <w:t>محمّد بن أحمد بن یحی لایروی عن سعد</w:t>
      </w:r>
      <w:bookmarkStart w:id="154" w:name="pg15025_160190"/>
      <w:bookmarkEnd w:id="153"/>
    </w:p>
    <w:p>
      <w:pPr>
        <w:pStyle w:val="BookText"/>
        <w:rPr/>
      </w:pPr>
      <w:bookmarkEnd w:id="154"/>
      <w:r>
        <w:rPr>
          <w:rFonts w:ascii="IRNazanin" w:hAnsi="IRNazanin" w:eastAsia="IRNazanin"/>
          <w:color w:val="111111"/>
          <w:sz w:val="28"/>
          <w:sz w:val="28"/>
          <w:szCs w:val="28"/>
          <w:rtl w:val="true"/>
          <w:lang w:bidi="fa-IR"/>
        </w:rPr>
        <w:t xml:space="preserve">وما ذکره العلاّمة فی الخلاصة من أنّ محمد بن الحسین من رجال الجواد علیه السلام </w:t>
      </w:r>
      <w:r>
        <w:rPr>
          <w:rStyle w:val="FootnoteAnchor"/>
          <w:rtl w:val="true"/>
        </w:rPr>
        <w:footnoteReference w:id="189"/>
      </w:r>
      <w:r>
        <w:rPr>
          <w:rFonts w:ascii="IRNazanin" w:hAnsi="IRNazanin" w:eastAsia="IRNazanin"/>
          <w:color w:val="111111"/>
          <w:sz w:val="28"/>
          <w:sz w:val="28"/>
          <w:szCs w:val="28"/>
          <w:rtl w:val="true"/>
          <w:lang w:bidi="fa-IR"/>
        </w:rPr>
        <w:t xml:space="preserve">، المفید بحسب ظاهره الاختصاص به علیه السلام ، وسعد لم یدرک الجواد علیه السلام علی ما فی الرجال غیر محتاج إلیه ، فإنّ الممارسة تنفی ذلک ، وما قاله العلاّمة محل کلام ، لأن الشیخ رحمه الله ذکر محمد بن الحسین فی رجال العسکری علیه السلام من کتابه </w:t>
      </w:r>
      <w:r>
        <w:rPr>
          <w:rStyle w:val="FootnoteAnchor"/>
          <w:rtl w:val="true"/>
        </w:rPr>
        <w:footnoteReference w:id="190"/>
      </w:r>
      <w:r>
        <w:rPr>
          <w:rFonts w:ascii="IRNazanin" w:hAnsi="IRNazanin" w:eastAsia="IRNazanin"/>
          <w:color w:val="111111"/>
          <w:sz w:val="28"/>
          <w:sz w:val="28"/>
          <w:szCs w:val="28"/>
          <w:rtl w:val="true"/>
          <w:lang w:bidi="fa-IR"/>
        </w:rPr>
        <w:t xml:space="preserve">، والعلاّمة کأنّه لم یتتبّع کتاب الشیخ ؛ وقد ذکر النجاشی أنّ سعداً لقی أبا محمد علیه السلام ، لکن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أصحابنا یضعّفون لقاءه لأبی محمد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حکایة موضوعة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کلام النجاشی ظاهره الجزم باللقاء والتوقف فی قول بعض الأصحاب ، إلاّ أنّ هذا لا فائدة له بعد ما قدمناه ، ولا یذهب علیک الإجمال فی حکایة النجاشی عن بعض الأصحاب ، فإنّ الظاهر من الکلام أوّلاً حکایة تضعیف اللقاء ، وثانیا کون الحکایة موضوعة ، فإن کان سبب تضعیف اللقاء کون الحکایة موضوعة فلا وجه له ، إذ لا یلزم من کون الحکایة موضوعة تضعیف اللقاء ، إلاّ إذا کان اللقاء منحصراً فی الحکایة ، وظاهر المقام خلافه ؛ وإن کان قول بعض الأصحاب مشتملاً علی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اللقاء ، وکون الحکایة موضوعة ، فالتعبیر من النجاشی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حکایة موضوعة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لائق ، لأنّ الإشارة ظاهرة فی خلاف هذا ، والمعهود من النجاشی سلامة التعبیر عن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تعدد المحکی أیّ حکایة هی؟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کمال الدین للصدوق ذکر روایة فی طریقها جهالة تضمّنت أنّ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 w:name="__RefHeading___Toc146560_2142443653"/>
      <w:bookmarkStart w:id="156" w:name="_Toc58"/>
      <w:bookmarkEnd w:id="155"/>
      <w:r>
        <w:rPr>
          <w:rtl w:val="true"/>
        </w:rPr>
        <w:t>بحث حول محمّد بن الحسین وسعد وطبقتهما</w:t>
      </w:r>
      <w:bookmarkStart w:id="157" w:name="pg15025_160191"/>
      <w:bookmarkEnd w:id="156"/>
    </w:p>
    <w:p>
      <w:pPr>
        <w:pStyle w:val="BookText"/>
        <w:rPr/>
      </w:pPr>
      <w:bookmarkEnd w:id="157"/>
      <w:r>
        <w:rPr>
          <w:rFonts w:ascii="IRNazanin" w:hAnsi="IRNazanin" w:eastAsia="IRNazanin"/>
          <w:color w:val="111111"/>
          <w:sz w:val="28"/>
          <w:sz w:val="28"/>
          <w:szCs w:val="28"/>
          <w:rtl w:val="true"/>
          <w:lang w:bidi="fa-IR"/>
        </w:rPr>
        <w:t xml:space="preserve">العسکری علیه السلام کان یکتب والقائم علیه السلام یشغله عن الکتابة ویقبض علی أصابعه وکان یلهیه بتدحرج رمانة ذهب کانت بین یدیه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بعض هذا من أمارات الوضع ، وغیر ذلک أیضا ممّا تضمّنته الروایة ، ولا یخفی علیک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فی السند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سعد عن محمد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الشیخ فیه لا یخلو من نظر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من أنّ جعفر ابن بشیر قال تارة عمّن رواه ، وأُخری عن عبد الله بن سنان أو غیره ، فیکون شاکّاً ، وذلک یقتضی عدم العمل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لا وجه لردّ الخبر به إن کان مأخوذاً من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المعتمدة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کما یستفاد من کلام الشیخ وغیره ، وإن کانت الروایة إنّما یعمل بها لصحة الاسناد المتعارف عند المتأخّرین فالإرسال کاف ، ولا ریب أنّ الثانی منتف عند المتقدمین ، فتعیّن الأوّل وقد عرفت حاله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الشک من الراوی لا یوجب ردّ روایته ، وعدّه من الاضطراب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ذکره من أنّ متعمّد الجنابة یغتسل علی کل حال ، وأنّه إذا لم یتمکن یتیمم ویصلّی </w:t>
      </w:r>
      <w:r>
        <w:rPr>
          <w:rStyle w:val="FootnoteAnchor"/>
          <w:rtl w:val="true"/>
        </w:rPr>
        <w:footnoteReference w:id="195"/>
      </w:r>
      <w:r>
        <w:rPr>
          <w:rFonts w:ascii="IRNazanin" w:hAnsi="IRNazanin" w:eastAsia="IRNazanin"/>
          <w:color w:val="111111"/>
          <w:sz w:val="28"/>
          <w:sz w:val="28"/>
          <w:szCs w:val="28"/>
          <w:rtl w:val="true"/>
          <w:lang w:bidi="fa-IR"/>
        </w:rPr>
        <w:t>ثم یغتسل ویعید الصلاة ، إن أراد الغسل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8" w:name="__RefHeading___Toc146562_2142443653"/>
      <w:bookmarkStart w:id="159" w:name="_Toc59"/>
      <w:bookmarkEnd w:id="158"/>
      <w:r>
        <w:rPr>
          <w:rtl w:val="true"/>
        </w:rPr>
        <w:t>المناقشة فی توجیه الشیخ لما دلّ علی وجوب الإعادة</w:t>
      </w:r>
      <w:bookmarkEnd w:id="159"/>
    </w:p>
    <w:p>
      <w:pPr>
        <w:pStyle w:val="BookText"/>
        <w:rPr/>
      </w:pPr>
      <w:r>
        <w:rPr>
          <w:rFonts w:ascii="IRNazanin" w:hAnsi="IRNazanin" w:eastAsia="IRNazanin"/>
          <w:color w:val="111111"/>
          <w:sz w:val="28"/>
          <w:sz w:val="28"/>
          <w:szCs w:val="28"/>
          <w:rtl w:val="true"/>
          <w:lang w:bidi="fa-IR"/>
        </w:rPr>
        <w:t xml:space="preserve">مع حصول الضرورة فبُعده ظاهر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یتمکن ، یقتضی بإطلاقه وجوب التیمم مع عدم التمکّن ، وعدم التمکّن من أفراده حصول الضرورة ، وغایة التوجیه فی هذا أن یکون مراده بالغسل علی کل حال جمیع الحالات حتی حالة الضرورة القلیلة ، ویراد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 الخوف علی النفس ، وما استدل به من الأخبار ستسمع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فی المختلف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متعمّد الجنابة إذا خشی علی نفسه التلف باستعماله الماء تیمم وصلّی ،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ویعید الصلاة إذا وجد الماء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هذا الکلام أنّه فهم من مراد الشیخ خوف التلف ، وحینئذ یتم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العلاّمة عن الشیخ أنّه احتجّ علی قوله بروایة جعفر بن بشیر عن ابن سنان أو غیره ، وذکر الروایة المبحوث عنها ، وکأنّ الاحتجاج فی غیر هذا الکتاب ، أمّا الذی فیه فما تراه ، وقد أجاب عنه العلاّمة بأنه مجهول الراوی فلا یکون حجة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بأنّ الحدیث تضمن أصابه الجنابة وهی أعم من التعمد والاحتلام ونحوه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خوف التلف من کلام الراوی فلا یقید به الجواب کما نبّهنا علیه فیما تقدم ، والحمل علی الاستحباب ممکن ، أمّا ما نقل عن الشیخ من الاستدلال بأنّه مفرط بتعمّد الجنابة فوجب علیه إعادة الصلاة </w:t>
      </w:r>
      <w:r>
        <w:rPr>
          <w:rStyle w:val="FootnoteAnchor"/>
          <w:rtl w:val="true"/>
        </w:rPr>
        <w:footnoteReference w:id="198"/>
      </w:r>
      <w:r>
        <w:rPr>
          <w:rFonts w:ascii="IRNazanin" w:hAnsi="IRNazanin" w:eastAsia="IRNazanin"/>
          <w:color w:val="111111"/>
          <w:sz w:val="28"/>
          <w:sz w:val="28"/>
          <w:szCs w:val="28"/>
          <w:rtl w:val="true"/>
          <w:lang w:bidi="fa-IR"/>
        </w:rPr>
        <w:t>فجوابه ظاهر بعد تأمّل أخبار التیمم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ذکره العلاّمة فی الاستدلال </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ما رواه الصدوق عن رسول الله صلی الله علیه و آله مرسلا أنّه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أصابته جنابة وهو مجدور فغسّلوه فمات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قتلوه ، ألا سألوا؟ ألا یمّموه؟ إنّ شفاء العیّ </w:t>
      </w:r>
      <w:r>
        <w:rPr>
          <w:rStyle w:val="FootnoteAnchor"/>
          <w:rtl w:val="true"/>
        </w:rPr>
        <w:footnoteReference w:id="200"/>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حیث أطلق علیه السلام تسویغ التیمم من غیر تفصیل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تأمّل ، لاحتمال إرادته علیه السلام أنّ مع خوف التلف لا یسوغ الغسل ، کما یدل علیه سوق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الإطلاق فی قضیة أبی ذر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یکفیک الصعید عشر سنین </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فله وجه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الأوضح الاستدلال بالأخبار الدالة علی عدم إعادة الصلاة علی الجنب المتیمم </w:t>
      </w:r>
      <w:r>
        <w:rPr>
          <w:rStyle w:val="FootnoteAnchor"/>
          <w:rtl w:val="true"/>
        </w:rPr>
        <w:footnoteReference w:id="204"/>
      </w:r>
      <w:r>
        <w:rPr>
          <w:rFonts w:ascii="Amiri" w:hAnsi="Amiri" w:eastAsia="Amiri" w:cs="Amiri"/>
          <w:color w:val="111111"/>
          <w:sz w:val="28"/>
          <w:sz w:val="28"/>
          <w:szCs w:val="28"/>
          <w:rtl w:val="true"/>
          <w:lang w:bidi="ar-SA"/>
        </w:rPr>
        <w:t xml:space="preserve">، واحتمال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مطلقة وغیرها من الأخبار مقید ،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قابلة للحمل علی الاستحباب کما یأتی ، ومعه لا یتعین حمل الشیخ ، مضافا إلی إطلاق الآیة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وأمّا الأخبار الآتیة فالکلام فیها إذا سمعته یندفع به احتمال الشیخ ، فلیتأمّل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أنّ من هذه صفته فرضه الغسل علی کل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أخبرنی به الشیخ رحمه الله عن أبی القاسم جعفر بن محمد ، عن محمد بن یعقوب ، عن علی بن إبراهیم رفعه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أجنب فعلیه أنّ یغتسل علی ما کان منه ، وإن احتلم 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محمد بن یعقوب ، عن عدة من أصحابنا ، عن أحمد بن محمد ، عن علی بن أحمد رفعه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مجدور أصابته جنابة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أجنب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فلیغتسل وإن کان احتلم فلیتیمم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عن الحسین بن الحسن بن أبان ، عن الحسین بن سعید ، عن النضر بن سوید ، عن هشام بن سالم ، عن سلیمان بن خالد ؛ وحماد بن عیسی ، عن شعیب ، عن أبی بصیر ؛ وفضالة ، عن حسین بن عثمان ، عن ابن مسکان ، عن عبد الله بن سلیمان جمیعاً عن أبی عبد الله علیه السلام أنّه سئل عن رجل کان فی أرض باردة فیخاف إن هو اغتسل أن یصیبه عنت من الغسل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وإن أصابه ما أصابه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أنّه کان وجعاً شدید الوجع وأصابته جنابة وهو فی مکان بارد وکانت لیلة شدیدة الریح باردة فدعوت الغلمة فقلت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احملونی واغسلونی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نخاف علیک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بدّ فحملونی </w:t>
      </w:r>
      <w:bookmarkStart w:id="160" w:name="pg15025_160195"/>
    </w:p>
    <w:p>
      <w:pPr>
        <w:pStyle w:val="BookText"/>
        <w:rPr/>
      </w:pPr>
      <w:bookmarkEnd w:id="160"/>
      <w:r>
        <w:rPr>
          <w:rFonts w:ascii="IRNazanin" w:hAnsi="IRNazanin" w:eastAsia="IRNazanin"/>
          <w:color w:val="111111"/>
          <w:sz w:val="28"/>
          <w:sz w:val="28"/>
          <w:szCs w:val="28"/>
          <w:rtl w:val="true"/>
          <w:lang w:bidi="fa-IR"/>
        </w:rPr>
        <w:t xml:space="preserve">ووضعونی علی خشبات ثم صبّوا علیّ الماء فغسّلونی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الحسین بن سعید ، عن حماد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تصیبه الجنابة فی أرض باردة ولا یجد الماء وعسی أن یکون الماء جامداً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علی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 أنّه فعل ذلک فمرض شهراً من البرد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اغتسل علی ما کان فإنّه لا بدّ من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أبو عبد الله علیه السلام أنّه اضطرّ إلی ذلک وهو مریض فأتوه </w:t>
      </w:r>
      <w:r>
        <w:rPr>
          <w:rStyle w:val="FootnoteAnchor"/>
          <w:rtl w:val="true"/>
        </w:rPr>
        <w:footnoteReference w:id="207"/>
      </w:r>
      <w:r>
        <w:rPr>
          <w:rFonts w:ascii="IRNazanin" w:hAnsi="IRNazanin" w:eastAsia="IRNazanin"/>
          <w:color w:val="111111"/>
          <w:sz w:val="28"/>
          <w:sz w:val="28"/>
          <w:szCs w:val="28"/>
          <w:rtl w:val="true"/>
          <w:lang w:bidi="fa-IR"/>
        </w:rPr>
        <w:t xml:space="preserve">به مسخناً فاغتسل به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من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ذلک علی بن أحمد والظاهر أنّه ابن أشیم کما تکرر فی الأخبار ، وهو غیر معلوم الحال ، واحتمال غیره لیس بنافع ، أمّا عدم ذکر الإمام علیه السلام فیه </w:t>
      </w:r>
      <w:r>
        <w:rPr>
          <w:rStyle w:val="FootnoteAnchor"/>
          <w:rtl w:val="true"/>
        </w:rPr>
        <w:footnoteReference w:id="208"/>
      </w:r>
      <w:r>
        <w:rPr>
          <w:rFonts w:ascii="IRNazanin" w:hAnsi="IRNazanin" w:eastAsia="IRNazanin"/>
          <w:color w:val="111111"/>
          <w:sz w:val="28"/>
          <w:sz w:val="28"/>
          <w:szCs w:val="28"/>
          <w:rtl w:val="true"/>
          <w:lang w:bidi="fa-IR"/>
        </w:rPr>
        <w:t>صریحا ففی قدحه نظر قدمنا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اشتمل علی ثلاث طرق من الحسین بن سعید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 عن هشام بن سالم ، عن سلیمان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 عن شعیب ، عن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فضالة ، عن حسین بن عثمان ، عن ابن مسکان ، عن عبد الله بن سلیمان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1" w:name="__RefHeading___Toc146564_2142443653"/>
      <w:bookmarkStart w:id="162" w:name="_Toc60"/>
      <w:bookmarkEnd w:id="161"/>
      <w:r>
        <w:rPr>
          <w:rtl w:val="true"/>
        </w:rPr>
        <w:t>علی بن أحمد بن أشیم غیر معلوم الحال</w:t>
      </w:r>
      <w:bookmarkStart w:id="163" w:name="pg15025_160196"/>
      <w:bookmarkEnd w:id="162"/>
    </w:p>
    <w:p>
      <w:pPr>
        <w:pStyle w:val="BookText"/>
        <w:rPr/>
      </w:pPr>
      <w:bookmarkEnd w:id="163"/>
      <w:r>
        <w:rPr>
          <w:rFonts w:ascii="IRNazanin" w:hAnsi="IRNazanin" w:eastAsia="IRNazanin"/>
          <w:color w:val="111111"/>
          <w:sz w:val="28"/>
          <w:sz w:val="28"/>
          <w:szCs w:val="28"/>
          <w:rtl w:val="true"/>
          <w:lang w:bidi="fa-IR"/>
        </w:rPr>
        <w:t xml:space="preserve">وأوّل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قدمنا فیه ما یزیل الارتیاب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فی الثانی ، إلاّ أنّ الضعف فیه قریب بسبب روایة شعیب عن أبی بصیر ، فإنّ شعیب هو العقرقوفی إذا روی عن أبی بصیر فهو المخلط کما یستفاد من بعض الأخبار ، وقدّمنا فیه القول کما یعرف من ممارسة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فرجاله ثقات سوی عبد الله بن سلیمان ، فإنّ الموجود فی الرجال علی ما رأیت فی النجاشی عبد الله بن سلیمان الصیرفی روی عن جعفر بن محمد له أصل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النجاشی لم یذکره حتی العلاّمة فی الخلاصة مع تبعه للنجاشی فی ذکر الرجال ، وحال الرجل کما تری لا یزید علی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بعد ما قدمناه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المجنب یغتسل والمحتلم یتیمم ، لکن إطلاقه من جهة الغسل مقیّد بعدم الخوف علی النفس عند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فعل الغسل وإن حصل مشقّة لکن لا تقیید فیه بکون الرجل أجنب أو احتلم ، ولعل الشیخ یقیّده بغیره کما أنّ تقیید المشقّة فیه بما لا یبلغ هلاک النفس لا بدّ منه</w:t>
      </w:r>
      <w:r>
        <w:rPr>
          <w:rFonts w:eastAsia="IRNazanin" w:cs="IRNazanin"/>
          <w:color w:val="111111"/>
          <w:sz w:val="28"/>
          <w:szCs w:val="28"/>
          <w:rtl w:val="true"/>
          <w:lang w:bidi="fa-IR"/>
        </w:rPr>
        <w:t>.</w:t>
      </w:r>
    </w:p>
    <w:p>
      <w:pPr>
        <w:pStyle w:val="Heading4"/>
        <w:numPr>
          <w:ilvl w:val="3"/>
          <w:numId w:val="1"/>
        </w:numPr>
        <w:rPr/>
      </w:pPr>
      <w:bookmarkStart w:id="164" w:name="__RefHeading___Toc146566_2142443653"/>
      <w:bookmarkStart w:id="165" w:name="_Toc61"/>
      <w:bookmarkEnd w:id="164"/>
      <w:r>
        <w:rPr>
          <w:rtl w:val="true"/>
        </w:rPr>
        <w:t>أبو بصیر الذی یروی عنه شعیب العقرقونی هو المخلط</w:t>
      </w:r>
      <w:bookmarkEnd w:id="165"/>
    </w:p>
    <w:p>
      <w:pPr>
        <w:pStyle w:val="Heading4"/>
        <w:numPr>
          <w:ilvl w:val="3"/>
          <w:numId w:val="1"/>
        </w:numPr>
        <w:rPr/>
      </w:pPr>
      <w:bookmarkStart w:id="166" w:name="__RefHeading___Toc146568_2142443653"/>
      <w:bookmarkStart w:id="167" w:name="_Toc62"/>
      <w:bookmarkEnd w:id="166"/>
      <w:r>
        <w:rPr>
          <w:rtl w:val="true"/>
        </w:rPr>
        <w:t>عبدالله بن سلیمان مهمل</w:t>
      </w:r>
      <w:bookmarkEnd w:id="16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8" w:name="__RefHeading___Toc146570_2142443653"/>
      <w:bookmarkStart w:id="169" w:name="_Toc63"/>
      <w:bookmarkEnd w:id="168"/>
      <w:r>
        <w:rPr>
          <w:rtl w:val="true"/>
        </w:rPr>
        <w:t>توجیه ما دلّ علی وجوب الغُسل علی متعمّد الجنابة ولو مع المشقّة</w:t>
      </w:r>
      <w:bookmarkEnd w:id="169"/>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أصابه ما أصابه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حینئذ ما أصابه من المشقّة ، ثم 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الإمام علیه السلام وقع له ذلک وفعل ما فعل ، ولا یخفی أنّه لا یلائم قول الشیخ فی الحمل ، لأن تعمّد الجنابة من الإمام علیه السلام مع عدم الماء ربما یقطع بنفیه ، نظراً إلی ما تقدم من الخبر الدال علی أنّ التیمّم فی الجملة یوبق الدین ولا أقل من المرجوحیة ، وإمکان فعل المرجوح لبیان الجواز له وجه فیدفع به الثانی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ویحتمل أن یکون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 ، وحینئذ یندفع المحذور عن الشیخ ، إلاّ أنّه بعید عن الظاهر ، کما أنّ احتمال کونه علیه السلام أجنب متعمّداً مع وجود الماء ثم تعذّر لا یلائم قول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بعید أن یحمل ما دل علی الغسل علی الاستحباب بمعنی استحباب الغسل وإن حصل نوع مشقّة وکذلک إعادة الصلاة ، لکن لا یخفی دلالة الخبر الثالث علی جواز التولیة مع الضرورة إن کان من فعل الإمام علیه السلام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یحتمل أن یراد بالاغتسال مع الجنابة وإن حصل مشقّة إذا کان تعمّد الجنابة مع العلم بعدم الماء ، إلاّ أنّ قصة الإمام علیه السلام لا تلائمه بل هی مؤیّدة للاستحباب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ظاهر الإطلاق فی المتعمّد وغیره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 الظاهر أنّه من الراوی ، والمعنی أنّه أخبر الإمام علیه السلام بأنه فعل الغسل مرة علی الوجه المذکور فمرض</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یکون الإمام علیه السلام حدّث محمد بن مسلم أنّه فعل ذلک ، ولا ینافی قوله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اغتسل علی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أن یکون إعادة </w:t>
      </w:r>
    </w:p>
    <w:p>
      <w:pPr>
        <w:pStyle w:val="BookText"/>
        <w:rPr/>
      </w:pPr>
      <w:r>
        <w:rPr>
          <w:rFonts w:ascii="IRNazanin" w:hAnsi="IRNazanin" w:eastAsia="IRNazanin"/>
          <w:color w:val="111111"/>
          <w:sz w:val="28"/>
          <w:sz w:val="28"/>
          <w:szCs w:val="28"/>
          <w:rtl w:val="true"/>
          <w:lang w:bidi="fa-IR"/>
        </w:rPr>
        <w:t xml:space="preserve">للجواب ، إلاّ أنّ الظاهر الأوّل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 ذلک ، إلاّ أنّه یوجب نوع شک بسبب المخالفة للسابق ، لأنّ الظاهر من الأوّل خلاف هذا ، کما أنّ فیه تأییداً لأن یکون قوله فی الخبر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أنّه کان وجعاً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الإمام علیه السلام إلاّ أن تکون الواقعة متکررة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هذا فاعلم أنّ المفید قال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أجنب نفسه مختاراً وجب علیه الغسل وإن خاف منه علی نفسه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التهذیب ذکر الروایات دلیلاً علی قوله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بما فی الاستدلال بعد ملاحظة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فی المختلف بعد أن نقل عن المفید ما نقلناه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w:t>
      </w:r>
      <w:r>
        <w:rPr>
          <w:rStyle w:val="FootnoteAnchor"/>
          <w:rtl w:val="true"/>
        </w:rPr>
        <w:footnoteReference w:id="216"/>
      </w:r>
      <w:r>
        <w:rPr>
          <w:rFonts w:ascii="IRNazanin" w:hAnsi="IRNazanin" w:eastAsia="IRNazanin"/>
          <w:color w:val="111111"/>
          <w:sz w:val="28"/>
          <w:sz w:val="28"/>
          <w:szCs w:val="28"/>
          <w:rtl w:val="true"/>
          <w:lang w:bidi="fa-IR"/>
        </w:rPr>
        <w:t>، وذکر الروایات ، وأظنّ أنّ الحجّة أخذها من التهذیب ، وأجاب عنها بضعف الإسناد ، والصحیح منها حمله علی المشقّة الیسیرة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لا 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استحباب إعادة الصلاة ما رواه الصدوق صحیحاً عن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الرجل تصیبه الجنابة فی اللیلة الباردة ویخاف علی نفسه التلف إن اغتسل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ویصلّی </w:t>
      </w:r>
      <w:r>
        <w:rPr>
          <w:rStyle w:val="FootnoteAnchor"/>
          <w:rtl w:val="true"/>
        </w:rPr>
        <w:footnoteReference w:id="217"/>
      </w:r>
      <w:r>
        <w:rPr>
          <w:rFonts w:ascii="Amiri" w:hAnsi="Amiri" w:eastAsia="Amiri" w:cs="Amiri"/>
          <w:color w:val="111111"/>
          <w:sz w:val="28"/>
          <w:sz w:val="28"/>
          <w:szCs w:val="28"/>
          <w:rtl w:val="true"/>
          <w:lang w:bidi="ar-SA"/>
        </w:rPr>
        <w:t xml:space="preserve">، فإذا أمن البرد اغتسل وأعاد الصلاة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التأیید ظاهر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مانع من وجوب الإعادة </w:t>
      </w:r>
      <w:bookmarkStart w:id="170" w:name="pg15025_160199"/>
    </w:p>
    <w:p>
      <w:pPr>
        <w:pStyle w:val="BookText"/>
        <w:rPr/>
      </w:pPr>
      <w:bookmarkEnd w:id="170"/>
      <w:r>
        <w:rPr>
          <w:rFonts w:ascii="IRNazanin" w:hAnsi="IRNazanin" w:eastAsia="IRNazanin"/>
          <w:color w:val="111111"/>
          <w:sz w:val="28"/>
          <w:sz w:val="28"/>
          <w:szCs w:val="28"/>
          <w:rtl w:val="true"/>
          <w:lang w:bidi="fa-IR"/>
        </w:rPr>
        <w:t xml:space="preserve">للدلیل ، وفیه ما فیه ، لأنّ الأمر یقتضی الإجزاء ، فالإعادة علی الاستحباب ، فاحتمال صحة الصلاة واضح </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علی قول المفید فالخبر لا یمکنه العمل به ، من حیث إنّ ظاهر قوله عدم جواز التیمم ، علی أنّ الخبر مطلق فی المتعمّد وغیره ، إلاّ أن یقیّد بغیره ، ولو أتی الشیخ بهذا مع الأخبار کان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العَنَت محرکة ، الفساد والإثم والهلاک ودخول المشقّة علی الإنسان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ابن الأثیر فی النهایة الغلط والخطاء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احتمال الحدیث للهلاک والمشقّة فلا یتم مطلوب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المتیمم یجوز أن یصلی بتیممه صلوات کثیرة أم لا؟</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بن الحسن بن أبان ، عن الحسین بن سعید ، عن حماد ، عن حریز ، عن زرارة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علیه السلام أیصلّی الرجل بتیمّم واحد صلاة اللیل والنهار کلها؟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ما لم یحدث أو یصیب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الاسناد عن الحسین بن سعید ، عن فضالة ، عن حماد بن</w:t>
      </w:r>
    </w:p>
    <w:p>
      <w:pPr>
        <w:pStyle w:val="Heading4"/>
        <w:numPr>
          <w:ilvl w:val="3"/>
          <w:numId w:val="1"/>
        </w:numPr>
        <w:rPr/>
      </w:pPr>
      <w:bookmarkStart w:id="171" w:name="__RefHeading___Toc146572_2142443653"/>
      <w:bookmarkStart w:id="172" w:name="_Toc64"/>
      <w:bookmarkEnd w:id="171"/>
      <w:r>
        <w:rPr>
          <w:rtl w:val="true"/>
        </w:rPr>
        <w:t>معنی العَنَت</w:t>
      </w:r>
      <w:bookmarkEnd w:id="172"/>
    </w:p>
    <w:p>
      <w:pPr>
        <w:pStyle w:val="Heading3"/>
        <w:numPr>
          <w:ilvl w:val="2"/>
          <w:numId w:val="1"/>
        </w:numPr>
        <w:rPr/>
      </w:pPr>
      <w:bookmarkStart w:id="173" w:name="__RefHeading___Toc146574_2142443653"/>
      <w:bookmarkStart w:id="174" w:name="_Toc65"/>
      <w:bookmarkEnd w:id="173"/>
      <w:r>
        <w:rPr>
          <w:rtl w:val="true"/>
        </w:rPr>
        <w:t>المتیمّم یجوز أن یصلّی بتیمّمه صلوات کثیرة أم لا؟</w:t>
      </w:r>
      <w:bookmarkEnd w:id="17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5" w:name="__RefHeading___Toc146576_2142443653"/>
      <w:bookmarkStart w:id="176" w:name="_Toc66"/>
      <w:bookmarkEnd w:id="175"/>
      <w:r>
        <w:rPr>
          <w:rtl w:val="true"/>
        </w:rPr>
        <w:t>اشارة</w:t>
      </w:r>
      <w:bookmarkStart w:id="177" w:name="pg15025_160200"/>
      <w:bookmarkEnd w:id="176"/>
    </w:p>
    <w:p>
      <w:pPr>
        <w:pStyle w:val="BookText"/>
        <w:rPr/>
      </w:pPr>
      <w:bookmarkEnd w:id="177"/>
      <w:r>
        <w:rPr>
          <w:rFonts w:ascii="IRNazanin" w:hAnsi="IRNazanin" w:eastAsia="IRNazanin"/>
          <w:color w:val="111111"/>
          <w:sz w:val="28"/>
          <w:sz w:val="28"/>
          <w:szCs w:val="28"/>
          <w:rtl w:val="true"/>
          <w:lang w:bidi="fa-IR"/>
        </w:rPr>
        <w:t xml:space="preserve">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عن رجل لا یجد الماء أیتیمم لکل 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هو بمنزلة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w:t>
      </w:r>
      <w:r>
        <w:rPr>
          <w:rStyle w:val="FootnoteAnchor"/>
          <w:rtl w:val="true"/>
        </w:rPr>
        <w:footnoteReference w:id="222"/>
      </w:r>
      <w:r>
        <w:rPr>
          <w:rFonts w:ascii="IRNazanin" w:hAnsi="IRNazanin" w:eastAsia="IRNazanin"/>
          <w:color w:val="111111"/>
          <w:sz w:val="28"/>
          <w:sz w:val="28"/>
          <w:szCs w:val="28"/>
          <w:rtl w:val="true"/>
          <w:lang w:bidi="fa-IR"/>
        </w:rPr>
        <w:t xml:space="preserve">الحسین بن عبید الله ، عن أحمد بن محمد ، عن أبیه ، عن محمد بن علی بن محبوب ، عن العباس ، عن أبی همام ، عن محمد بن سعید بن غزوان ، عن السکونی ، عن جعفر ، عن أبیه ، عن آبائه علیهم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یصلّی صلاة اللیل والنهار بتیمّم واحد ما لم یحدث أو یصیب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واضح بعد تکرر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الثانی ، لکن فیه دلالة علی روایة الحسین بن سعید بواسطة عن 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223"/>
      </w:r>
      <w:r>
        <w:rPr>
          <w:rFonts w:ascii="IRNazanin" w:hAnsi="IRNazanin" w:eastAsia="IRNazanin"/>
          <w:color w:val="111111"/>
          <w:sz w:val="28"/>
          <w:sz w:val="28"/>
          <w:szCs w:val="28"/>
          <w:rtl w:val="true"/>
          <w:lang w:bidi="fa-IR"/>
        </w:rPr>
        <w:t xml:space="preserve">فی کتب الرجال قد یظن منه التعدد ، لأن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الفزاری کان یسکن عرزم فنسب إلیها ، وأخوه عبد الله ثقتان ، رویا عن أبی عبد الله علیه السلام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فی الفهرست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الناب </w:t>
      </w:r>
      <w:r>
        <w:rPr>
          <w:rStyle w:val="FootnoteAnchor"/>
          <w:rtl w:val="true"/>
        </w:rPr>
        <w:footnoteReference w:id="225"/>
      </w:r>
      <w:r>
        <w:rPr>
          <w:rFonts w:ascii="IRNazanin" w:hAnsi="IRNazanin" w:eastAsia="IRNazanin"/>
          <w:color w:val="111111"/>
          <w:sz w:val="28"/>
          <w:sz w:val="28"/>
          <w:szCs w:val="28"/>
          <w:rtl w:val="true"/>
          <w:lang w:bidi="fa-IR"/>
        </w:rPr>
        <w:t xml:space="preserve">ثقة جلیل القدر له کتاب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رجال الصادق علیه السلام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ذو الناب مولی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 w:name="__RefHeading___Toc146578_2142443653"/>
      <w:bookmarkStart w:id="179" w:name="_Toc67"/>
      <w:bookmarkEnd w:id="178"/>
      <w:r>
        <w:rPr>
          <w:rtl w:val="true"/>
        </w:rPr>
        <w:t>بحث حول حمّاد بن عثمان</w:t>
      </w:r>
      <w:bookmarkEnd w:id="179"/>
    </w:p>
    <w:p>
      <w:pPr>
        <w:pStyle w:val="BookText"/>
        <w:rPr/>
      </w:pPr>
      <w:r>
        <w:rPr>
          <w:rFonts w:ascii="IRNazanin" w:hAnsi="IRNazanin" w:eastAsia="IRNazanin"/>
          <w:color w:val="111111"/>
          <w:sz w:val="28"/>
          <w:sz w:val="28"/>
          <w:szCs w:val="28"/>
          <w:rtl w:val="true"/>
          <w:lang w:bidi="fa-IR"/>
        </w:rPr>
        <w:t>غنی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رجال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لقبه الناب </w:t>
      </w:r>
      <w:r>
        <w:rPr>
          <w:rStyle w:val="FootnoteAnchor"/>
          <w:rtl w:val="true"/>
        </w:rPr>
        <w:footnoteReference w:id="227"/>
      </w:r>
      <w:r>
        <w:rPr>
          <w:rFonts w:ascii="IRNazanin" w:hAnsi="IRNazanin" w:eastAsia="IRNazanin"/>
          <w:color w:val="111111"/>
          <w:sz w:val="28"/>
          <w:sz w:val="28"/>
          <w:szCs w:val="28"/>
          <w:rtl w:val="true"/>
          <w:lang w:bidi="fa-IR"/>
        </w:rPr>
        <w:t>مولی الأزدی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الناب </w:t>
      </w:r>
      <w:r>
        <w:rPr>
          <w:rStyle w:val="FootnoteAnchor"/>
          <w:rtl w:val="true"/>
        </w:rPr>
        <w:footnoteReference w:id="228"/>
      </w:r>
      <w:r>
        <w:rPr>
          <w:rFonts w:ascii="IRNazanin" w:hAnsi="IRNazanin" w:eastAsia="IRNazanin"/>
          <w:color w:val="111111"/>
          <w:sz w:val="28"/>
          <w:sz w:val="28"/>
          <w:szCs w:val="28"/>
          <w:rtl w:val="true"/>
          <w:lang w:bidi="fa-IR"/>
        </w:rPr>
        <w:t xml:space="preserve">من أصحاب أبی عبد الله علیه السلام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فی الخلاصة أتی بعبارة النجاشی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الإیضاح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الفزاری العَرْزَمی بفتح العین المهملة وإسکان الراء وفتح الزای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أشیاخی یذکرون أنّ حماداً وجعفراً والحسین بنی عثمان بن زیاد الرواسی وحماد یلقب بالناب </w:t>
      </w:r>
      <w:r>
        <w:rPr>
          <w:rStyle w:val="FootnoteAnchor"/>
          <w:rtl w:val="true"/>
        </w:rPr>
        <w:footnoteReference w:id="232"/>
      </w:r>
      <w:r>
        <w:rPr>
          <w:rFonts w:ascii="IRNazanin" w:hAnsi="IRNazanin" w:eastAsia="IRNazanin"/>
          <w:color w:val="111111"/>
          <w:sz w:val="28"/>
          <w:sz w:val="28"/>
          <w:szCs w:val="28"/>
          <w:rtl w:val="true"/>
          <w:lang w:bidi="fa-IR"/>
        </w:rPr>
        <w:t xml:space="preserve">کلهم ثقات فاضلون خیار ، حماد بن عثمان مولی غنی مات سنة تسعین ومائة بالکوفة </w:t>
      </w:r>
      <w:r>
        <w:rPr>
          <w:rStyle w:val="FootnoteAnchor"/>
          <w:rtl w:val="true"/>
        </w:rPr>
        <w:footnoteReference w:id="23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فی الإخوة عبد الله المذکور فی النجاشی ، وهذا من جملة الأسباب لظن التعدد ، والوالد قدس سره کان جازما بالاتحاد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وشیخنا المحقق أیّده الله فی کتاب الرجال احتمل الاتحاد </w:t>
      </w:r>
      <w:r>
        <w:rPr>
          <w:rStyle w:val="FootnoteAnchor"/>
          <w:rtl w:val="true"/>
        </w:rPr>
        <w:footnoteReference w:id="235"/>
      </w:r>
      <w:r>
        <w:rPr>
          <w:rFonts w:ascii="IRNazanin" w:hAnsi="IRNazanin" w:eastAsia="IRNazanin"/>
          <w:color w:val="111111"/>
          <w:sz w:val="28"/>
          <w:sz w:val="28"/>
          <w:szCs w:val="28"/>
          <w:rtl w:val="true"/>
          <w:lang w:bidi="fa-IR"/>
        </w:rPr>
        <w:t xml:space="preserve">، وربما یقرّبه ذکر النجاشی لشخص واحد ، والشیخ کثیراً ما یکرّر اسم الرجل الواحد علی حسب ما یجده فی المأخوذ منه بوصف مغایر للوصف الآخر وإن أمکن الاجتماع فی شخص واحد نظراً إلی أنّ وضع الأوصاف تابع </w:t>
      </w:r>
      <w:bookmarkStart w:id="180" w:name="pg15025_160202"/>
    </w:p>
    <w:p>
      <w:pPr>
        <w:pStyle w:val="BookText"/>
        <w:rPr/>
      </w:pPr>
      <w:bookmarkEnd w:id="180"/>
      <w:r>
        <w:rPr>
          <w:rFonts w:ascii="IRNazanin" w:hAnsi="IRNazanin" w:eastAsia="IRNazanin"/>
          <w:color w:val="111111"/>
          <w:sz w:val="28"/>
          <w:sz w:val="28"/>
          <w:szCs w:val="28"/>
          <w:rtl w:val="true"/>
          <w:lang w:bidi="fa-IR"/>
        </w:rPr>
        <w:t>لاختلاف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وقع فی الکشی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شی‌ء ، وکأنّ الواو سقط من النسخة ، إلاّ أنّ ذکر مولی غنی یشعر بالمغایرة لما سبق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یظن أنّه لا یفید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یوجّه لو احتیج إلیه بأنّ الظاهر من الأشیاخ الجمیع ، وفیهم من هو ثقة کما لا یخفی علی الممارس للطرق فی الکشی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احتیج إلیه ؛ لأن الإجماع مدعی علی تصحیح ما یصح عن حماد فی الکشی </w:t>
      </w:r>
      <w:r>
        <w:rPr>
          <w:rStyle w:val="FootnoteAnchor"/>
          <w:rtl w:val="true"/>
        </w:rPr>
        <w:footnoteReference w:id="236"/>
      </w:r>
      <w:r>
        <w:rPr>
          <w:rFonts w:ascii="IRNazanin" w:hAnsi="IRNazanin" w:eastAsia="IRNazanin"/>
          <w:color w:val="111111"/>
          <w:sz w:val="28"/>
          <w:sz w:val="28"/>
          <w:szCs w:val="28"/>
          <w:rtl w:val="true"/>
          <w:lang w:bidi="fa-IR"/>
        </w:rPr>
        <w:t>، مضافا إلی توثیق الشیخ إن کان حماد الناب غیر العَرْزَمی ، وإن اتحدا فالنجاشی کلامه کاف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الإجماع المنقول فی حماد بن عثمان فی حیّز الإجمال علی تقدیر التعدد ، وحینئذ فالأمر لا یخلو من إشکال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السکونی وحاله قد قدّمناه </w:t>
      </w:r>
      <w:r>
        <w:rPr>
          <w:rStyle w:val="FootnoteAnchor"/>
          <w:rtl w:val="true"/>
        </w:rPr>
        <w:footnoteReference w:id="237"/>
      </w:r>
      <w:r>
        <w:rPr>
          <w:rFonts w:ascii="IRNazanin" w:hAnsi="IRNazanin" w:eastAsia="IRNazanin"/>
          <w:color w:val="111111"/>
          <w:sz w:val="28"/>
          <w:sz w:val="28"/>
          <w:szCs w:val="28"/>
          <w:rtl w:val="true"/>
          <w:lang w:bidi="fa-IR"/>
        </w:rPr>
        <w:t xml:space="preserve">مع الشهرة المغنیة عن الذکر ؛ ومحمد بن سعید بن غزوان مذکور فی النجاشی مهملا </w:t>
      </w:r>
      <w:r>
        <w:rPr>
          <w:rStyle w:val="FootnoteAnchor"/>
          <w:rtl w:val="true"/>
        </w:rPr>
        <w:footnoteReference w:id="238"/>
      </w:r>
      <w:r>
        <w:rPr>
          <w:rFonts w:ascii="IRNazanin" w:hAnsi="IRNazanin" w:eastAsia="IRNazanin"/>
          <w:color w:val="111111"/>
          <w:sz w:val="28"/>
          <w:sz w:val="28"/>
          <w:szCs w:val="28"/>
          <w:rtl w:val="true"/>
          <w:lang w:bidi="fa-IR"/>
        </w:rPr>
        <w:t>؛ وأبو همام هو إسماعیل بن همام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ربما یظهر منه إرادة صلاة النهار واللیل الفرائض أو ما یعم النوافل ، أمّا احتمال إرادة نوافل اللیل مع صلاة الصبح ونحوها فبعید عن الظاهر ، وعلی کل حال فی الخبر دلالة علی أنّ تأخیر الصلاة إنّما هو مع</w:t>
      </w:r>
    </w:p>
    <w:p>
      <w:pPr>
        <w:pStyle w:val="Heading4"/>
        <w:numPr>
          <w:ilvl w:val="3"/>
          <w:numId w:val="1"/>
        </w:numPr>
        <w:rPr/>
      </w:pPr>
      <w:bookmarkStart w:id="181" w:name="__RefHeading___Toc146580_2142443653"/>
      <w:bookmarkStart w:id="182" w:name="_Toc68"/>
      <w:bookmarkEnd w:id="181"/>
      <w:r>
        <w:rPr>
          <w:rtl w:val="true"/>
        </w:rPr>
        <w:t>إشارة إلی حال السکونی</w:t>
      </w:r>
      <w:bookmarkEnd w:id="182"/>
    </w:p>
    <w:p>
      <w:pPr>
        <w:pStyle w:val="Heading4"/>
        <w:numPr>
          <w:ilvl w:val="3"/>
          <w:numId w:val="1"/>
        </w:numPr>
        <w:rPr/>
      </w:pPr>
      <w:bookmarkStart w:id="183" w:name="__RefHeading___Toc146582_2142443653"/>
      <w:bookmarkStart w:id="184" w:name="_Toc69"/>
      <w:bookmarkEnd w:id="183"/>
      <w:r>
        <w:rPr>
          <w:rtl w:val="true"/>
        </w:rPr>
        <w:t>محمّد بن سعید بن غزوان مهمل</w:t>
      </w:r>
      <w:bookmarkEnd w:id="184"/>
    </w:p>
    <w:p>
      <w:pPr>
        <w:pStyle w:val="Heading4"/>
        <w:numPr>
          <w:ilvl w:val="3"/>
          <w:numId w:val="1"/>
        </w:numPr>
        <w:rPr/>
      </w:pPr>
      <w:bookmarkStart w:id="185" w:name="__RefHeading___Toc146584_2142443653"/>
      <w:bookmarkStart w:id="186" w:name="_Toc70"/>
      <w:bookmarkEnd w:id="185"/>
      <w:r>
        <w:rPr>
          <w:rtl w:val="true"/>
        </w:rPr>
        <w:t>أبو همام هو إسماعیل بن همام الثقة</w:t>
      </w:r>
      <w:bookmarkEnd w:id="18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7" w:name="__RefHeading___Toc146586_2142443653"/>
      <w:bookmarkStart w:id="188" w:name="_Toc71"/>
      <w:bookmarkEnd w:id="187"/>
      <w:r>
        <w:rPr>
          <w:rtl w:val="true"/>
        </w:rPr>
        <w:t>دلالة الأخبار علی وجوب تأخیر الصلاة مع التیمّم المبتدأ وجواز فعلها فی أوّل الوقت فی صورة الاستدامة</w:t>
      </w:r>
      <w:bookmarkEnd w:id="188"/>
    </w:p>
    <w:p>
      <w:pPr>
        <w:pStyle w:val="BookText"/>
        <w:rPr/>
      </w:pPr>
      <w:r>
        <w:rPr>
          <w:rFonts w:ascii="IRNazanin" w:hAnsi="IRNazanin" w:eastAsia="IRNazanin"/>
          <w:color w:val="111111"/>
          <w:sz w:val="28"/>
          <w:sz w:val="28"/>
          <w:szCs w:val="28"/>
          <w:rtl w:val="true"/>
          <w:lang w:bidi="fa-IR"/>
        </w:rPr>
        <w:t xml:space="preserve">التیمّم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لتأخیره أیضاً </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أوضح دلالة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بمنزلة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ما ثبت للماء یثبت له ، إلاّ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کالأول 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 من لاحظ الأخبار المبحوث عنها وغیرها ، مما دلّ علی تأخیر التیمم والصلاة أنّه لا مانع من وجوب </w:t>
      </w:r>
      <w:r>
        <w:rPr>
          <w:rStyle w:val="FootnoteAnchor"/>
          <w:rtl w:val="true"/>
        </w:rPr>
        <w:footnoteReference w:id="240"/>
      </w:r>
      <w:r>
        <w:rPr>
          <w:rFonts w:ascii="IRNazanin" w:hAnsi="IRNazanin" w:eastAsia="IRNazanin"/>
          <w:color w:val="111111"/>
          <w:sz w:val="28"/>
          <w:sz w:val="28"/>
          <w:szCs w:val="28"/>
          <w:rtl w:val="true"/>
          <w:lang w:bidi="fa-IR"/>
        </w:rPr>
        <w:t xml:space="preserve">تأخیر الصلاة والتیمم علی تقدیره إذا کان مبتدءاً وتقدیم الصلاة بدونه ، واحتمال أن تکون العلّة فی تأخیر الصلاة احتمال وجود الماء ، والعلّة موجودة فی صورة الاستدامة ، یدفعه أنّه یجوز أن یکون لحصول التیمم مدخل فی نفی احتمال وجود الماء ، وقد قدّمنا عن بعض محققی المتأخّرین کلاماً فی تأیید مثل هذه الأخبار لتوسعة التیمم </w:t>
      </w:r>
      <w:r>
        <w:rPr>
          <w:rStyle w:val="FootnoteAnchor"/>
          <w:rtl w:val="true"/>
        </w:rPr>
        <w:footnoteReference w:id="241"/>
      </w:r>
      <w:r>
        <w:rPr>
          <w:rFonts w:ascii="IRNazanin" w:hAnsi="IRNazanin" w:eastAsia="IRNazanin"/>
          <w:color w:val="111111"/>
          <w:sz w:val="28"/>
          <w:sz w:val="28"/>
          <w:szCs w:val="28"/>
          <w:rtl w:val="true"/>
          <w:lang w:bidi="fa-IR"/>
        </w:rPr>
        <w:t xml:space="preserve">، ونقول هنا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بمنزلة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لا تدل علی جواز الفعل فی أوّل الوقت ، بل إنّما تدل علی جواز فعل صلاة اللیل والنهار بتیمم واحد ، وعلی تقدیر ظاهر الدلالة فالخبر الدال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ولیصلّ فی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دالّ علی تأخیر التیمم والصلاة ، فإذا انتفی الأوّل بقی الآخر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الأخبار علی الإطلاق غیر خفیة ، والخبر السابق له ظهور فی أنّ المبتدئ بالتیمم یؤخّر الصلاة لا مطلق المتیمّم ، فلا وجه لتقیید أحدهما بالآخر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المختلف نقل عن الشیخ فی المبسوط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تیمم لنافلة فی غیر وقت فریضة أو لقضاء فریضة فی غیر وقت حاضرة جاز ذلک ، فإذا دخل وقت الفریضة جاز له أن یصلّی بذلک التیمم ؛ وهو یشعر بجواز الصلاة فی أوّل وقتها ، وفیه نظر ، أقربه وجوب التأخیر إلی آخر الوقت إن کان العذر مما یمکن زواله ، لنا أنّ المقتضی لوجوب التأخیر عند ابتداء التیمم موجود عند استصحابه فیجب التأخیر عملاً بالمقتضی ، وبیان اتحاد العلّة أنّ التیمم إنّما أوجبناه فی آخر الوقت لجواز إصابة الماء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المقتضی هو ما ذکرتم ، بل وجوب الطلب ، وهذا المعنی غیر متحقق فی صورة النزاع ، لأنّه لا یجب تعدد الطلب بتعدد الصلاة إجماعا ، وإذا انتفی المقتضی انتفی الحکم قضاءً للعلّیة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أنّ المقتضی لیس هو وجوب الطلب لکن لِمَ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المقتضی هنا هو ما ذکرتم ، بل ها هنا سبب آخر وهو أنّ الصلاة مشروطة بالطهارة ، والتیمم لا یجوز فعله ابتداءً فی أوّل الوقت للحدیث الصحیح ، وإذا لم یجز فعله ابتداءً فی أوّل الوقت وجب تأخیر الصلاة لفوات شرطها وهو الطهارة ، أمّا مع سبق التیمم السابق علی الوقت فإنّه غیر مشروط بآخر الوقت إجماعاً ، لوقوعه قبل الوقت علی وجه الصحة فصحّت الصلاة فی أوّل الوقت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نجیب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کون الطلب علّة لجواز التأخیر ، وإلاّ لزم أحد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إمّا خرق الإجماع أو خروج العلّة عن کونها علّة ، واللازم بقسمیه باطل فالملزوم مثله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إمّا أن یجب فی جمیع أجزاء الوقت الموسّع إلی أن یضیق وقته أو لا یجب ، فإن کان الأوّل لزم خرق الإجماع وهو أحد الأمرین ، إذ لا قائل بوجوب استیعاب وقت السعة للطلب ، ولقائل أن یمنع ذلک ، ووجوب السعی فی الطلب غلوة سهم وسهمین لا یدل علی انتفاء مطلق الطلب الذی یحصل بالانتظار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الأمر الثانی ، لأنّه إذا انتفی وجوب الطلب قبل تضیق الوقت لم یجب التأخیر ، وإلاّ لوجد المعلول من دون العلّة ، فتخرج عن کونها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المانع من جواز التیمم فی أوّل الوقت إیقاع الصلاة بطهارة اضطراریة لا عدم إیقاعه فی أوّل الوقت لذاته ، ولا شک أنّ هذا ثابت فی صورة النزاع ، وبالجملة فالمسألة مشکلة حیث لم نجد فیها نصا عن الأئمة علیهم السلام ، وقول الجماعة إنّه یصلی بالتیمم الواحد صلوات اللیل والنهار لا یعطی مطلوب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کلامه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من أنّ المقتضی لوجوب التأخیر عند ابتداء التیمم موجود عند استصحابه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المقتضی لم یذکر دلیله ، وإنّما هو مجرّد دعوی ، فکیف یجعل دلیلا ، والتوجیه بأنّا إنّما أوجبنا التیمم فی آخر الوقت بجواز إصابة الماء لا یصلح للإثبات ، بل العلة مستنبطة ، ومن ثم ذهب بعض الأصحاب إلی المضایقة وإن حصل الیأس من الماء </w:t>
      </w:r>
      <w:r>
        <w:rPr>
          <w:rStyle w:val="FootnoteAnchor"/>
          <w:rtl w:val="true"/>
        </w:rPr>
        <w:footnoteReference w:id="244"/>
      </w:r>
      <w:r>
        <w:rPr>
          <w:rFonts w:ascii="IRNazanin" w:hAnsi="IRNazanin" w:eastAsia="IRNazanin"/>
          <w:color w:val="111111"/>
          <w:sz w:val="28"/>
          <w:sz w:val="28"/>
          <w:szCs w:val="28"/>
          <w:rtl w:val="true"/>
          <w:lang w:bidi="fa-IR"/>
        </w:rPr>
        <w:t>، ولو سلّم أنّ المقتضی ما ذکره لکن یجوز أنّ هذا المقتضی إنّما هو لإیجاد التیمم لا لاستمراره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أنّ المقتضی ما ذکر هو العلم الضروری بأنّ العلّة جواز إصابة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فی ابتداء التیمم لو تم لا یلزم مثله فی الاستمرار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الاعتراض من أنّه مع سبق التیمم السابق علی الوقت فإنّه غیر مشروط بآخر الوقت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بالتیمم السابق إن کان المجدد سابقا فلا ریب أنّه تابع فی الوقوع </w:t>
      </w:r>
      <w:r>
        <w:rPr>
          <w:rStyle w:val="FootnoteAnchor"/>
          <w:rtl w:val="true"/>
        </w:rPr>
        <w:footnoteReference w:id="245"/>
      </w:r>
      <w:r>
        <w:rPr>
          <w:rFonts w:ascii="IRNazanin" w:hAnsi="IRNazanin" w:eastAsia="IRNazanin"/>
          <w:color w:val="111111"/>
          <w:sz w:val="28"/>
          <w:sz w:val="28"/>
          <w:szCs w:val="28"/>
          <w:rtl w:val="true"/>
          <w:lang w:bidi="fa-IR"/>
        </w:rPr>
        <w:t>للخلاف ، وإن کان المستمر فلا دخل له بل هو غیر ما الکلام فیه ، واشتراط التأخیر فی المستصحب من قبیل اللغو کما یعرف بأدنی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الإیراد أیّ شی‌ء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ما ادّعیته من المقتضی وهو جواز إصابة الماء غیر مسلّم ، بل المقتضی وجوب الطلب ، ومع التیمم السابق لا یجب الطلب ، إذ لا یجب الطلب للصلوات المتعددة إجماعاً ، وإذا انتفی المقتضی ینتفی الحکم ، ولو سلّم أنّ المقتضی لیس هو وجوب الطلب ، فهنا سبب آخر غیر ما ذکره المصنف من المقتضی ، وهو أنّ الصلاة مشروطة بالطهارة ، والتیمم لا یجوز فعله ابتداءً فی أوّل الوقت للخبر ، فوجب تأخیر الصلاة لفوات شرطها وهو الطهارة ، ومع سبق التیمم یتحقق الشرط فتجب الصلاة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 السؤال یتوجه 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تعدد الطلب بتعدد الصلاة إجماعا ، إمّا أن یرید بالطلب ما هو معروف من الغلوة والغلوتین أو غیر ذلک ، فإن کان الأوّل فما ذکره من عدم الوجوب یمکن تسلیمه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الثانی فالقائل به ربما کان موجوداً ، لأن الذی یظهر من المحقّق العمل بمضمون الخبر السابق الدال علی أنّه یطلب ما دام فی الوقت بناءً علی ما فهمه منه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فهم ذلک له وجه علی ما خطر فی بالی الآن ، وإن سبق احتمال فی معناه ، لکن الکلام فی الرجحان ، وحینئذ فالطلب له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أجاب به العلاّمة أوّلاً بناه علی إرادة الطلب غلوة سهم أو سهمین ، ثم تفطن لاحتمال إرادة معنیً آخر ، لکن کان علیه أن یذکر أن الإجماع المذکور لیس عامّاً فی کل طلب وإلاّ لما 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عبارته فی توجیه الثانی فلا تخلو من شی‌ء علی ما وجدته فی النسخ لکن المعنی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جوابه عن الثانی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غیر مسلم الثبوت بل یجوز أن یکون المانع إیقاع الصلاة بطهارة اضطراریة ابتداء لا استدامة ، وهذه واسطة بین کونه لذاته وما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Style w:val="FootnoteAnchor"/>
          <w:rtl w:val="true"/>
        </w:rPr>
        <w:footnoteReference w:id="247"/>
      </w:r>
      <w:r>
        <w:rPr>
          <w:rFonts w:ascii="IRNazanin" w:hAnsi="IRNazanin" w:eastAsia="IRNazanin"/>
          <w:color w:val="111111"/>
          <w:sz w:val="28"/>
          <w:sz w:val="28"/>
          <w:szCs w:val="28"/>
          <w:rtl w:val="true"/>
          <w:lang w:bidi="fa-IR"/>
        </w:rPr>
        <w:t xml:space="preserve">ثالثا فما ذکره من عدم وجود النص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النصوص المبحوث عنها صالحة للاستدلال ، مضافا إلی بعض الاعتبارات التی قدّمناها ، وعدم اقتضاء قول الجماعة مطلوب الشیخ لیس بواضح ، بل قولهم یتناول ما ذکره من حیث الإطلاق ،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محمد بن علی بن محبوب ، عن العباس ، عن أبی همام ، عن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لکل صلاة حتی یجد الماء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أیضا محمد بن أحمد بن یحیی ، عن العباس ، عن أبی همام ، عن محمد بن سعید بن غزوان ، عن السکونی ، عن جعفر ، عن أبیه ، عن آبائه علیهم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یتمتع بالتیمم إلاّ صلاة واحدة ونافلتها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ما فی هذا الخبر أنّه واحد ، ومع ذلک تختلف ألفاظه والراوی واحد ، لأنّ أبا همام فی روایة محمد بن علی بن محبوب رواه عن الرضا علیه السلام بلا واسطة ، وفی روایة محمد بن أحمد بن یحیی عن محمد بن سعید بن غزوان عن السکونی عن أبی عبد الله علیه السلام ، والحکم واحد ، وهذا یضعف الاحتجاج به ، علی أنّ راوی هذا الخبر بهذا الاسناد بعینه روی مثل ما ذکرناه ، وهی روایة محمد بن علی بن محبوب ، عن العباس ، عن أبی همام ، عن محمد بن سعید بن غزوان ، عن السکونی عن جعفر علیه السلام وقد قدمناها ، فعلم بذلک أنّ ما تضمنه هذا الخبر سهو من الراوی ، ویمکن مع تسلیم الخبر أن نحمله علی من یکون تمکن من استعمال الماء فیما بعد فلم یتوضّأ فلا یجوز له أن یستبیح بالتیمم المتقدم أکثر من صلاة واحدة ، وعلیه أن یستأنف التیمم لما یستقبل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الحسین بن سعید ، عن حماد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الرجل بتیمم واحد صلاة اللیل والنهار کلها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ما لم یحدث أو یصیب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 الماء ورجا أن یقدر علی ماء آخر وظن أنّه یقدر علیه فلمّا أراده تعسّر ذلک علیه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ینقض ذلک تیممه وعلیه أن یعید التیمم </w:t>
      </w:r>
      <w:r>
        <w:rPr>
          <w:rFonts w:eastAsia="IRNazanin" w:cs="IRNazanin"/>
          <w:color w:val="111111"/>
          <w:sz w:val="28"/>
          <w:szCs w:val="28"/>
          <w:rtl w:val="true"/>
          <w:lang w:bidi="fa-IR"/>
        </w:rPr>
        <w:t xml:space="preserve">». </w:t>
      </w:r>
      <w:bookmarkStart w:id="189" w:name="pg15025_160209"/>
    </w:p>
    <w:p>
      <w:pPr>
        <w:pStyle w:val="BookText"/>
        <w:rPr/>
      </w:pPr>
      <w:bookmarkEnd w:id="189"/>
      <w:r>
        <w:rPr>
          <w:rFonts w:ascii="IRNazanin" w:hAnsi="IRNazanin" w:eastAsia="IRNazanin"/>
          <w:color w:val="111111"/>
          <w:sz w:val="28"/>
          <w:sz w:val="28"/>
          <w:szCs w:val="28"/>
          <w:rtl w:val="true"/>
          <w:lang w:bidi="fa-IR"/>
        </w:rPr>
        <w:t>علی أنّه یمکن حمله علی ضرب من الاستحباب مثل تجدید الوضوء لکل صلاة وأنّه إسباغ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الخبرین الأولین واضح ممّا قدّمناه ، وکذلک الثالث والرابع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الشیخ فیه لا یخلو من تأمّل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 لأنّ المتن متغایر ، ومفاد الثانی زیادة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اختلاف الألفاظ مع اتحاد الراوی یضعف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الراوی غیر متحد ، لأنّ أبا همام روی کل حکم عن إمام ، وکونه روی </w:t>
      </w:r>
      <w:r>
        <w:rPr>
          <w:rStyle w:val="FootnoteAnchor"/>
          <w:rtl w:val="true"/>
        </w:rPr>
        <w:footnoteReference w:id="248"/>
      </w:r>
      <w:r>
        <w:rPr>
          <w:rFonts w:ascii="IRNazanin" w:hAnsi="IRNazanin" w:eastAsia="IRNazanin"/>
          <w:color w:val="111111"/>
          <w:sz w:val="28"/>
          <w:sz w:val="28"/>
          <w:szCs w:val="28"/>
          <w:rtl w:val="true"/>
          <w:lang w:bidi="fa-IR"/>
        </w:rPr>
        <w:t>ما ذکره الشیخ لا یضر بالحال ، غایة الأمر أنّ الجمع لا بد منه ، وبالجملة فضرورة ما ذکره بالاحتجاج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من الجمع لا ینبغی إبداؤه فی کتب الحدیث لأنّه أمر معلوم ، فوقوع مثله من الإمام علیه السلام من قبیل ما لا فائدة فیه ، مع أنّ ذکر النافلة أیضاً لا وجه له ، کما أنّ الاختصاص بوجود الماء کذلک ، والخبر الذی استدل به لا یفید فائدة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فالحمل علی الاستحباب وإن أمکن إلاّ أنّ إثباته بمجرّد الاحتمال لا وجه له ، بل ینبغی ذکر ما یدل علیه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تجدید الوضوء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0" w:name="__RefHeading___Toc146588_2142443653"/>
      <w:bookmarkStart w:id="191" w:name="_Toc72"/>
      <w:bookmarkEnd w:id="190"/>
      <w:r>
        <w:rPr>
          <w:rtl w:val="true"/>
        </w:rPr>
        <w:t>المناقشة فی توجیه الشیخ لما دلّ علی وجوب التیمّم لکل صلاة</w:t>
      </w:r>
      <w:bookmarkStart w:id="192" w:name="pg15025_160210"/>
      <w:bookmarkEnd w:id="191"/>
    </w:p>
    <w:p>
      <w:pPr>
        <w:pStyle w:val="BookText"/>
        <w:rPr/>
      </w:pPr>
      <w:bookmarkEnd w:id="192"/>
      <w:r>
        <w:rPr>
          <w:rFonts w:ascii="IRNazanin" w:hAnsi="IRNazanin" w:eastAsia="IRNazanin"/>
          <w:color w:val="111111"/>
          <w:sz w:val="28"/>
          <w:sz w:val="28"/>
          <w:szCs w:val="28"/>
          <w:rtl w:val="true"/>
          <w:lang w:bidi="fa-IR"/>
        </w:rPr>
        <w:t>إسباغ ، غیر معروف من تفسیر الإسباغ ، ولعل هذا لا یضر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فی توجیه الخبر الأوّل أنّ المراد به کون التیمم لا یختص بالیومیة ، بل هو سائغ لکل صلاة من الیومیة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فالاعتماد علیه یوجب الإشکال بالنسبة إلی الشیخ فی اعتبار التأخیر ، إذ مقتضاه أنّ التیمم جائز للفرض والنافلة ، والشیخ إن أراد بالتأخیر ما یتناول الفرض والنفل ، أمکن توجیه کلامه ، لکن لم أقف الآن علی مصرح به ، وکون هذا مذهبا للشیخ فی الکتاب غیر معلوم کما نبّهنا علیه ، وعلی کل حال فی الخبر دلالة علی التوسعة فی الجملة إن صح ، والحمل علی الاستحباب قابل للتوجیه فی الخبر الثانی ، أمّا الأوّل فالوجه الذی ذکرناه ربما ساوی احتمال الاستحباب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الخبر الأخیر ظاهره أنّ مجرّد إصابة الماء تنقض التیمم وإن لم تستمرّ القدرة علی استعماله بمقدار الطهارة ، ویحتمل أن یقید من خارج بما دل علی أنّ التکلیف فرع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یشکل بأنّه لو توقف علی مضی الزمان لزم عدم الحکم بإبطال الصلاة مع وجود الماء فی الأثناء علی التفصیل الآتی ، لإمکان أن یقال نحو ما قلناه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الحق لزوم الإشکال فی مثل هذا باحتمال وجوب الوضوء أو نقض التیمم مراعی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المراعاة تقتضی عدم الوجوب فی أوّل الأمر مع دلالة بعض الأخبار علی خلافه ، ولعلّ من لم یعتبر الوجه فالأمر عنده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ما ذکره بعض محقّقی المعاصرین أیده الله بعد النقل عن بعض أنّه مال إلی عدم الانتقاض إلاّ بمضیّ ذلک المقدار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3" w:name="__RefHeading___Toc146590_2142443653"/>
      <w:bookmarkStart w:id="194" w:name="_Toc73"/>
      <w:bookmarkEnd w:id="193"/>
      <w:r>
        <w:rPr>
          <w:rtl w:val="true"/>
        </w:rPr>
        <w:t>هل ینتقض التیمّم بمجرّد إصابة الماء</w:t>
      </w:r>
      <w:bookmarkEnd w:id="194"/>
    </w:p>
    <w:p>
      <w:pPr>
        <w:pStyle w:val="BookText"/>
        <w:rPr/>
      </w:pPr>
      <w:r>
        <w:rPr>
          <w:rFonts w:ascii="IRNazanin" w:hAnsi="IRNazanin" w:eastAsia="IRNazanin"/>
          <w:color w:val="111111"/>
          <w:sz w:val="28"/>
          <w:sz w:val="28"/>
          <w:szCs w:val="28"/>
          <w:rtl w:val="true"/>
          <w:lang w:bidi="fa-IR"/>
        </w:rPr>
        <w:t xml:space="preserve">مستدلاً بامتناع التکلیف بعبادة فی وقت لا یسعها ، من أنّ فیه نظراً ، إذ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ملازمة بین عدم تکلیف المتیمم باستعمال الماء وبین بقاء تیممه من غیر إیجاب تیمم آخر علیه ، بل الظاهر أن یکون نفس وجدان الماء المظنون بقاؤه ذلک المقدار استصحاباً للحال ناقضاً فیجب به تیمّم آخر إذا لم یبق ذلک المقدار بطروّ انعدام علیه أو سبق آخر إلیه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وجه لولا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الملازمة لا یمکن نفیها مطلقا بالنسبة إلی الماء ، إذ لو أصاب الماء المتیمم وهو لا یقدر شرعاً علی استعماله کما فی صورة الدخول فی الصلاة ثم یجد الماء علی التفصیل الآتی ینبغی انتقاض التیمم حینئذ ، والحال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بأنّ المراد عدم الملازمة ما لم یقم الدلیل علی خلافه ، والاعتماد فی ترک البیان علی عدم الخفاء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الإضراب الواقع لا دلیل علیه ، بل النص مطلق فی أنّ مجرّد إصابة الماء موجبة للتیمم ، فاعتبار الظن إن کان للملازمة المذکورة من القائل فهو اعتراف بعد النظر ، واحتمال إرادة القائل للعلم بعید ، فلیتأمّل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شی‌ء وهو أنّ الذی وقفت علیه ممّا سمعته تضمن وجدان الماء ، أمّا لو حصل ظن زوال العذر الموجب للتیمم فهل هو کوجدان الماء؟ أم یخص الحکم بمورد الدلیل ، ویبقی ما عداه علی حکم التیمم إلی أن یحصل العلم ، احتمالان ، ولعلّ الثانی له رجحان </w:t>
      </w:r>
      <w:r>
        <w:rPr>
          <w:rFonts w:eastAsia="IRNazanin" w:cs="IRNazanin"/>
          <w:color w:val="111111"/>
          <w:sz w:val="28"/>
          <w:szCs w:val="28"/>
          <w:rtl w:val="true"/>
          <w:lang w:bidi="fa-IR"/>
        </w:rPr>
        <w:t xml:space="preserve">... ) </w:t>
      </w:r>
      <w:r>
        <w:rPr>
          <w:rStyle w:val="FootnoteAnchor"/>
          <w:rtl w:val="true"/>
        </w:rPr>
        <w:footnoteReference w:id="250"/>
      </w:r>
      <w:bookmarkStart w:id="195" w:name="pg15025_160212"/>
    </w:p>
    <w:p>
      <w:pPr>
        <w:pStyle w:val="BookText"/>
        <w:rPr/>
      </w:pPr>
      <w:bookmarkEnd w:id="19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الطلب</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الصفار ، عن إبراهیم بن هاشم ، عن النوفلی ، عن السکونی ، عن جعفر ، عن أبیه عن علی علیهم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یطلب الماء فی السفر إن کانت الحزونة فغلوة ، وإن کانت سهولة فغلوتین لا یطلب أکثر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الحسن بن موسی الخشاب ، عن علی بن أسباط ، عن علی بن سالم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أتیمّم وأُصلّی ثم أجد الماء وقد بقی علیّ وقت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تعد الصلاة فإنّ ربّ الماء هو ربّ الصعید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داود بن کثیر الرقی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أفأطلب الماء یمیناً وشمالاً؟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تطلب لا یمیناً ولا شمالاً ولا فی بئر ، إن وجدته علی الطریق فتوضّأ وإن لم تجده فامض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حال الخوف والضرورة ، فأمّا مع ارتفاع الأعذار فلا بد من الطلب حسبما تضمنه 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الحال فی أنّه لا یصلح سنداً لإثبات حکم عند غیر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 إلاّ أن علی بن سالم مجهول الحال ؛ والحسن</w:t>
      </w:r>
    </w:p>
    <w:p>
      <w:pPr>
        <w:pStyle w:val="Heading3"/>
        <w:numPr>
          <w:ilvl w:val="2"/>
          <w:numId w:val="1"/>
        </w:numPr>
        <w:rPr/>
      </w:pPr>
      <w:bookmarkStart w:id="196" w:name="__RefHeading___Toc146592_2142443653"/>
      <w:bookmarkStart w:id="197" w:name="_Toc74"/>
      <w:bookmarkEnd w:id="196"/>
      <w:r>
        <w:rPr>
          <w:rtl w:val="true"/>
        </w:rPr>
        <w:t>وجوب الطلب</w:t>
      </w:r>
      <w:bookmarkEnd w:id="197"/>
    </w:p>
    <w:p>
      <w:pPr>
        <w:pStyle w:val="Heading4"/>
        <w:numPr>
          <w:ilvl w:val="3"/>
          <w:numId w:val="1"/>
        </w:numPr>
        <w:rPr/>
      </w:pPr>
      <w:bookmarkStart w:id="198" w:name="__RefHeading___Toc146594_2142443653"/>
      <w:bookmarkStart w:id="199" w:name="_Toc75"/>
      <w:bookmarkEnd w:id="198"/>
      <w:r>
        <w:rPr>
          <w:rtl w:val="true"/>
        </w:rPr>
        <w:t>علی بن سالم مجهول</w:t>
      </w:r>
      <w:bookmarkEnd w:id="19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0" w:name="__RefHeading___Toc146596_2142443653"/>
      <w:bookmarkStart w:id="201" w:name="_Toc76"/>
      <w:bookmarkEnd w:id="200"/>
      <w:r>
        <w:rPr>
          <w:rtl w:val="true"/>
        </w:rPr>
        <w:t>الحسن بن موسی الخشاب لا یبعد ثبوت مدحه</w:t>
      </w:r>
      <w:bookmarkStart w:id="202" w:name="pg15025_160213"/>
      <w:bookmarkEnd w:id="201"/>
    </w:p>
    <w:p>
      <w:pPr>
        <w:pStyle w:val="BookText"/>
        <w:rPr/>
      </w:pPr>
      <w:bookmarkEnd w:id="202"/>
      <w:r>
        <w:rPr>
          <w:rFonts w:ascii="IRNazanin" w:hAnsi="IRNazanin" w:eastAsia="IRNazanin"/>
          <w:color w:val="111111"/>
          <w:sz w:val="28"/>
          <w:sz w:val="28"/>
          <w:szCs w:val="28"/>
          <w:rtl w:val="true"/>
          <w:lang w:bidi="fa-IR"/>
        </w:rPr>
        <w:t xml:space="preserve">ابن موسی الخشاب قدّمنا القول فیه </w:t>
      </w:r>
      <w:r>
        <w:rPr>
          <w:rStyle w:val="FootnoteAnchor"/>
          <w:rtl w:val="true"/>
        </w:rPr>
        <w:footnoteReference w:id="251"/>
      </w:r>
      <w:r>
        <w:rPr>
          <w:rFonts w:ascii="IRNazanin" w:hAnsi="IRNazanin" w:eastAsia="IRNazanin"/>
          <w:color w:val="111111"/>
          <w:sz w:val="28"/>
          <w:sz w:val="28"/>
          <w:szCs w:val="28"/>
          <w:rtl w:val="true"/>
          <w:lang w:bidi="fa-IR"/>
        </w:rPr>
        <w:t xml:space="preserve">، ولا یبعد ثبوت مدحه ؛ وداود بن کثیر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جدّا </w:t>
      </w:r>
      <w:r>
        <w:rPr>
          <w:rStyle w:val="FootnoteAnchor"/>
          <w:rtl w:val="true"/>
        </w:rPr>
        <w:footnoteReference w:id="252"/>
      </w:r>
      <w:r>
        <w:rPr>
          <w:rFonts w:ascii="IRNazanin" w:hAnsi="IRNazanin" w:eastAsia="IRNazanin"/>
          <w:color w:val="111111"/>
          <w:sz w:val="28"/>
          <w:sz w:val="28"/>
          <w:szCs w:val="28"/>
          <w:rtl w:val="true"/>
          <w:lang w:bidi="fa-IR"/>
        </w:rPr>
        <w:t xml:space="preserve">، والشیخ قال فی رجال الکاظم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w:t>
      </w:r>
      <w:r>
        <w:rPr>
          <w:rStyle w:val="FootnoteAnchor"/>
          <w:rtl w:val="true"/>
        </w:rPr>
        <w:footnoteReference w:id="253"/>
      </w:r>
      <w:r>
        <w:rPr>
          <w:rFonts w:ascii="IRNazanin" w:hAnsi="IRNazanin" w:eastAsia="IRNazanin"/>
          <w:color w:val="111111"/>
          <w:sz w:val="28"/>
          <w:sz w:val="28"/>
          <w:szCs w:val="28"/>
          <w:rtl w:val="true"/>
          <w:lang w:bidi="fa-IR"/>
        </w:rPr>
        <w:t xml:space="preserve">، والعلاّمة فی الخلاصة اتفق له فیه اضطراب ، لأنّه بعد نقل قول الشیخ والنجاشی وابن الغضائری الدال کلامه صریحا علی أنّه فاسد المذهب ضعیف الروایة لا یلتفت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وعندی فی أمره توقف ، والأقوی قبول روایته لقول الشیخ الطوسی رحمه الله وقول الکشی أیضا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قول النجاشی مقدم علی قول الشیخ کما قدّمنا فیه القول </w:t>
      </w:r>
      <w:r>
        <w:rPr>
          <w:rStyle w:val="FootnoteAnchor"/>
          <w:rtl w:val="true"/>
        </w:rPr>
        <w:footnoteReference w:id="256"/>
      </w:r>
      <w:r>
        <w:rPr>
          <w:rFonts w:ascii="IRNazanin" w:hAnsi="IRNazanin" w:eastAsia="IRNazanin"/>
          <w:color w:val="111111"/>
          <w:sz w:val="28"/>
          <w:sz w:val="28"/>
          <w:szCs w:val="28"/>
          <w:rtl w:val="true"/>
          <w:lang w:bidi="fa-IR"/>
        </w:rPr>
        <w:t xml:space="preserve">، علی أنّه قد انضم إلی قول النجاشی قول ابن الغضائری ، والظاهر من العلاّمة الاعتماد علیه کما قدّمناه فی أوّل الکتاب ، وقول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وعندی فی أمره توقف ، 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 غریب ، واحتمال أن یکون القول بالتوقف من ابن الغضائری ، لا وجه له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طرق الفقیه ما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أنزلوا داود الرقی منی بمنزلة المقداد من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وهذا ربما یدل علی اعتماده علیه ، وأنّ الروایة مقبولة عنده إن کان ما ذکره فی المشیخة داخلاً فیما قاله فی أوّل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نقل عن الصدوق ذلک </w:t>
      </w:r>
      <w:r>
        <w:rPr>
          <w:rStyle w:val="FootnoteAnchor"/>
          <w:rtl w:val="true"/>
        </w:rPr>
        <w:footnoteReference w:id="258"/>
      </w:r>
      <w:r>
        <w:rPr>
          <w:rFonts w:ascii="IRNazanin" w:hAnsi="IRNazanin" w:eastAsia="IRNazanin"/>
          <w:color w:val="111111"/>
          <w:sz w:val="28"/>
          <w:sz w:val="28"/>
          <w:szCs w:val="28"/>
          <w:rtl w:val="true"/>
          <w:lang w:bidi="fa-IR"/>
        </w:rPr>
        <w:t>، فربما کان دافعاً لبعض ما یرد علیه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3" w:name="__RefHeading___Toc146598_2142443653"/>
      <w:bookmarkStart w:id="204" w:name="_Toc77"/>
      <w:bookmarkEnd w:id="203"/>
      <w:r>
        <w:rPr>
          <w:rtl w:val="true"/>
        </w:rPr>
        <w:t>بحث حول داود بن کثیر الرقی</w:t>
      </w:r>
      <w:bookmarkStart w:id="205" w:name="pg15025_160214"/>
      <w:bookmarkEnd w:id="204"/>
    </w:p>
    <w:p>
      <w:pPr>
        <w:pStyle w:val="BookText"/>
        <w:rPr/>
      </w:pPr>
      <w:bookmarkEnd w:id="205"/>
      <w:r>
        <w:rPr>
          <w:rFonts w:ascii="IRNazanin" w:hAnsi="IRNazanin" w:eastAsia="IRNazanin"/>
          <w:color w:val="111111"/>
          <w:sz w:val="28"/>
          <w:sz w:val="28"/>
          <w:szCs w:val="28"/>
          <w:rtl w:val="true"/>
          <w:lang w:bidi="fa-IR"/>
        </w:rPr>
        <w:t xml:space="preserve">أمّا روایة الکشی فهی مرسلة مع ضعف آخر فی إحدی الروایتین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البحث وإن کان قلیل الفائدة فی الحدیث بحصول الضعف بغیره </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إلاّ أنّ له نفعاً فی غیر هذا الموضع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داود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الروایة ، فیکون الحاکی عنه علی بن سالم ، أم لا بل هو من الشیخ فیکون روایة أُخری مرسلة؟ أو هو من علی بن أسباط؟</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الشیخ الروایة فی التهذیب بنحو ما هنا فی موضع </w:t>
      </w:r>
      <w:r>
        <w:rPr>
          <w:rStyle w:val="FootnoteAnchor"/>
          <w:rtl w:val="true"/>
        </w:rPr>
        <w:footnoteReference w:id="261"/>
      </w:r>
      <w:r>
        <w:rPr>
          <w:rFonts w:ascii="IRNazanin" w:hAnsi="IRNazanin" w:eastAsia="IRNazanin"/>
          <w:color w:val="111111"/>
          <w:sz w:val="28"/>
          <w:sz w:val="28"/>
          <w:szCs w:val="28"/>
          <w:rtl w:val="true"/>
          <w:lang w:bidi="fa-IR"/>
        </w:rPr>
        <w:t xml:space="preserve">، وفی آخر روی عن أحمد بن محمد ، عن ابن محبوب ، عن داود الرقی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فی السفر وتحضر الصلاة ولیس معی ماء ویقال إنّ الماء قریب فأطلب ، إلی آخر ما نقله الشیخ هنا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إذا تأمّلت الروایتین بقیام احتمال المغایرة لما قاله داود فی هذه الروایة مع احتمال آخر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ظاهره کما تری طلب الماء فی السفر القدر المذکور ولو فی جهة من الجهات ، إلاّ أنّ الشیخ فی التهذیب بعد قول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فقد الماء فلا یتیمم حتی یدخل وقت الصلاة ثم یطلبه أمامه وعن یمینه وعن شماله مقدار رمیة سهمین من کل جهة إن کانت الأرض سهلة ، وإن کانت حزنة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6" w:name="__RefHeading___Toc146600_2142443653"/>
      <w:bookmarkStart w:id="207" w:name="_Toc78"/>
      <w:bookmarkEnd w:id="206"/>
      <w:r>
        <w:rPr>
          <w:rtl w:val="true"/>
        </w:rPr>
        <w:t>وجوب طلب الماء وکیفیته وحدّة</w:t>
      </w:r>
      <w:bookmarkEnd w:id="207"/>
    </w:p>
    <w:p>
      <w:pPr>
        <w:pStyle w:val="BookText"/>
        <w:rPr/>
      </w:pPr>
      <w:r>
        <w:rPr>
          <w:rFonts w:ascii="IRNazanin" w:hAnsi="IRNazanin" w:eastAsia="IRNazanin"/>
          <w:color w:val="111111"/>
          <w:sz w:val="28"/>
          <w:sz w:val="28"/>
          <w:szCs w:val="28"/>
          <w:rtl w:val="true"/>
          <w:lang w:bidi="fa-IR"/>
        </w:rPr>
        <w:t xml:space="preserve">طلبه فی کل جهة مقدار رمیة سهم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فیما تقدم ما یدل علی وجوب الطلب للماء علی قدر رمیة سهمین مع زوال الخوف ، ویؤکّد ذلک ما رواه محمد بن الحسن الصفار وذکر روایة السکونی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تقدم منه روایة رواها عن محمد بن یعقوب ، عن الحسین بن محمد ، عن معلی بن محمد ، عن الوشاء ، عن حماد بن عثمان ، عن یعقوب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لا یکون معه ماء والماء عن یمین الطریق ویساره غلوتین أو نحو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آمره أن یغرّر بنفسه فیعترض له لصّ أو سبع </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یدل علی أنّه متی لم یخف من لصّ أو سبع وجب علیه الطلب وإن کان علی مقدار غلوتین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حال هذه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من الروایة وجود الماء ، فعلی تقدیر تسلیم الدلالة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الماء یجب لا مع احتمال الماء ، وبتقدیر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اعتبار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الشرائع 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عنده الطلب فیضرب غلوة سهمین فی کل جهة من جهات الأربع إن کانت الأرض سهلة وغلوة سهم إن کانت حزنة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شیخنا قدس سره فی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علماؤنا وأکثر العامة علی أن من کان عذره عدم الماء لا یسوغ له التیمم إلاّ بعد الطلب إذا أمّل الإصابة </w:t>
      </w:r>
    </w:p>
    <w:p>
      <w:pPr>
        <w:pStyle w:val="BookText"/>
        <w:rPr/>
      </w:pPr>
      <w:r>
        <w:rPr>
          <w:rFonts w:ascii="Amiri" w:hAnsi="Amiri" w:eastAsia="Amiri" w:cs="Amiri"/>
          <w:color w:val="111111"/>
          <w:sz w:val="28"/>
          <w:sz w:val="28"/>
          <w:szCs w:val="28"/>
          <w:rtl w:val="true"/>
          <w:lang w:bidi="ar-SA"/>
        </w:rPr>
        <w:t xml:space="preserve">وکان فی الوقت سعة ، حکی ذلک المصنف فی المعتبر ، والعلاّمة فی المنتهی ، ویدلُّ علی ذلک ظاهر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 وما رواه الشیخ فی الحسن عن زرارة ، وذکر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الآتیة ، وقد مضت أیضاً </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وعن السکونی ، وذکر الروایة الاولی ، إلی أن قال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الأصحاب فی کیفیة الطلب وحدّه ، فقال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والطلب واجب قبل تضیق الوقت فی رحله وعن یمینه وعن یساره وسائر جوانبه رمیة سهم أو سهمین إذا لم یکن خوف ، وکذلک قال فی النهایة ، ولم یفرّق بین السهولة والحزونة ، ثم حکی عبارة المفید السابقة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ما وردت به الروایات ، وتواتر به النقل فی طلبه إذا کانت الأرض سهلة غلوة سهمین ، وإذا کانت حزنة فغلوة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یقدّره السید المرتضی فی الجمل ، ولا الشیخ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أقف فی الروایات علی ما یعطی هذا التحدید سوی روایة السکونی وهی ضعیفة کما اعترف به المصنف فی المعتبر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بالغلوة والغلوتین روایة السکونی وهی ضعیفة ، غیر أنّ الجماعة عملوا بها ، والوجه أنّه یطلب من کل جهة یرجو فیها الإصابة ولا یکلف التباعد بما یشق ، وروایة زرارة تدل علی أنّه یطلب دائما ما دام فی الوقت حتی یخشی الفوات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نظری القاصر أنّ فی المقام أُموراً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دعوی الإجماع قد قدّمنا </w:t>
      </w:r>
      <w:r>
        <w:rPr>
          <w:rStyle w:val="FootnoteAnchor"/>
          <w:rtl w:val="true"/>
        </w:rPr>
        <w:footnoteReference w:id="271"/>
      </w:r>
      <w:r>
        <w:rPr>
          <w:rFonts w:ascii="IRNazanin" w:hAnsi="IRNazanin" w:eastAsia="IRNazanin"/>
          <w:color w:val="111111"/>
          <w:sz w:val="28"/>
          <w:sz w:val="28"/>
          <w:szCs w:val="28"/>
          <w:rtl w:val="true"/>
          <w:lang w:bidi="fa-IR"/>
        </w:rPr>
        <w:t xml:space="preserve">أنّه من قبیل الخبر المرسل ، ووجه ذلک أن تحقق الإجماع فی مثل زمن المحقّق والعلاّمة ممّا یعدّ </w:t>
      </w:r>
      <w:r>
        <w:rPr>
          <w:rStyle w:val="FootnoteAnchor"/>
          <w:rtl w:val="true"/>
        </w:rPr>
        <w:footnoteReference w:id="272"/>
      </w:r>
      <w:r>
        <w:rPr>
          <w:rFonts w:ascii="IRNazanin" w:hAnsi="IRNazanin" w:eastAsia="IRNazanin"/>
          <w:color w:val="111111"/>
          <w:sz w:val="28"/>
          <w:sz w:val="28"/>
          <w:szCs w:val="28"/>
          <w:rtl w:val="true"/>
          <w:lang w:bidi="fa-IR"/>
        </w:rPr>
        <w:t>من المحالات العادیة ، وکیف لا یکون کذلک والمحقق یتکلم علی الشیخ فی دعواه الإجماع ، وزمان الشیخ أقرب إلی تحقق الإجماع من زمان المحقق ، وإن کان الحق بُعد الإجماع فی الموضعین ، وعلی هذا فالإجماع المدّعی من المحقّق والعلاّمة لا بد من حمله علی کونه منقولاً عن المتقدّمین ، فلا یخرج عن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علیه من الآیة شیخنا قدس سره </w:t>
      </w:r>
      <w:r>
        <w:rPr>
          <w:rStyle w:val="FootnoteAnchor"/>
          <w:rtl w:val="true"/>
        </w:rPr>
        <w:footnoteReference w:id="273"/>
      </w:r>
      <w:r>
        <w:rPr>
          <w:rFonts w:ascii="IRNazanin" w:hAnsi="IRNazanin" w:eastAsia="IRNazanin"/>
          <w:color w:val="111111"/>
          <w:sz w:val="28"/>
          <w:sz w:val="28"/>
          <w:szCs w:val="28"/>
          <w:rtl w:val="true"/>
          <w:lang w:bidi="fa-IR"/>
        </w:rPr>
        <w:t xml:space="preserve">قد ذکره العلاّمة فی المختلف </w:t>
      </w:r>
      <w:r>
        <w:rPr>
          <w:rStyle w:val="FootnoteAnchor"/>
          <w:rtl w:val="true"/>
        </w:rPr>
        <w:footnoteReference w:id="274"/>
      </w:r>
      <w:r>
        <w:rPr>
          <w:rFonts w:ascii="IRNazanin" w:hAnsi="IRNazanin" w:eastAsia="IRNazanin"/>
          <w:color w:val="111111"/>
          <w:sz w:val="28"/>
          <w:sz w:val="28"/>
          <w:szCs w:val="28"/>
          <w:rtl w:val="true"/>
          <w:lang w:bidi="fa-IR"/>
        </w:rPr>
        <w:t xml:space="preserve">، وربما یشکل بأنّ الطلب یرجع فیه إلی العرف ، إذ الروایات المظنون دلالتها قد عرفت حالها ، وقول السید المرتضی فی الجمل </w:t>
      </w:r>
      <w:r>
        <w:rPr>
          <w:rStyle w:val="FootnoteAnchor"/>
          <w:rtl w:val="true"/>
        </w:rPr>
        <w:footnoteReference w:id="275"/>
      </w:r>
      <w:r>
        <w:rPr>
          <w:rFonts w:ascii="IRNazanin" w:hAnsi="IRNazanin" w:eastAsia="IRNazanin"/>
          <w:color w:val="111111"/>
          <w:sz w:val="28"/>
          <w:sz w:val="28"/>
          <w:szCs w:val="28"/>
          <w:rtl w:val="true"/>
          <w:lang w:bidi="fa-IR"/>
        </w:rPr>
        <w:t>لعله یرجع إلی هذا بنوع من الاعتبار ، وإذا رجع الأمر إلی العرف فهو غیر مضبوط ، وإناطة التکلیف به لا یخلو من إشکال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والخبر الدال علی أنّه یطلب ما دام فی الوقت قد تکلمنا علیه سابقا </w:t>
      </w:r>
      <w:r>
        <w:rPr>
          <w:rStyle w:val="FootnoteAnchor"/>
          <w:rtl w:val="true"/>
        </w:rPr>
        <w:footnoteReference w:id="276"/>
      </w:r>
      <w:r>
        <w:rPr>
          <w:rFonts w:ascii="IRNazanin" w:hAnsi="IRNazanin" w:eastAsia="IRNazanin"/>
          <w:color w:val="111111"/>
          <w:sz w:val="28"/>
          <w:sz w:val="28"/>
          <w:szCs w:val="28"/>
          <w:rtl w:val="true"/>
          <w:lang w:bidi="fa-IR"/>
        </w:rPr>
        <w:t xml:space="preserve">، وأنّ احتمال حمله علی الاستحباب ممکن ، غیر أنّ الشیخ قد یتوجه علیه أنّ الطلب فی الخبر مطلق وخبر السکونی مقید فلیحمل علیه ، والحال لا یخلو من إشکال ، لتضمن روایة السکونی القدر المعین ، وتضمن روایة زرارة ما دام فی الوقت ، وغیر بعید ما وجّهنا به روایة زرارة من أنّ المراد </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وقت الطلب ، لا أنّ الطلب دائما کما قاله المحقق ، غایة الأمر أنّ کیفیة الطلب مجملة والعرف لا یخلو من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فقرائن الاستحباب غیر خفیة فی خبر زرارة علی تقدیر إرادة دوام الطلب ، إذ لا یدل دلیل علی ذلک من الأخبار المنقولة ، وحینئذ یکون الأمر بتأخیر التیمم کذلک ، لبُعد التغایر بین أمرین فی خبر واحد ، وإن أمکن فتح باب المقال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دلالة روایة السکونی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 فإن دلالتها علی ما ذکر غیر واضحة کما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الجماعة عملوا علیها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أغرب ، فإن الجماعة إن أُرید بهم جمیع القائلین بالتحدید ، فالأقوال کلها لا توافق الروایة ، وإن أُرید بالجماعة غیر ذلک فلا یظهر له معنی ، علی أنّ عمل الجماعة له تأیید عنده للعمل بالروایة الضعیفة کما یعلم من مواضع فی المعتبر ، وما أجمله من الوجه أیضاً لا یخلو من غرابة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تمهّد هذا کلّه فاعلم أنّ ما ذکره الشیخ من الجمع لو ذکر ما یدل علیه من روایة داود الرقی المذکورة فی التهذیب ،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أخاف علیک التخلف عن أصحابک فتضل ویأکلک السبع </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وکذلک روایة یعقوب بن سالم </w:t>
      </w:r>
      <w:r>
        <w:rPr>
          <w:rStyle w:val="FootnoteAnchor"/>
          <w:rtl w:val="true"/>
        </w:rPr>
        <w:footnoteReference w:id="280"/>
      </w:r>
      <w:r>
        <w:rPr>
          <w:rFonts w:ascii="IRNazanin" w:hAnsi="IRNazanin" w:eastAsia="IRNazanin"/>
          <w:color w:val="111111"/>
          <w:sz w:val="28"/>
          <w:sz w:val="28"/>
          <w:szCs w:val="28"/>
          <w:rtl w:val="true"/>
          <w:lang w:bidi="fa-IR"/>
        </w:rPr>
        <w:t>السابقة ، وإن کان فی الظن عدم الدلالة علی مطلوب الشیخ ، إلاّ أنّ الحکم بالنسبة إلی ما فهمه ربما یتم ذکر الحدیثین للدلالة علی الجمع</w:t>
      </w:r>
      <w:r>
        <w:rPr>
          <w:rFonts w:eastAsia="IRNazanin" w:cs="IRNazanin"/>
          <w:color w:val="111111"/>
          <w:sz w:val="28"/>
          <w:szCs w:val="28"/>
          <w:rtl w:val="true"/>
          <w:lang w:bidi="fa-IR"/>
        </w:rPr>
        <w:t xml:space="preserve">. </w:t>
      </w:r>
      <w:bookmarkStart w:id="208" w:name="pg15025_160219"/>
    </w:p>
    <w:p>
      <w:pPr>
        <w:pStyle w:val="BookText"/>
        <w:rPr/>
      </w:pPr>
      <w:bookmarkEnd w:id="208"/>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التوقف فی دلالة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فی الاولی أنّ ظاهرها کون مجرد خوف التخلف عن الأصحاب فیضل أو یأکله السبُع یقتضی عدم لزوم الطلب ، وهذا الکلام من الإمام علیه السلام کما تری یقتضی بإطلاقه أنّ مجرّد الاحتمال کاف فی سقوط الطلب ، ولولاه لکان علی الإمام أن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خفت فلا تطلب ، وإلاّ فاطلب ، والثانیة کذلک ، بل هی أظهر دلالة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قاله شیخنا قدس سره بعد ذکر روایتی داود ویعقوب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الجواب عنهما أولاً بضعف السند ، وثانیاً بالقول بالموجب ، لأنّ مقتضاهما سقوط الطلب مع الخوف علی النفس والمال ونحن نقول به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یظهر وجهه ممّا قررناه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غلظ من الأرض کالحَزْنة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الأثیر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الغلوة قدر رمیة سهم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ویبقی فی المقام أُمور لا بأس بالتنبیه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الأخبار أنّ الطلب مع فقدان الماء ، أمّا لو کان عذر المتیمم غیر فقدان الماء فوجوب الطلب علیه منتف ، وحینئذ وجوب التأخیر علیه علی تقدیر القول به لا یمکن استفادته من الأخبار السابقة ولا اللاحقة ، والآیة الشریفة دالة بظاهرها علی أنّ من کان علی سفر ولم یجد ماءً تیمم ، أمّا المرض فلا وجه لاعتبار عدم الماء فیه ، إلاّ أنّ یراد بعدم</w:t>
      </w:r>
    </w:p>
    <w:p>
      <w:pPr>
        <w:pStyle w:val="Heading4"/>
        <w:numPr>
          <w:ilvl w:val="3"/>
          <w:numId w:val="1"/>
        </w:numPr>
        <w:rPr/>
      </w:pPr>
      <w:bookmarkStart w:id="209" w:name="__RefHeading___Toc146602_2142443653"/>
      <w:bookmarkStart w:id="210" w:name="_Toc79"/>
      <w:bookmarkEnd w:id="209"/>
      <w:r>
        <w:rPr>
          <w:rtl w:val="true"/>
        </w:rPr>
        <w:t>معنی الحَزن والغلوة</w:t>
      </w:r>
      <w:bookmarkEnd w:id="21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1" w:name="__RefHeading___Toc146604_2142443653"/>
      <w:bookmarkStart w:id="212" w:name="_Toc80"/>
      <w:bookmarkEnd w:id="211"/>
      <w:r>
        <w:rPr>
          <w:rtl w:val="true"/>
        </w:rPr>
        <w:t>انتفاء وجوب الطلب فی حق من یکون عذره غیر فقدان الماء</w:t>
      </w:r>
      <w:bookmarkStart w:id="213" w:name="pg15025_160220"/>
      <w:bookmarkEnd w:id="212"/>
    </w:p>
    <w:p>
      <w:pPr>
        <w:pStyle w:val="BookText"/>
        <w:rPr/>
      </w:pPr>
      <w:bookmarkEnd w:id="213"/>
      <w:r>
        <w:rPr>
          <w:rFonts w:ascii="IRNazanin" w:hAnsi="IRNazanin" w:eastAsia="IRNazanin"/>
          <w:color w:val="111111"/>
          <w:sz w:val="28"/>
          <w:sz w:val="28"/>
          <w:szCs w:val="28"/>
          <w:rtl w:val="true"/>
          <w:lang w:bidi="fa-IR"/>
        </w:rPr>
        <w:t>الوجدان عدم القدرة علی الاستعمال فیراد باللفظ الحقیقة والمجاز أو عموم المجاز ، وفیه ما فیه ، ولا یبعد أن یخص القید بالمسافر ویبقی المریض علی الإطلاق ، ویتوقف وجوب التأخیر علیه علی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وجوب الطلب فی الأخبار وظاهر الآیة علی المسافر ، أمّا غیره فوجوب الطلب علیه بالمعنی المذکور فی کلام الأصحاب لم أقف علی دلیله الصالح للإثبات ، ولو لا ظن عدم القائل بهذا التفصیل لأمکن إبداؤه ، لکن لا أقل من ذکر الاحتمال ، فینبغی التأمّل فیما ذکرناه ، فإنّی لم أجده فی کلام أحد الآن ، والله تعالی أعلم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لو تیقن وجود الماء لزمه السعی إلیه ما دام الوقت باقیا والمکنة حاصلة ، سواء کان قریباً أم بعیداً ، وسواء استلزم السعی فوات مطلوب إذا لم یکن مضراً بحاله أم لا ، لقدرته علی الماء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هذا شیخنا قدس سره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تکرر خروجه من مصره کالحطّاب والحشّاش لو حضرته الصلاة ولا ماء ، فإن أمکنه العود ولمّا یفت مطلوبه عاد ، ولو تیمم لم یجزئه ، ولو لم یمکنه إلاّ بفوات مطلوبه ففی التیمم تردد أشبهه الجواز دفعاً للضرر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یمکن المناقشة فی الکلامین ، والاحتیاط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الطلب إنّما یجب مع احتمال الوجود ، فإن تیقن العدم انتفی الطلب لانتفاء الفائدة ، ولو غلب علی ظنه لم یسقط لجواز</w:t>
      </w:r>
    </w:p>
    <w:p>
      <w:pPr>
        <w:pStyle w:val="Heading4"/>
        <w:numPr>
          <w:ilvl w:val="3"/>
          <w:numId w:val="1"/>
        </w:numPr>
        <w:rPr/>
      </w:pPr>
      <w:bookmarkStart w:id="214" w:name="__RefHeading___Toc146606_2142443653"/>
      <w:bookmarkStart w:id="215" w:name="_Toc81"/>
      <w:bookmarkEnd w:id="214"/>
      <w:r>
        <w:rPr>
          <w:rtl w:val="true"/>
        </w:rPr>
        <w:t>هل یجب الطلب علی غیر المسافر؟</w:t>
      </w:r>
      <w:bookmarkEnd w:id="215"/>
    </w:p>
    <w:p>
      <w:pPr>
        <w:pStyle w:val="Heading4"/>
        <w:numPr>
          <w:ilvl w:val="3"/>
          <w:numId w:val="1"/>
        </w:numPr>
        <w:rPr/>
      </w:pPr>
      <w:bookmarkStart w:id="216" w:name="__RefHeading___Toc146608_2142443653"/>
      <w:bookmarkStart w:id="217" w:name="_Toc82"/>
      <w:bookmarkEnd w:id="216"/>
      <w:r>
        <w:rPr>
          <w:rtl w:val="true"/>
        </w:rPr>
        <w:t>حکم من تیقّن وجود الماء</w:t>
      </w:r>
      <w:bookmarkEnd w:id="21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8" w:name="__RefHeading___Toc146610_2142443653"/>
      <w:bookmarkStart w:id="219" w:name="_Toc83"/>
      <w:bookmarkEnd w:id="218"/>
      <w:r>
        <w:rPr>
          <w:rtl w:val="true"/>
        </w:rPr>
        <w:t>حکم من تکرّر خروجه من مصره</w:t>
      </w:r>
      <w:bookmarkStart w:id="220" w:name="pg15025_160221"/>
      <w:bookmarkEnd w:id="219"/>
    </w:p>
    <w:p>
      <w:pPr>
        <w:pStyle w:val="BookText"/>
        <w:rPr/>
      </w:pPr>
      <w:bookmarkEnd w:id="220"/>
      <w:r>
        <w:rPr>
          <w:rFonts w:ascii="IRNazanin" w:hAnsi="IRNazanin" w:eastAsia="IRNazanin"/>
          <w:color w:val="111111"/>
          <w:sz w:val="28"/>
          <w:sz w:val="28"/>
          <w:szCs w:val="28"/>
          <w:rtl w:val="true"/>
          <w:lang w:bidi="fa-IR"/>
        </w:rPr>
        <w:t xml:space="preserve">کذب الظن </w:t>
      </w:r>
      <w:r>
        <w:rPr>
          <w:rStyle w:val="FootnoteAnchor"/>
          <w:rtl w:val="true"/>
        </w:rPr>
        <w:footnoteReference w:id="287"/>
      </w:r>
      <w:r>
        <w:rPr>
          <w:rFonts w:ascii="IRNazanin" w:hAnsi="IRNazanin" w:eastAsia="IRNazanin"/>
          <w:color w:val="111111"/>
          <w:sz w:val="28"/>
          <w:sz w:val="28"/>
          <w:szCs w:val="28"/>
          <w:rtl w:val="true"/>
          <w:lang w:bidi="fa-IR"/>
        </w:rPr>
        <w:t>؛ فله وجه ، إنّما الکلام فی ثبوت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فی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أخلّ بالطلب حتی ضاق الوقت أخطأ وصح تیممه وصلاته علی الأظهر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المختلف قال العلاّمة نقلاً عن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تیمم قبل الطلب مع التمکن منه لم یعتد بذلک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علی إطلاقه مشکل ، وتقریر البحث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تیمم قبل آخر الوقت بطل ، لعدم الشرط وهو تضیق الوقت ، وإنّ تیمم فی آخر الوقت ولم یکن قد طلب الماء ففی بطلان تیممه نظر ، والأقوی عندی صحته بل وجوبه ؛ لأنّه حینئذ مأمور بالصلاة ، إذ بدون فعلها لا یخرج عن العهدة ، ومأمور بالتیمم ؛ لتعذر الماء علیه حینئذ ، وسقوط الطلب عنه لتضیق الوقت ووجوب صرفه إلی الصلاة ، وإذا تقرر أنّه مأمور بالصلاة بالتیمم فإذا فعلهما وجب أن یخرج عن العهدة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اعترض بمنع الأمر بالتیمم مطلقا ، لأنّ الآیة مشروطة بعدم الوجدان المشروط بالطلب ، والمشروط بالمشروط بالشی‌ء مشروط بذلک الشی‌ء ، والشرط وهو الطلب لم یوجد فینتفی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بمنع کون الطلب شرطاً مطلقاً ، بل مع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بأنّه یلزم علی هذا أنّ من ترک المضی إلی الماء مع قربه منه والتمکن من استعماله إلی أن ضاق الوقت بحیث لو سارع فاته الوقت عامداً من غیر ضرورة ، أن یجب علیه التیمم والصلاة ، ویسقط عنه القضاء ، لأنّ الدلیل الذی ذکرتموه آت هنا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إسقاط الصلاة عن هذا المکلّف ، لوجود الشرائط ، وإذا کان مأموراً بفعلها مع الطهارة المائیة لزم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1" w:name="__RefHeading___Toc146612_2142443653"/>
      <w:bookmarkStart w:id="222" w:name="_Toc84"/>
      <w:bookmarkEnd w:id="221"/>
      <w:r>
        <w:rPr>
          <w:rtl w:val="true"/>
        </w:rPr>
        <w:t>حکم أخلّ بالطلب</w:t>
      </w:r>
      <w:bookmarkEnd w:id="222"/>
    </w:p>
    <w:p>
      <w:pPr>
        <w:pStyle w:val="BookText"/>
        <w:rPr/>
      </w:pPr>
      <w:r>
        <w:rPr>
          <w:rFonts w:ascii="IRNazanin" w:hAnsi="IRNazanin" w:eastAsia="IRNazanin"/>
          <w:color w:val="111111"/>
          <w:sz w:val="28"/>
          <w:sz w:val="28"/>
          <w:szCs w:val="28"/>
          <w:rtl w:val="true"/>
          <w:lang w:bidi="fa-IR"/>
        </w:rPr>
        <w:t>تکلیف ما لا یطاق ، إذ التقدیر تضیّق الوقت ، وإن کان مکلّفاً بالإتیان بها مع البدل لزم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ذلک ویکون معاقبا علی ترک الطهارة المائیة مع قدرته وتزول عنه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کونه مکلفا بما لا یطاق لو قیل باستصحاب حکم التکلیف السابق علیه فی أوّل الوقت مع تمکنه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أنّه محل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الأمر بالتیمم مطلقا أوّل المدّعی ، وکون الطلب مشروطاً بالسعة کذلک ، والآیة الشریفة قد ذکر فی تفسیرها ما یدل علی أنّ الطلب مراد فیها ، فلا یتحقق الشرط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قدّمنا احتمالاً فی خبر زرارة الدال علی أنّه یطلب ما دام فی الوقت فإن خاف أن یفوته فلیتیمم ، وهو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إلی الطلب ، أی إنّما یطلب مع عدم خوف الفوت وبدونه لا یطلب ، وبهذا الاحتمال قد یندفع عن العلاّمة النظر ، لکن عدم تعرضه لذلک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هذا الاحتمال فی الخبر لیس بواضح ، بل الظاهر هو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الآخر المساوی لما ذکرناه هو أنّه یطلب إلی أن یخاف الفوت لا ترک الطلب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الطلب مع تحقق دلیله یتوقف سقوطه علی الدلیل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قاله فی جواب الاعتراض الأوّل من منع کون الطلب </w:t>
      </w:r>
      <w:bookmarkStart w:id="223" w:name="pg15025_160223"/>
    </w:p>
    <w:p>
      <w:pPr>
        <w:pStyle w:val="BookText"/>
        <w:rPr/>
      </w:pPr>
      <w:bookmarkEnd w:id="223"/>
      <w:r>
        <w:rPr>
          <w:rFonts w:ascii="IRNazanin" w:hAnsi="IRNazanin" w:eastAsia="IRNazanin"/>
          <w:color w:val="111111"/>
          <w:sz w:val="28"/>
          <w:sz w:val="28"/>
          <w:szCs w:val="28"/>
          <w:rtl w:val="true"/>
          <w:lang w:bidi="fa-IR"/>
        </w:rPr>
        <w:t>شرطاً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 لأن المانع وإن کان یکفیه هذا فی دفع الاستدلال إلاّ أنّ مقصود العلاّمة إثبات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فی جواب الاعتراض الثانی ففیه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عقوبته علی ترک الطهارة المائیة لا تفید عدم جواز التیمم مطلقا ، بل قبل الضیق علی حد من أخلّ بالطلب فإنّه معاقب أیضا ، لکن بعد التضیق یحتمل عدم العقاب علی أدائه فالجواب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فالتکلیف بما لا یطاق لا مخلص عنه ، واستصحاب حکم التکلیف لا یسمن ولا یغنی من جوع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مراده باستصحاب حکم التکلیف؟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غرضه أنّه لما کان مأموراً بالوضوء قبل التضیق بقی الأمر مستصحبا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هذا بعینه آت فیما تقدم ، فإنّ الوضوء مأمور به ولا ینتقل إلی التیمم إلاّ مع الطلب وعدم الوجدان علی ما قرره ، 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بالوضوء فرع الإمکان ، والإمکان موقوف علی الطلب فلا یجب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أظهر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أنّ التیمم لا یجب إلاّ فی آخر الوقت</w:t>
      </w:r>
    </w:p>
    <w:p>
      <w:pPr>
        <w:pStyle w:val="BookText"/>
        <w:rPr/>
      </w:pPr>
      <w:r>
        <w:rPr>
          <w:rFonts w:ascii="IRNazanin" w:hAnsi="IRNazanin" w:eastAsia="IRNazanin"/>
          <w:color w:val="111111"/>
          <w:sz w:val="28"/>
          <w:sz w:val="28"/>
          <w:szCs w:val="28"/>
          <w:rtl w:val="true"/>
          <w:lang w:bidi="fa-IR"/>
        </w:rPr>
        <w:t>أخبرنی الشیخ رحمه الله عن أبی القاسم جعفر بن محمد ، عن محمد ابن یعقوب ، عن محمد بن یحیی ، عن محمد بن الحسین ، عن</w:t>
      </w:r>
    </w:p>
    <w:p>
      <w:pPr>
        <w:pStyle w:val="Heading3"/>
        <w:numPr>
          <w:ilvl w:val="2"/>
          <w:numId w:val="1"/>
        </w:numPr>
        <w:rPr/>
      </w:pPr>
      <w:bookmarkStart w:id="224" w:name="__RefHeading___Toc146614_2142443653"/>
      <w:bookmarkStart w:id="225" w:name="_Toc85"/>
      <w:bookmarkEnd w:id="224"/>
      <w:r>
        <w:rPr>
          <w:rtl w:val="true"/>
        </w:rPr>
        <w:t>التیمّم لا یجب إلّا فی آخر الوقت</w:t>
      </w:r>
      <w:bookmarkEnd w:id="22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6" w:name="__RefHeading___Toc146616_2142443653"/>
      <w:bookmarkStart w:id="227" w:name="_Toc86"/>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 xml:space="preserve">صفوان ، عن العلاء ، عن محمد بن مسلم </w:t>
      </w:r>
      <w:r>
        <w:rPr>
          <w:rStyle w:val="FootnoteAnchor"/>
          <w:rtl w:val="true"/>
        </w:rPr>
        <w:footnoteReference w:id="29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تجد ماءً وأردت التیمم أخّرِ التیمم إلی آخر الوقت فإن فاتک الماء لم تفتک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محمد بن یعقوب ، عن علی بن إبراهیم ، عن أبیه ، عن ابن أبی عمیر ، عن ابن أُذینة ، عن زرارة ، عن أحدهما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یجد المسافر الماء فلیطلب ما دام فی الوقت فإذا خاف أن یفوته الوقت فلیتیمم ولیصلِّ فی آخر الوقت فإذا وجد الماء فلا قضاء علیه ولیتوضّأ لما یستقبل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ینافی هذا الخبر ما أوردناه من الأخبار فی باب إعادة الصلاة المتضمنة لمن صلّی ثم وجد الماء والوقت باق لا تجب علیه الإعادة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الوجوب متعلقا بآخر الوقت لکان علیه الإعادة ، لأنّا قد بینّا الوجه فی </w:t>
      </w:r>
      <w:r>
        <w:rPr>
          <w:rStyle w:val="FootnoteAnchor"/>
          <w:rtl w:val="true"/>
        </w:rPr>
        <w:footnoteReference w:id="292"/>
      </w:r>
      <w:r>
        <w:rPr>
          <w:rFonts w:ascii="IRNazanin" w:hAnsi="IRNazanin" w:eastAsia="IRNazanin"/>
          <w:color w:val="111111"/>
          <w:sz w:val="28"/>
          <w:sz w:val="28"/>
          <w:szCs w:val="28"/>
          <w:rtl w:val="true"/>
          <w:lang w:bidi="fa-IR"/>
        </w:rPr>
        <w:t xml:space="preserve">الأخبار ، وقد قلنا إنّ الوجوب تعلّق بآخر الوقت ولا یجوز غیره ، وحملنا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والوقت باق ، علی أن یکون متعلقاً بحال الصلاة دون وجود الماء ، وعلی هذا لا تعارض بین هذه الأخبار وبینها علی حال ، وما تضمنه خبر علی بن سالم فی الباب الأوّل من قول السائل أتیمم وأُصلّی ثم أجد الماء وقد بقی علیّ وقت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تقدیره أتیمم وأُصلّی وقد بقی علیَّ وقت یعنی مقدار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الصلاة ویخرج الوقت</w:t>
      </w:r>
      <w:r>
        <w:rPr>
          <w:rFonts w:eastAsia="IRNazanin" w:cs="IRNazanin"/>
          <w:color w:val="111111"/>
          <w:sz w:val="28"/>
          <w:szCs w:val="28"/>
          <w:rtl w:val="true"/>
          <w:lang w:bidi="fa-IR"/>
        </w:rPr>
        <w:t xml:space="preserve">. </w:t>
      </w:r>
      <w:bookmarkStart w:id="228" w:name="pg15025_160225"/>
    </w:p>
    <w:p>
      <w:pPr>
        <w:pStyle w:val="BookText"/>
        <w:rPr/>
      </w:pPr>
      <w:bookmarkEnd w:id="228"/>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قد تقدم القول فیه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وإن دل بظاهره علی وجوب التأخیر إلاّ أنّ احتمال الاستحباب فیه قائم نظراً إلی ما أسلفناه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والوالد قدس سره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یعمل بمقتضاه من وجوب التأخیر ، لکن مع رجاء وجود الماء کما یشعر به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فاتک الماء لم تفتک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یدل علی وجوب التأخیر مطلقا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شیخنا قدس سره ذکر ذلک فی فوائده علی هذا الکتاب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هاتین الروایتین إنّما تدلان علی وجوب التأخیر إذا کان العذر عدم الماء وکان وجوده ممکناً کما یدل علیه قوله فی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فاتک الماء لم تفتک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یقتضی عدم الجزم بفوات الماء وفی 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فلیطلب الماء ما دام 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الطلب یؤذن بإمکان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الروایة الأُولی کما تحتمل ما قاله الوالد وشیخنا </w:t>
      </w:r>
      <w:r>
        <w:rPr>
          <w:rStyle w:val="FootnoteAnchor"/>
        </w:rPr>
        <w:footnoteReference w:id="295"/>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تحتمل أن یراد أنّ الماء إذا تحقق فواته فالتراب موجود ، ولا وجه للتقدیم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9" w:name="__RefHeading___Toc146618_2142443653"/>
      <w:bookmarkStart w:id="230" w:name="_Toc87"/>
      <w:bookmarkEnd w:id="229"/>
      <w:r>
        <w:rPr>
          <w:rtl w:val="true"/>
        </w:rPr>
        <w:t>استدلال صاحب المدارک بحدیث محمّد بن مسلم وزرارة علی وجوب التأخیر مع إمکان وجود الماء ، والمناقشة فیه</w:t>
      </w:r>
      <w:bookmarkStart w:id="231" w:name="pg15025_160226"/>
      <w:bookmarkEnd w:id="230"/>
    </w:p>
    <w:p>
      <w:pPr>
        <w:pStyle w:val="BookText"/>
        <w:rPr/>
      </w:pPr>
      <w:bookmarkEnd w:id="231"/>
      <w:r>
        <w:rPr>
          <w:rFonts w:ascii="IRNazanin" w:hAnsi="IRNazanin" w:eastAsia="IRNazanin"/>
          <w:color w:val="111111"/>
          <w:sz w:val="28"/>
          <w:sz w:val="28"/>
          <w:szCs w:val="28"/>
          <w:rtl w:val="true"/>
          <w:lang w:bidi="fa-IR"/>
        </w:rPr>
        <w:t xml:space="preserve">وأمّا 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فالطلب یؤذن بالإمکان إلاّ أنّ قرائن الاستحباب فیها ظاهرة بعد ملاحظة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قوله علیه السلام فی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یجد المسافر الماء فلیطلب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عدم الوجدان یتحقق بعدم الطلب ، فلا یتم ما ذکروه فی الآیة من أنّ ظاهرها الدلالة علی الطلب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الوجدان له حالات ، فمع الإطلاق یراد به ما یتناول الطلب ، ومع ذکر الطلب بعده یراد به معنی آخر ، وهذا لا ینافی دلالة الآیة کما تدل علیه الروایة الأُولی بعد تقییدها بغیرها ممّا دل علی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العلاّمة فی المختلف اختار التفصیل الذی ذهب إلیه ابن الجنید ، وهو علی ما نقله العلاّمة عنه وجوب الطلب مع الطمع فی وجوده ، والرجاء للسلامة علی کل أحد إلی آخر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رمیة سهم فی الحزنة ، وفی الأرض المستویة </w:t>
      </w:r>
      <w:r>
        <w:rPr>
          <w:rStyle w:val="FootnoteAnchor"/>
          <w:rtl w:val="true"/>
        </w:rPr>
        <w:footnoteReference w:id="296"/>
      </w:r>
      <w:r>
        <w:rPr>
          <w:rFonts w:ascii="IRNazanin" w:hAnsi="IRNazanin" w:eastAsia="IRNazanin"/>
          <w:color w:val="111111"/>
          <w:sz w:val="28"/>
          <w:sz w:val="28"/>
          <w:szCs w:val="28"/>
          <w:rtl w:val="true"/>
          <w:lang w:bidi="fa-IR"/>
        </w:rPr>
        <w:t xml:space="preserve">رمیتا سهم ، فإن وقع الیقین بفوته إلی آخر الوقت </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أو ما غلب الظن کان تیممه وصلاته فی أوّل الوقت أحب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القول إذا تأمّله المتأمّل یفید أمراً زائداً علی التفصیل المذکور فی کلام البعض ، واختاره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الوالد </w:t>
      </w:r>
      <w:r>
        <w:rPr>
          <w:rStyle w:val="FootnoteAnchor"/>
          <w:rtl w:val="true"/>
        </w:rPr>
        <w:footnoteReference w:id="299"/>
      </w:r>
      <w:r>
        <w:rPr>
          <w:rFonts w:ascii="IRNazanin" w:hAnsi="IRNazanin" w:eastAsia="IRNazanin"/>
          <w:color w:val="111111"/>
          <w:sz w:val="28"/>
          <w:sz w:val="28"/>
          <w:szCs w:val="28"/>
          <w:rtl w:val="true"/>
          <w:lang w:bidi="fa-IR"/>
        </w:rPr>
        <w:t xml:space="preserve">قدس سره وشیخنا قدس سره فی غیر فوائد الکتاب </w:t>
      </w:r>
      <w:r>
        <w:rPr>
          <w:rFonts w:eastAsia="IRNazanin" w:cs="IRNazanin"/>
          <w:color w:val="111111"/>
          <w:sz w:val="28"/>
          <w:szCs w:val="28"/>
          <w:rtl w:val="true"/>
          <w:lang w:bidi="fa-IR"/>
        </w:rPr>
        <w:t xml:space="preserve">) </w:t>
      </w:r>
      <w:r>
        <w:rPr>
          <w:rStyle w:val="FootnoteAnchor"/>
          <w:rtl w:val="true"/>
        </w:rPr>
        <w:footnoteReference w:id="300"/>
      </w:r>
      <w:r>
        <w:rPr>
          <w:rStyle w:val="FootnoteAnchor"/>
          <w:rtl w:val="true"/>
        </w:rPr>
        <w:footnoteReference w:id="301"/>
      </w:r>
      <w:r>
        <w:rPr>
          <w:rFonts w:ascii="IRNazanin" w:hAnsi="IRNazanin" w:eastAsia="IRNazanin"/>
          <w:color w:val="111111"/>
          <w:sz w:val="28"/>
          <w:sz w:val="28"/>
          <w:szCs w:val="28"/>
          <w:rtl w:val="true"/>
          <w:lang w:bidi="fa-IR"/>
        </w:rPr>
        <w:t>والأمر سهل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2" w:name="__RefHeading___Toc146620_2142443653"/>
      <w:bookmarkStart w:id="233" w:name="_Toc88"/>
      <w:bookmarkEnd w:id="232"/>
      <w:r>
        <w:rPr>
          <w:rtl w:val="true"/>
        </w:rPr>
        <w:t>دلائل العلّامة علی وجوب التأخیر مع إمکان وجود الماء والمناقشة فیها</w:t>
      </w:r>
      <w:bookmarkEnd w:id="233"/>
    </w:p>
    <w:p>
      <w:pPr>
        <w:pStyle w:val="BookText"/>
        <w:rPr/>
      </w:pPr>
      <w:r>
        <w:rPr>
          <w:rFonts w:ascii="IRNazanin" w:hAnsi="IRNazanin" w:eastAsia="IRNazanin"/>
          <w:color w:val="111111"/>
          <w:sz w:val="28"/>
          <w:sz w:val="28"/>
          <w:szCs w:val="28"/>
          <w:rtl w:val="true"/>
          <w:lang w:bidi="fa-IR"/>
        </w:rPr>
        <w:t>غیر أنّ العلاّمة استدل علی وجوب التأخیر مع إمکان وجود الماء أوّلاً بهاتین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جاز التیمم فی أوّل الوقت والصلاة به لما وجب علیه الإعادة بعد وجود الماء فی الوقت ، ثم بیّن وجه الملازمة وبطلان التالی المستلزم لبطلان المقدم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الأمر یقتضی الإجزاء ، 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فلخبر یعقوب بن یقطین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طلب الماء إن کان واجباً وجب التیمم فی آخر الوقت ، لکن المقدم حق فالتالی مثله ، وبیان الشرطیة أنّ الطلب إنّما یجب بعد دخول الوقت ، وإذا وجب الطلب بعد الوقت سقط وجوب الصلاة فی أوّل الوقت للتضادّ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وبیان صدق المقدّم الإجماع ،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ولا یثبت عدم الوجدان إلاّ بعد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اعترض علی نفسه بأنّ وجوب الطلب بعد الوقت لا یستلزم وجوب التأخیر إلی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بأنّه لو لم یلزم ذلک لزم خرق الإجماع ، إذ الناس بین قائل بوجوب التأخیر إلی آخر الوقت ، وبجواز الصلاة فی أوّل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أوجب الطهارة المائیة ، وجعل التیمم بدلاً عند الفقدان ، وإنّما یعلم الفقدان عند التضیق ، إذ قبله یجوز وجود الماء ، ومع الجهل بالشرط لا یثبت العلم بالمشروط یعنی جواز التیمم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تسویغ التیمم فی أوّل الوقت مع العلم بانتفاء </w:t>
      </w:r>
    </w:p>
    <w:p>
      <w:pPr>
        <w:pStyle w:val="BookText"/>
        <w:rPr/>
      </w:pPr>
      <w:r>
        <w:rPr>
          <w:rFonts w:ascii="IRNazanin" w:hAnsi="IRNazanin" w:eastAsia="IRNazanin"/>
          <w:color w:val="111111"/>
          <w:sz w:val="28"/>
          <w:sz w:val="28"/>
          <w:szCs w:val="28"/>
          <w:rtl w:val="true"/>
          <w:lang w:bidi="fa-IR"/>
        </w:rPr>
        <w:t xml:space="preserve">الماء فی جمیع الوقت فلأنّ المقتضی موجود ، وهو الأمر بإیقاع الصلاة فی أوّل وقتها ، والمانع وهو إمکان وجود الماء مفقود ، فیثبت الحکم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أنّه محل تأمّل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قدّمناه فی الروایتین من إمکان الحمل علی الاستحباب وظهور أماراته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قاله من وجوب الإعادة یتم لو کان الوجوب متحققا ، والحال أنّ احتمال الاستحباب فی الإعادة قائم ، لوجود المعارض ، وقد قدّمنا ذلک أیضاً ، والعجب منه رحمه الله أنّه إذا کان یوافق علی مضمون صحیح یعقوب الدال علی عدم الإعادة بعد الوقت فکیف یحکم بوجوب الإعادة علی تقدیر عدم جواز التیمم ، ویخص ذلک بالوقت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من الإجماع المرکب لو تم لا یثبت مدّعاه ، إذ غایته عدم اجتماع الطلب والصلاة ، والقائل بوجوب الطلب مجموع الوقت منتف کما صرح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احتمل کون الطلب المستمر خاصا ، وقول ابن الجنید لا یدل علیه وقد اختاره ، فالدلیل لا ینطبق علی المدعی إلاّ بتقدیر أن یوجد جواب الاعتراض فی جملة الدلیل ، ویخرج به عن ظاهر قول ابن الجنید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قاله من الأدلة علی جواز التقدیم مع الیأس یعارضه ، فإن الأمر بإیقاع الصلاة فی أوّل الوقت موجود علی وجه یتناول واجد الماء وفاقده فی أوّل الوقت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یعلم شرط الانتقال إلی البدل عند التضیق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البحث ، إذ هو فی کل آن من آناء الزمان بعد </w:t>
      </w:r>
      <w:bookmarkStart w:id="234" w:name="pg15025_160229"/>
    </w:p>
    <w:p>
      <w:pPr>
        <w:pStyle w:val="BookText"/>
        <w:rPr/>
      </w:pPr>
      <w:bookmarkEnd w:id="234"/>
      <w:r>
        <w:rPr>
          <w:rFonts w:ascii="IRNazanin" w:hAnsi="IRNazanin" w:eastAsia="IRNazanin"/>
          <w:color w:val="111111"/>
          <w:sz w:val="28"/>
          <w:sz w:val="28"/>
          <w:szCs w:val="28"/>
          <w:rtl w:val="true"/>
          <w:lang w:bidi="fa-IR"/>
        </w:rPr>
        <w:t xml:space="preserve">دخول الوقت مخاطب بالصلاة أمّا بالوضوء إن وجد الماء أو بالتیمم مع فقده ، وما دل علی الطلب یجوز أن یحمل علی ذلک ، سوی الخبر المتضمن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دام 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رجعنا إلی الخبر لا حاجة إلی هذا الدلیل ، والله سبحانه الهادی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فما قاله الشیخ فی دفع التنافی قد تقدّم القول فیه بما یغنی عن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دخل فی الصلاة بتیمم ثم وجد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الصفار ، عن أحمد بن محمد ، عن أحمد بن محمد بن أبی نصر البزنطی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سماعة ، عن محمد بن حمران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تیمم ثم دخل فی الصلاة وقد کان طلب الماء فلم یقدر علیه ثم یؤتی بالماء حین یدخل فی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یمضی فی الصلاة ، واعلم أنّه لیس ینبغی لأحد أن یتیمم إلاّ فی آخر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یعقوب ، عن الحسین بن محمد ، عن معلّی بن محمد ، عن الوشاء ، عن أبان بن عثمان ، عن عبد الله بن عاصم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لا یجد الماء فیتیمم ویقوم فی الصلاة فجاء الغلام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الماء؟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لم یرکع فلینصرف ولیتوضّأ ، وإن کان رکع فلیمض فی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الحسین بن سعید ، عن القاسم بن محمد ، عن أبان بن</w:t>
      </w:r>
    </w:p>
    <w:p>
      <w:pPr>
        <w:pStyle w:val="Heading3"/>
        <w:numPr>
          <w:ilvl w:val="2"/>
          <w:numId w:val="1"/>
        </w:numPr>
        <w:rPr/>
      </w:pPr>
      <w:bookmarkStart w:id="235" w:name="__RefHeading___Toc146622_2142443653"/>
      <w:bookmarkStart w:id="236" w:name="_Toc89"/>
      <w:bookmarkEnd w:id="235"/>
      <w:r>
        <w:rPr>
          <w:rtl w:val="true"/>
        </w:rPr>
        <w:t>من دخل فی الصلاة بتیمّم ثمّ وجد الماء</w:t>
      </w:r>
      <w:bookmarkEnd w:id="23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7" w:name="__RefHeading___Toc146624_2142443653"/>
      <w:bookmarkStart w:id="238" w:name="_Toc90"/>
      <w:bookmarkEnd w:id="237"/>
      <w:r>
        <w:rPr>
          <w:rtl w:val="true"/>
        </w:rPr>
        <w:t>اشارة</w:t>
      </w:r>
      <w:bookmarkStart w:id="239" w:name="pg15025_160230"/>
      <w:bookmarkEnd w:id="238"/>
    </w:p>
    <w:p>
      <w:pPr>
        <w:pStyle w:val="BookText"/>
        <w:rPr/>
      </w:pPr>
      <w:bookmarkEnd w:id="239"/>
      <w:r>
        <w:rPr>
          <w:rFonts w:ascii="IRNazanin" w:hAnsi="IRNazanin" w:eastAsia="IRNazanin"/>
          <w:color w:val="111111"/>
          <w:sz w:val="28"/>
          <w:sz w:val="28"/>
          <w:szCs w:val="28"/>
          <w:rtl w:val="true"/>
          <w:lang w:bidi="fa-IR"/>
        </w:rPr>
        <w:t>عثمان ، عن عبد الله بن عاصم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محمد بن علی بن محبوب ، عن الحسن بن الحسین </w:t>
      </w:r>
      <w:r>
        <w:rPr>
          <w:rStyle w:val="FootnoteAnchor"/>
          <w:rtl w:val="true"/>
        </w:rPr>
        <w:footnoteReference w:id="304"/>
      </w:r>
      <w:r>
        <w:rPr>
          <w:rFonts w:ascii="IRNazanin" w:hAnsi="IRNazanin" w:eastAsia="IRNazanin"/>
          <w:color w:val="111111"/>
          <w:sz w:val="28"/>
          <w:sz w:val="28"/>
          <w:szCs w:val="28"/>
          <w:rtl w:val="true"/>
          <w:lang w:bidi="fa-IR"/>
        </w:rPr>
        <w:t>اللؤلؤی ، عن جعفر بن بشیر ، عن عبد الله بن عاصم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فالأصل فی هذه الروایات الثلاثة واحد وهو عبد الله بن عاصم ، ویمکن أن یکون الوجه فی هذا الخبر ضرب من الاستحباب دون الفرض والإیجاب ، ویمکن أیضا أن یکون الوجه فیه أنّه یجب علیه الانصراف إذا کان دخل فی الصلاة فی أوّل الوقت ، لأنا قد بیّنا أنّه لا یجوز التیمم إلاّ فی آخر الوقت فلذلک وجب علیه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تکرر القول فی رجاله سوی محمد بن سماعة ، والنجاشی ذکر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سماعة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 الحسن وإبراهیم وجعفر ، وجدّ معلی بن الحسن ، وکان ثقة فی أصحابنا وجها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وإن أوهم أنّ التوثیق لمعلّی إلاّ أنّ الاعتبار ینفیه کما ذکرناه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اتفق للعلاّمة فی الخلاصة أنّه ذکر الحسن بن محمد بن سماعة الکندی الواقفی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محمد بن سماعة أبوه من ولد سماعة بن مهران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وأصل هذا الکلام من الکشی بهذه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حمدویه ، عن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0" w:name="__RefHeading___Toc146626_2142443653"/>
      <w:bookmarkStart w:id="241" w:name="_Toc91"/>
      <w:bookmarkEnd w:id="240"/>
      <w:r>
        <w:rPr>
          <w:rtl w:val="true"/>
        </w:rPr>
        <w:t>بحث حول محمّد بن سماعة والحسن بن سماعة</w:t>
      </w:r>
      <w:bookmarkStart w:id="242" w:name="pg15025_160231"/>
      <w:bookmarkEnd w:id="241"/>
    </w:p>
    <w:p>
      <w:pPr>
        <w:pStyle w:val="BookText"/>
        <w:rPr/>
      </w:pPr>
      <w:bookmarkEnd w:id="242"/>
      <w:r>
        <w:rPr>
          <w:rFonts w:ascii="IRNazanin" w:hAnsi="IRNazanin" w:eastAsia="IRNazanin"/>
          <w:color w:val="111111"/>
          <w:sz w:val="28"/>
          <w:sz w:val="28"/>
          <w:szCs w:val="28"/>
          <w:rtl w:val="true"/>
          <w:lang w:bidi="fa-IR"/>
        </w:rPr>
        <w:t xml:space="preserve">الحسن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سماعة واقفیا ، وذکر أنّ محمد بن سماعة لیس من ولد سماعة بن مهران ، له ابن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سماعة واقفی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الکلام لا یخلو من إجمال ، إذ الظاهر منه أنّ الذاکر الحسن بن موسی الخشاب ، لکن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ابن یقال له الحسن بن سماعة ، محتمل لأن یعود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لسماعة بن مهران فیکون له ابن واقفی ، وهذا غیر المذکور فی النجاشی وأنّه واقفی </w:t>
      </w:r>
      <w:r>
        <w:rPr>
          <w:rStyle w:val="FootnoteAnchor"/>
          <w:rtl w:val="true"/>
        </w:rPr>
        <w:footnoteReference w:id="308"/>
      </w:r>
      <w:r>
        <w:rPr>
          <w:rFonts w:ascii="IRNazanin" w:hAnsi="IRNazanin" w:eastAsia="IRNazanin"/>
          <w:color w:val="111111"/>
          <w:sz w:val="28"/>
          <w:sz w:val="28"/>
          <w:szCs w:val="28"/>
          <w:rtl w:val="true"/>
          <w:lang w:bidi="fa-IR"/>
        </w:rPr>
        <w:t>، ویحتمل أن یعود الضمیر لمحمد ابن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ابن مهران </w:t>
      </w:r>
      <w:r>
        <w:rPr>
          <w:rStyle w:val="FootnoteAnchor"/>
          <w:rtl w:val="true"/>
        </w:rPr>
        <w:footnoteReference w:id="309"/>
      </w:r>
      <w:r>
        <w:rPr>
          <w:rFonts w:ascii="IRNazanin" w:hAnsi="IRNazanin" w:eastAsia="IRNazanin"/>
          <w:color w:val="111111"/>
          <w:sz w:val="28"/>
          <w:sz w:val="28"/>
          <w:szCs w:val="28"/>
          <w:rtl w:val="true"/>
          <w:lang w:bidi="fa-IR"/>
        </w:rPr>
        <w:t>وهو الواقفی یقال له الحسن بن سماعة ، لا الحسن بن محمد بن سماعة دائماً ، فأراد الحسن بن موسی التنبیه علی ذلک ، وهذا هو الظاهر ، إلاّ أنّ نقل العلاّمة له لیس علی ما ینبغی حینئذ ، بل المهم بیان أنّه یقال له الحسن بن سماعة والحسن بن محمد بن سماعة ، فالرجل واحد واقفی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السند أیضا محمد بن حمران ، وفی کتب الرجال اثنان ، أحدهما ثقة وهو النهدی ذکره النجاشی </w:t>
      </w:r>
      <w:r>
        <w:rPr>
          <w:rStyle w:val="FootnoteAnchor"/>
          <w:rtl w:val="true"/>
        </w:rPr>
        <w:footnoteReference w:id="310"/>
      </w:r>
      <w:r>
        <w:rPr>
          <w:rFonts w:ascii="IRNazanin" w:hAnsi="IRNazanin" w:eastAsia="IRNazanin"/>
          <w:color w:val="111111"/>
          <w:sz w:val="28"/>
          <w:sz w:val="28"/>
          <w:szCs w:val="28"/>
          <w:rtl w:val="true"/>
          <w:lang w:bidi="fa-IR"/>
        </w:rPr>
        <w:t xml:space="preserve">، والآخر مهمل </w:t>
      </w:r>
      <w:r>
        <w:rPr>
          <w:rStyle w:val="FootnoteAnchor"/>
          <w:rtl w:val="true"/>
        </w:rPr>
        <w:footnoteReference w:id="311"/>
      </w:r>
      <w:r>
        <w:rPr>
          <w:rFonts w:ascii="IRNazanin" w:hAnsi="IRNazanin" w:eastAsia="IRNazanin"/>
          <w:color w:val="111111"/>
          <w:sz w:val="28"/>
          <w:sz w:val="28"/>
          <w:szCs w:val="28"/>
          <w:rtl w:val="true"/>
          <w:lang w:bidi="fa-IR"/>
        </w:rPr>
        <w:t xml:space="preserve">، إلاّ أنّ الظاهر مع التعدد إرادة الأوّل ، لما یظهر من المحقق فی المعتبر أنّه حکم بصحة روایة محمد بن حمران غیر أنّه اتفق له ما یقتضی تعدیل عبد الله بن عاصم </w:t>
      </w:r>
      <w:r>
        <w:rPr>
          <w:rStyle w:val="FootnoteAnchor"/>
          <w:rtl w:val="true"/>
        </w:rPr>
        <w:footnoteReference w:id="312"/>
      </w:r>
      <w:r>
        <w:rPr>
          <w:rFonts w:ascii="IRNazanin" w:hAnsi="IRNazanin" w:eastAsia="IRNazanin"/>
          <w:color w:val="111111"/>
          <w:sz w:val="28"/>
          <w:sz w:val="28"/>
          <w:szCs w:val="28"/>
          <w:rtl w:val="true"/>
          <w:lang w:bidi="fa-IR"/>
        </w:rPr>
        <w:t>، ولم أقف علی ذلک فی الرجال لکن فی کلامه نوع احتمال کما سنذکره إن</w:t>
      </w:r>
    </w:p>
    <w:p>
      <w:pPr>
        <w:pStyle w:val="Heading4"/>
        <w:numPr>
          <w:ilvl w:val="3"/>
          <w:numId w:val="1"/>
        </w:numPr>
        <w:rPr/>
      </w:pPr>
      <w:bookmarkStart w:id="243" w:name="__RefHeading___Toc146628_2142443653"/>
      <w:bookmarkStart w:id="244" w:name="_Toc92"/>
      <w:bookmarkEnd w:id="243"/>
      <w:r>
        <w:rPr>
          <w:rtl w:val="true"/>
        </w:rPr>
        <w:t>بحث حول محمّد بن حمران</w:t>
      </w:r>
      <w:bookmarkEnd w:id="24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5" w:name="__RefHeading___Toc146630_2142443653"/>
      <w:bookmarkStart w:id="246" w:name="_Toc93"/>
      <w:bookmarkEnd w:id="245"/>
      <w:r>
        <w:rPr>
          <w:rtl w:val="true"/>
        </w:rPr>
        <w:t>إشارة إلی حال عبدالله بن عاصم</w:t>
      </w:r>
      <w:bookmarkStart w:id="247" w:name="pg15025_160232"/>
      <w:bookmarkEnd w:id="246"/>
    </w:p>
    <w:p>
      <w:pPr>
        <w:pStyle w:val="BookText"/>
        <w:rPr/>
      </w:pPr>
      <w:bookmarkEnd w:id="247"/>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فالطرق کلها غیر سلیمة ، 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بالمعلی ، وعبد الله سمعت ما فیه ، والوشاء قدمنا فیه الکلام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بن محمد الجوهری وقدّمنا حاله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الله بن عاصم ؛ أمّا الحسن ابن الحسین اللؤلؤی فلیس القدح فیه إلاّ ممّا نقله الشیخ عن ابن بابویه من تضعیفه </w:t>
      </w:r>
      <w:r>
        <w:rPr>
          <w:rStyle w:val="FootnoteAnchor"/>
          <w:rtl w:val="true"/>
        </w:rPr>
        <w:footnoteReference w:id="315"/>
      </w:r>
      <w:r>
        <w:rPr>
          <w:rFonts w:ascii="IRNazanin" w:hAnsi="IRNazanin" w:eastAsia="IRNazanin"/>
          <w:color w:val="111111"/>
          <w:sz w:val="28"/>
          <w:sz w:val="28"/>
          <w:szCs w:val="28"/>
          <w:rtl w:val="true"/>
          <w:lang w:bidi="fa-IR"/>
        </w:rPr>
        <w:t xml:space="preserve">، وأظنه أخذ ذلک من استثنائه من روایة محمد بن أحمد بن یحیی ، والاستثناء لا یدل علی الضعف ، والنجاشی قد وثّقه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أنّ شیخنا قدس سره قال فی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مرویة فی التهذیب </w:t>
      </w:r>
      <w:r>
        <w:rPr>
          <w:rStyle w:val="FootnoteAnchor"/>
          <w:rtl w:val="true"/>
        </w:rPr>
        <w:footnoteReference w:id="317"/>
      </w:r>
      <w:r>
        <w:rPr>
          <w:rFonts w:ascii="IRNazanin" w:hAnsi="IRNazanin" w:eastAsia="IRNazanin"/>
          <w:color w:val="111111"/>
          <w:sz w:val="28"/>
          <w:sz w:val="28"/>
          <w:szCs w:val="28"/>
          <w:rtl w:val="true"/>
          <w:lang w:bidi="fa-IR"/>
        </w:rPr>
        <w:t xml:space="preserve">بثلاث طرق أقربها إلی الصحة ما رواه عن محمد بن علی بن محبوب وذکر الطریق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الحسن بن الحسین اللؤلؤی توقف وإن وثّقه النجاشی لقول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بابویه ضعفه </w:t>
      </w:r>
      <w:r>
        <w:rPr>
          <w:rStyle w:val="FootnoteAnchor"/>
          <w:rtl w:val="true"/>
        </w:rPr>
        <w:footnoteReference w:id="318"/>
      </w:r>
      <w:r>
        <w:rPr>
          <w:rFonts w:ascii="IRNazanin" w:hAnsi="IRNazanin" w:eastAsia="IRNazanin"/>
          <w:color w:val="111111"/>
          <w:sz w:val="28"/>
          <w:sz w:val="28"/>
          <w:szCs w:val="28"/>
          <w:rtl w:val="true"/>
          <w:lang w:bidi="fa-IR"/>
        </w:rPr>
        <w:t>، والحال أنّ عبد الله بن عاصم لم نر توثیقه ولا مدحه فی الرجال ، سوی ما سنذکره عن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أنّ مجرّد الدخول فی الصلاة کاف فی</w:t>
      </w:r>
    </w:p>
    <w:p>
      <w:pPr>
        <w:pStyle w:val="Heading4"/>
        <w:numPr>
          <w:ilvl w:val="3"/>
          <w:numId w:val="1"/>
        </w:numPr>
        <w:rPr/>
      </w:pPr>
      <w:bookmarkStart w:id="248" w:name="__RefHeading___Toc146632_2142443653"/>
      <w:bookmarkStart w:id="249" w:name="_Toc94"/>
      <w:bookmarkEnd w:id="248"/>
      <w:r>
        <w:rPr>
          <w:rtl w:val="true"/>
        </w:rPr>
        <w:t>إشارة إلی حال المعلی بن محمّد</w:t>
      </w:r>
      <w:bookmarkEnd w:id="24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0" w:name="__RefHeading___Toc146634_2142443653"/>
      <w:bookmarkStart w:id="251" w:name="_Toc95"/>
      <w:bookmarkEnd w:id="250"/>
      <w:r>
        <w:rPr>
          <w:rtl w:val="true"/>
        </w:rPr>
        <w:t>بحث حول الحسن بن الحسین اللؤلؤی</w:t>
      </w:r>
      <w:bookmarkEnd w:id="251"/>
    </w:p>
    <w:p>
      <w:pPr>
        <w:pStyle w:val="BookText"/>
        <w:rPr/>
      </w:pPr>
      <w:r>
        <w:rPr>
          <w:rFonts w:ascii="IRNazanin" w:hAnsi="IRNazanin" w:eastAsia="IRNazanin"/>
          <w:color w:val="111111"/>
          <w:sz w:val="28"/>
          <w:sz w:val="28"/>
          <w:szCs w:val="28"/>
          <w:rtl w:val="true"/>
          <w:lang w:bidi="fa-IR"/>
        </w:rPr>
        <w:t xml:space="preserve">المضی ، وله نوع دلالة علی عدم اعتبار ضیق الوقت فی جواز التیمم کما یعرف بالتأمّل فی مضمونه ، کما أنّ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طلب الماء ثم یؤتی إلی آخره ، دلالة علی أنّ الطلب یکفی فیه ما أمکن من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قد بینا فیما سبق تأییده للاستحباب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الخبر حجة من قال بأنّ الدخول فی الصلاة ولو بتکبیرة الإحرام یقتضی الاستمرار فی الصلاة بتیمم کما حکاه بعض الأصحاب ، غیر أنّ من جملة القائلین السید المرتضی </w:t>
      </w:r>
      <w:r>
        <w:rPr>
          <w:rStyle w:val="FootnoteAnchor"/>
          <w:rtl w:val="true"/>
        </w:rPr>
        <w:footnoteReference w:id="319"/>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320"/>
      </w:r>
      <w:r>
        <w:rPr>
          <w:rFonts w:ascii="IRNazanin" w:hAnsi="IRNazanin" w:eastAsia="IRNazanin"/>
          <w:color w:val="111111"/>
          <w:sz w:val="28"/>
          <w:sz w:val="28"/>
          <w:szCs w:val="28"/>
          <w:rtl w:val="true"/>
          <w:lang w:bidi="fa-IR"/>
        </w:rPr>
        <w:t>واعتمادهم علی الأصل فی الاستدلال کما نقل أیضاً علی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 الشیخ العمل بمضمونه فی النهایة ، وکذلک عن ابن أبی عقیل وابن بابویه والمرتضی فی شرح الرسالة </w:t>
      </w:r>
      <w:r>
        <w:rPr>
          <w:rStyle w:val="FootnoteAnchor"/>
          <w:rtl w:val="true"/>
        </w:rPr>
        <w:footnoteReference w:id="321"/>
      </w:r>
      <w:r>
        <w:rPr>
          <w:rFonts w:ascii="IRNazanin" w:hAnsi="IRNazanin" w:eastAsia="IRNazanin"/>
          <w:color w:val="111111"/>
          <w:sz w:val="28"/>
          <w:sz w:val="28"/>
          <w:szCs w:val="28"/>
          <w:rtl w:val="true"/>
          <w:lang w:bidi="fa-IR"/>
        </w:rPr>
        <w:t>، والشیخ کما تری هنا ذکر فیه الحمل علی الاستحباب أوّلاً ، وکأنّ مراده أنّ الرجوع قبل الرکوع مستحب وبعده یتعین المضیّ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 بأنّ الظاهر من الروایة الأُولی وجوب المضی بعد الدخول فی الصلاة ، فلو حملت الثانیة علی الاستحباب لا یتم الوجوب فی الاولی ، بل یراد استحباب المضی وإن کان القطع أرجح ، وظاهر کلام الشیخ یأبی هذا ، إلاّ أنّه قابل للتسدید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الوجه الثانی فلا ینبغی ذکره فی المقام ، لأنّ الدخول إذا کان فی أوّل الوقت وجب القطع سواء کان الوجدان قبل الرکوع أو بعده ، والحال أنّ الروایة تضمنت التفصیل</w:t>
      </w:r>
      <w:r>
        <w:rPr>
          <w:rFonts w:eastAsia="IRNazanin" w:cs="IRNazanin"/>
          <w:color w:val="111111"/>
          <w:sz w:val="28"/>
          <w:szCs w:val="28"/>
          <w:rtl w:val="true"/>
          <w:lang w:bidi="fa-IR"/>
        </w:rPr>
        <w:t xml:space="preserve">. </w:t>
      </w:r>
      <w:bookmarkStart w:id="252" w:name="pg15025_160234"/>
    </w:p>
    <w:p>
      <w:pPr>
        <w:pStyle w:val="BookText"/>
        <w:rPr/>
      </w:pPr>
      <w:bookmarkEnd w:id="252"/>
      <w:r>
        <w:rPr>
          <w:rFonts w:ascii="IRNazanin" w:hAnsi="IRNazanin" w:eastAsia="IRNazanin"/>
          <w:color w:val="111111"/>
          <w:sz w:val="28"/>
          <w:sz w:val="28"/>
          <w:szCs w:val="28"/>
          <w:rtl w:val="true"/>
          <w:lang w:bidi="fa-IR"/>
        </w:rPr>
        <w:t xml:space="preserve">وفی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حمران أرجح 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أشهر فی العلم والعدالة من عبد الله بن عاصم والأعدل مقدم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أخفّ وأیسر ، والیسر مراد الله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 العمل بروایة محمد یمکن العمل بروایة عبد الله بالتنزیل علی الاستحباب ، ولو عمل بروایته لم یکن لروایة محمد محمل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دلالة الکلام بظاهره علی عدالة عبد الله بن عاصم ، وکأنّ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أقرب إلی الصحة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 العمل بروایة محمد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نظری القاصر أنّه محل تأمّل ، لأنّا إذا عملنا بروایة عبد الله یمکننا أن نحمل روایة محمد علی استحباب المضیّ ، لکن القطع أکمل ، علی أنّ العمل بروایة محمد لا یخلو من إجمال ، فإن أُرید به العمل بظاهرها من وجوب المضی لم یتم استحباب القطع قبل الرکوع ، وإن حملت علی استحباب المضی بعد الدخول اتحد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یؤیّد روایة محمد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شیخنا قدس سره أنّ من مؤیّداتها ما رواه الشیخ فی الصحیح ، عن زرارة ومحمد بن مسلم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لم یصب الماء وسیأتی عن قریب إن شاء الله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التعلیل فی آخرها یدل علی وجوب المضی فی الصلاة مع الدخول فیها ولو بتکبیرة الإحرام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وستسمع إن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3" w:name="__RefHeading___Toc146636_2142443653"/>
      <w:bookmarkStart w:id="254" w:name="_Toc96"/>
      <w:bookmarkEnd w:id="253"/>
      <w:r>
        <w:rPr>
          <w:rtl w:val="true"/>
        </w:rPr>
        <w:t>وجوه الجمع بین روایة محمّد بن حمران وروایة عبدالله بن عاصم</w:t>
      </w:r>
      <w:bookmarkEnd w:id="254"/>
    </w:p>
    <w:p>
      <w:pPr>
        <w:pStyle w:val="BookText"/>
        <w:rPr/>
      </w:pPr>
      <w:r>
        <w:rPr>
          <w:rFonts w:ascii="IRNazanin" w:hAnsi="IRNazanin" w:eastAsia="IRNazanin"/>
          <w:color w:val="111111"/>
          <w:sz w:val="28"/>
          <w:sz w:val="28"/>
          <w:szCs w:val="28"/>
          <w:rtl w:val="true"/>
          <w:lang w:bidi="fa-IR"/>
        </w:rPr>
        <w:t>شاء الله الکلام علی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العلاّمة فی المختلف أنّه قال فی هذه المسألة فی باب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نقل عن ابن أبی عقیل ما یقتضی الفرق بین الوجدان قبل الرکوع وبعده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قد تردّدنا فی کتاب التحریر فی هذین الاحتمالین ، وجه النقض أنّه متمکن عقلاً من استعمال الماء ، ومنع الشرع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إبطال </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الصلاة لا یخرجه عن التمکّن العقلی ، فإنّ التمکن صفة حقیقیة لا تتغیر بالأمر الشرعی والنهی ، والحکم معلق علی التمکن ؛ ووجه عدمه أنّه غیر متمکن من استعمال الماء شرعاً ، فإنّ الشرع نهاه عن إبطال الصلاة ، فنقول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تیمّمه إمّا أن ینتقض أو لا ، والأوّل باطل ، وإلاّ وجب علیه الإعادة من رأس ، والثانی هو المطلوب ، وبالجملة نحن فی هذه المسألة من المتوقّفین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فی الکلام ممّا یغنی عن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المنتهی أنّ فیه الجواب عن روایتی زرارة الآتیة وعبد الله ابن عاصم بالحمل علی الاستحباب ، أو علی أنّ المراد بالدخول فی الصلاة الشروع فی المقدمات کالأذان ، وبقوله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یتلبّس بالصلاة ، وبقوله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فیها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ما فی الجواب ، وإمکان حمل المطلق من الدخول علی المقید لا ریب فیه ، وروایة زرارة سیأتی أنّها لا تنافی روایة ابن عاصم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علی بن السندی ، عن حماد ، عن حریز ، عن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صلّی رکعة علی تیمّم ثم جاء رجل ومعه قربتان من ماء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یقطع الصلاة ویتوضّأ ثم یبنی علی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أن نحمله علی من إذا صلّی رکعة وأحدث ما ینقض الوضوء ساهیاً وجب علیه أن یتوضّأ ویبنی ، ولو کان لم یحدث لما وجب علیه الانصراف ، بل کان علیه أن یمضی فی صلاته ، ولا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الخبر ما قلناه فی غیره من أنّه إنما یجب علیه الوضوء ، لأنّه قد دخل فیها قبل آخر الوقت ، لأنّه لو کان کذلک لما جاز له البناء ووجب علیه الاستئناف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جواز ما قلناه إذا أحدث ساهیاً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الحسین بن سعید ، عن حماد ، عن حریز ، عن زرارة ومحمد بن مسلم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لم یصب الماء وحضرت الصلاة فتیمم وصلّی رکعتین ثم أصاب الماء ، أینقض الرکعتین أو یقطعهما ویتوضّأ ثم یصلّی؟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ولکنّه یمضی فی صلاته ولا ینقضهما لمکان أنّه دخلها وهو علی طهر وتیمم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دخلها وهو متیمم فصلّی رکعة وأحدث فأصاب 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ویتوضّأ ویبنی علی ما مضی من صلاته التی صلّی بالتیمم </w:t>
      </w:r>
      <w:r>
        <w:rPr>
          <w:rFonts w:eastAsia="IRNazanin" w:cs="IRNazanin"/>
          <w:color w:val="111111"/>
          <w:sz w:val="28"/>
          <w:szCs w:val="28"/>
          <w:rtl w:val="true"/>
          <w:lang w:bidi="fa-IR"/>
        </w:rPr>
        <w:t xml:space="preserve">». </w:t>
      </w:r>
      <w:bookmarkStart w:id="255" w:name="pg15025_160237"/>
    </w:p>
    <w:p>
      <w:pPr>
        <w:pStyle w:val="BookText"/>
        <w:rPr/>
      </w:pPr>
      <w:bookmarkEnd w:id="255"/>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فیه علی بن السندی ، وهو مجهول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نسخ الکشی علی بن السدی وهو الذی یقال له علی بن إسماعیل </w:t>
      </w:r>
      <w:r>
        <w:rPr>
          <w:rStyle w:val="FootnoteAnchor"/>
          <w:rtl w:val="true"/>
        </w:rPr>
        <w:footnoteReference w:id="329"/>
      </w:r>
      <w:r>
        <w:rPr>
          <w:rFonts w:ascii="IRNazanin" w:hAnsi="IRNazanin" w:eastAsia="IRNazanin"/>
          <w:color w:val="111111"/>
          <w:sz w:val="28"/>
          <w:sz w:val="28"/>
          <w:szCs w:val="28"/>
          <w:rtl w:val="true"/>
          <w:lang w:bidi="fa-IR"/>
        </w:rPr>
        <w:t xml:space="preserve">واشتبه أمره علی العلاّمة کما قدّمناه </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 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البناء علی الواحدة بعد الوضوء ، فلو فرض انعقاد الإجماع علی نفی مضمونه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البناء قد یجوّز فیه بإرادة فعل الواحدة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حمل الشیخ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تضمن أنّه یقطع الصلاة فلو کان أحدث لما احتاج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یقطع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قید النسیان لیس فی الخبر الذی استدل به ، ولو وجّه بأنّ العمد لا یتصور فیه البناء </w:t>
      </w:r>
      <w:r>
        <w:rPr>
          <w:rStyle w:val="FootnoteAnchor"/>
          <w:rtl w:val="true"/>
        </w:rPr>
        <w:footnoteReference w:id="331"/>
      </w:r>
      <w:r>
        <w:rPr>
          <w:rFonts w:ascii="IRNazanin" w:hAnsi="IRNazanin" w:eastAsia="IRNazanin"/>
          <w:color w:val="111111"/>
          <w:sz w:val="28"/>
          <w:sz w:val="28"/>
          <w:szCs w:val="28"/>
          <w:rtl w:val="true"/>
          <w:lang w:bidi="fa-IR"/>
        </w:rPr>
        <w:t xml:space="preserve">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الواسطة </w:t>
      </w:r>
      <w:r>
        <w:rPr>
          <w:rStyle w:val="FootnoteAnchor"/>
          <w:rtl w:val="true"/>
        </w:rPr>
        <w:footnoteReference w:id="332"/>
      </w:r>
      <w:r>
        <w:rPr>
          <w:rFonts w:ascii="IRNazanin" w:hAnsi="IRNazanin" w:eastAsia="IRNazanin"/>
          <w:color w:val="111111"/>
          <w:sz w:val="28"/>
          <w:sz w:val="28"/>
          <w:szCs w:val="28"/>
          <w:rtl w:val="true"/>
          <w:lang w:bidi="fa-IR"/>
        </w:rPr>
        <w:t>موجودة وهی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توجیه الأوّل بأنّ القطع یحمل علی وجه لا ینافی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قد یقال من أنّ الخبر الذی استدل به تضمن ما ینافی ما قدّمه من اعتبار الدخول فی الصلاة أو الرکوع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لا ینافی ذلک ، لأنّ</w:t>
      </w:r>
    </w:p>
    <w:p>
      <w:pPr>
        <w:pStyle w:val="Heading4"/>
        <w:numPr>
          <w:ilvl w:val="3"/>
          <w:numId w:val="1"/>
        </w:numPr>
        <w:rPr/>
      </w:pPr>
      <w:bookmarkStart w:id="256" w:name="__RefHeading___Toc146638_2142443653"/>
      <w:bookmarkStart w:id="257" w:name="_Toc97"/>
      <w:bookmarkEnd w:id="256"/>
      <w:r>
        <w:rPr>
          <w:rtl w:val="true"/>
        </w:rPr>
        <w:t>علی بن السندی مجهول</w:t>
      </w:r>
      <w:bookmarkEnd w:id="25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8" w:name="__RefHeading___Toc146640_2142443653"/>
      <w:bookmarkStart w:id="259" w:name="_Toc98"/>
      <w:bookmarkEnd w:id="258"/>
      <w:r>
        <w:rPr>
          <w:rtl w:val="true"/>
        </w:rPr>
        <w:t>توجیه ما دلّ علی أنّ من صلّی رکعة بتیمّم ثم وجد الماء یقطع الصلاة فیتوضّأ ثم یبنی علی ما مضی</w:t>
      </w:r>
      <w:bookmarkEnd w:id="259"/>
    </w:p>
    <w:p>
      <w:pPr>
        <w:pStyle w:val="BookText"/>
        <w:rPr/>
      </w:pPr>
      <w:r>
        <w:rPr>
          <w:rFonts w:ascii="IRNazanin" w:hAnsi="IRNazanin" w:eastAsia="IRNazanin"/>
          <w:color w:val="111111"/>
          <w:sz w:val="28"/>
          <w:sz w:val="28"/>
          <w:szCs w:val="28"/>
          <w:rtl w:val="true"/>
          <w:lang w:bidi="fa-IR"/>
        </w:rPr>
        <w:t xml:space="preserve">من صلّی رکعتین فقد تحقق منه الرکوع والدخول ، وذکره فی کلام السائل لا یدل علی التخصیص کما نبّهنا علیه مراراً ، ولا ریب فی دلالة التعلیل علی أنّ مجرد الدخول فی الصلاة کاف ، فیؤید ما دل علی الاکتفاء به وهی روایة محمد بن حمران ، وقد روی الشیخ عن زرارة نحو ما رواه هنا أیضاً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العلاّمة فی المختلف عن الروایتین بحمل الرکعة علی الصلاة إطلاقاً لاسم الجزء علی الکل ، قال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ویتوضّأ ثم یبنی علی ما مضی من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الاجتزاء بتلک الصلاة السابقة علی وجدان الماء </w:t>
      </w:r>
      <w:r>
        <w:rPr>
          <w:rStyle w:val="FootnoteAnchor"/>
          <w:rtl w:val="true"/>
        </w:rPr>
        <w:footnoteReference w:id="334"/>
      </w:r>
      <w:r>
        <w:rPr>
          <w:rFonts w:ascii="IRNazanin" w:hAnsi="IRNazanin" w:eastAsia="IRNazanin"/>
          <w:color w:val="111111"/>
          <w:sz w:val="28"/>
          <w:sz w:val="28"/>
          <w:szCs w:val="28"/>
          <w:rtl w:val="true"/>
          <w:lang w:bidi="fa-IR"/>
        </w:rPr>
        <w:t>، وأنت خبیر بما فی الجواب من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المعتبر 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عن الشیخین القول بالبناء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قالاه حسن ، لأن الإجماع علی أنّ الحدث عمداً یبطل الصلاة ، فیخرج من إطلاق الروایة ، ویتعیّن حملها علی غیر صورة العمد ، لأنّ الإجماع لا تصادمه الروایة ، ولا بأس بالعمل بها علی الوجه الذی ذکره الشیخان فإنّها روایة مشهورة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أنّه یتوجه علیه أنّ الإجماع کیف یتحقق فی المقام حتی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لا تصادمه ، وکیف یتکلم علی دعوی الشیخ الإجماع ، ولعلّ المحقق عنده فرق بین المواضع ، وهو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محمد بن أحمد بن یحیی ، عن محمد بن الحسین ، عن موسی بن سعدان ، عن الحسین بن أبی العلاء ، عن المثنی ، عن </w:t>
      </w:r>
      <w:bookmarkStart w:id="260" w:name="pg15025_160239"/>
    </w:p>
    <w:p>
      <w:pPr>
        <w:pStyle w:val="BookText"/>
        <w:rPr/>
      </w:pPr>
      <w:bookmarkEnd w:id="260"/>
      <w:r>
        <w:rPr>
          <w:rFonts w:ascii="IRNazanin" w:hAnsi="IRNazanin" w:eastAsia="IRNazanin"/>
          <w:color w:val="111111"/>
          <w:sz w:val="28"/>
          <w:sz w:val="28"/>
          <w:szCs w:val="28"/>
          <w:rtl w:val="true"/>
          <w:lang w:bidi="fa-IR"/>
        </w:rPr>
        <w:t xml:space="preserve">الحسن </w:t>
      </w:r>
      <w:r>
        <w:rPr>
          <w:rStyle w:val="FootnoteAnchor"/>
          <w:rtl w:val="true"/>
        </w:rPr>
        <w:footnoteReference w:id="336"/>
      </w:r>
      <w:r>
        <w:rPr>
          <w:rFonts w:ascii="IRNazanin" w:hAnsi="IRNazanin" w:eastAsia="IRNazanin"/>
          <w:color w:val="111111"/>
          <w:sz w:val="28"/>
          <w:sz w:val="28"/>
          <w:szCs w:val="28"/>
          <w:rtl w:val="true"/>
          <w:lang w:bidi="fa-IR"/>
        </w:rPr>
        <w:t xml:space="preserve">الصیقل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تیمم ثم قام فصلّی فمرّ به نهر وقد صلّی رکعة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فلیغتسل ویستقبل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صلّی صلاته کلها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یمکن حمله علی أنّه کان قد دخل فی الصلاة قبل آخر الوقت فوجب علیه أن یستأنف علی ما قلناه ، ویحتمل أیضاً أن یکون محمولا علی ضرب من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موسی بن سعدان ، والنجاشی ذکر موسی بن سعدان الحناط </w:t>
      </w:r>
      <w:r>
        <w:rPr>
          <w:rStyle w:val="FootnoteAnchor"/>
          <w:rtl w:val="true"/>
        </w:rPr>
        <w:footnoteReference w:id="337"/>
      </w:r>
      <w:r>
        <w:rPr>
          <w:rFonts w:ascii="IRNazanin" w:hAnsi="IRNazanin" w:eastAsia="IRNazanin"/>
          <w:color w:val="111111"/>
          <w:sz w:val="28"/>
          <w:sz w:val="28"/>
          <w:szCs w:val="28"/>
          <w:rtl w:val="true"/>
          <w:lang w:bidi="fa-IR"/>
        </w:rPr>
        <w:t xml:space="preserve">، وأنّه ضعیف فی مذهبه غلوّ </w:t>
      </w:r>
      <w:r>
        <w:rPr>
          <w:rStyle w:val="FootnoteAnchor"/>
          <w:rtl w:val="true"/>
        </w:rPr>
        <w:footnoteReference w:id="338"/>
      </w:r>
      <w:r>
        <w:rPr>
          <w:rFonts w:ascii="IRNazanin" w:hAnsi="IRNazanin" w:eastAsia="IRNazanin"/>
          <w:color w:val="111111"/>
          <w:sz w:val="28"/>
          <w:sz w:val="28"/>
          <w:szCs w:val="28"/>
          <w:rtl w:val="true"/>
          <w:lang w:bidi="fa-IR"/>
        </w:rPr>
        <w:t xml:space="preserve">؛ والشیخ فی الفهرست ذکره مهملا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الحسین بن أبی العلاء فقد قدمنا فیه قولا </w:t>
      </w:r>
      <w:r>
        <w:rPr>
          <w:rStyle w:val="FootnoteAnchor"/>
          <w:rtl w:val="true"/>
        </w:rPr>
        <w:footnoteReference w:id="340"/>
      </w:r>
      <w:r>
        <w:rPr>
          <w:rFonts w:ascii="IRNazanin" w:hAnsi="IRNazanin" w:eastAsia="IRNazanin"/>
          <w:color w:val="111111"/>
          <w:sz w:val="28"/>
          <w:sz w:val="28"/>
          <w:szCs w:val="28"/>
          <w:rtl w:val="true"/>
          <w:lang w:bidi="fa-IR"/>
        </w:rPr>
        <w:t xml:space="preserve">، والحاصل 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أبی العلاء الخفاف أبو علی الأعور مولی بنی أسد ، ذکر ذلک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أحمد بن الحسین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مولی بنی عامر وأخواه علی وعبد الحمید ، روی الجمیع عن أبی عبد الله علیه السلام ، وکان الحسین أوجههم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استفاد بعض توثیق الرجل من قول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الحسین أوجههم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عبد الحمید ثقة ، والأوجه من الثقة یکون ثقة </w:t>
      </w:r>
      <w:r>
        <w:rPr>
          <w:rStyle w:val="FootnoteAnchor"/>
          <w:rtl w:val="true"/>
        </w:rPr>
        <w:footnoteReference w:id="342"/>
      </w:r>
      <w:r>
        <w:rPr>
          <w:rFonts w:ascii="IRNazanin" w:hAnsi="IRNazanin" w:eastAsia="IRNazanin"/>
          <w:color w:val="111111"/>
          <w:sz w:val="28"/>
          <w:sz w:val="28"/>
          <w:szCs w:val="28"/>
          <w:rtl w:val="true"/>
          <w:lang w:bidi="fa-IR"/>
        </w:rPr>
        <w:t>؛ ولا یخلو</w:t>
      </w:r>
    </w:p>
    <w:p>
      <w:pPr>
        <w:pStyle w:val="Heading4"/>
        <w:numPr>
          <w:ilvl w:val="3"/>
          <w:numId w:val="1"/>
        </w:numPr>
        <w:rPr/>
      </w:pPr>
      <w:bookmarkStart w:id="261" w:name="__RefHeading___Toc146642_2142443653"/>
      <w:bookmarkStart w:id="262" w:name="_Toc99"/>
      <w:bookmarkEnd w:id="261"/>
      <w:r>
        <w:rPr>
          <w:rtl w:val="true"/>
        </w:rPr>
        <w:t>بحث حول موسی بن سعدان</w:t>
      </w:r>
      <w:bookmarkEnd w:id="26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3" w:name="__RefHeading___Toc146644_2142443653"/>
      <w:bookmarkStart w:id="264" w:name="_Toc100"/>
      <w:bookmarkEnd w:id="263"/>
      <w:r>
        <w:rPr>
          <w:rtl w:val="true"/>
        </w:rPr>
        <w:t>بحث حول الحسین بن أبی العلاء</w:t>
      </w:r>
      <w:bookmarkStart w:id="265" w:name="pg15025_160240"/>
      <w:bookmarkEnd w:id="264"/>
    </w:p>
    <w:p>
      <w:pPr>
        <w:pStyle w:val="BookText"/>
        <w:rPr/>
      </w:pPr>
      <w:bookmarkEnd w:id="265"/>
      <w:r>
        <w:rPr>
          <w:rFonts w:ascii="Amiri" w:hAnsi="Amiri" w:eastAsia="Amiri" w:cs="Amiri"/>
          <w:color w:val="111111"/>
          <w:sz w:val="28"/>
          <w:sz w:val="28"/>
          <w:szCs w:val="28"/>
          <w:rtl w:val="true"/>
          <w:lang w:bidi="ar-SA"/>
        </w:rPr>
        <w:t xml:space="preserve">من تأمّل ، لأنّ الوجاهة لا تلازم الثقة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بأنّ الحسین أوجههم یحتمل أن یکون من أحمد بن الحسین وهو ابن الغضائری وحاله غیر معلوم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کلام النجاشی فی ذکر قول أحمد إرادة أنّه لیس مولی بنی أسد کما قاله 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حکی ابن داود فی کتابه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حکی سیدنا جمال الدین رحمه الله فی البشری تزکیته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المثنی ففیه اشتراک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الصیقل فیه 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الشیخ فیه أوّلاً لا یتم ، لأنّ آخره یدل علی أنّه لو وجد الماء بعد الفراغ لا یعید ، فلو حمل علی أنّه تیمم فی أوّل الوقت کان اللازم الإعادة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ثانیاً من الاستحباب غیر واضح ، لأنّ الاستحباب إن أُرید به استحباب القطع بعد صلاة الرکعة فالأخبار السابقة قد تضمن بعضها المضی بعد الرکوع ، والشیخ فیما تقدم حمل الخبر علی الاستحباب ، والظاهر منه الاستحباب فیما قبل الرکوع ، وعلی مقتضی کلامه هنا أنّ القطع بعد الرکوع أیضاً مستحب ، ولا یخلو من غرابة ، إلاّ أنّ التوجیه ممکن عند الشیخ ،</w:t>
      </w:r>
    </w:p>
    <w:p>
      <w:pPr>
        <w:pStyle w:val="Heading4"/>
        <w:numPr>
          <w:ilvl w:val="3"/>
          <w:numId w:val="1"/>
        </w:numPr>
        <w:rPr/>
      </w:pPr>
      <w:bookmarkStart w:id="266" w:name="__RefHeading___Toc146646_2142443653"/>
      <w:bookmarkStart w:id="267" w:name="_Toc101"/>
      <w:bookmarkEnd w:id="266"/>
      <w:r>
        <w:rPr>
          <w:rtl w:val="true"/>
        </w:rPr>
        <w:t>المثنی مشترک</w:t>
      </w:r>
      <w:bookmarkEnd w:id="267"/>
    </w:p>
    <w:p>
      <w:pPr>
        <w:pStyle w:val="Heading4"/>
        <w:numPr>
          <w:ilvl w:val="3"/>
          <w:numId w:val="1"/>
        </w:numPr>
        <w:rPr/>
      </w:pPr>
      <w:bookmarkStart w:id="268" w:name="__RefHeading___Toc146648_2142443653"/>
      <w:bookmarkStart w:id="269" w:name="_Toc102"/>
      <w:bookmarkEnd w:id="268"/>
      <w:r>
        <w:rPr>
          <w:rtl w:val="true"/>
        </w:rPr>
        <w:t>الحسن الصقیل مجهول</w:t>
      </w:r>
      <w:bookmarkEnd w:id="26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0" w:name="__RefHeading___Toc146650_2142443653"/>
      <w:bookmarkStart w:id="271" w:name="_Toc103"/>
      <w:bookmarkEnd w:id="270"/>
      <w:r>
        <w:rPr>
          <w:rtl w:val="true"/>
        </w:rPr>
        <w:t>المناقشة فی توجیه الشیخ لروایة الحسن الصقیل</w:t>
      </w:r>
      <w:bookmarkStart w:id="272" w:name="pg15025_160241"/>
      <w:bookmarkEnd w:id="271"/>
    </w:p>
    <w:p>
      <w:pPr>
        <w:pStyle w:val="BookText"/>
        <w:rPr/>
      </w:pPr>
      <w:bookmarkEnd w:id="272"/>
      <w:r>
        <w:rPr>
          <w:rFonts w:ascii="IRNazanin" w:hAnsi="IRNazanin" w:eastAsia="IRNazanin"/>
          <w:color w:val="111111"/>
          <w:sz w:val="28"/>
          <w:sz w:val="28"/>
          <w:szCs w:val="28"/>
          <w:rtl w:val="true"/>
          <w:lang w:bidi="fa-IR"/>
        </w:rPr>
        <w:t>وبالجملة فکلام الشیخ فی الجمع لا یخلو من اضطراب ، والله تعالی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الرجل تصیب ثوبه الجنابة</w:t>
      </w:r>
    </w:p>
    <w:p>
      <w:pPr>
        <w:pStyle w:val="BookText"/>
        <w:rPr/>
      </w:pPr>
      <w:r>
        <w:rPr>
          <w:rFonts w:ascii="IRNazanin" w:hAnsi="IRNazanin" w:eastAsia="IRNazanin"/>
          <w:color w:val="111111"/>
          <w:sz w:val="28"/>
          <w:sz w:val="28"/>
          <w:szCs w:val="28"/>
          <w:rtl w:val="true"/>
          <w:lang w:bidi="fa-IR"/>
        </w:rPr>
        <w:t>ولا یجد الماء لغسله ولیس معه غیره</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 عن أبیه ، عن محمد بن علی بن محبوب ، عن أحمد ، عن الحسین ، عن الحسن ، عن زرعة ،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یکون فی فلاة من الأرض فأجنب ولیس علیه إلاّ ثوب فأجنب فیه ولیس یجد الماء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ویصلی عریانا قائما یومئ إیماءً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محمد بن عبد الحمید ، عن سیف بن عمیرة ، عن منصور بن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علی الحلبی ، عن أبی عبد الله علیه السلام فی رجل أصابته جنابة وهو بالفلاة ولیس علیه إلاّ ثوب واحد وأصاب ثوبه منی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ویطرح ثوبه ویجلس مجتمعا فیصلّی فیومئ إیماءً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الجمع بین الخبرین أنّه إذا کان بحیث لا یری أحد عورته صلّی قائماً ، وإذا لم یکن کذلک صلّی من قعود ، وقد روی الخبر الأوّل محمد بن یعقوب بإسناده وقد ذکرناه فی کتابنا الکبیر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قاعداً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هذه الروایة لا تعارض بینهما علی حال</w:t>
      </w:r>
      <w:r>
        <w:rPr>
          <w:rFonts w:eastAsia="IRNazanin" w:cs="IRNazanin"/>
          <w:color w:val="111111"/>
          <w:sz w:val="28"/>
          <w:szCs w:val="28"/>
          <w:rtl w:val="true"/>
          <w:lang w:bidi="fa-IR"/>
        </w:rPr>
        <w:t>.</w:t>
      </w:r>
    </w:p>
    <w:p>
      <w:pPr>
        <w:pStyle w:val="Heading3"/>
        <w:numPr>
          <w:ilvl w:val="2"/>
          <w:numId w:val="1"/>
        </w:numPr>
        <w:rPr/>
      </w:pPr>
      <w:bookmarkStart w:id="273" w:name="__RefHeading___Toc146652_2142443653"/>
      <w:bookmarkStart w:id="274" w:name="_Toc104"/>
      <w:bookmarkEnd w:id="273"/>
      <w:r>
        <w:rPr>
          <w:rtl w:val="true"/>
        </w:rPr>
        <w:t>الرجل تصیب ثوبه الجنابة ولایجد الماء لغَسله ولیس معه غیره</w:t>
      </w:r>
      <w:bookmarkEnd w:id="27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5" w:name="__RefHeading___Toc146654_2142443653"/>
      <w:bookmarkStart w:id="276" w:name="_Toc105"/>
      <w:bookmarkEnd w:id="275"/>
      <w:r>
        <w:rPr>
          <w:rtl w:val="true"/>
        </w:rPr>
        <w:t>اشارة</w:t>
      </w:r>
      <w:bookmarkStart w:id="277" w:name="pg15025_160242"/>
      <w:bookmarkEnd w:id="276"/>
    </w:p>
    <w:p>
      <w:pPr>
        <w:pStyle w:val="BookText"/>
        <w:rPr/>
      </w:pPr>
      <w:bookmarkEnd w:id="277"/>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موثق علی ما تقدم ، وأحمد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بن عیسی ،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سعید ، 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 لأنّه یروی عن زرعة بواسطته ، والإضمار فیه لا یضرّ بالحال لو سلم من غیره کما سبق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لا ارتیاب فیه إلاّ من جهة محمد بن عبد الحمید ، فقد کرّرنا فیه ما حاصله 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الحمید بن سالم العطار أبو جعفر ، روی عبد الحمید عن أبی الحسن موسی ، وکان ثقة من أصحابنا الکوفیین له کتاب نوادر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توقف جدّی قدس سره فی توثیق محمد من هذه العبارة لاحتمالها توثیق الأب </w:t>
      </w:r>
      <w:r>
        <w:rPr>
          <w:rStyle w:val="FootnoteAnchor"/>
          <w:rtl w:val="true"/>
        </w:rPr>
        <w:footnoteReference w:id="348"/>
      </w:r>
      <w:r>
        <w:rPr>
          <w:rFonts w:ascii="IRNazanin" w:hAnsi="IRNazanin" w:eastAsia="IRNazanin"/>
          <w:color w:val="111111"/>
          <w:sz w:val="28"/>
          <w:sz w:val="28"/>
          <w:szCs w:val="28"/>
          <w:rtl w:val="true"/>
          <w:lang w:bidi="fa-IR"/>
        </w:rPr>
        <w:t xml:space="preserve">، ووافقه علی ذلک شیخنا قدس سره فی فوائد الکتاب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قاصرة السند بمحمد بن عبد الحمید فإنّ فی توثیقه توقفاً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والظن الغالب أنّ التوثیق لمحمد ، لأنّ العنوان له وإنّما ذکر الأب بالعارض ، ویؤیّده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 وقد سبق عن قریب ذکر هذا الاحتمال فی محمد بن سماعة </w:t>
      </w:r>
      <w:r>
        <w:rPr>
          <w:rStyle w:val="FootnoteAnchor"/>
          <w:rtl w:val="true"/>
        </w:rPr>
        <w:footnoteReference w:id="349"/>
      </w:r>
      <w:r>
        <w:rPr>
          <w:rFonts w:ascii="IRNazanin" w:hAnsi="IRNazanin" w:eastAsia="IRNazanin"/>
          <w:color w:val="111111"/>
          <w:sz w:val="28"/>
          <w:sz w:val="28"/>
          <w:szCs w:val="28"/>
          <w:rtl w:val="true"/>
          <w:lang w:bidi="fa-IR"/>
        </w:rPr>
        <w:t xml:space="preserve">وإن کان الظن انتفاءه ، إلاّ أنّ شیخنا قدس سره غیر مرتاب فی صحة تلک الروایة </w:t>
      </w:r>
      <w:r>
        <w:rPr>
          <w:rStyle w:val="FootnoteAnchor"/>
          <w:rtl w:val="true"/>
        </w:rPr>
        <w:footnoteReference w:id="350"/>
      </w:r>
      <w:r>
        <w:rPr>
          <w:rFonts w:ascii="IRNazanin" w:hAnsi="IRNazanin" w:eastAsia="IRNazanin"/>
          <w:color w:val="111111"/>
          <w:sz w:val="28"/>
          <w:sz w:val="28"/>
          <w:szCs w:val="28"/>
          <w:rtl w:val="true"/>
          <w:lang w:bidi="fa-IR"/>
        </w:rPr>
        <w:t>، والعلّة واحدة ، وبالجملة فوقوع هذا من النجاشی کثیر ، وقد أوضحت الحال فیه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سیف بن عمیرة فلا ارتیاب فیه ، وقول محمد بن شهرآشوب </w:t>
      </w:r>
      <w:r>
        <w:rPr>
          <w:rFonts w:eastAsia="IRNazanin" w:cs="IRNazanin"/>
          <w:color w:val="111111"/>
          <w:sz w:val="28"/>
          <w:szCs w:val="28"/>
          <w:rtl w:val="true"/>
          <w:lang w:bidi="fa-IR"/>
        </w:rPr>
        <w:t>:</w:t>
      </w:r>
    </w:p>
    <w:p>
      <w:pPr>
        <w:pStyle w:val="Heading4"/>
        <w:numPr>
          <w:ilvl w:val="3"/>
          <w:numId w:val="1"/>
        </w:numPr>
        <w:rPr/>
      </w:pPr>
      <w:bookmarkStart w:id="278" w:name="__RefHeading___Toc146656_2142443653"/>
      <w:bookmarkStart w:id="279" w:name="_Toc106"/>
      <w:bookmarkEnd w:id="278"/>
      <w:r>
        <w:rPr>
          <w:rtl w:val="true"/>
        </w:rPr>
        <w:t xml:space="preserve">تفسیر قول الشیخ </w:t>
      </w:r>
      <w:r>
        <w:rPr>
          <w:rtl w:val="true"/>
        </w:rPr>
        <w:t xml:space="preserve">: </w:t>
      </w:r>
      <w:r>
        <w:rPr>
          <w:rtl w:val="true"/>
        </w:rPr>
        <w:t>عن أحمد ، عن الحسین ، عن الحسن</w:t>
      </w:r>
      <w:bookmarkEnd w:id="279"/>
    </w:p>
    <w:p>
      <w:pPr>
        <w:pStyle w:val="Heading4"/>
        <w:numPr>
          <w:ilvl w:val="3"/>
          <w:numId w:val="1"/>
        </w:numPr>
        <w:rPr/>
      </w:pPr>
      <w:bookmarkStart w:id="280" w:name="__RefHeading___Toc146658_2142443653"/>
      <w:bookmarkStart w:id="281" w:name="_Toc107"/>
      <w:bookmarkEnd w:id="280"/>
      <w:r>
        <w:rPr>
          <w:rtl w:val="true"/>
        </w:rPr>
        <w:t>بحث حول محمّد بن عبدالحمید</w:t>
      </w:r>
      <w:bookmarkEnd w:id="28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2" w:name="__RefHeading___Toc146660_2142443653"/>
      <w:bookmarkStart w:id="283" w:name="_Toc108"/>
      <w:bookmarkEnd w:id="282"/>
      <w:r>
        <w:rPr>
          <w:rtl w:val="true"/>
        </w:rPr>
        <w:t>سیف بن عمیرة لا ارتیاب فیه</w:t>
      </w:r>
      <w:bookmarkStart w:id="284" w:name="pg15025_160243"/>
      <w:bookmarkEnd w:id="283"/>
    </w:p>
    <w:p>
      <w:pPr>
        <w:pStyle w:val="BookText"/>
        <w:rPr/>
      </w:pPr>
      <w:bookmarkEnd w:id="284"/>
      <w:r>
        <w:rPr>
          <w:rFonts w:ascii="Amiri" w:hAnsi="Amiri" w:eastAsia="Amiri" w:cs="Amiri"/>
          <w:color w:val="111111"/>
          <w:sz w:val="28"/>
          <w:sz w:val="28"/>
          <w:szCs w:val="28"/>
          <w:rtl w:val="true"/>
          <w:lang w:bidi="ar-SA"/>
        </w:rPr>
        <w:t xml:space="preserve">إنّه واقفی </w:t>
      </w:r>
      <w:r>
        <w:rPr>
          <w:rStyle w:val="FootnoteAnchor"/>
          <w:rtl w:val="true"/>
        </w:rPr>
        <w:footnoteReference w:id="351"/>
      </w:r>
      <w:r>
        <w:rPr>
          <w:rFonts w:ascii="IRNazanin" w:hAnsi="IRNazanin" w:eastAsia="IRNazanin"/>
          <w:color w:val="111111"/>
          <w:sz w:val="28"/>
          <w:sz w:val="28"/>
          <w:szCs w:val="28"/>
          <w:rtl w:val="true"/>
          <w:lang w:bidi="fa-IR"/>
        </w:rPr>
        <w:t>، لا یثبت حکماً مع عدم معلومیة حال الجارح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ظاهر الدلالة علی الصلاة عریاناً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بالإیماء </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له فی نزع الثوب والإیماء ومخالف له من جهة الجلوس علی روایة الشیخ ، وما أشار إلیه من روایة محمد بن یعقوب فقد رواه الشیخ فی التهذیب عن محمد بن یعقوب ، عن جماعة ، عن أحمد بن محمد ، عن الحسین بن سعید ، عن أخیه الحسن ، عن زرعة ، عن سماعة ، وذکر المتن بمغایرة سهلة ،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ویصلّی عریاناً قاعداً ویومئ </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قاله الشیخ فی الجمع بین الخبرین لم یذکر ما یدل علیه ، وبدونه قد یتوجه احتمال التخییر بین القیام والجلوس علی تقدیر عدم الروایة ، علی أنّ عدم تعرضه لبیان عدم الالتفات إلی روایة الکلینی غیر ظاهر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فی زیادات الصلاة من التهذیب ما یدل علی التفصیل الذی ذکره ، فالعجب من عدم تعرّضه له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علی بن محبوب ، عن یعقوب بن یزید ، عن ابن أبی عمیر ، عن ابن مسکان ، عن بعض أصحابنا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یخرج عریانا فتدرکه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عریاناً قائماً إن لم یره أحد ، فإن رآه أحد صلّی جالساً </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5" w:name="__RefHeading___Toc146662_2142443653"/>
      <w:bookmarkStart w:id="286" w:name="_Toc109"/>
      <w:bookmarkEnd w:id="285"/>
      <w:r>
        <w:rPr>
          <w:rtl w:val="true"/>
        </w:rPr>
        <w:t>الجمع بین روایة سماعة وروایة الحلبی</w:t>
      </w:r>
      <w:bookmarkEnd w:id="286"/>
    </w:p>
    <w:p>
      <w:pPr>
        <w:pStyle w:val="BookText"/>
        <w:rPr/>
      </w:pPr>
      <w:r>
        <w:rPr>
          <w:rFonts w:ascii="IRNazanin" w:hAnsi="IRNazanin" w:eastAsia="IRNazanin"/>
          <w:color w:val="111111"/>
          <w:sz w:val="28"/>
          <w:sz w:val="28"/>
          <w:szCs w:val="28"/>
          <w:rtl w:val="true"/>
          <w:lang w:bidi="fa-IR"/>
        </w:rPr>
        <w:t xml:space="preserve">ولا یخفی حال سند الحدیث ، فإثبات تعیّن القیام مع الأمن من المطّلع مشکل بعد صحة روایة محمد </w:t>
      </w:r>
      <w:r>
        <w:rPr>
          <w:rStyle w:val="FootnoteAnchor"/>
          <w:rtl w:val="true"/>
        </w:rPr>
        <w:footnoteReference w:id="355"/>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ویؤیّدها ما رواه الشیخ فی زیادات الصلاة من التهذیب ، عن علی بن إبراهیم ، عن أبیه ، عن حماد ، عن حریز ، عن 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خرج من سفینة عریاناً أو سلب ثیابه ولم یجد شیئاً یصلّی فیه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إیماءً ، وإن کانت امرأة جعلت یدها علی فرجها ، وإن کان رجلاً وضع یده علی سوأته ثم یجلسان فیومئان إیماءً ، ولا یرکعان ولا یسجدان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الأخبار </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عرفت هذا فاعلم أنّ المنقول عن الشیخ القول بأنّ من لیس معه إلاّ ثوب واحد نجس وتعذّر تطهیره ینزعه ویصلّی عریاناً مومئاً </w:t>
      </w:r>
      <w:r>
        <w:rPr>
          <w:rStyle w:val="FootnoteAnchor"/>
          <w:rtl w:val="true"/>
        </w:rPr>
        <w:footnoteReference w:id="358"/>
      </w:r>
      <w:r>
        <w:rPr>
          <w:rFonts w:ascii="IRNazanin" w:hAnsi="IRNazanin" w:eastAsia="IRNazanin"/>
          <w:color w:val="111111"/>
          <w:sz w:val="28"/>
          <w:sz w:val="28"/>
          <w:szCs w:val="28"/>
          <w:rtl w:val="true"/>
          <w:lang w:bidi="fa-IR"/>
        </w:rPr>
        <w:t>، وأنّه استدل بهاتین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وینقل عن ابن الجنید أنّ الصلاة فی الثوب أحبّ إلیه من الصلاة عریاناً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المعتبر والمنتهی التخییر من غیر ترجیح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معه ثوب واحد وأصابه نجاسة ولم یتمکّن من غسله نزعه وصلّی عریاناً ، فإن لم یتمکن من نزعه صلّی فیه ، فاذا وجد الماء غسله ، وهل یعید الصلاة أم لا؟ قال الشیخ یعید ، إلی آخره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الکلام یعطی أنّ الخلاف فی إعادة الصلاة ، لکنّه نقل بعد هذا ما ذهب إلیه فی المنتهی من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القاسم بن محمد ، عن أبان بن عثمان ، عن محمد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یجنب فی الثوب أو یصیبه بول ولیس معه ثوب غیره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فیه إذا اضطرّ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علی بن جعفر ، عن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عریان وحضرت الصلاة فأصاب ثوباً نصفه دم أو کلّه ، یصلّی فیه أو یصلی عریاناً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وجد ماءً غسله ، وإن لم یجد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فیه ولم یصلّ عریاناً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سعد بن عبد الله ، عن أبی جعفر ، عن علی بن الحکم ، قال ، سألته عن الرجل یجنب فی ثوب ولیس معه غیره ولم یقدر علی غسله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تنافی بین هذه الأخبار وبین الأخبار الأولة ، لأنا نحمل هذه الأخبار علی حال لا یمکن نزع الثوب فیها من ضرورة ، ومع ذلک إذا تمکّن من غسل الثوب غسله وأعاد الصلاة ، یدل علی ذلک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محمد بن أحمد بن یحیی ، عن أحمد بن الحسن بن علی ، عن عمرو بن سعید ، عن مصدق بن صدقة ، عن عمار </w:t>
      </w:r>
      <w:bookmarkStart w:id="287" w:name="pg15025_160246"/>
    </w:p>
    <w:p>
      <w:pPr>
        <w:pStyle w:val="BookText"/>
        <w:rPr/>
      </w:pPr>
      <w:bookmarkEnd w:id="287"/>
      <w:r>
        <w:rPr>
          <w:rFonts w:ascii="IRNazanin" w:hAnsi="IRNazanin" w:eastAsia="IRNazanin"/>
          <w:color w:val="111111"/>
          <w:sz w:val="28"/>
          <w:sz w:val="28"/>
          <w:szCs w:val="28"/>
          <w:rtl w:val="true"/>
          <w:lang w:bidi="fa-IR"/>
        </w:rPr>
        <w:t xml:space="preserve">الساباطی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لیس علیه إلاّ ثوب ولا یحل له الصلاة فیه ولیس یجد ماءً یغسله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یتیمم ویصلی فإذا أصاب ماءً غسله وأعاد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القاسم بن محمد وقد تکرر فیه القول بأنّه الجوهری </w:t>
      </w:r>
      <w:r>
        <w:rPr>
          <w:rStyle w:val="FootnoteAnchor"/>
          <w:rtl w:val="true"/>
        </w:rPr>
        <w:footnoteReference w:id="364"/>
      </w:r>
      <w:r>
        <w:rPr>
          <w:rFonts w:ascii="IRNazanin" w:hAnsi="IRNazanin" w:eastAsia="IRNazanin"/>
          <w:color w:val="111111"/>
          <w:sz w:val="28"/>
          <w:sz w:val="28"/>
          <w:szCs w:val="28"/>
          <w:rtl w:val="true"/>
          <w:lang w:bidi="fa-IR"/>
        </w:rPr>
        <w:t xml:space="preserve">، لأن الراوی عنه الحسین بن سعید فی رجال الشیخ فیمن لم یرو </w:t>
      </w:r>
      <w:r>
        <w:rPr>
          <w:rStyle w:val="FootnoteAnchor"/>
          <w:rtl w:val="true"/>
        </w:rPr>
        <w:footnoteReference w:id="365"/>
      </w:r>
      <w:r>
        <w:rPr>
          <w:rFonts w:ascii="IRNazanin" w:hAnsi="IRNazanin" w:eastAsia="IRNazanin"/>
          <w:color w:val="111111"/>
          <w:sz w:val="28"/>
          <w:sz w:val="28"/>
          <w:szCs w:val="28"/>
          <w:rtl w:val="true"/>
          <w:lang w:bidi="fa-IR"/>
        </w:rPr>
        <w:t xml:space="preserve">، والحاصل أنّ الرجل مذکور مهملاً فی النجاشی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فی رجال الکاظم علیه السلام من کتابه </w:t>
      </w:r>
      <w:r>
        <w:rPr>
          <w:rStyle w:val="FootnoteAnchor"/>
          <w:rtl w:val="true"/>
        </w:rPr>
        <w:footnoteReference w:id="367"/>
      </w:r>
      <w:r>
        <w:rPr>
          <w:rFonts w:ascii="IRNazanin" w:hAnsi="IRNazanin" w:eastAsia="IRNazanin"/>
          <w:color w:val="111111"/>
          <w:sz w:val="28"/>
          <w:sz w:val="28"/>
          <w:szCs w:val="28"/>
          <w:rtl w:val="true"/>
          <w:lang w:bidi="fa-IR"/>
        </w:rPr>
        <w:t>، مع أنّه ذکره فی من لم یرو مهملا ، وربما یعطی ذلک التعدد ، وأنّ الواقفی غیر من یروی عنه الحسین ، إلاّ أنّ الاعتبار فی کتاب الشیخ لا یساعد علی هذا بل ینفیه ، وحال الشیخ فی الرجال لا یخلو من 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الکشی 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الجوهری لم یلق أبا عبد الله وهو مثل ابن أبی غراب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واقفیا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 بن الصباح ضعیف فی الرجال </w:t>
      </w:r>
      <w:r>
        <w:rPr>
          <w:rStyle w:val="FootnoteAnchor"/>
          <w:rtl w:val="true"/>
        </w:rPr>
        <w:footnoteReference w:id="369"/>
      </w:r>
      <w:r>
        <w:rPr>
          <w:rFonts w:ascii="IRNazanin" w:hAnsi="IRNazanin" w:eastAsia="IRNazanin"/>
          <w:color w:val="111111"/>
          <w:sz w:val="28"/>
          <w:sz w:val="28"/>
          <w:szCs w:val="28"/>
          <w:rtl w:val="true"/>
          <w:lang w:bidi="fa-IR"/>
        </w:rPr>
        <w:t>، وعلی تقدیر الاعتماد علیه فالقائلون بالوقف غیر معلومین ، ولعلّ الشیخ استفاد ما قاله من موضع آخر ، والإهمال فیه غیر بعید لما سمعته من کلام النجاشی ، والعلاّمة فی الخلاصة جزم بأنّه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8" w:name="__RefHeading___Toc146664_2142443653"/>
      <w:bookmarkStart w:id="289" w:name="_Toc110"/>
      <w:bookmarkEnd w:id="288"/>
      <w:r>
        <w:rPr>
          <w:rtl w:val="true"/>
        </w:rPr>
        <w:t>بحث حول القاسم بن محمّد الجوهری</w:t>
      </w:r>
      <w:bookmarkStart w:id="290" w:name="pg15025_160247"/>
      <w:bookmarkEnd w:id="289"/>
    </w:p>
    <w:p>
      <w:pPr>
        <w:pStyle w:val="BookText"/>
        <w:rPr/>
      </w:pPr>
      <w:bookmarkEnd w:id="290"/>
      <w:r>
        <w:rPr>
          <w:rFonts w:ascii="IRNazanin" w:hAnsi="IRNazanin" w:eastAsia="IRNazanin"/>
          <w:color w:val="111111"/>
          <w:sz w:val="28"/>
          <w:sz w:val="28"/>
          <w:szCs w:val="28"/>
          <w:rtl w:val="true"/>
          <w:lang w:bidi="fa-IR"/>
        </w:rPr>
        <w:t xml:space="preserve">واقفی لم یلق أبا عبد الله </w:t>
      </w:r>
      <w:r>
        <w:rPr>
          <w:rStyle w:val="FootnoteAnchor"/>
          <w:rtl w:val="true"/>
        </w:rPr>
        <w:footnoteReference w:id="370"/>
      </w:r>
      <w:r>
        <w:rPr>
          <w:rFonts w:ascii="IRNazanin" w:hAnsi="IRNazanin" w:eastAsia="IRNazanin"/>
          <w:color w:val="111111"/>
          <w:sz w:val="28"/>
          <w:sz w:val="28"/>
          <w:szCs w:val="28"/>
          <w:rtl w:val="true"/>
          <w:lang w:bidi="fa-IR"/>
        </w:rPr>
        <w:t>، وهو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 لأنّ طریق الشیخ إلی علی بن جعفر فی المشیخة عن الحسین بن عبید الله ، عن أحمد بن محمد بن یحیی ، عن أبیه ، عن العمرکی ، عن علی بن جعفر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 شیخنا فی فوائد الکتاب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جعفر وإن کانت مرسلة هنا لکنها مرویة فی الفقیه بطریق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أیضاً ، لأنّ أبا جعفر هو أحمد بن محمد بن عیسی ، وعلی بن الحکم هو الثقة بتقدیر الاشتراک لروایة أحمد عنه کما فی النجاشی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الاعتماد علی کون أبا جعفر هو أحمد بن محمد ، فإنّ روایة سعد عن أبی جعفر غیره موجودة ، ففی الکافی فی باب مولد الصادق علیه السلام سعد بن عبد الله ، عن أبی جعفر محمد بن عمرو بن سعید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العلاّمة فی فوائد الخلاصة بما ذکرناه </w:t>
      </w:r>
      <w:r>
        <w:rPr>
          <w:rStyle w:val="FootnoteAnchor"/>
          <w:rtl w:val="true"/>
        </w:rPr>
        <w:footnoteReference w:id="374"/>
      </w:r>
      <w:r>
        <w:rPr>
          <w:rFonts w:ascii="IRNazanin" w:hAnsi="IRNazanin" w:eastAsia="IRNazanin"/>
          <w:color w:val="111111"/>
          <w:sz w:val="28"/>
          <w:sz w:val="28"/>
          <w:szCs w:val="28"/>
          <w:rtl w:val="true"/>
          <w:lang w:bidi="fa-IR"/>
        </w:rPr>
        <w:t>، والاعتبار والتتبع فی کلام الشیخ یفید الظن بذلک ، وما ذکرته عن الکافی یوجب الریب فی کلام غیر الشیخ ، علی أنّ ما وقع فی الکافی لا یخلو من شی‌ء ذکرته فی حاشیة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سند الروایة هنا نوع نقص ، لأنّ الشیخ رواها فی التهذیب</w:t>
      </w:r>
    </w:p>
    <w:p>
      <w:pPr>
        <w:pStyle w:val="Heading4"/>
        <w:numPr>
          <w:ilvl w:val="3"/>
          <w:numId w:val="1"/>
        </w:numPr>
        <w:rPr/>
      </w:pPr>
      <w:bookmarkStart w:id="291" w:name="__RefHeading___Toc146666_2142443653"/>
      <w:bookmarkStart w:id="292" w:name="_Toc111"/>
      <w:bookmarkEnd w:id="291"/>
      <w:r>
        <w:rPr>
          <w:rtl w:val="true"/>
        </w:rPr>
        <w:t>طریق الشیخ إلی علی بن جعفر</w:t>
      </w:r>
      <w:bookmarkEnd w:id="292"/>
    </w:p>
    <w:p>
      <w:pPr>
        <w:pStyle w:val="Heading4"/>
        <w:numPr>
          <w:ilvl w:val="3"/>
          <w:numId w:val="1"/>
        </w:numPr>
        <w:rPr/>
      </w:pPr>
      <w:bookmarkStart w:id="293" w:name="__RefHeading___Toc146668_2142443653"/>
      <w:bookmarkStart w:id="294" w:name="_Toc112"/>
      <w:bookmarkEnd w:id="293"/>
      <w:r>
        <w:rPr>
          <w:rtl w:val="true"/>
        </w:rPr>
        <w:t>علی بن الحکم الذی یروی عنه أحمد بن محمّد بن عیسی هو الثقة</w:t>
      </w:r>
      <w:bookmarkEnd w:id="29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5" w:name="__RefHeading___Toc146670_2142443653"/>
      <w:bookmarkStart w:id="296" w:name="_Toc113"/>
      <w:bookmarkEnd w:id="295"/>
      <w:r>
        <w:rPr>
          <w:rtl w:val="true"/>
        </w:rPr>
        <w:t>ما المراد بأبی جعفر الذی یروی عنه سعد بن عبدالله؟</w:t>
      </w:r>
      <w:bookmarkStart w:id="297" w:name="pg15025_160248"/>
      <w:bookmarkEnd w:id="296"/>
    </w:p>
    <w:p>
      <w:pPr>
        <w:pStyle w:val="BookText"/>
        <w:rPr/>
      </w:pPr>
      <w:bookmarkEnd w:id="297"/>
      <w:r>
        <w:rPr>
          <w:rFonts w:ascii="IRNazanin" w:hAnsi="IRNazanin" w:eastAsia="IRNazanin"/>
          <w:color w:val="111111"/>
          <w:sz w:val="28"/>
          <w:sz w:val="28"/>
          <w:szCs w:val="28"/>
          <w:rtl w:val="true"/>
          <w:lang w:bidi="fa-IR"/>
        </w:rPr>
        <w:t xml:space="preserve">عن علی بن الحکم ، عن أبان ، عن عبد الرحمن بن أبی عبد الله ، عن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 والنسخ التی رأیتها اشتملت علی ما کتبته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تکرّر فیه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الشیخ فیه لا یخلو من بُعد بالنسبة إلی الثانی ، أمّا الأوّل فهو صریح فی الاضطرار ، إلاّ أنّه مجمل فی محلّه ، إذ یحتمل الاضطرار إلیه فی اللبس لبرد ونحوه ، أو اضطرّ إلیه لعدم وجود غیره ، والشیخ کما تری حمله علی الاضطرار إلی اللبس ، وسیأتی من الشیخ فی باب عرق الجنب نقل الروایة بطریق لا ریب فیه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أجنب فی ثوبه ولم یکن معه ثوب غیره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فیه فإذا وجد ماءً غسله </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بعید أن یکون محمد الحلبی نقل الأمرین ، إذ من المستبعد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المتن </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بمثل هذا ، فما قاله شیخنا قدس سره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الشیخ أورد روایة الحلبی فی باب عرق الجنب بسند صحیح ومتنها أوضح ممّا نقله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مدلول صحیح علی بن جعفر النهی عن الصلاة عاریاً ، وبتقدیر الحمل علی الضرورة فالنهی علی حقیقته ، أمّا علی تقدیر العمل بظاهره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8" w:name="__RefHeading___Toc146672_2142443653"/>
      <w:bookmarkStart w:id="299" w:name="_Toc114"/>
      <w:bookmarkEnd w:id="298"/>
      <w:r>
        <w:rPr>
          <w:rtl w:val="true"/>
        </w:rPr>
        <w:t>توجیه ما دل علی جواز الصلاة فی الثوب النجس</w:t>
      </w:r>
      <w:bookmarkStart w:id="300" w:name="pg15025_160249"/>
      <w:bookmarkEnd w:id="299"/>
    </w:p>
    <w:p>
      <w:pPr>
        <w:pStyle w:val="BookText"/>
        <w:rPr/>
      </w:pPr>
      <w:bookmarkEnd w:id="300"/>
      <w:r>
        <w:rPr>
          <w:rFonts w:ascii="IRNazanin" w:hAnsi="IRNazanin" w:eastAsia="IRNazanin"/>
          <w:color w:val="111111"/>
          <w:sz w:val="28"/>
          <w:sz w:val="28"/>
          <w:szCs w:val="28"/>
          <w:rtl w:val="true"/>
          <w:lang w:bidi="fa-IR"/>
        </w:rPr>
        <w:t xml:space="preserve">نظراً إلی عدم صحة المعارض إن لم یثبت توثیق محمد بن عبد الحمید ، فالنهی محمول علی غیر ظاهره ، إذ الإجماع مدعی علی جواز الصلاة عاریاً </w:t>
      </w:r>
      <w:r>
        <w:rPr>
          <w:rStyle w:val="FootnoteAnchor"/>
          <w:rtl w:val="true"/>
        </w:rPr>
        <w:footnoteReference w:id="380"/>
      </w:r>
      <w:r>
        <w:rPr>
          <w:rFonts w:ascii="IRNazanin" w:hAnsi="IRNazanin" w:eastAsia="IRNazanin"/>
          <w:color w:val="111111"/>
          <w:sz w:val="28"/>
          <w:sz w:val="28"/>
          <w:szCs w:val="28"/>
          <w:rtl w:val="true"/>
          <w:lang w:bidi="fa-IR"/>
        </w:rPr>
        <w:t>، وإن کان فی مثل هذا الإجماع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یدّعی الإجماع والمنقول عن ابن الجنید لا یوافق ذلک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مراد ابن الجنید بکون الصلاة فیه أحب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 ، فلا ینافی جواز الصلاة عاریاً وإن احتمل أن یرید بالأحب الفتوی بالتعین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وللشیخ فی التهذیب بعد نقل الأخبار المذکورة کلام فی الجمع لا یخلو من غرابة ، والحاصل منه أنّه جعل وجه الجمع إمّا الحمل علی صلاة الجنازة أو علی دم السمک فی خبر علی بن جعفر </w:t>
      </w:r>
      <w:r>
        <w:rPr>
          <w:rStyle w:val="FootnoteAnchor"/>
          <w:rtl w:val="true"/>
        </w:rPr>
        <w:footnoteReference w:id="382"/>
      </w:r>
      <w:r>
        <w:rPr>
          <w:rFonts w:ascii="IRNazanin" w:hAnsi="IRNazanin" w:eastAsia="IRNazanin"/>
          <w:color w:val="111111"/>
          <w:sz w:val="28"/>
          <w:sz w:val="28"/>
          <w:szCs w:val="28"/>
          <w:rtl w:val="true"/>
          <w:lang w:bidi="fa-IR"/>
        </w:rPr>
        <w:t>، ومثل هذا لا ینبغی ذکره فی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الأولی من الشیخ هنا ، أن یذکر خبر محمد بن علی الحلبی دلیلاً علی الجمع الذی ذکره ، لأن الظاهر من الضرورة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إعادة الصلاة فالخبر الذی ذکره دلیلاً لو صلح للاعتماد أمکن حمله علی مورده من إعادة المتیمم ، وظاهر الشیخ کما تری إعادة المتیمم وغیره ممّن صلّی فی النجس ، وکأنّه لما اعتمد علی الأخبار الدالة علی عدم إعادة المتیمم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هو </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إلاّ فی بعض الصور ، والنص مطلق ، فلا بدّ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1" w:name="__RefHeading___Toc146674_2142443653"/>
      <w:bookmarkStart w:id="302" w:name="_Toc115"/>
      <w:bookmarkEnd w:id="301"/>
      <w:r>
        <w:rPr>
          <w:rtl w:val="true"/>
        </w:rPr>
        <w:t>عدم وجوب الإعادة علی المتیمّم الذی صلّی فی الثوب النجس</w:t>
      </w:r>
      <w:bookmarkStart w:id="303" w:name="pg15025_160250"/>
      <w:bookmarkEnd w:id="302"/>
    </w:p>
    <w:p>
      <w:pPr>
        <w:pStyle w:val="BookText"/>
        <w:rPr/>
      </w:pPr>
      <w:bookmarkEnd w:id="303"/>
      <w:r>
        <w:rPr>
          <w:rFonts w:ascii="IRNazanin" w:hAnsi="IRNazanin" w:eastAsia="IRNazanin"/>
          <w:color w:val="111111"/>
          <w:sz w:val="28"/>
          <w:sz w:val="28"/>
          <w:szCs w:val="28"/>
          <w:rtl w:val="true"/>
          <w:lang w:bidi="fa-IR"/>
        </w:rPr>
        <w:t>من حمل الإعادة علی جهة نجاسة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الإعادة علی الاستحباب فی المتیمم ، لمعارضة الأخبار فلا ینحصر الأمر فی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الاستحباب من جهة النجاسة </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لکن هذا لا یخلو من إشکال ، لأنّ الکلام بتقدیر العمل بالخبر ، ومعه لا معارض له یقتضی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الأمر یقتضی الإجزاء وقد وجد الأمر بالصلاة فیه بل النهی عن الصلاة عاریاً لا ینافی ثبوت الإعادة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الاستدلال لعدم الإعادة بأنّه أتی بالمأمور به علی وجهه </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لا ریب فیه إذا لم نعمل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الروایة الثانیة عن علی بن جعفر فیها دلالة علی عدم وجوب إعادة الصلاة حیث لم یذکر بعد وجود الماء إلاّ غسل الثوب ، فلو کانت الإعادة واجبة لتعیّن ذکرها ، وحینئذ فحمل خبر عمّار علی الاستحباب واضح ، والعلاّمة فی المختلف تکلّف فی الاستدلال علی سقوط الإعادة بعد ما نقلناه ، لا حاجة إلی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کیفیة التیمم</w:t>
      </w:r>
    </w:p>
    <w:p>
      <w:pPr>
        <w:pStyle w:val="BookText"/>
        <w:rPr/>
      </w:pPr>
      <w:r>
        <w:rPr>
          <w:rFonts w:ascii="IRNazanin" w:hAnsi="IRNazanin" w:eastAsia="IRNazanin"/>
          <w:color w:val="111111"/>
          <w:sz w:val="28"/>
          <w:sz w:val="28"/>
          <w:szCs w:val="28"/>
          <w:rtl w:val="true"/>
          <w:lang w:bidi="fa-IR"/>
        </w:rPr>
        <w:t>أخبرنی الشیخ رحمه الله عن أبی القاسم جعفر بن محمد ، عن محمد بن یعقوب ، عن علی بن إبراهیم ، عن أبیه ، عن حماد بن عیسی ، عن بعض أصحابنا ، عن أبی عبد الله علیه السلام أنّه سُئل عن التیمم</w:t>
      </w:r>
    </w:p>
    <w:p>
      <w:pPr>
        <w:pStyle w:val="Heading3"/>
        <w:numPr>
          <w:ilvl w:val="2"/>
          <w:numId w:val="1"/>
        </w:numPr>
        <w:rPr/>
      </w:pPr>
      <w:bookmarkStart w:id="304" w:name="__RefHeading___Toc146676_2142443653"/>
      <w:bookmarkStart w:id="305" w:name="_Toc116"/>
      <w:bookmarkEnd w:id="304"/>
      <w:r>
        <w:rPr>
          <w:rtl w:val="true"/>
        </w:rPr>
        <w:t>کیفیّة التیمّم</w:t>
      </w:r>
      <w:bookmarkEnd w:id="30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6" w:name="__RefHeading___Toc146678_2142443653"/>
      <w:bookmarkStart w:id="307" w:name="_Toc117"/>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فتلا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وَالسّارِقُ وَالسّارِقَةُ فَاقْطَعُوا أَیْدِیَهُما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وُجُوهَکُمْ وَأَیْدِیَکُمْ إِلَی الْمَرافِقِ </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امسح علی کفیک من حیث موضع القطع ،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رَبُّکَ نَسِیًّا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الاسناد عن محمد بن یعقوب ، عن محمد بن یحیی </w:t>
      </w:r>
      <w:r>
        <w:rPr>
          <w:rStyle w:val="FootnoteAnchor"/>
          <w:rtl w:val="true"/>
        </w:rPr>
        <w:footnoteReference w:id="389"/>
      </w:r>
      <w:r>
        <w:rPr>
          <w:rFonts w:ascii="IRNazanin" w:hAnsi="IRNazanin" w:eastAsia="IRNazanin"/>
          <w:color w:val="111111"/>
          <w:sz w:val="28"/>
          <w:sz w:val="28"/>
          <w:szCs w:val="28"/>
          <w:rtl w:val="true"/>
          <w:lang w:bidi="fa-IR"/>
        </w:rPr>
        <w:t xml:space="preserve">، عن محمد بن الحسین ، عن صفوان ، عن الکاهلی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علی البساط فمسح بها وجهه ثم مسح کفّیه إحداهما علی ظهر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أحمد بن محمد ، عن ابن بکیر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التیمم ، فضرب بیدیه الأرض ثم رفعهما فنفضهما ثم مسح بهما جبهته وکفّیه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عیسی ، عن علی بن الحکم ، عن داود بن النعمان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التیمم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عماراً أصابته جنابة فتمعّک </w:t>
      </w:r>
      <w:r>
        <w:rPr>
          <w:rStyle w:val="FootnoteAnchor"/>
          <w:rtl w:val="true"/>
        </w:rPr>
        <w:footnoteReference w:id="390"/>
      </w:r>
      <w:r>
        <w:rPr>
          <w:rFonts w:ascii="IRNazanin" w:hAnsi="IRNazanin" w:eastAsia="IRNazanin"/>
          <w:color w:val="111111"/>
          <w:sz w:val="28"/>
          <w:sz w:val="28"/>
          <w:szCs w:val="28"/>
          <w:rtl w:val="true"/>
          <w:lang w:bidi="fa-IR"/>
        </w:rPr>
        <w:t xml:space="preserve">کما تتمعّک الدابّة ، فقال له رسول الله صلی الله علیه و آله وهو یهزأ به یا عمار تمعّکت کما تتمعّک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التیمم؟ فوضع یدیه علی الأرض ثم رفعهما فمسح وجهه ویدیه فوق الکفّ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الحال بالإرسال ، والإجماع المنقول فی الکشی </w:t>
      </w:r>
      <w:bookmarkStart w:id="308" w:name="pg15025_160252"/>
    </w:p>
    <w:p>
      <w:pPr>
        <w:pStyle w:val="BookText"/>
        <w:rPr/>
      </w:pPr>
      <w:bookmarkEnd w:id="308"/>
      <w:r>
        <w:rPr>
          <w:rFonts w:ascii="IRNazanin" w:hAnsi="IRNazanin" w:eastAsia="IRNazanin"/>
          <w:color w:val="111111"/>
          <w:sz w:val="28"/>
          <w:sz w:val="28"/>
          <w:szCs w:val="28"/>
          <w:rtl w:val="true"/>
          <w:lang w:bidi="fa-IR"/>
        </w:rPr>
        <w:t xml:space="preserve">علی تصحیح ما یصح عن حماد </w:t>
      </w:r>
      <w:r>
        <w:rPr>
          <w:rStyle w:val="FootnoteAnchor"/>
          <w:rtl w:val="true"/>
        </w:rPr>
        <w:footnoteReference w:id="391"/>
      </w:r>
      <w:r>
        <w:rPr>
          <w:rFonts w:ascii="IRNazanin" w:hAnsi="IRNazanin" w:eastAsia="IRNazanin"/>
          <w:color w:val="111111"/>
          <w:sz w:val="28"/>
          <w:sz w:val="28"/>
          <w:szCs w:val="28"/>
          <w:rtl w:val="true"/>
          <w:lang w:bidi="fa-IR"/>
        </w:rPr>
        <w:t xml:space="preserve">بتقدیر الاعتماد علی إبراهیم بن هاشم قد تکلّمنا علیه فی أوّل الکتاب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الکاهلی وبسببه یدخل فی الحسن ، لأنّ المعروف منه عند الإطلاق عبد الله بن یحیی کما ذکر فی الرجال </w:t>
      </w:r>
      <w:r>
        <w:rPr>
          <w:rStyle w:val="FootnoteAnchor"/>
          <w:rtl w:val="true"/>
        </w:rPr>
        <w:footnoteReference w:id="393"/>
      </w:r>
      <w:r>
        <w:rPr>
          <w:rFonts w:ascii="IRNazanin" w:hAnsi="IRNazanin" w:eastAsia="IRNazanin"/>
          <w:color w:val="111111"/>
          <w:sz w:val="28"/>
          <w:sz w:val="28"/>
          <w:szCs w:val="28"/>
          <w:rtl w:val="true"/>
          <w:lang w:bidi="fa-IR"/>
        </w:rPr>
        <w:t xml:space="preserve">، وقد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وجهاً عند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اللفظة من ألفاظ الحسن فی اصطلاح المتأخّرین ، وزاد فی النجاشی أنّ أبا الحسن علیه السلام وصلّی به علی ابن یقطین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أضمن لی الکاهلی وعیاله أضمن لک الجنة </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فی الخلاصة نقل عبارة النجاشی ، وزاد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علی بن یقطین یجری لهم الطعام والدراهم وجمیع النفقات مستغنین حتی مات الکاهلی ، 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ما ینافی مدحه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والزیادة المذکورة من العلاّمة مرویة مع الأصل فی الکشی عن حمدویه بن نصیر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أخی </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الکاهلی أنّ أبا الحسن علیه السلام قال لعلی بن یقطین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اضمن لی الکاهلی وعیاله أضمن لک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 ابن أخیه أنّ علیّاً لم یزل یجری علیهم </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9" w:name="__RefHeading___Toc146680_2142443653"/>
      <w:bookmarkStart w:id="310" w:name="_Toc118"/>
      <w:bookmarkEnd w:id="309"/>
      <w:r>
        <w:rPr>
          <w:rtl w:val="true"/>
        </w:rPr>
        <w:t>بحث حول عبدالله بن یحیی الکاهلی</w:t>
      </w:r>
      <w:bookmarkStart w:id="311" w:name="pg15025_160253"/>
      <w:bookmarkEnd w:id="310"/>
    </w:p>
    <w:p>
      <w:pPr>
        <w:pStyle w:val="BookText"/>
        <w:rPr/>
      </w:pPr>
      <w:bookmarkEnd w:id="311"/>
      <w:r>
        <w:rPr>
          <w:rFonts w:ascii="IRNazanin" w:hAnsi="IRNazanin" w:eastAsia="IRNazanin"/>
          <w:color w:val="111111"/>
          <w:sz w:val="28"/>
          <w:sz w:val="28"/>
          <w:szCs w:val="28"/>
          <w:rtl w:val="true"/>
          <w:lang w:bidi="fa-IR"/>
        </w:rPr>
        <w:t>ولا یخفی اشتمال السند علی ابن أخیه وهو غیر معلوم الحال ، ولعلّ النجاشی علم حاله أو أخذها من غیر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العلاّمة فأمره مضطرب ، وربما یصف بعض روایات فیها الکاهلی بالصحة فی المختلف </w:t>
      </w:r>
      <w:r>
        <w:rPr>
          <w:rStyle w:val="FootnoteAnchor"/>
          <w:rtl w:val="true"/>
        </w:rPr>
        <w:footnoteReference w:id="398"/>
      </w:r>
      <w:r>
        <w:rPr>
          <w:rFonts w:ascii="IRNazanin" w:hAnsi="IRNazanin" w:eastAsia="IRNazanin"/>
          <w:color w:val="111111"/>
          <w:sz w:val="28"/>
          <w:sz w:val="28"/>
          <w:szCs w:val="28"/>
          <w:rtl w:val="true"/>
          <w:lang w:bidi="fa-IR"/>
        </w:rPr>
        <w:t>، إلاّ أن یرید الصحة الإضافیة ، والموجود فیها الکاهلی فی غیر الأخیر من الرواة لا أعلمه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داود بن النعمان ، والعلاّمة فی الخلاصة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عین </w:t>
      </w:r>
      <w:r>
        <w:rPr>
          <w:rStyle w:val="FootnoteAnchor"/>
          <w:rtl w:val="true"/>
        </w:rPr>
        <w:footnoteReference w:id="399"/>
      </w:r>
      <w:r>
        <w:rPr>
          <w:rFonts w:ascii="IRNazanin" w:hAnsi="IRNazanin" w:eastAsia="IRNazanin"/>
          <w:color w:val="111111"/>
          <w:sz w:val="28"/>
          <w:sz w:val="28"/>
          <w:szCs w:val="28"/>
          <w:rtl w:val="true"/>
          <w:lang w:bidi="fa-IR"/>
        </w:rPr>
        <w:t xml:space="preserve">، قال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حمدویه عن أشیاخه أنّه خیر فاضل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والمعهود من العلاّمة أنّه کثیراً ما ینقل عبارة النجاشی ، ولم نجد فی النسخ الموجودة الآن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النعمان أخو علی بن النعمان ، وداود الأکبر روی عن أبی الحسن موسی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لا نقله کلام الکشی لأمکن أن یکون استفاد التوثیق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فاضل ، فقد عدّ بعض أهل الدرایة من ألفاظ التعدیل هذین اللفظین </w:t>
      </w:r>
      <w:r>
        <w:rPr>
          <w:rStyle w:val="FootnoteAnchor"/>
          <w:rtl w:val="true"/>
        </w:rPr>
        <w:footnoteReference w:id="402"/>
      </w:r>
      <w:r>
        <w:rPr>
          <w:rFonts w:ascii="IRNazanin" w:hAnsi="IRNazanin" w:eastAsia="IRNazanin"/>
          <w:color w:val="111111"/>
          <w:sz w:val="28"/>
          <w:sz w:val="28"/>
          <w:szCs w:val="28"/>
          <w:rtl w:val="true"/>
          <w:lang w:bidi="fa-IR"/>
        </w:rPr>
        <w:t>، وإن کان فیه کلاما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وإسناد ذلک إلی أشیاخ حمدویه لا یضر لأنّ الإضافة فیهم تفید العموم وفیهم من هو ثقة لولا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فالمکتفون بتعدیل العلاّمة جازمون بصحة الخبر ، فلیتأمّل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2" w:name="__RefHeading___Toc146682_2142443653"/>
      <w:bookmarkStart w:id="313" w:name="_Toc119"/>
      <w:bookmarkEnd w:id="312"/>
      <w:r>
        <w:rPr>
          <w:rtl w:val="true"/>
        </w:rPr>
        <w:t>بحث حول داود بن النعمان</w:t>
      </w:r>
      <w:bookmarkStart w:id="314" w:name="pg15025_160254"/>
      <w:bookmarkEnd w:id="313"/>
    </w:p>
    <w:p>
      <w:pPr>
        <w:pStyle w:val="BookText"/>
        <w:rPr/>
      </w:pPr>
      <w:bookmarkEnd w:id="314"/>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بظاهره علی أنّ المسح فی التیمم من موضع القطع ، والمعروف بین الأصحاب أنّ القطع من الأصابع ، علی أنّ ظاهر الروایة أیضاً أنّ المسح علی الکفّ من حیث موضع القطع ، وظاهر الآیة أنّ الید اسم للأصابع فی السرقة ، فالکلام غیر منتظم علی ما أفهمه ، وقد یمکن التوجیه بأنّ الکفّ تعمّ الأصابع بنوع توجیه ، فإذا ثبت مسح الأصابع سهل الأمر ، إلاّ أنّ هذا غیر معروف بین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نقل ابن إدریس عن بعض الأصحاب أنّ المسح من أصول الأصابع إلی رُؤوسها </w:t>
      </w:r>
      <w:r>
        <w:rPr>
          <w:rStyle w:val="FootnoteAnchor"/>
          <w:rtl w:val="true"/>
        </w:rPr>
        <w:footnoteReference w:id="403"/>
      </w:r>
      <w:r>
        <w:rPr>
          <w:rFonts w:ascii="IRNazanin" w:hAnsi="IRNazanin" w:eastAsia="IRNazanin"/>
          <w:color w:val="111111"/>
          <w:sz w:val="28"/>
          <w:sz w:val="28"/>
          <w:szCs w:val="28"/>
          <w:rtl w:val="true"/>
          <w:lang w:bidi="fa-IR"/>
        </w:rPr>
        <w:t>، وفی الخبر دلالة علیه لولا الإرسال ، والعجب من الشیخ حیث لم یتعرض للحدیث ، مع أنّ ظاهره المنافاة فی الجملة ، ولکن غیر العامل به فی راحة من تکلّف التوجیه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رَبُّکَ نَسِیًّا </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فالظاهر أنّ الإتیان به لبیان أنّ جمیع الأحکام مذکورة فی القرآن ، فکما أنّ الید المذکورة فی التیمم مجملة یظن منها الإحالة علی ید الوضوء فتمسح من المرافق ، محتملة لأن تکون محالة علی ید السرقة ، غایة الأمر أنّ الاحتمال أیضاً یوجب الإجمال ، والبیان موکول لأهله أصحاب العصمة علیهم السلام ، فأراد الإمام إن کان ذلک من قوله التنبیه علی أنّ الید لها إطلاقات ، فلا تتعین إرادة الید المذکورة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یحتمل الخبر أن یکون المراد به أنّ الید تستعمل فی معان ، ففی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5" w:name="__RefHeading___Toc146684_2142443653"/>
      <w:bookmarkStart w:id="316" w:name="_Toc120"/>
      <w:bookmarkEnd w:id="315"/>
      <w:r>
        <w:rPr>
          <w:rtl w:val="true"/>
        </w:rPr>
        <w:t>توجیه ما دلّ علی أنّ المسح فی التیمّم من موضع القطع</w:t>
      </w:r>
      <w:bookmarkStart w:id="317" w:name="pg15025_160255"/>
      <w:bookmarkEnd w:id="316"/>
    </w:p>
    <w:p>
      <w:pPr>
        <w:pStyle w:val="BookText"/>
        <w:rPr/>
      </w:pPr>
      <w:bookmarkEnd w:id="317"/>
      <w:r>
        <w:rPr>
          <w:rFonts w:ascii="IRNazanin" w:hAnsi="IRNazanin" w:eastAsia="IRNazanin"/>
          <w:color w:val="111111"/>
          <w:sz w:val="28"/>
          <w:sz w:val="28"/>
          <w:szCs w:val="28"/>
          <w:rtl w:val="true"/>
          <w:lang w:bidi="fa-IR"/>
        </w:rPr>
        <w:t>الوضوء إلی المرافق ، وفی السرقة إلی الکفّ ، وفی التیمم نفس الکف ، فیکون علیه السلام أراد تفسیر الید المذکورة فی القرآن ، فید التیمم غیر ید السرقة وغیر ید الوضوء ، ولعلّ هذا الاحتمال لا بعد فیه إذا تأمّل المتأمّل الروایة ، إلاّ أنّ المعروف من المسح فی التیمم من الزند ، وظاهر الروایة البدأة من موضع القطع ، فالمخالفة موجودة فی الروایة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تضمن ضرب یده علیه السلام علی البساط وفیه دلالة علی قول من اعتبر الضرب دون الوضع ، ولا یشکل الحال فی الضرب علی البساط ولیس بأرض ، لاحتمال أن یکون هذا للتعلیم لا لکونه عبادة ، ولا یضر وقوع صورة العبادة علی غیر وجهها بتقدیر الاعتماد علی الحدیث ، 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البساط لا یخلو من غبار ، غیر نافع ؛ لأنّه علیه السلام لم یکن فی حالة تسوِّغ له التیمم ، مضافاً إلی اشتراط الغبار بما تقدم ، وبالجملة فهذا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اعتبار مسح الوجه أحد الأقوال للأصحاب </w:t>
      </w:r>
      <w:r>
        <w:rPr>
          <w:rStyle w:val="FootnoteAnchor"/>
          <w:rtl w:val="true"/>
        </w:rPr>
        <w:footnoteReference w:id="405"/>
      </w:r>
      <w:r>
        <w:rPr>
          <w:rFonts w:ascii="IRNazanin" w:hAnsi="IRNazanin" w:eastAsia="IRNazanin"/>
          <w:color w:val="111111"/>
          <w:sz w:val="28"/>
          <w:sz w:val="28"/>
          <w:szCs w:val="28"/>
          <w:rtl w:val="true"/>
          <w:lang w:bidi="fa-IR"/>
        </w:rPr>
        <w:t xml:space="preserve">، إلاّ أنّه بمعارضة ما دل علی الجبهة حُمل علی الاستحباب </w:t>
      </w:r>
      <w:r>
        <w:rPr>
          <w:rStyle w:val="FootnoteAnchor"/>
          <w:rtl w:val="true"/>
        </w:rPr>
        <w:footnoteReference w:id="406"/>
      </w:r>
      <w:r>
        <w:rPr>
          <w:rFonts w:ascii="IRNazanin" w:hAnsi="IRNazanin" w:eastAsia="IRNazanin"/>
          <w:color w:val="111111"/>
          <w:sz w:val="28"/>
          <w:sz w:val="28"/>
          <w:szCs w:val="28"/>
          <w:rtl w:val="true"/>
          <w:lang w:bidi="fa-IR"/>
        </w:rPr>
        <w:t xml:space="preserve">،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المناسب التخییر لمقام التعلیم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لِما دل علی الوجه علی الاستحباب لا بدّ من قوله بأنّه أفضل الفردین الواجبین ، وهو معنی التخییر الذی ذکرته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بینهما أنّ اعتبار الجبهة فقط یقتضی قصد الوجوب بمسحها ، وبقیة الوجه مستحبة محضة ، هذا علی احتمال الاستحباب ، وأمّا علی التخییر فجمیع الوجه یقصد به أنّه فرد الواجب لکنّه الأکمل ، وهذا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8" w:name="__RefHeading___Toc146686_2142443653"/>
      <w:bookmarkStart w:id="319" w:name="_Toc121"/>
      <w:bookmarkEnd w:id="318"/>
      <w:r>
        <w:rPr>
          <w:rtl w:val="true"/>
        </w:rPr>
        <w:t>توجیه ما دلّ علی اعتبار مسح الوجه</w:t>
      </w:r>
      <w:bookmarkEnd w:id="319"/>
    </w:p>
    <w:p>
      <w:pPr>
        <w:pStyle w:val="BookText"/>
        <w:rPr/>
      </w:pPr>
      <w:r>
        <w:rPr>
          <w:rFonts w:ascii="Amiri" w:hAnsi="Amiri" w:eastAsia="Amiri" w:cs="Amiri"/>
          <w:color w:val="111111"/>
          <w:sz w:val="28"/>
          <w:sz w:val="28"/>
          <w:szCs w:val="28"/>
          <w:rtl w:val="true"/>
          <w:lang w:bidi="ar-SA"/>
        </w:rPr>
        <w:t>الفرق وإن کان محلّ تأمّل إلاّ أنّ له نوع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اتفق لشیخنا قدس سره فی المدارک أنّه بعد ذکر الروایات الدالة علی مسح الوجه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وبهذه الروایات أخذ علی ابن بابویه ، ویمکن الجواب بالحمل علی الاستحباب ، أو علی أنّ المراد بالوجه مسح بعضه ،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الحق العمل بالخبرین ، فیکون مخیّراً بین مسح الوجه وبعضه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هذا الکلام من شیخنا قدس سره لا یخلو من إجمال ؛ لأن الاستحباب إن کان هو ما ذکره المحقِّق فی المعتبر من التخییر </w:t>
      </w:r>
      <w:r>
        <w:rPr>
          <w:rStyle w:val="FootnoteAnchor"/>
          <w:rtl w:val="true"/>
        </w:rPr>
        <w:footnoteReference w:id="408"/>
      </w:r>
      <w:r>
        <w:rPr>
          <w:rFonts w:ascii="IRNazanin" w:hAnsi="IRNazanin" w:eastAsia="IRNazanin"/>
          <w:color w:val="111111"/>
          <w:sz w:val="28"/>
          <w:sz w:val="28"/>
          <w:szCs w:val="28"/>
          <w:rtl w:val="true"/>
          <w:lang w:bidi="fa-IR"/>
        </w:rPr>
        <w:t>، ففیه مع کونه خلاف الظاهر احتمال الفرق ، وإن کان غیره ففیه أنّ الاستحباب فی مسح الوجه لا بدّ من بیانه بأیّ معنی ، فإنّ استحباب جمیع الوجه من أوّل الأمر هو أحد فردی المخیر ، ومسح الوجه بعد مسح الجبهة بقصد الوجوب والباقی بقصد الاستحباب موقوف علی الدلیل ، وأین ما یدل علی هذا التفصیل؟ والحق أنّ التخییر أقرب إلی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ما دل علی مسح الجبینین یحمل علی الاستحباب </w:t>
      </w:r>
      <w:r>
        <w:rPr>
          <w:rStyle w:val="FootnoteAnchor"/>
          <w:rtl w:val="true"/>
        </w:rPr>
        <w:footnoteReference w:id="409"/>
      </w:r>
      <w:r>
        <w:rPr>
          <w:rFonts w:ascii="IRNazanin" w:hAnsi="IRNazanin" w:eastAsia="IRNazanin"/>
          <w:color w:val="111111"/>
          <w:sz w:val="28"/>
          <w:sz w:val="28"/>
          <w:szCs w:val="28"/>
          <w:rtl w:val="true"/>
          <w:lang w:bidi="fa-IR"/>
        </w:rPr>
        <w:t>، کالخبر الآتی فی الباب الذی بعد هذا ، نظراً إلی ما دل علی الجبهة کالخبر المبحوث عنه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نظری القاصر أنّه غیر تامّ ؛ لأنّ الاستحباب فی هذا المقام لا وجه له ، إذ الفرد الکامل لا یتحقق من حیث إنّ الجبینین لا یتناولان الجبهة ، بخلاف الوجه ، واستحباب غیر الفرد الکامل لا معنی له ، إذ لم یتحقق </w:t>
      </w:r>
      <w:bookmarkStart w:id="320" w:name="pg15025_160257"/>
    </w:p>
    <w:p>
      <w:pPr>
        <w:pStyle w:val="BookText"/>
        <w:rPr/>
      </w:pPr>
      <w:bookmarkEnd w:id="320"/>
      <w:r>
        <w:rPr>
          <w:rFonts w:ascii="IRNazanin" w:hAnsi="IRNazanin" w:eastAsia="IRNazanin"/>
          <w:color w:val="111111"/>
          <w:sz w:val="28"/>
          <w:sz w:val="28"/>
          <w:szCs w:val="28"/>
          <w:rtl w:val="true"/>
          <w:lang w:bidi="fa-IR"/>
        </w:rPr>
        <w:t>واجب یکون غیره مستحباً معه فی الخبر الدال علی الجبینین کما ستسمعه ، فالأولی أن یقال بالتخییر فی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مسح الجبینین فرداً کاملاً وإن لم یدخل فیه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الجواز إنّ تحقق ما یدل علی کماله ، والکلام فیه ، وبالجملة فالمقام من مزالّ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أشرت إلیه من دلالة الخبر علی الضرب له شواهد من الأخبار ، کما أنّ ما دل علی الوضع موجود کما یأتی فی خبر داود فکیف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شیخنا قدس سره فی المدارک بعد ذکر ما دل علی الضرب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ما ورد فی بعض الأخبار المتضمنة لوصف تیمم النبی صلی الله علیه و آله ، من أنّه أهوی بیدیه إلی الأرض فوضعهما علی الصعید ، لأنّ الفعل</w:t>
      </w:r>
    </w:p>
    <w:p>
      <w:pPr>
        <w:pStyle w:val="BookText"/>
        <w:rPr/>
      </w:pPr>
      <w:r>
        <w:rPr>
          <w:rFonts w:ascii="IRNazanin" w:hAnsi="IRNazanin" w:eastAsia="IRNazanin"/>
          <w:color w:val="111111"/>
          <w:sz w:val="28"/>
          <w:sz w:val="28"/>
          <w:szCs w:val="28"/>
          <w:rtl w:val="true"/>
          <w:lang w:bidi="fa-IR"/>
        </w:rPr>
        <w:t xml:space="preserve">المثبت لا عموم له کما حُقّق فی محله ، ولو ثبت إفادته العموم لوجب حمله علی الخاص جمعاً بین الأدلة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ما یتوجه علی الجواب فی موضع آخر ، والحاصل أنّ عدم عموم الفعل المثبت فی هذا المقام إن أُرید به الاختصاص بالنبی صلی الله علیه و آله فهو معلوم الانتفاء ، ولا دخل له بعدم العموم علی تقدیر الاختصاص ، وإن أُرید به أنّه لا یعم الأوقات فالإشکال بحاله ، ولو أُرید أنّ التأسّی لا یجب فهو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فإلی الآن لم أفهم حقیقة هذا الکلام ، علی أنّه سیأتی فی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1" w:name="__RefHeading___Toc146688_2142443653"/>
      <w:bookmarkStart w:id="322" w:name="_Toc122"/>
      <w:bookmarkEnd w:id="321"/>
      <w:r>
        <w:rPr>
          <w:rtl w:val="true"/>
        </w:rPr>
        <w:t>الجمع بین ما دلّ علی ضرب الید علی الأرض وما دلّ علی وضعها علیها</w:t>
      </w:r>
      <w:bookmarkStart w:id="323" w:name="pg15025_160258"/>
      <w:bookmarkEnd w:id="322"/>
    </w:p>
    <w:p>
      <w:pPr>
        <w:pStyle w:val="BookText"/>
        <w:rPr/>
      </w:pPr>
      <w:bookmarkEnd w:id="323"/>
      <w:r>
        <w:rPr>
          <w:rFonts w:ascii="IRNazanin" w:hAnsi="IRNazanin" w:eastAsia="IRNazanin"/>
          <w:color w:val="111111"/>
          <w:sz w:val="28"/>
          <w:sz w:val="28"/>
          <w:szCs w:val="28"/>
          <w:rtl w:val="true"/>
          <w:lang w:bidi="fa-IR"/>
        </w:rPr>
        <w:t xml:space="preserve">خبر داود بن النعمان أنّ الإمام علیه السلام وضع یده </w:t>
      </w:r>
      <w:r>
        <w:rPr>
          <w:rStyle w:val="FootnoteAnchor"/>
          <w:rtl w:val="true"/>
        </w:rPr>
        <w:footnoteReference w:id="411"/>
      </w:r>
      <w:r>
        <w:rPr>
          <w:rFonts w:ascii="IRNazanin" w:hAnsi="IRNazanin" w:eastAsia="IRNazanin"/>
          <w:color w:val="111111"/>
          <w:sz w:val="28"/>
          <w:sz w:val="28"/>
          <w:szCs w:val="28"/>
          <w:rtl w:val="true"/>
          <w:lang w:bidi="fa-IR"/>
        </w:rPr>
        <w:t xml:space="preserve">، والاقتصار علی فعل النبی وأنّه فعل مثبت لا وجه له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الإمام علیه السلام کذلک ، وفی الظن أنّ فعله علیه السلام دلیل علی الجواز ، فإن لم یثبت وجوب التأسی فهو مستحب ، والمنافاة لما دل علی تعیّن الضرب حاصلة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یظهر من کثیر من الأخبار إطلاق الضرب علی الوضع کما فی حدیث اغتسال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نسائه </w:t>
      </w:r>
      <w:r>
        <w:rPr>
          <w:rStyle w:val="FootnoteAnchor"/>
          <w:rtl w:val="true"/>
        </w:rPr>
        <w:footnoteReference w:id="412"/>
      </w:r>
      <w:r>
        <w:rPr>
          <w:rFonts w:ascii="IRNazanin" w:hAnsi="IRNazanin" w:eastAsia="IRNazanin"/>
          <w:color w:val="111111"/>
          <w:sz w:val="28"/>
          <w:sz w:val="28"/>
          <w:szCs w:val="28"/>
          <w:rtl w:val="true"/>
          <w:lang w:bidi="fa-IR"/>
        </w:rPr>
        <w:t xml:space="preserve">، أمّا اکتفاء الشهید رحمه الله بمسمی الوضع 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معه اعتماد ، لحصول الغرض بقصد الصعید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بُعد بعد دلالة الأخبار علی الضرب ، وهو الوضع المشتمل علی الاعتماد کما قیل </w:t>
      </w:r>
      <w:r>
        <w:rPr>
          <w:rStyle w:val="FootnoteAnchor"/>
          <w:rtl w:val="true"/>
        </w:rPr>
        <w:footnoteReference w:id="415"/>
      </w:r>
      <w:r>
        <w:rPr>
          <w:rFonts w:ascii="IRNazanin" w:hAnsi="IRNazanin" w:eastAsia="IRNazanin"/>
          <w:color w:val="111111"/>
          <w:sz w:val="28"/>
          <w:sz w:val="28"/>
          <w:szCs w:val="28"/>
          <w:rtl w:val="true"/>
          <w:lang w:bidi="fa-IR"/>
        </w:rPr>
        <w:t>، وإن کان فی البین تأمّل ؛ لعدم ثبوت ما ذکر ، ووجود الوضع فی بعض الأخبار ، والاحتیاط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مسح کفّیه إحداهما علی ظهر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یدل علی أنّ المسح ببطن الکفّ علی ظهر الأُخری لأنّه المتبادر وإن احتمل غیره ، والظاهر أنّ المراد من الروایة بطن کل کفّ علی ظهر الأُخری وإن احتمل غیره أیضا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کلامهم أنّ ذلک مجمع علیه من </w:t>
      </w:r>
      <w:r>
        <w:rPr>
          <w:rStyle w:val="FootnoteAnchor"/>
          <w:rtl w:val="true"/>
        </w:rPr>
        <w:footnoteReference w:id="416"/>
      </w:r>
      <w:r>
        <w:rPr>
          <w:rFonts w:ascii="IRNazanin" w:hAnsi="IRNazanin" w:eastAsia="IRNazanin"/>
          <w:color w:val="111111"/>
          <w:sz w:val="28"/>
          <w:sz w:val="28"/>
          <w:szCs w:val="28"/>
          <w:rtl w:val="true"/>
          <w:lang w:bidi="fa-IR"/>
        </w:rPr>
        <w:t xml:space="preserve">أنّ محل المسح فی الکفّین ظهورهما لا بطونهما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عدم منافاته لعلوق شی‌ء من التراب کما یدل علیه خبر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4" w:name="__RefHeading___Toc146690_2142443653"/>
      <w:bookmarkStart w:id="325" w:name="_Toc123"/>
      <w:bookmarkEnd w:id="324"/>
      <w:r>
        <w:rPr>
          <w:rtl w:val="true"/>
        </w:rPr>
        <w:t>محل المسح فی الکفّین ظهورهما</w:t>
      </w:r>
      <w:bookmarkStart w:id="326" w:name="pg15025_160259"/>
      <w:bookmarkEnd w:id="325"/>
    </w:p>
    <w:p>
      <w:pPr>
        <w:pStyle w:val="BookText"/>
        <w:rPr/>
      </w:pPr>
      <w:bookmarkEnd w:id="326"/>
      <w:r>
        <w:rPr>
          <w:rFonts w:ascii="IRNazanin" w:hAnsi="IRNazanin" w:eastAsia="IRNazanin"/>
          <w:color w:val="111111"/>
          <w:sz w:val="28"/>
          <w:sz w:val="28"/>
          <w:szCs w:val="28"/>
          <w:rtl w:val="true"/>
          <w:lang w:bidi="fa-IR"/>
        </w:rPr>
        <w:t>زرارة المتقدم فی باب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قاله شیخنا قدس سره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النفض یدل علی عدم اشتراط علوق شی‌ء من التراب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یعلم أنّ قول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روایة الکاهلی تدل علی مسح الظهور ، لا البطون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الثالث من النفض علی الاستحباب فی المشهور ، بل ظاهر المنتهی أنّه إجماعی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ودلالة الخبر علی الجبهة ظاهرة ، وهی علی ما ذکره الأصحاب الذین رأینا کلامهم من قصاص شعر الرأس إلی طرف الأنف </w:t>
      </w:r>
      <w:r>
        <w:rPr>
          <w:rStyle w:val="FootnoteAnchor"/>
          <w:rtl w:val="true"/>
        </w:rPr>
        <w:footnoteReference w:id="422"/>
      </w:r>
      <w:r>
        <w:rPr>
          <w:rFonts w:ascii="IRNazanin" w:hAnsi="IRNazanin" w:eastAsia="IRNazanin"/>
          <w:color w:val="111111"/>
          <w:sz w:val="28"/>
          <w:sz w:val="28"/>
          <w:szCs w:val="28"/>
          <w:rtl w:val="true"/>
          <w:lang w:bidi="fa-IR"/>
        </w:rPr>
        <w:t>، واعتبار الأعلی یمکن توجیهه بأنّ الأخبار تضمنت الجبهة والجبینین والوجه ، فإدخال الأنف بخصوصه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شیخنا قدس سره عن الشهید فی الذکری أنّه قال بعد أن فسّر 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القدر متفق علیه بین الأصحاب ، وأوجب الصدوق فی الفقیه مسح الجبینین والحاجبین أیضاً ، وقال أبوه بمسح الوجه بأجمعه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أدری تمام کلام الشهید ما هو ، وعلی کل حال لا یخلو من خلل بعد ما قدمناه من التخییر ، فإنّه قول منقول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التخییر لا ینافی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7" w:name="__RefHeading___Toc146692_2142443653"/>
      <w:bookmarkStart w:id="328" w:name="_Toc124"/>
      <w:bookmarkEnd w:id="327"/>
      <w:r>
        <w:rPr>
          <w:rtl w:val="true"/>
        </w:rPr>
        <w:t>تفسیر الجبهة</w:t>
      </w:r>
      <w:bookmarkStart w:id="329" w:name="pg15025_160260"/>
      <w:bookmarkEnd w:id="328"/>
    </w:p>
    <w:p>
      <w:pPr>
        <w:pStyle w:val="BookText"/>
        <w:rPr/>
      </w:pPr>
      <w:bookmarkEnd w:id="329"/>
      <w:r>
        <w:rPr>
          <w:rFonts w:ascii="IRNazanin" w:hAnsi="IRNazanin" w:eastAsia="IRNazanin"/>
          <w:color w:val="111111"/>
          <w:sz w:val="28"/>
          <w:sz w:val="28"/>
          <w:szCs w:val="28"/>
          <w:rtl w:val="true"/>
          <w:lang w:bidi="fa-IR"/>
        </w:rPr>
        <w:t>الاتفاق علی وجوب مسح الجبهة فیراد بوجوب مسحها إمّا منفردة أو مع غیرها ، وعلی تقدیر الانفراد إما لتعیّنها أو لکونها أحد الفردین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إطلاق الخبر فی مسح الجبهة بالیدین ومسح الکفّین من دون تقید بالبطن یمکن تقییده بغیره فی 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الرابع من قصة عمار کثیراً ما کنت أتفکر فی وجهه ، إذ العمل من مثل عمار بالحکم الشرعی من دون اجتهاد أو نقل لا یخلو من غرابة ، وقد وجدت بعض أهل الخلاف ذکر ذلک فی شرح أحادیثهم ، ووجّهه أنّه عمل بالقیاس </w:t>
      </w:r>
      <w:r>
        <w:rPr>
          <w:rStyle w:val="FootnoteAnchor"/>
          <w:rtl w:val="true"/>
        </w:rPr>
        <w:footnoteReference w:id="424"/>
      </w:r>
      <w:r>
        <w:rPr>
          <w:rFonts w:ascii="IRNazanin" w:hAnsi="IRNazanin" w:eastAsia="IRNazanin"/>
          <w:color w:val="111111"/>
          <w:sz w:val="28"/>
          <w:sz w:val="28"/>
          <w:szCs w:val="28"/>
          <w:rtl w:val="true"/>
          <w:lang w:bidi="fa-IR"/>
        </w:rPr>
        <w:t>، لکن الاستهزاء به یضرب وجوه العاملین بالقیاس ، ولهم فی التسدید کلام ذکرته فی معاهد التنبیه علی نکت من لا یحضره الفقیه ، أمّا عند الأصحاب بعد نفیهم القیاس لا بد من توجیه قصة عمار ، ولم أر ذلک فی کلام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دلالة ظاهر الروایة علی أنّ التیمم بدلاً من الجنابة یکفی فیه ضربة واحدة ، وقد اتفق للعلاّمة فی المختلف کلام فی هذه الروایة أراد به نفی دلالتها علی الضربة الواحدة فی التیمم بدلاً عن الغسل ، لکنّه نقلها علی ما رواه زرارة ، ومتنها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التیمم وما صنع عمار ، فوضع أبو جعفر علیه السلام کفّیه علی الأرض ثم مسح وجهه وکفّیه ولم یمسح الذراعین بشی‌ء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ذکرت ذلک مفصلاً فی محل آخر ، وحاصل کلامه أنّ الإمام علیه السلام بیّن کیفیّة التیمّم ومسحه وحدّ أعضائه ، کما یدل علیه سیاق الروایة من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0" w:name="__RefHeading___Toc146694_2142443653"/>
      <w:bookmarkStart w:id="331" w:name="_Toc125"/>
      <w:bookmarkEnd w:id="330"/>
      <w:r>
        <w:rPr>
          <w:rtl w:val="true"/>
        </w:rPr>
        <w:t>کلمة حول قصّة تیمّم عمّار</w:t>
      </w:r>
      <w:bookmarkStart w:id="332" w:name="pg15025_160261"/>
      <w:bookmarkEnd w:id="331"/>
    </w:p>
    <w:p>
      <w:pPr>
        <w:pStyle w:val="BookText"/>
        <w:rPr/>
      </w:pPr>
      <w:bookmarkEnd w:id="33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یمسح الذراعین بشی‌ء ، وإذا سیق لهذا وجب بیانه خاصّة وأهمل عدد الضربات ، ومع ذلک فلیس فی الحدیث أنّه اقتصر علی ضربة واحدة أو ضربتین ، ولا دلالة فیه علی أنّ التیمم الذی وصفه بدل من الوضوء أو الغسل ، وذکر قصة عمار لا تدل علی إرادة بیان أنّه بدل من الغسل ، لاحتمال ذکر القصة ثم سُئل عن کیفیة التیمم مطلقا أو الذی هو بدل من الوضوء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بما فی هذا الکلام من التعسف ، ولیت شعری لم لا یتتبّع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کیفیة نقلها فی البعض کما فی روایة داود المبحوث عنها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احتمال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إرادة السؤال عن مطلق التیمم </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ممکن لکن یضر بحال مطلوبه من التعدد فی التیمم بدلاً من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فإنکار دلالة الروایة علی أنّ الواجب ضربة واحدة فی التیمم بدلا من الغسل لا یخرج عن ربقة المجازفة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الخبر من مسح الید فوق الکف قلیلاً علیه اعتماد جماعة من الأصحاب ، وقد عبّروا بمسح الید من الزند </w:t>
      </w:r>
      <w:r>
        <w:rPr>
          <w:rStyle w:val="FootnoteAnchor"/>
          <w:rtl w:val="true"/>
        </w:rPr>
        <w:footnoteReference w:id="429"/>
      </w:r>
      <w:r>
        <w:rPr>
          <w:rFonts w:ascii="IRNazanin" w:hAnsi="IRNazanin" w:eastAsia="IRNazanin"/>
          <w:color w:val="111111"/>
          <w:sz w:val="28"/>
          <w:sz w:val="28"/>
          <w:szCs w:val="28"/>
          <w:rtl w:val="true"/>
          <w:lang w:bidi="fa-IR"/>
        </w:rPr>
        <w:t xml:space="preserve">وهو بفتح الزای مَوصِل الکفّ فی الذراع ، وقد تقدم القول فی المنقول من ابن إدریس </w:t>
      </w:r>
      <w:r>
        <w:rPr>
          <w:rStyle w:val="FootnoteAnchor"/>
          <w:rtl w:val="true"/>
        </w:rPr>
        <w:footnoteReference w:id="430"/>
      </w:r>
      <w:r>
        <w:rPr>
          <w:rFonts w:ascii="IRNazanin" w:hAnsi="IRNazanin" w:eastAsia="IRNazanin"/>
          <w:color w:val="111111"/>
          <w:sz w:val="28"/>
          <w:sz w:val="28"/>
          <w:szCs w:val="28"/>
          <w:rtl w:val="true"/>
          <w:lang w:bidi="fa-IR"/>
        </w:rPr>
        <w:t>، وسیأتی غیره أیضاً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فی کلام من رأینا کلامه من الأصحاب ، أنّ الضرب</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3" w:name="__RefHeading___Toc146696_2142443653"/>
      <w:bookmarkStart w:id="334" w:name="_Toc126"/>
      <w:bookmarkEnd w:id="333"/>
      <w:r>
        <w:rPr>
          <w:rtl w:val="true"/>
        </w:rPr>
        <w:t>دلالة روایة داود بن النعمان علی کفایة ضربة واحدة فی التیمّم بدلاً عن الغُسل</w:t>
      </w:r>
      <w:bookmarkStart w:id="335" w:name="pg15025_160262"/>
      <w:bookmarkEnd w:id="334"/>
    </w:p>
    <w:p>
      <w:pPr>
        <w:pStyle w:val="BookText"/>
        <w:rPr/>
      </w:pPr>
      <w:bookmarkEnd w:id="335"/>
      <w:r>
        <w:rPr>
          <w:rFonts w:ascii="IRNazanin" w:hAnsi="IRNazanin" w:eastAsia="IRNazanin"/>
          <w:color w:val="111111"/>
          <w:sz w:val="28"/>
          <w:sz w:val="28"/>
          <w:szCs w:val="28"/>
          <w:rtl w:val="true"/>
          <w:lang w:bidi="fa-IR"/>
        </w:rPr>
        <w:t xml:space="preserve">بالیدین معاً </w:t>
      </w:r>
      <w:r>
        <w:rPr>
          <w:rStyle w:val="FootnoteAnchor"/>
          <w:rtl w:val="true"/>
        </w:rPr>
        <w:footnoteReference w:id="431"/>
      </w:r>
      <w:r>
        <w:rPr>
          <w:rFonts w:ascii="IRNazanin" w:hAnsi="IRNazanin" w:eastAsia="IRNazanin"/>
          <w:color w:val="111111"/>
          <w:sz w:val="28"/>
          <w:sz w:val="28"/>
          <w:szCs w:val="28"/>
          <w:rtl w:val="true"/>
          <w:lang w:bidi="fa-IR"/>
        </w:rPr>
        <w:t xml:space="preserve">، بل ادّعی شیخنا قدس سره أنّه إجماعی </w:t>
      </w:r>
      <w:r>
        <w:rPr>
          <w:rStyle w:val="FootnoteAnchor"/>
          <w:rtl w:val="true"/>
        </w:rPr>
        <w:footnoteReference w:id="432"/>
      </w:r>
      <w:r>
        <w:rPr>
          <w:rFonts w:ascii="IRNazanin" w:hAnsi="IRNazanin" w:eastAsia="IRNazanin"/>
          <w:color w:val="111111"/>
          <w:sz w:val="28"/>
          <w:sz w:val="28"/>
          <w:szCs w:val="28"/>
          <w:rtl w:val="true"/>
          <w:lang w:bidi="fa-IR"/>
        </w:rPr>
        <w:t xml:space="preserve">، والروایات المبحوث عنها کما تری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بیده ، ووضع یده ، وفی غیرها من الأخبار کما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کفیک ، وضرب بیده ، ویمکن الجمع بتقدیر الإجماع بأن یحمل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توجیه بعض الأفاضل للضرب بالیدین بأن النیة لما کانت مقارنة للضرب فلا بد من الضرب بهما لأنّ المتأخّرة لم تقع لها النیّة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عن عثمان بن عیسی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کیف التیمم؟ فوضع یده علی الأرض فمسح بها وجهه وذراعیه إلی المرفقین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أن نحمله علی ضرب من التقیة لأنّه موافق لمذاهب العامة ، وقد قیل فی تأویله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 الحکم لا الفعل لأنّه إذا مسح ظاهر الکف فکأنّه غسل ذراعیه فی الوضوء ، فیحصل له بمسح الکفّین فی التیمم حکم غسل الذراعین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الخبر واضح بعد ما قدّمناه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6" w:name="__RefHeading___Toc146698_2142443653"/>
      <w:bookmarkStart w:id="337" w:name="_Toc127"/>
      <w:bookmarkEnd w:id="336"/>
      <w:r>
        <w:rPr>
          <w:rtl w:val="true"/>
        </w:rPr>
        <w:t>اعتبار الضرب بالدین معاً</w:t>
      </w:r>
      <w:bookmarkStart w:id="338" w:name="pg15025_160263"/>
      <w:bookmarkEnd w:id="337"/>
    </w:p>
    <w:p>
      <w:pPr>
        <w:pStyle w:val="BookText"/>
        <w:rPr/>
      </w:pPr>
      <w:bookmarkEnd w:id="338"/>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تری ظاهر الدلالة علی مسح الذراعین ، والحمل علی ما قاله الشیخ من التقیة له وجه وجیه ، أمّا المنقول ففی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من الشیخ فی اقتصاره علی هذا الخبر من جهة المنافاة ، مع أنّه سیأتی فی الباب الذی بعد هذا ما یخالف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عندی أنّ مسح ظاهر الکفین لازم ، ولو مسح الذراعین جاز أیضاً عملاً بالأخبار کلها ، لکن الکفّین علی الوجوب ، وما زاد علی الجواز لأنّه أخذ بالمتیقن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وأراد بالجواز الاستحباب ، ولا یخلو من إشکال فی معنی الاستحباب ، لأنّه إن أراد کما هو الظاهر من کلامه أنّ الزائد عن الکف مستحب </w:t>
      </w:r>
      <w:r>
        <w:rPr>
          <w:rStyle w:val="FootnoteAnchor"/>
          <w:rtl w:val="true"/>
        </w:rPr>
        <w:footnoteReference w:id="435"/>
      </w:r>
      <w:r>
        <w:rPr>
          <w:rFonts w:ascii="IRNazanin" w:hAnsi="IRNazanin" w:eastAsia="IRNazanin"/>
          <w:color w:val="111111"/>
          <w:sz w:val="28"/>
          <w:sz w:val="28"/>
          <w:szCs w:val="28"/>
          <w:rtl w:val="true"/>
          <w:lang w:bidi="fa-IR"/>
        </w:rPr>
        <w:t xml:space="preserve">بمعناه الأُصولی ، ففیه أنّ القصد لو وقع من أوّل الشروع لا یتم فیه الاستحباب ، وإن وقع بعد مسح الکف أمکن ، لکن لا یوافق مدلول الأخبار ، ولا ینطبق علی قول ابن بابویه علی أنّ المسح من المرفقین </w:t>
      </w:r>
      <w:r>
        <w:rPr>
          <w:rStyle w:val="FootnoteAnchor"/>
          <w:rtl w:val="true"/>
        </w:rPr>
        <w:footnoteReference w:id="436"/>
      </w:r>
      <w:r>
        <w:rPr>
          <w:rFonts w:ascii="IRNazanin" w:hAnsi="IRNazanin" w:eastAsia="IRNazanin"/>
          <w:color w:val="111111"/>
          <w:sz w:val="28"/>
          <w:sz w:val="28"/>
          <w:szCs w:val="28"/>
          <w:rtl w:val="true"/>
          <w:lang w:bidi="fa-IR"/>
        </w:rPr>
        <w:t xml:space="preserve">، مضافاً إلی أنّ مدلول الروایة المبحوث عنها إلی المرفقین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للممسوح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بالمستحب أفضل الفردین فیکون الإنسان مخیراً لم یوافق الأخذ بالمتیقن إلاّ علی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فالأخذ بالمتیقن محل کلام ، وسیأتی إن شاء الله فی الباب الآتی تتمّة القول فی هذا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9" w:name="__RefHeading___Toc146700_2142443653"/>
      <w:bookmarkStart w:id="340" w:name="_Toc128"/>
      <w:bookmarkEnd w:id="339"/>
      <w:r>
        <w:rPr>
          <w:rtl w:val="true"/>
        </w:rPr>
        <w:t>توجیه ما دلّ علی مسح الذراعین فی التیمّم</w:t>
      </w:r>
      <w:bookmarkStart w:id="341" w:name="pg15025_160264"/>
      <w:bookmarkEnd w:id="340"/>
    </w:p>
    <w:p>
      <w:pPr>
        <w:pStyle w:val="BookText"/>
        <w:rPr/>
      </w:pPr>
      <w:bookmarkEnd w:id="34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عدد المرات فی التیمم</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بن یعقوب ، عن علی بن إبراهیم ، عن أبیه ، وعلی بن محمد ، عن سهل بن زیاد جمیعاً ، عن أحمد بن محمد بن أبی نصر ، عن ابن بکیر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التیمم </w:t>
      </w:r>
      <w:r>
        <w:rPr>
          <w:rStyle w:val="FootnoteAnchor"/>
          <w:rtl w:val="true"/>
        </w:rPr>
        <w:footnoteReference w:id="437"/>
      </w:r>
      <w:r>
        <w:rPr>
          <w:rFonts w:ascii="IRNazanin" w:hAnsi="IRNazanin" w:eastAsia="IRNazanin"/>
          <w:color w:val="111111"/>
          <w:sz w:val="28"/>
          <w:sz w:val="28"/>
          <w:szCs w:val="28"/>
          <w:rtl w:val="true"/>
          <w:lang w:bidi="fa-IR"/>
        </w:rPr>
        <w:t xml:space="preserve">؟ فضرب بیدیه الأرض ثم رفعهما فنفضهما ثم مسح بهما جبینه </w:t>
      </w:r>
      <w:r>
        <w:rPr>
          <w:rStyle w:val="FootnoteAnchor"/>
          <w:rtl w:val="true"/>
        </w:rPr>
        <w:footnoteReference w:id="438"/>
      </w:r>
      <w:r>
        <w:rPr>
          <w:rFonts w:ascii="Amiri" w:hAnsi="Amiri" w:eastAsia="Amiri" w:cs="Amiri"/>
          <w:color w:val="111111"/>
          <w:sz w:val="28"/>
          <w:sz w:val="28"/>
          <w:szCs w:val="28"/>
          <w:rtl w:val="true"/>
          <w:lang w:bidi="ar-SA"/>
        </w:rPr>
        <w:t>وکفّیه 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وأخبرنی الشیخ رحمه الله عن أحمد بن محمد ، عن أبیه ، عن الصفار ، عن أحمد بن محمد ، عن الحسین بن سعید ، عن صفوان ، عن عمرو بن أبی المقدام ، عن أبی عبد الله علیه السلام أنّه وصف التیمم فضرب بیدیه علی الأرض ثم رفعهما فنفضهما ثم مسح علی جبینه وکفّیه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 عن الحسین بن سعید ، عن القاسم بن عروة ، عن ابن بکیر ، عن زرارة ، عن أبی جعفر علیه السلام فی التیمم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تضرب بکفّیک الأرض ثم تنفضهما وتمسح </w:t>
      </w:r>
      <w:r>
        <w:rPr>
          <w:rStyle w:val="FootnoteAnchor"/>
          <w:rtl w:val="true"/>
        </w:rPr>
        <w:footnoteReference w:id="439"/>
      </w:r>
      <w:r>
        <w:rPr>
          <w:rFonts w:ascii="IRNazanin" w:hAnsi="IRNazanin" w:eastAsia="IRNazanin"/>
          <w:color w:val="111111"/>
          <w:sz w:val="28"/>
          <w:sz w:val="28"/>
          <w:szCs w:val="28"/>
          <w:rtl w:val="true"/>
          <w:lang w:bidi="fa-IR"/>
        </w:rPr>
        <w:t xml:space="preserve">وجهک ویدیک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من الموثق نظراً إلی ابن بکیر ، وقد قدّمنا فیه أنّ</w:t>
      </w:r>
    </w:p>
    <w:p>
      <w:pPr>
        <w:pStyle w:val="Heading3"/>
        <w:numPr>
          <w:ilvl w:val="2"/>
          <w:numId w:val="1"/>
        </w:numPr>
        <w:rPr/>
      </w:pPr>
      <w:bookmarkStart w:id="342" w:name="__RefHeading___Toc146702_2142443653"/>
      <w:bookmarkStart w:id="343" w:name="_Toc129"/>
      <w:bookmarkEnd w:id="342"/>
      <w:r>
        <w:rPr>
          <w:rtl w:val="true"/>
        </w:rPr>
        <w:t>عدد المرات فی التیمم</w:t>
      </w:r>
      <w:bookmarkEnd w:id="34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4" w:name="__RefHeading___Toc146704_2142443653"/>
      <w:bookmarkStart w:id="345" w:name="_Toc130"/>
      <w:bookmarkEnd w:id="344"/>
      <w:r>
        <w:rPr>
          <w:rtl w:val="true"/>
        </w:rPr>
        <w:t>بحث حول ابن بکیر</w:t>
      </w:r>
      <w:bookmarkStart w:id="346" w:name="pg15025_160265"/>
      <w:bookmarkEnd w:id="345"/>
    </w:p>
    <w:p>
      <w:pPr>
        <w:pStyle w:val="BookText"/>
        <w:rPr/>
      </w:pPr>
      <w:bookmarkEnd w:id="346"/>
      <w:r>
        <w:rPr>
          <w:rFonts w:ascii="IRNazanin" w:hAnsi="IRNazanin" w:eastAsia="IRNazanin"/>
          <w:color w:val="111111"/>
          <w:sz w:val="28"/>
          <w:sz w:val="28"/>
          <w:szCs w:val="28"/>
          <w:rtl w:val="true"/>
          <w:lang w:bidi="fa-IR"/>
        </w:rPr>
        <w:t xml:space="preserve">النجاشی لم یذکر توثیقه ولا أنّه فطحی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والشیخ وثّقه قائلاً إنّه فطحی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علی تقدیر التدبر فی أحوال النجاشی عدم ثبوت الفطحیة ، وأمّا التوثیق فهو مقارن الفطحیة فی کلام الشیخ ، فثبوته من دون کونه فطحیا مشکل ، والکشی قد ذکر فی موضعٍ الإجماع علی تصحیح ما یصح عنه </w:t>
      </w:r>
      <w:r>
        <w:rPr>
          <w:rStyle w:val="FootnoteAnchor"/>
          <w:rtl w:val="true"/>
        </w:rPr>
        <w:footnoteReference w:id="442"/>
      </w:r>
      <w:r>
        <w:rPr>
          <w:rFonts w:ascii="IRNazanin" w:hAnsi="IRNazanin" w:eastAsia="IRNazanin"/>
          <w:color w:val="111111"/>
          <w:sz w:val="28"/>
          <w:sz w:val="28"/>
          <w:szCs w:val="28"/>
          <w:rtl w:val="true"/>
          <w:lang w:bidi="fa-IR"/>
        </w:rPr>
        <w:t xml:space="preserve">، وذکر أنّه فطحی فی موضعٍ آخر عن محمد بن مسعود </w:t>
      </w:r>
      <w:r>
        <w:rPr>
          <w:rStyle w:val="FootnoteAnchor"/>
          <w:rtl w:val="true"/>
        </w:rPr>
        <w:footnoteReference w:id="443"/>
      </w:r>
      <w:r>
        <w:rPr>
          <w:rFonts w:ascii="IRNazanin" w:hAnsi="IRNazanin" w:eastAsia="IRNazanin"/>
          <w:color w:val="111111"/>
          <w:sz w:val="28"/>
          <w:sz w:val="28"/>
          <w:szCs w:val="28"/>
          <w:rtl w:val="true"/>
          <w:lang w:bidi="fa-IR"/>
        </w:rPr>
        <w:t>، فالارتیاب فی أنّه فطحی حاصل ، والاعتماد علی تصحیح ما یصح عنه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اشتمال السند علی إبراهیم بن هاشم الممدوح فلا یضر بحال وصف السند بالموثق ، علی ما یظهر من تعریف الموثق ، وإنّ کان فیه نوع کلام ، وقد أشرت إلیه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یمکن أنّ یقال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الموثق قد عُرّف بأنّه ما دخل فی طریقه مَن لیس بإمامی لکنه منصوص علی توثیقه ، ولم یشتمل باقی الطریق علی ضعف من جهة أُخری ، وغیر خفی أنّ عدم الاشتمال علی الضعف وإنّ احتمل أنّ یراد به الضعف المقابل للثلاثة أعنی الصحیح والحسن والموثق ، لکنه یحتمل أنّ یراد به غیر الصحیح لإطلاق الضعیف علیه ، لکن الظاهر من الضعیف الأوّل ، وأنت خبیر بأنّ العامل بالموثق لو عمل بالحسن کلّیاً </w:t>
      </w:r>
      <w:r>
        <w:rPr>
          <w:rStyle w:val="FootnoteAnchor"/>
          <w:rtl w:val="true"/>
        </w:rPr>
        <w:footnoteReference w:id="444"/>
      </w:r>
      <w:r>
        <w:rPr>
          <w:rFonts w:ascii="IRNazanin" w:hAnsi="IRNazanin" w:eastAsia="IRNazanin"/>
          <w:color w:val="111111"/>
          <w:sz w:val="28"/>
          <w:sz w:val="28"/>
          <w:szCs w:val="28"/>
          <w:rtl w:val="true"/>
          <w:lang w:bidi="fa-IR"/>
        </w:rPr>
        <w:t>اندفع ما أشرنا إلیه ، وإلاّ فهو باق ، والأمر فی هذا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علی بن محمد معطوف علی علی بن إبراهیم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 یرجع لسهل وإبراهیم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محمد هو علان علی الظاهر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7" w:name="__RefHeading___Toc146706_2142443653"/>
      <w:bookmarkStart w:id="348" w:name="_Toc131"/>
      <w:bookmarkEnd w:id="347"/>
      <w:r>
        <w:rPr>
          <w:rtl w:val="true"/>
        </w:rPr>
        <w:t>تعریف الموثّق</w:t>
      </w:r>
      <w:bookmarkStart w:id="349" w:name="pg15025_160266"/>
      <w:bookmarkEnd w:id="348"/>
    </w:p>
    <w:p>
      <w:pPr>
        <w:pStyle w:val="BookText"/>
        <w:rPr/>
      </w:pPr>
      <w:bookmarkEnd w:id="349"/>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عمرو بن أبی المقدام ،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المقدام ثابت بن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علی بن الحسین وأبی جعفر وأبی عبد الله علیهم السلام له کتاب لطیف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فی القسم الأوّل من الخلاصة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المقدام روی الکشی بإسناد متصل إلی أبی العرندس عن رجل من قریش أنّ الصادق علیه السلام 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أمیر الحاج ، وهذه الروایة من المرجحات ، ولعلّ الذی وثقه ابن الغضائری ونقل عن أصحابنا تضعیفه هو هذا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فوائد جدّی قدس سره علی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السند مرسلاً مجهول حال بعض الرواة یشکل إثبات الترجیح به مع أنّ فی إثبات الترجیح بما ذکر نظر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فی الکشی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حمدویه بن نصیر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الحسین ، عن أحمد بن الحسین </w:t>
      </w:r>
      <w:r>
        <w:rPr>
          <w:rStyle w:val="FootnoteAnchor"/>
          <w:rtl w:val="true"/>
        </w:rPr>
        <w:footnoteReference w:id="448"/>
      </w:r>
      <w:r>
        <w:rPr>
          <w:rFonts w:ascii="IRNazanin" w:hAnsi="IRNazanin" w:eastAsia="IRNazanin"/>
          <w:color w:val="111111"/>
          <w:sz w:val="28"/>
          <w:sz w:val="28"/>
          <w:szCs w:val="28"/>
          <w:rtl w:val="true"/>
          <w:lang w:bidi="fa-IR"/>
        </w:rPr>
        <w:t xml:space="preserve">المیثمی ، عن أبی العرندس الکندی ، عن رجل من قریش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بفناء الکعبة وأبو عبد الله علیه السلام قاعد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أکثر الحاج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أقل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عمرو بن أبی المقدام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الحاج </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بأنّ ما فی الخلاصة لا یبعد أنّ یکون تصحیفاً ، ولو صح طریق الخبر ربما أفاد مدحاً ما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0" w:name="__RefHeading___Toc146708_2142443653"/>
      <w:bookmarkStart w:id="351" w:name="_Toc132"/>
      <w:bookmarkEnd w:id="350"/>
      <w:r>
        <w:rPr>
          <w:rtl w:val="true"/>
        </w:rPr>
        <w:t>بحث حول عمرو بن أبی المقدام</w:t>
      </w:r>
      <w:bookmarkStart w:id="352" w:name="pg15025_160267"/>
      <w:bookmarkEnd w:id="351"/>
    </w:p>
    <w:p>
      <w:pPr>
        <w:pStyle w:val="BookText"/>
        <w:rPr/>
      </w:pPr>
      <w:bookmarkEnd w:id="352"/>
      <w:r>
        <w:rPr>
          <w:rFonts w:ascii="IRNazanin" w:hAnsi="IRNazanin" w:eastAsia="IRNazanin"/>
          <w:color w:val="111111"/>
          <w:sz w:val="28"/>
          <w:sz w:val="28"/>
          <w:szCs w:val="28"/>
          <w:rtl w:val="true"/>
          <w:lang w:bidi="fa-IR"/>
        </w:rPr>
        <w:t xml:space="preserve">ثم إنّ العلاّمة فی القسم الثانی من الخلاصة ذکر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ثابت بن هرمز </w:t>
      </w:r>
      <w:r>
        <w:rPr>
          <w:rStyle w:val="FootnoteAnchor"/>
          <w:rtl w:val="true"/>
        </w:rPr>
        <w:footnoteReference w:id="450"/>
      </w:r>
      <w:r>
        <w:rPr>
          <w:rFonts w:ascii="IRNazanin" w:hAnsi="IRNazanin" w:eastAsia="IRNazanin"/>
          <w:color w:val="111111"/>
          <w:sz w:val="28"/>
          <w:sz w:val="28"/>
          <w:szCs w:val="28"/>
          <w:rtl w:val="true"/>
          <w:lang w:bidi="fa-IR"/>
        </w:rPr>
        <w:t xml:space="preserve">أبو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علی بن الحسین وأبی جعفر وأبی عبد الله علیهم السلام ضعیف جدّاً قاله ابن الغضائری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فی الفائدة الاولی من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ثابت هو عمر بن أبی المقدام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دلالة ما فی القسم الثانی علی أنّ أبا المقدام کنیة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فی رجال الصادق علیه السلام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أبی المقدام کوفی واسم أبی المقدام ثابت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فالعلاّمة وقع فی کلامه تخلیط ، والأمر سهل ، غیر أنا ذکرنا ما ذکرناه لتعلم حقیقة الحال فی تفاوت المصنفات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بن عروة ولم أطّلع من حاله علی غیر الإهمال إن لم یفد کونه وزیر أبی جعفر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الکشی </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نوع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الأخبار الثلاثة دال بظاهره علی وحدة الضربات فی التیمم الشامل لما کان بدلاً عن الغسل أو الوضوء نظراً إلی ترک الاستفصال ، والأوّل والثانی کما تری دالاّن علی مسح الجبینین وقد قدمنا ما فی ذلک من القول</w:t>
      </w:r>
      <w:r>
        <w:rPr>
          <w:rFonts w:eastAsia="IRNazanin" w:cs="IRNazanin"/>
          <w:color w:val="111111"/>
          <w:sz w:val="28"/>
          <w:szCs w:val="28"/>
          <w:rtl w:val="true"/>
          <w:lang w:bidi="fa-IR"/>
        </w:rPr>
        <w:t>.</w:t>
      </w:r>
    </w:p>
    <w:p>
      <w:pPr>
        <w:pStyle w:val="Heading4"/>
        <w:numPr>
          <w:ilvl w:val="3"/>
          <w:numId w:val="1"/>
        </w:numPr>
        <w:rPr/>
      </w:pPr>
      <w:bookmarkStart w:id="353" w:name="__RefHeading___Toc146710_2142443653"/>
      <w:bookmarkStart w:id="354" w:name="_Toc133"/>
      <w:bookmarkEnd w:id="353"/>
      <w:r>
        <w:rPr>
          <w:rtl w:val="true"/>
        </w:rPr>
        <w:t>القاسم بن عروة مهمل</w:t>
      </w:r>
      <w:bookmarkEnd w:id="35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5" w:name="__RefHeading___Toc146712_2142443653"/>
      <w:bookmarkStart w:id="356" w:name="_Toc134"/>
      <w:bookmarkEnd w:id="355"/>
      <w:r>
        <w:rPr>
          <w:rtl w:val="true"/>
        </w:rPr>
        <w:t>وحدة الضربات فی التیمّم</w:t>
      </w:r>
      <w:bookmarkEnd w:id="356"/>
    </w:p>
    <w:p>
      <w:pPr>
        <w:pStyle w:val="BookText"/>
        <w:rPr/>
      </w:pPr>
      <w:r>
        <w:rPr>
          <w:rFonts w:ascii="IRNazanin" w:hAnsi="IRNazanin" w:eastAsia="IRNazanin"/>
          <w:color w:val="111111"/>
          <w:sz w:val="28"/>
          <w:sz w:val="28"/>
          <w:szCs w:val="28"/>
          <w:rtl w:val="true"/>
          <w:lang w:bidi="fa-IR"/>
        </w:rPr>
        <w:t xml:space="preserve">وأمّا الثالث فمقتضاه مسح الوجه ، ویمکن أنّ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الیدین مطلقتان فکما قُیدتا بالکفّین کذلک یقیّد الوجه ، إلاّ أنّ الخبر قد سمعت حال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الأخبار المعتمدة فی البابین الدالة علی الوحدة فی الضرب منحصرة فی خبر داود بن النعمان عند من یختص عمله بالصحیح ، ولکن الخبر خاص بالغُسل کما قدّمنا الکلام فیه ، وفی التهذیب رواه أیضا فی الصحیح عن زرارة </w:t>
      </w:r>
      <w:r>
        <w:rPr>
          <w:rStyle w:val="FootnoteAnchor"/>
          <w:rtl w:val="true"/>
        </w:rPr>
        <w:footnoteReference w:id="455"/>
      </w:r>
      <w:r>
        <w:rPr>
          <w:rFonts w:ascii="IRNazanin" w:hAnsi="IRNazanin" w:eastAsia="IRNazanin"/>
          <w:color w:val="111111"/>
          <w:sz w:val="28"/>
          <w:sz w:val="28"/>
          <w:szCs w:val="28"/>
          <w:rtl w:val="true"/>
          <w:lang w:bidi="fa-IR"/>
        </w:rPr>
        <w:t xml:space="preserve">، وفی الفقیه رواه أیضا </w:t>
      </w:r>
      <w:r>
        <w:rPr>
          <w:rStyle w:val="FootnoteAnchor"/>
          <w:rtl w:val="true"/>
        </w:rPr>
        <w:footnoteReference w:id="456"/>
      </w:r>
      <w:r>
        <w:rPr>
          <w:rFonts w:ascii="IRNazanin" w:hAnsi="IRNazanin" w:eastAsia="IRNazanin"/>
          <w:color w:val="111111"/>
          <w:sz w:val="28"/>
          <w:sz w:val="28"/>
          <w:szCs w:val="28"/>
          <w:rtl w:val="true"/>
          <w:lang w:bidi="fa-IR"/>
        </w:rPr>
        <w:t xml:space="preserve">، وحینئذ فالوحدة فی التیمم عن الوضوء لم تکن فی خبر صحیح ، وروایة الکاهلی السابقة قد عرفت أنّها حسنة </w:t>
      </w:r>
      <w:r>
        <w:rPr>
          <w:rStyle w:val="FootnoteAnchor"/>
          <w:rtl w:val="true"/>
        </w:rPr>
        <w:footnoteReference w:id="457"/>
      </w:r>
      <w:r>
        <w:rPr>
          <w:rFonts w:ascii="IRNazanin" w:hAnsi="IRNazanin" w:eastAsia="IRNazanin"/>
          <w:color w:val="111111"/>
          <w:sz w:val="28"/>
          <w:sz w:val="28"/>
          <w:szCs w:val="28"/>
          <w:rtl w:val="true"/>
          <w:lang w:bidi="fa-IR"/>
        </w:rPr>
        <w:t>، وستجی‌ء فائدة ما قلناه عن قریب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الحسین بن سعید </w:t>
      </w:r>
      <w:r>
        <w:rPr>
          <w:rStyle w:val="FootnoteAnchor"/>
          <w:rtl w:val="true"/>
        </w:rPr>
        <w:footnoteReference w:id="458"/>
      </w:r>
      <w:r>
        <w:rPr>
          <w:rFonts w:ascii="IRNazanin" w:hAnsi="IRNazanin" w:eastAsia="IRNazanin"/>
          <w:color w:val="111111"/>
          <w:sz w:val="28"/>
          <w:sz w:val="28"/>
          <w:szCs w:val="28"/>
          <w:rtl w:val="true"/>
          <w:lang w:bidi="fa-IR"/>
        </w:rPr>
        <w:t xml:space="preserve">، عن ابن مسکان ، عن لیث المرادی عن أبی عبد الله علیه السلام فی التیمم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تضرب بکفیک علی الأرض مرتین ثم تنفضهما وتمسح بهما وجهک وذراعیک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سعد بن عبد الله ، عن أحمد بن محمد </w:t>
      </w:r>
      <w:r>
        <w:rPr>
          <w:rStyle w:val="FootnoteAnchor"/>
          <w:rtl w:val="true"/>
        </w:rPr>
        <w:footnoteReference w:id="459"/>
      </w:r>
      <w:r>
        <w:rPr>
          <w:rFonts w:ascii="IRNazanin" w:hAnsi="IRNazanin" w:eastAsia="IRNazanin"/>
          <w:color w:val="111111"/>
          <w:sz w:val="28"/>
          <w:sz w:val="28"/>
          <w:szCs w:val="28"/>
          <w:rtl w:val="true"/>
          <w:lang w:bidi="fa-IR"/>
        </w:rPr>
        <w:t xml:space="preserve">، عن إسماعیل بن همام الکندی ، عن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التیمم ضربة للوجه وضربة للکفّین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 عن صفوان بن یحیی ، عن العلاء ، عن محمد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مرّتین </w:t>
      </w:r>
      <w:r>
        <w:rPr>
          <w:rStyle w:val="FootnoteAnchor"/>
          <w:rtl w:val="true"/>
        </w:rPr>
        <w:footnoteReference w:id="460"/>
      </w:r>
      <w:r>
        <w:rPr>
          <w:rFonts w:ascii="IRNazanin" w:hAnsi="IRNazanin" w:eastAsia="IRNazanin"/>
          <w:color w:val="111111"/>
          <w:sz w:val="28"/>
          <w:sz w:val="28"/>
          <w:szCs w:val="28"/>
          <w:rtl w:val="true"/>
          <w:lang w:bidi="fa-IR"/>
        </w:rPr>
        <w:t xml:space="preserve">للوجه والیدین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الجمع بین هذه الأخبار أنّ ما تضمنت من الضربة الواحدة تکون مخصوصة بالطهارة الصغری ، وما تضمنت من الضربتین بالطهارة الکبری لئلاّ تتناقض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هذا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الحسین بن سعید ، عن حماد ، عن حریز ، عن زرارة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کیف التیمم؟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ضرب واحد للوضوء ، والغسل </w:t>
      </w:r>
      <w:r>
        <w:rPr>
          <w:rStyle w:val="FootnoteAnchor"/>
          <w:rtl w:val="true"/>
        </w:rPr>
        <w:footnoteReference w:id="461"/>
      </w:r>
      <w:r>
        <w:rPr>
          <w:rFonts w:ascii="IRNazanin" w:hAnsi="IRNazanin" w:eastAsia="IRNazanin"/>
          <w:color w:val="111111"/>
          <w:sz w:val="28"/>
          <w:sz w:val="28"/>
          <w:szCs w:val="28"/>
          <w:rtl w:val="true"/>
          <w:lang w:bidi="fa-IR"/>
        </w:rPr>
        <w:t xml:space="preserve">من الجنابة تضرب بیدک مرّتین ثم تنفضهما نفضة للوجه ومرّة للیدین ومتی أصبت الماء فعلیک الغسل إنّ کنت جنباً والوضوء إنّ لم تکن جنبا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 عن ابن أبی عمیر ، عن ابن أُذینة ، عن </w:t>
      </w:r>
      <w:r>
        <w:rPr>
          <w:rStyle w:val="FootnoteAnchor"/>
          <w:rtl w:val="true"/>
        </w:rPr>
        <w:footnoteReference w:id="462"/>
      </w:r>
      <w:r>
        <w:rPr>
          <w:rFonts w:ascii="IRNazanin" w:hAnsi="IRNazanin" w:eastAsia="IRNazanin"/>
          <w:color w:val="111111"/>
          <w:sz w:val="28"/>
          <w:sz w:val="28"/>
          <w:szCs w:val="28"/>
          <w:rtl w:val="true"/>
          <w:lang w:bidi="fa-IR"/>
        </w:rPr>
        <w:t xml:space="preserve">ابن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التیمم ، فضرب بکفّیه الأرض ثم مسح بهما وجهه ، ثم ضرب بشماله الأرض فمسح بها مرفقه إلی أطراف الأصابع واحدة علی ظهرها وواحدة علی بطنها ، ثم ضرب بیمینه الأرض ثم صنع بشماله کما صنع بیمینه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التیمم علی ما کان فیه الغسل ، وفی الوضوء الوجه والیدین إلی المرفقین وأُلقی ما کان علیه مسح الرأس والقدمین فلا یؤمم بالصعید </w:t>
      </w:r>
      <w:r>
        <w:rPr>
          <w:rFonts w:eastAsia="IRNazanin" w:cs="IRNazanin"/>
          <w:color w:val="111111"/>
          <w:sz w:val="28"/>
          <w:szCs w:val="28"/>
          <w:rtl w:val="true"/>
          <w:lang w:bidi="fa-IR"/>
        </w:rPr>
        <w:t xml:space="preserve">». </w:t>
      </w:r>
      <w:bookmarkStart w:id="357" w:name="pg15025_160270"/>
    </w:p>
    <w:p>
      <w:pPr>
        <w:pStyle w:val="BookText"/>
        <w:rPr/>
      </w:pPr>
      <w:bookmarkEnd w:id="357"/>
      <w:r>
        <w:rPr>
          <w:rFonts w:ascii="IRNazanin" w:hAnsi="IRNazanin" w:eastAsia="IRNazanin"/>
          <w:color w:val="111111"/>
          <w:sz w:val="28"/>
          <w:sz w:val="28"/>
          <w:szCs w:val="28"/>
          <w:rtl w:val="true"/>
          <w:lang w:bidi="fa-IR"/>
        </w:rPr>
        <w:t>فما تضمن هذا الحدیث من أنّه مسح من المرفق إلی أطراف الأصابع واحدة علی بطنها وواحدة علی ظهرها فمحمول علی ما قدّمناه من التقیة أو الحکم حسب ما مضی فی تأویل خبر سماعة ، والذی تضمنه من التفریق بین ضربة الیمین والشمال فی مسح الیدین لا یوجب أنّ تکون الضربات ثلاثاً ؛ لأنّ المراعی فی کل واحدة من الضربتین أن یکون بالیدین معاً فإذا فرّق فی واحدة من الضربتین بین الیدین لم یکن مخالفاً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خبر داود بن النعمان ، عن أبی عبد الله علیه السلام المتضمن لقصة عمار لا یوجب أنّ یکتفی فی الغسل من الجنابة بضربة واحدة ، من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وضع یدیه علی الأرض ثم رفعهما فمسح بهما وجهه ویدیه فوق الکف قلیلا ، لأنه إنّما أخبر عن کیفیة الفعل فی التیمم ولم یقل إنّه فعل ذلک بضربة أو ضربتین ، وإذا احتمل ذلک حملنا الخبر علی ما ورد فی الأخبار المفصّلة التی أوردناها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لا یخلو من اختلال ، لأنّ فی التهذیب رواه عن الحسین بن سعید ، عن ابن سنان ، عن ابن مسکان </w:t>
      </w:r>
      <w:r>
        <w:rPr>
          <w:rStyle w:val="FootnoteAnchor"/>
          <w:rtl w:val="true"/>
        </w:rPr>
        <w:footnoteReference w:id="464"/>
      </w:r>
      <w:r>
        <w:rPr>
          <w:rFonts w:ascii="IRNazanin" w:hAnsi="IRNazanin" w:eastAsia="IRNazanin"/>
          <w:color w:val="111111"/>
          <w:sz w:val="28"/>
          <w:sz w:val="28"/>
          <w:szCs w:val="28"/>
          <w:rtl w:val="true"/>
          <w:lang w:bidi="fa-IR"/>
        </w:rPr>
        <w:t xml:space="preserve">، وهو الموافق للممارسة ، لأنّ ابن مسکان لا یروی عنه الحسین بغیر واسطة ، وهی محمد بن سنان ، فالروایة ضعیفة ، وتوهم أنّ ابن سنان لیس بمحمد لا یفید إنّ لم یتحقق کونه عبد الله ، والحق تعین کونه محمداً کما کررنا فیه القول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8" w:name="__RefHeading___Toc146714_2142443653"/>
      <w:bookmarkStart w:id="359" w:name="_Toc135"/>
      <w:bookmarkEnd w:id="358"/>
      <w:r>
        <w:rPr>
          <w:rtl w:val="true"/>
        </w:rPr>
        <w:t>الحسین بن سعید لایروی عن ابن مسکان بغیر واسطة</w:t>
      </w:r>
      <w:bookmarkStart w:id="360" w:name="pg15025_160271"/>
      <w:bookmarkEnd w:id="359"/>
    </w:p>
    <w:p>
      <w:pPr>
        <w:pStyle w:val="BookText"/>
        <w:rPr/>
      </w:pPr>
      <w:bookmarkEnd w:id="360"/>
      <w:r>
        <w:rPr>
          <w:rFonts w:ascii="IRNazanin" w:hAnsi="IRNazanin" w:eastAsia="IRNazanin"/>
          <w:color w:val="111111"/>
          <w:sz w:val="28"/>
          <w:sz w:val="28"/>
          <w:szCs w:val="28"/>
          <w:rtl w:val="true"/>
          <w:lang w:bidi="fa-IR"/>
        </w:rPr>
        <w:t xml:space="preserve">والثانی لیس فی صحته ارتیاب ، وکذلک الثالث ، والعلاء هو ابن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هو ابن مسلم کما یعلم بالممارسة ، والرابع کذلک ، ومثله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له ظهور فی تعدد الضرب ، لکن ربما لاح منه أنّ التعدد فی أول الضرب بأن یضرب کل کفّ مرّة أو بالکفّین مرّتین أوّلاً ، إلاّ أنّ الشیخ لم یفهم منه إلاّ الضرب مرّتین مرّة للوجه وأُخری للیدین ، وذلک غیر بعید الاستفادة منه کما ینبّه علیه الحدیث الرابع ، حیث 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تضرب بیدک مرّتین ثم تنفضهما نفضة للوجه ومرّة للیدین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مع صحته علی التعدد مطلقا ، أعنی فی التیمم عن الوضوء والغسل ، وکذلک الثالث ، إلاّ أنّ فیه نوع إجمال فی المرّتین ، ویدفعه تبادر الضربتین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الشیخ فی وجه الجمع لا یخلو من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التناقض لا ینحصر دفعه فیما ذکره ، بل یحصل بحمل التعدد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التی استدل بها فی الأوّل إنّما یتم إثبات مطلوبه بها لو جعل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واحد ، بمعنی ضربة واحدة ویکون الغسل ابتداء کلام ، أمّا لو جعل الغسل معطوفاً علی الوضوء ویراد بالضرب الواحد النوع کما هو الظاهر من الروایة ، ولا أقل من احتماله فلا یتم الاستدلال بها ، بل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1" w:name="__RefHeading___Toc146716_2142443653"/>
      <w:bookmarkStart w:id="362" w:name="_Toc136"/>
      <w:bookmarkEnd w:id="361"/>
      <w:r>
        <w:rPr>
          <w:rtl w:val="true"/>
        </w:rPr>
        <w:t>المناقشة فی توجیه الشیخ للروایات الدالّة علی تعدّد الضرب</w:t>
      </w:r>
      <w:bookmarkStart w:id="363" w:name="pg15025_160272"/>
      <w:bookmarkEnd w:id="362"/>
    </w:p>
    <w:p>
      <w:pPr>
        <w:pStyle w:val="BookText"/>
        <w:rPr/>
      </w:pPr>
      <w:bookmarkEnd w:id="363"/>
      <w:r>
        <w:rPr>
          <w:rFonts w:ascii="IRNazanin" w:hAnsi="IRNazanin" w:eastAsia="IRNazanin"/>
          <w:color w:val="111111"/>
          <w:sz w:val="28"/>
          <w:sz w:val="28"/>
          <w:szCs w:val="28"/>
          <w:rtl w:val="true"/>
          <w:lang w:bidi="fa-IR"/>
        </w:rPr>
        <w:t xml:space="preserve">تکون دالّة علی المرّتین فیهما کما ذکره جماعة من محقّقی المتأخرین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من روایة ابن مسلم بعد تصریحه بحملها علی التقیة فی بعض مدلولاتها لا یخلو من غرابة ؛ لأنّ الروایة إذا تضمنت التقیة فی بعضها خرجت عن الصلاحیة لإثبات المطلوب ، 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یلزم من خروج البعض خروج الجمیع ، فجوابه أنّ خروج البعض علی تقدیر تسلیم أنّه لا یستلزم خروج الجمیع إما لمخالفة حکمه الإجماع ، أو أخبار أُخر ، فإن کان الأوّل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إذا أحوج إلی الحمل علی التقیة والمدعی مرکب فی المعنی ، وحینئذ تنتفی الدلالة بفوات الجزء ، والاستدلال بالبعض الآخر علی إثبات بعض المطلوب لا یفید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شیخنا قدس سره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روایة محمد بن مسلم لا دلالة فیها علی هذا التفصیل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نظر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الأجود فی الجمیع هو حمل ما تضمن المرّتین علی الاستحباب ؛ لأنّ المرّة الواحدة قد وردت فی تیمم الجنابة فی عدّة روایات ، ولأنّ الاقتصار فی الجواب علی ذکر أحد الفردین عند السؤال عن التیمم المتناول لهما فیه تأخیر البیان عن وقت الحاجة وأنّه غیر جائز ، لکن أخبار المرّة لا تخلو من قصور فی السند والدلالة ، وکان اعتبار المرّتین فیهما معا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یخلو من نظر فی فکری الفاتر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من أنّ المرّة الواحدة قد وردت فی تیمم الجنابة فی عدة روایات إنّ أراد به الروایات المتضمنة لقضیة عمار ، فهو حق لکن الروایات بعضها تضمن السؤال عن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4" w:name="__RefHeading___Toc146718_2142443653"/>
      <w:bookmarkStart w:id="365" w:name="_Toc137"/>
      <w:bookmarkEnd w:id="364"/>
      <w:r>
        <w:rPr>
          <w:rtl w:val="true"/>
        </w:rPr>
        <w:t>توجیه صاحب المدارک والمناقشة فیه</w:t>
      </w:r>
      <w:bookmarkEnd w:id="365"/>
    </w:p>
    <w:p>
      <w:pPr>
        <w:pStyle w:val="BookText"/>
        <w:rPr/>
      </w:pPr>
      <w:r>
        <w:rPr>
          <w:rFonts w:ascii="IRNazanin" w:hAnsi="IRNazanin" w:eastAsia="IRNazanin"/>
          <w:color w:val="111111"/>
          <w:sz w:val="28"/>
          <w:sz w:val="28"/>
          <w:szCs w:val="28"/>
          <w:rtl w:val="true"/>
          <w:lang w:bidi="fa-IR"/>
        </w:rPr>
        <w:t xml:space="preserve">التیمم بعد ذکر قصة عمار کما فی روایة داود ، وبعضها وهو روایة زرارة تضمّن أنّه سمع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التیمم وما صنع عمار فوضع أبو جعفر کفّیه فی الأرض ثم مسح وجهه وکفّیه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مضمون روایة داود السؤال عن التیمم وهو محتمِل لتیمم الجنابة فقط ولمطلق التیمم ، ومضمون روایة زرارة موقوف فی تشخیص المراد فیه علی العلم بأنّه علیه السلام أراد بیان التیمم عن الجنابة ، والحال أنّ اللفظ محتمل لأنّ یکون ذکر قضیة عمار فی معرض بیان مطلق التیمم ، ولیس هذا کما قاله الشیخ فیما یأتی والعلاّمة فی المختلف کما سبق نقله عنه لیتوجه علینا أنّ فیه اعترافاً بما أنکرناه علیه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وحینئذ فقول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المرّة وردت فی تیمم الجنابة فی عدة روایات ، ظاهره الاختصاص بالجنابة ، ومشرب الاختصاص لا یخلو عن شوب ، نعم لا یبعد دعوی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الاقتصار فی الجواب علی ذکر أحد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أنّ حمل أخبار التعدد علی الغسل یقتضی أنّ الجواب الواقع فی السؤال عن التیمم مطلقا جواب عن أحد الفردین مع السؤال عنهما من دون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آت فی کل مطلق ومقید کما سبق فیه القول مراراً ، ولعل الجواب بالفرق بین جواب السؤال وغیره ممکن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أخبار المرّة لا تخلو من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به أخبار المرّة فی التیمم عن الوضوء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التیمم عن </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لم یقع له ذکر فی هذه الأخبار ، وإنّ أراد به التیمم </w:t>
      </w:r>
      <w:r>
        <w:rPr>
          <w:rStyle w:val="FootnoteAnchor"/>
          <w:rtl w:val="true"/>
        </w:rPr>
        <w:footnoteReference w:id="469"/>
      </w:r>
      <w:r>
        <w:rPr>
          <w:rFonts w:ascii="IRNazanin" w:hAnsi="IRNazanin" w:eastAsia="IRNazanin"/>
          <w:color w:val="111111"/>
          <w:sz w:val="28"/>
          <w:sz w:val="28"/>
          <w:szCs w:val="28"/>
          <w:rtl w:val="true"/>
          <w:lang w:bidi="fa-IR"/>
        </w:rPr>
        <w:t xml:space="preserve">عن الغسل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داود بن النعمان صحیح عنده ، وإنّ أراد أخبار المرّة علی الإطلاق فهو حق ، لکن أخبار التعدد إثبات الحکم بها علی سبیل الوجوب مشکل ، لدلالة خبر داود علی عدم وجوب المرّتین فی الغسل ، واللازم حینئذ وجوب المرّتین فی الوضوء والاستحباب فی الغسل ، ولا یخفی علیک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سلک شیخنا المحقّق میرزا محمد أیّده الله فی فوائده علی الکتاب مسلک شیخنا قدس سره وزاد أنّ المرّة تطابق ظاهر القرآن ، وأیّد ذلک بروایات رواها الشیخ فی 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بن فضال ، عن أحمد بن الحسن ، عن عمرو بن سعید ، عن مصدق بن صدقة ، عن عمار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التیمم من الوضوء ومن الجنابة ومن الحیض للنساء سواء؟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 عن أبی القاسم جعفر بن محمد ، عن أبیه ، عن سعد بن عبد الله ، عن أحمد بن الحسن بن علی بن فضال ، عن عمرو ابن سعید ، عن مصدق بن صدقة ، عن عمار بن موسی الساباطی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التیمم من الوضوء والجنابة ومن الحیض سواء؟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366" w:name="pg15025_160275"/>
    </w:p>
    <w:p>
      <w:pPr>
        <w:pStyle w:val="BookText"/>
        <w:rPr/>
      </w:pPr>
      <w:bookmarkEnd w:id="366"/>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عن أبی القاسم ، عن محمد بن محبوب ، عن محمد بن یحیی ، عن أحمد بن محمد ، عن عثمان بن عیسی ، عن ابن مسکان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تیمم الحائض والجنب سواء إذا لم یجدا 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المطابقة لظاهر القرآن إنّ أُرید بها أنّ ظاهره الاکتفاء بالمرة فقط ، فلا یخفی ما فیه ، وإنّ أُرید أنّ ظاهره تحقق التیمم بالمرّة والمرّتین نظراً إلی الإطلاق فهو حق ، لکن اللازم أنّ المتیمم لو أتی بالضربتین فی بدل الوضوء بقصد کونها أحد أفراد المطلق تکون واجبة ، وکذلک فی الغسل ، والظاهر من کلام شیخنا أیّده الله خلاف ذلک ، ولعلّ المانع من ذلک منتف ، وهذا کثیراً ما یخطر فی البال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الآیة الإتیان بکل ما یتحقق به مطابقة الآیة ، إلاّ ما خرج بالدلیل من الإجماع ونحوه ، کنفی الزائد عن المرّتین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یتجه أنّ 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وإنّ کانت مختلفة إلاّ أنّ کلاًّ منها مطابق لإطلاق القرآن ، فیجوز أنّ یکون الإخبار من الإمام علیه السلام بالتعدد لذلک ، وحینئذ یکون المراد بالاستحباب علی هذا التقدیر أحد فردی الواجب إنّ قصد أنّ مجموع الضربتین هو الواجب ، ولو قصد أنّ الواجب هو الضرب الواحد کان الثانی مستحباً بالمعنی الأُصولی ، لکن إثباته لا یخلو من إشکال ؛ لما عرفت ، وإنّ أمکن تسدید ما قیل فی وجوه ترجیحه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الأولی أنّ یقال فی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القرآن لا یخرج عنه إلی التقیید إلاّ بما تحقق کالأخبار الخالیة عن المعارض ، وفی المقام قد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7" w:name="__RefHeading___Toc146720_2142443653"/>
      <w:bookmarkStart w:id="368" w:name="_Toc138"/>
      <w:bookmarkEnd w:id="367"/>
      <w:r>
        <w:rPr>
          <w:rtl w:val="true"/>
        </w:rPr>
        <w:t>کلام الاسترابادی فی المسألة والناقشة فیه</w:t>
      </w:r>
      <w:bookmarkStart w:id="369" w:name="pg15025_160276"/>
      <w:bookmarkEnd w:id="368"/>
    </w:p>
    <w:p>
      <w:pPr>
        <w:pStyle w:val="BookText"/>
        <w:rPr/>
      </w:pPr>
      <w:bookmarkEnd w:id="369"/>
      <w:r>
        <w:rPr>
          <w:rFonts w:ascii="IRNazanin" w:hAnsi="IRNazanin" w:eastAsia="IRNazanin"/>
          <w:color w:val="111111"/>
          <w:sz w:val="28"/>
          <w:sz w:val="28"/>
          <w:szCs w:val="28"/>
          <w:rtl w:val="true"/>
          <w:lang w:bidi="fa-IR"/>
        </w:rPr>
        <w:t>تعارضت الأخبار ، فالإطلاق باق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الأخبار وإنّ تعارضت إلاّ أنّ تقید الآیة حاصل ، غایة الأمر أنّ التقیید بماذا هو؟ فهذا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فیدفعه أنّ الإجمال فی المقیّد لا یخرج عن وصفه ما یخلص عن شوب الاحتمال والاحتمال قائم بالاستحباب ، والفرق بین الوضوء والغسل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الأخبار التی ذکرها شیخنا أیّده الله ففیها نوع احتمال بإرادة المساواة فی تسویغ التیمم ، علی معنی أنّ التیمم یسوغ لکل ما ذکر علی السواء وإنّ کان الظاهر خلاف ذلک ، ومقام التأیید واسع الباب ، وعلیک بإنعام النظر فی هذا المقام ، فإنّی لا أعلم أحداً حام حوله سوی ما نقلته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قد وجدت بعد ما خطر بالبال کلاماً مجملاً لمولانا المحقِّق أحمد الأردبیلی قدس سره وفیه إشارة إلی احتمال الوجوب التخییری </w:t>
      </w:r>
      <w:r>
        <w:rPr>
          <w:rStyle w:val="FootnoteAnchor"/>
          <w:rtl w:val="true"/>
        </w:rPr>
        <w:footnoteReference w:id="474"/>
      </w:r>
      <w:r>
        <w:rPr>
          <w:rFonts w:ascii="IRNazanin" w:hAnsi="IRNazanin" w:eastAsia="IRNazanin"/>
          <w:color w:val="111111"/>
          <w:sz w:val="28"/>
          <w:sz w:val="28"/>
          <w:szCs w:val="28"/>
          <w:rtl w:val="true"/>
          <w:lang w:bidi="fa-IR"/>
        </w:rPr>
        <w:t>، فالحمد لله علی موافقة مثل هذا الماهر لما اختلج فی الخاطر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جمیع ما ذکرناه فاعلم أنّه تبقی فی خبر ابن مسلم نکتة ذکرها بعض محققی المتأخّرین ، وهی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التیمم علی ما کان فیه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الغسل بفتح الغین المعجمة أی غسل الوضوء </w:t>
      </w:r>
      <w:r>
        <w:rPr>
          <w:rStyle w:val="FootnoteAnchor"/>
          <w:rtl w:val="true"/>
        </w:rPr>
        <w:footnoteReference w:id="475"/>
      </w:r>
      <w:r>
        <w:rPr>
          <w:rFonts w:ascii="IRNazanin" w:hAnsi="IRNazanin" w:eastAsia="IRNazanin"/>
          <w:color w:val="111111"/>
          <w:sz w:val="28"/>
          <w:sz w:val="28"/>
          <w:szCs w:val="28"/>
          <w:rtl w:val="true"/>
          <w:lang w:bidi="fa-IR"/>
        </w:rPr>
        <w:t xml:space="preserve">، والمراد أن التیمم المأمور به علی ما فیه الغسل فی الوضوء ، فیکون الواو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الوضوء زائدة کما نبّه علی 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وألقی ما کان علیه مسح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من أوضح الشواهد علی وقوع التصحیف ومثله فی الأخبار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الشیخ فی خبر داود ففیه ما قدمناه عند نقل کلام العلاّمة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0" w:name="__RefHeading___Toc146722_2142443653"/>
      <w:bookmarkStart w:id="371" w:name="_Toc139"/>
      <w:bookmarkEnd w:id="370"/>
      <w:r>
        <w:rPr>
          <w:rtl w:val="true"/>
        </w:rPr>
        <w:t>نکتة فی حدیث محمّد بن مسلم</w:t>
      </w:r>
      <w:bookmarkEnd w:id="371"/>
    </w:p>
    <w:p>
      <w:pPr>
        <w:pStyle w:val="BookText"/>
        <w:rPr/>
      </w:pPr>
      <w:r>
        <w:rPr>
          <w:rFonts w:ascii="IRNazanin" w:hAnsi="IRNazanin" w:eastAsia="IRNazanin"/>
          <w:color w:val="111111"/>
          <w:sz w:val="28"/>
          <w:sz w:val="28"/>
          <w:szCs w:val="28"/>
          <w:rtl w:val="true"/>
          <w:lang w:bidi="fa-IR"/>
        </w:rPr>
        <w:t xml:space="preserve">فی المختلف </w:t>
      </w:r>
      <w:r>
        <w:rPr>
          <w:rStyle w:val="FootnoteAnchor"/>
          <w:rtl w:val="true"/>
        </w:rPr>
        <w:footnoteReference w:id="476"/>
      </w:r>
      <w:r>
        <w:rPr>
          <w:rFonts w:ascii="IRNazanin" w:hAnsi="IRNazanin" w:eastAsia="IRNazanin"/>
          <w:color w:val="111111"/>
          <w:sz w:val="28"/>
          <w:sz w:val="28"/>
          <w:szCs w:val="28"/>
          <w:rtl w:val="true"/>
          <w:lang w:bidi="fa-IR"/>
        </w:rPr>
        <w:t>، فإنّه تبع الشیخ وزاد علیه ، والکلام فی الأوّل یغنی عن الإعادة فی الآخر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انقطع الکلام فی الجزء الأوّل من استقصاء الاعتبار لشرح الاستبصار ، ویتلوه إن شاء الله فی الجزء الثانی أبواب تطهیر الثیاب ، والله المسئول أنّ یوفق لإکماله بجاه محمد وآله ، وقد اتفق بتوفیق الله تألیف ما تیسّر ابتداء وانتهاء فی مشهد سید الشهداء وخامس أصحاب العباء علیه وعلی جدّه وأبیه وأُمه وأخیه والتسعة من ذراریه أفضل الصلوات وکان الفراغ منه یوم الخمیس السابع عشر من شهر جمادی الاولی من شهور السنة الخامسة والعشرین بعد الألف الهجریة علی مشرفها أکمل التحیة ، والحمد لله ربّ العالمین ، وصلّی الله علی محمد وآله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ورحمة الله وبرکاته</w:t>
      </w:r>
      <w:r>
        <w:rPr>
          <w:rFonts w:eastAsia="IRNazanin" w:cs="IRNazanin"/>
          <w:color w:val="111111"/>
          <w:sz w:val="28"/>
          <w:szCs w:val="28"/>
          <w:rtl w:val="true"/>
          <w:lang w:bidi="fa-IR"/>
        </w:rPr>
        <w:t xml:space="preserve">. </w:t>
      </w:r>
      <w:bookmarkStart w:id="372" w:name="pg15025_160278"/>
    </w:p>
    <w:p>
      <w:pPr>
        <w:pStyle w:val="BookText"/>
        <w:rPr/>
      </w:pPr>
      <w:bookmarkEnd w:id="372"/>
      <w:r>
        <w:rPr>
          <w:rFonts w:ascii="IRNazanin" w:hAnsi="IRNazanin" w:eastAsia="IRNazanin"/>
          <w:color w:val="111111"/>
          <w:sz w:val="28"/>
          <w:sz w:val="28"/>
          <w:szCs w:val="28"/>
          <w:rtl w:val="true"/>
          <w:lang w:bidi="fa-IR"/>
        </w:rPr>
        <w:t xml:space="preserve">بسم الله الرحمن الرحیم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الحمد لله علی آلائه ، والصلاة علی أشرف أنبیائه وأکرم أحبّائه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أبواب تطهیر الثیاب والبدن من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بول الصبی</w:t>
      </w:r>
    </w:p>
    <w:p>
      <w:pPr>
        <w:pStyle w:val="BookText"/>
        <w:rPr/>
      </w:pPr>
      <w:r>
        <w:rPr>
          <w:rFonts w:ascii="IRNazanin" w:hAnsi="IRNazanin" w:eastAsia="IRNazanin"/>
          <w:color w:val="111111"/>
          <w:sz w:val="28"/>
          <w:sz w:val="28"/>
          <w:szCs w:val="28"/>
          <w:rtl w:val="true"/>
          <w:lang w:bidi="fa-IR"/>
        </w:rPr>
        <w:t xml:space="preserve">أخبرنی الحسن بن عبید الله ، عن أحمد بن محمد عن أبیه ، عن محمد بن أحمد بن یحیی ، عن إبراهیم بن هاشم ، عن النوفلی ، عن السکونی ، عن جعفر ، عن أبیه أنّ علیّاً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لبن الجاریة وبولها یغسل منه الثوب قبل أنّ تطعم ، لأنّ لبنها یخرج من مثانة أُمّها ، ولبن</w:t>
      </w:r>
    </w:p>
    <w:p>
      <w:pPr>
        <w:pStyle w:val="Heading2"/>
        <w:numPr>
          <w:ilvl w:val="1"/>
          <w:numId w:val="1"/>
        </w:numPr>
        <w:rPr/>
      </w:pPr>
      <w:bookmarkStart w:id="373" w:name="__RefHeading___Toc146724_2142443653"/>
      <w:bookmarkStart w:id="374" w:name="_Toc140"/>
      <w:bookmarkEnd w:id="373"/>
      <w:r>
        <w:rPr>
          <w:rtl w:val="true"/>
        </w:rPr>
        <w:t>أبواب تطهیر الثیاب والبدن من النجاسات</w:t>
      </w:r>
      <w:bookmarkEnd w:id="374"/>
    </w:p>
    <w:p>
      <w:pPr>
        <w:pStyle w:val="Heading3"/>
        <w:numPr>
          <w:ilvl w:val="2"/>
          <w:numId w:val="1"/>
        </w:numPr>
        <w:rPr/>
      </w:pPr>
      <w:bookmarkStart w:id="375" w:name="__RefHeading___Toc146726_2142443653"/>
      <w:bookmarkStart w:id="376" w:name="_Toc141"/>
      <w:bookmarkEnd w:id="375"/>
      <w:r>
        <w:rPr>
          <w:rtl w:val="true"/>
        </w:rPr>
        <w:t>بول الصبی</w:t>
      </w:r>
      <w:bookmarkEnd w:id="37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7" w:name="__RefHeading___Toc146728_2142443653"/>
      <w:bookmarkStart w:id="378" w:name="_Toc142"/>
      <w:bookmarkEnd w:id="377"/>
      <w:r>
        <w:rPr>
          <w:rtl w:val="true"/>
        </w:rPr>
        <w:t>اشارة</w:t>
      </w:r>
      <w:bookmarkStart w:id="379" w:name="pg15025_160279"/>
      <w:bookmarkEnd w:id="378"/>
    </w:p>
    <w:p>
      <w:pPr>
        <w:pStyle w:val="BookText"/>
        <w:rPr/>
      </w:pPr>
      <w:bookmarkEnd w:id="379"/>
      <w:r>
        <w:rPr>
          <w:rFonts w:ascii="IRNazanin" w:hAnsi="IRNazanin" w:eastAsia="IRNazanin"/>
          <w:color w:val="111111"/>
          <w:sz w:val="28"/>
          <w:sz w:val="28"/>
          <w:szCs w:val="28"/>
          <w:rtl w:val="true"/>
          <w:lang w:bidi="fa-IR"/>
        </w:rPr>
        <w:t xml:space="preserve">الغلام لا یغسل منه الثوب ولا بوله قبل أنّ یطعم ، لأنّ لبن الغلام یخرج من العضدین والمنکبین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قدّمنا فیه القول بما یغنی عن الإعادة ، غیر أنّ النوفلی المذکور فیه ، هو الحسین بن یزید ، وقد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شاعراً أدیباً وسکن الری ومات بها ، وقال قوم من القمیین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غلا فی آخر عمره ، والله أعلم ، وما رأینا له روایة تدل علی هذا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فی الخلاصة بعد نقل ما ذکره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عندی توقف فی روایته بمجرّد ما نقل عن القمیین ، وعدم الظفر بتعدیل الأصحاب له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التوقف لا وجه له بعد ردّ </w:t>
      </w:r>
      <w:r>
        <w:rPr>
          <w:rStyle w:val="FootnoteAnchor"/>
          <w:rtl w:val="true"/>
        </w:rPr>
        <w:footnoteReference w:id="481"/>
      </w:r>
      <w:r>
        <w:rPr>
          <w:rFonts w:ascii="IRNazanin" w:hAnsi="IRNazanin" w:eastAsia="IRNazanin"/>
          <w:color w:val="111111"/>
          <w:sz w:val="28"/>
          <w:sz w:val="28"/>
          <w:szCs w:val="28"/>
          <w:rtl w:val="true"/>
          <w:lang w:bidi="fa-IR"/>
        </w:rPr>
        <w:t>روایة المجهول ، کما قرّر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ذکرنا فیما سبق فیه الکلام </w:t>
      </w:r>
      <w:r>
        <w:rPr>
          <w:rStyle w:val="FootnoteAnchor"/>
          <w:rtl w:val="true"/>
        </w:rPr>
        <w:footnoteReference w:id="482"/>
      </w:r>
      <w:r>
        <w:rPr>
          <w:rFonts w:ascii="IRNazanin" w:hAnsi="IRNazanin" w:eastAsia="IRNazanin"/>
          <w:color w:val="111111"/>
          <w:sz w:val="28"/>
          <w:sz w:val="28"/>
          <w:szCs w:val="28"/>
          <w:rtl w:val="true"/>
          <w:lang w:bidi="fa-IR"/>
        </w:rPr>
        <w:t xml:space="preserve">، ونرید هنا تفصیل ما ذکره المحقق فی المسائل العزّیة </w:t>
      </w:r>
      <w:r>
        <w:rPr>
          <w:rStyle w:val="FootnoteAnchor"/>
          <w:rtl w:val="true"/>
        </w:rPr>
        <w:footnoteReference w:id="483"/>
      </w:r>
      <w:r>
        <w:rPr>
          <w:rFonts w:ascii="IRNazanin" w:hAnsi="IRNazanin" w:eastAsia="IRNazanin"/>
          <w:color w:val="111111"/>
          <w:sz w:val="28"/>
          <w:sz w:val="28"/>
          <w:szCs w:val="28"/>
          <w:rtl w:val="true"/>
          <w:lang w:bidi="fa-IR"/>
        </w:rPr>
        <w:t>، وإنّ قدّمنا القول فی ذلک إلاّ أنّ بُعد العهد ربما یقتضی إعادة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ذکر فی المسائل حدیثاً عن السکونی فی أنّ الماء یطهِّر ولا یطهَّر ، وذکر أنّهم قدحوا فی السکونی بأنه عامی ، وأجاب</w:t>
      </w:r>
    </w:p>
    <w:p>
      <w:pPr>
        <w:pStyle w:val="Heading4"/>
        <w:numPr>
          <w:ilvl w:val="3"/>
          <w:numId w:val="1"/>
        </w:numPr>
        <w:rPr/>
      </w:pPr>
      <w:bookmarkStart w:id="380" w:name="__RefHeading___Toc146730_2142443653"/>
      <w:bookmarkStart w:id="381" w:name="_Toc143"/>
      <w:bookmarkEnd w:id="380"/>
      <w:r>
        <w:rPr>
          <w:rtl w:val="true"/>
        </w:rPr>
        <w:t>بحث حول النوفلی</w:t>
      </w:r>
      <w:bookmarkEnd w:id="38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2" w:name="__RefHeading___Toc146732_2142443653"/>
      <w:bookmarkStart w:id="383" w:name="_Toc144"/>
      <w:bookmarkEnd w:id="382"/>
      <w:r>
        <w:rPr>
          <w:rtl w:val="true"/>
        </w:rPr>
        <w:t>بحث حول السکونی</w:t>
      </w:r>
      <w:bookmarkStart w:id="384" w:name="pg15025_160280"/>
      <w:bookmarkEnd w:id="383"/>
    </w:p>
    <w:p>
      <w:pPr>
        <w:pStyle w:val="BookText"/>
        <w:rPr/>
      </w:pPr>
      <w:bookmarkEnd w:id="384"/>
      <w:r>
        <w:rPr>
          <w:rFonts w:ascii="IRNazanin" w:hAnsi="IRNazanin" w:eastAsia="IRNazanin"/>
          <w:color w:val="111111"/>
          <w:sz w:val="28"/>
          <w:sz w:val="28"/>
          <w:szCs w:val="28"/>
          <w:rtl w:val="true"/>
          <w:lang w:bidi="fa-IR"/>
        </w:rPr>
        <w:t xml:space="preserve">بأنَّه وإنّ کان عامیا فهو من ثقات الرواة ، ونقل عن الشیخ رحمه الله فی مواضع من کتبه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الإمامیة مجمعة علی العمل بما یرویه السکونی وعمّار ومن ماثلهما من الثقات ، ولم یقدح بالمذهب فی الروایة مع اشتهار الصدق ، وکتب جماعتنا مملوءة من الفتاوی المستندة إلی نقله ، فلتکن هذه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الظاهر من الکلام توثیق السکونی ، ولم نجد ذلک فی کلام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نقله عن الشیخ فیه احتمال ینافی التوثیق ، وهو أنّ یراد بمن ماثله فی مخالفة المذهب الحق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الثقات ، یعود للماثل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یذهب علیک بُعد هذا الاحتمال ، إلاّ أنّ عدم توثیقه فی کتب الرجال یؤیّده ، وکلام المحقِّق بعد لا یخلو من نظر أیضا ، فإنّ الإجماع علی العمل بما یرویه الرجل لا یقتضی توثیقه کما هو واضح ، ولتفصیل القول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العلاّمة فی المختلف عن ابن الجنید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البالغ وغیر البالغ نجس إلاّ أنّ یکون غیر البالغ صبیاً ذکراً ، فإنّ بوله ولبنه ما لم یأکل اللحم لیس بنجس ، وأنّه احتج بهذه الروایة ، وحکی عنه أیضاً ، أنّ الظاهر من کلامه غَسل الثوب من لبن الجاریة وجوباً ، وذکر الروایة ، وحملها العلاّمة علی الاستحباب فی اللبن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5" w:name="__RefHeading___Toc146734_2142443653"/>
      <w:bookmarkStart w:id="386" w:name="_Toc145"/>
      <w:bookmarkEnd w:id="385"/>
      <w:r>
        <w:rPr>
          <w:rtl w:val="true"/>
        </w:rPr>
        <w:t>قول ابن الجنید بطهارة بول الصبی وجواب العلّامة عنه</w:t>
      </w:r>
      <w:bookmarkStart w:id="387" w:name="pg15025_160281"/>
      <w:bookmarkEnd w:id="386"/>
    </w:p>
    <w:p>
      <w:pPr>
        <w:pStyle w:val="BookText"/>
        <w:rPr/>
      </w:pPr>
      <w:bookmarkEnd w:id="387"/>
      <w:r>
        <w:rPr>
          <w:rFonts w:ascii="IRNazanin" w:hAnsi="IRNazanin" w:eastAsia="IRNazanin"/>
          <w:color w:val="111111"/>
          <w:sz w:val="28"/>
          <w:sz w:val="28"/>
          <w:szCs w:val="28"/>
          <w:rtl w:val="true"/>
          <w:lang w:bidi="fa-IR"/>
        </w:rPr>
        <w:t xml:space="preserve">وأجاب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ما ذکره الشیخ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العلاّمة فی النقل عن ابن الجنید أنّه احتج أیضاً لما ذهب إلیه فی بول غیر البالغ ، بأنّه لو کان نجساً لوجب غَسله کبول البالغ ، ولم یکتف بالصّب کغیره من الأبوال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العلاّمة بالمنع من المشارکة فی کیفیّة الإزالة ؛ فإنّ النجاسات تتفاوت وتقبل الشدة والضعف ، فجاز أنّ یکون بول الرضیع ضعیف النجاسة فاکتفی فیه بالصّب ، دون بول البالغ </w:t>
      </w:r>
      <w:r>
        <w:rPr>
          <w:rStyle w:val="FootnoteAnchor"/>
          <w:rtl w:val="true"/>
        </w:rPr>
        <w:footnoteReference w:id="4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جمیع ما ذکره العلاّمة لا یخلو من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الاحتجاج بالروایة علی ما نقله عن ابن الجنید لا وجه له ، إذ لا دلالة لها علی مدّعاه ، لأنّ موردها بول الصبی قبل ان یطعم ، وأین هذا من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الأولی ردّ الروایة من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فی جواب الاحتجاج ثانیاً لا وجه له ، لأنّ الصبّ إن کان لمطلق الصبی الشامل لمدعی ابن الجنید فالجواب من العلاّمة بأنّ بول الرضیع ضعیف النجاسة غیر تام ، إذ هو أخص من المدعی ، وبالجملة فالمقام غیر محرّر کغیره من مباحثه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أجاب به عن حجة ابن الجنید فی اللبن من الحمل علی الاستحباب فیه تقویة لقوله بأنّ البول طاهر ؛ فإنّ الغَسل فی الخبر إذا کان مستحباً فی بعض مدلولاته وواجباً فی بعض مع ظاهر الاتحاد بعید عن موافقة الحکمة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الروایة ردّها العلاّمة وغیره ممّن تأخّر عنه </w:t>
      </w:r>
      <w:r>
        <w:rPr>
          <w:rStyle w:val="FootnoteAnchor"/>
          <w:rtl w:val="true"/>
        </w:rPr>
        <w:footnoteReference w:id="486"/>
      </w:r>
      <w:r>
        <w:rPr>
          <w:rFonts w:ascii="IRNazanin" w:hAnsi="IRNazanin" w:eastAsia="IRNazanin"/>
          <w:color w:val="111111"/>
          <w:sz w:val="28"/>
          <w:sz w:val="28"/>
          <w:szCs w:val="28"/>
          <w:rtl w:val="true"/>
          <w:lang w:bidi="fa-IR"/>
        </w:rPr>
        <w:t>بضعف الاسناد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8" w:name="__RefHeading___Toc146736_2142443653"/>
      <w:bookmarkStart w:id="389" w:name="_Toc146"/>
      <w:bookmarkEnd w:id="388"/>
      <w:r>
        <w:rPr>
          <w:rtl w:val="true"/>
        </w:rPr>
        <w:t>المناقشة فی جواب العلّامة</w:t>
      </w:r>
      <w:bookmarkStart w:id="390" w:name="pg15025_160282"/>
      <w:bookmarkEnd w:id="389"/>
    </w:p>
    <w:p>
      <w:pPr>
        <w:pStyle w:val="BookText"/>
        <w:rPr/>
      </w:pPr>
      <w:bookmarkEnd w:id="390"/>
      <w:r>
        <w:rPr>
          <w:rFonts w:ascii="IRNazanin" w:hAnsi="IRNazanin" w:eastAsia="IRNazanin"/>
          <w:color w:val="111111"/>
          <w:sz w:val="28"/>
          <w:sz w:val="28"/>
          <w:szCs w:val="28"/>
          <w:rtl w:val="true"/>
          <w:lang w:bidi="fa-IR"/>
        </w:rPr>
        <w:t xml:space="preserve">وقد عرفت وجهه ، إلاّ أنّ الصدوق فی الفقیه نقل الروایة </w:t>
      </w:r>
      <w:r>
        <w:rPr>
          <w:rStyle w:val="FootnoteAnchor"/>
          <w:rtl w:val="true"/>
        </w:rPr>
        <w:footnoteReference w:id="487"/>
      </w:r>
      <w:r>
        <w:rPr>
          <w:rFonts w:ascii="IRNazanin" w:hAnsi="IRNazanin" w:eastAsia="IRNazanin"/>
          <w:color w:val="111111"/>
          <w:sz w:val="28"/>
          <w:sz w:val="28"/>
          <w:szCs w:val="28"/>
          <w:rtl w:val="true"/>
          <w:lang w:bidi="fa-IR"/>
        </w:rPr>
        <w:t xml:space="preserve">ولها مزیة بنقله </w:t>
      </w:r>
      <w:r>
        <w:rPr>
          <w:rStyle w:val="FootnoteAnchor"/>
          <w:rtl w:val="true"/>
        </w:rPr>
        <w:footnoteReference w:id="488"/>
      </w:r>
      <w:r>
        <w:rPr>
          <w:rFonts w:ascii="IRNazanin" w:hAnsi="IRNazanin" w:eastAsia="IRNazanin"/>
          <w:color w:val="111111"/>
          <w:sz w:val="28"/>
          <w:sz w:val="28"/>
          <w:szCs w:val="28"/>
          <w:rtl w:val="true"/>
          <w:lang w:bidi="fa-IR"/>
        </w:rPr>
        <w:t>ظاهرة کما أسلفنا القول فیه ، من أنّه لا یبعد أنّ یکون أقوی من 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 والشیخ ، إذ مرجع توثیقهما إلی الاجتهاد ، وشهادة الصدوق بصحة ما فی کتابه لا ریب فی کونها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عساه یتوجه من أنّ قبول قول الصدوق تقلید ، ولا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 یعلم من اعتبار توثیق أصحاب الرجال الذین لم یعاصروا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فللکلام مجال واسع فی أمثال هذه الروایة ، ممّا نقله الصدوق ، ویحکی عن أبیه أنّه رواها أیضاً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مَثَنَهُ یَمْثِنُهُ ویَمْثُنُه أصاب مثانته وهی موضع الولد ، أو موضع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والعضد ما بین المرفق إلی الکتف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والمنکب مجتمع رأس الکتف والعضد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ما رواه محمد بن یعقوب ، عن علی ، عن أبیه ، عن ابن أبی عمیر ، عن حمّاد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عن بول الصبی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تصبّ علیه الماء ، فإنّ کان قد أکل فاغسله غَسلاً ،</w:t>
      </w:r>
    </w:p>
    <w:p>
      <w:pPr>
        <w:pStyle w:val="Heading4"/>
        <w:numPr>
          <w:ilvl w:val="3"/>
          <w:numId w:val="1"/>
        </w:numPr>
        <w:rPr/>
      </w:pPr>
      <w:bookmarkStart w:id="391" w:name="__RefHeading___Toc146738_2142443653"/>
      <w:bookmarkStart w:id="392" w:name="_Toc147"/>
      <w:bookmarkEnd w:id="391"/>
      <w:r>
        <w:rPr>
          <w:rtl w:val="true"/>
        </w:rPr>
        <w:t>شهادة الصدوق بصحة ما فی کتابه أقوی من توثیق النجاشی والشیخ</w:t>
      </w:r>
      <w:bookmarkEnd w:id="39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3" w:name="__RefHeading___Toc146740_2142443653"/>
      <w:bookmarkStart w:id="394" w:name="_Toc148"/>
      <w:bookmarkEnd w:id="393"/>
      <w:r>
        <w:rPr>
          <w:rtl w:val="true"/>
        </w:rPr>
        <w:t>معنی المثانة والعضد والمنکب</w:t>
      </w:r>
      <w:bookmarkStart w:id="395" w:name="pg15025_160283"/>
      <w:bookmarkEnd w:id="394"/>
    </w:p>
    <w:p>
      <w:pPr>
        <w:pStyle w:val="BookText"/>
        <w:rPr/>
      </w:pPr>
      <w:bookmarkEnd w:id="395"/>
      <w:r>
        <w:rPr>
          <w:rFonts w:ascii="IRNazanin" w:hAnsi="IRNazanin" w:eastAsia="IRNazanin"/>
          <w:color w:val="111111"/>
          <w:sz w:val="28"/>
          <w:sz w:val="28"/>
          <w:szCs w:val="28"/>
          <w:rtl w:val="true"/>
          <w:lang w:bidi="fa-IR"/>
        </w:rPr>
        <w:t xml:space="preserve">والغلام والجاریة شرع 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ینافی الخبر الأوّل ؛ لأنّ الخبر الأوّل إنّما نفی غسل الثوب منه کما یغسل من بول الرجل أو بوله بعد أنّ یأکل الطعام ، ولم ینف أنّ بصبّ الماء علیه ، ولیس کذلک حکم بول الجاریة ، لأنّ بولها لا بد من غسله ، ویکون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الغلام والجاریة شرع سواء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بعد أکل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بإبراهیم کما قدّمنا القول فیه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 أنّ الصبی قبل أنّ یأکل یکتفی بصبّ الماء علی بوله ، وبعد الأکل یغسل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بعض من قال بالعصر فی ما یقبله کالمحقّق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بأنّ الغَسل إنّما یتحقق فی الثوب ونحوه بالعصر ، وبدونه یکون صبّاً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فی المنتهی استدل علی اعتبار العصر بروایة أبی العباس المعدودة من الصحیح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أصاب ثوبک من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6" w:name="__RefHeading___Toc146742_2142443653"/>
      <w:bookmarkStart w:id="397" w:name="_Toc149"/>
      <w:bookmarkEnd w:id="396"/>
      <w:r>
        <w:rPr>
          <w:rtl w:val="true"/>
        </w:rPr>
        <w:t>أدلّة اعتبار العصر فی ما یقبله</w:t>
      </w:r>
      <w:bookmarkEnd w:id="397"/>
    </w:p>
    <w:p>
      <w:pPr>
        <w:pStyle w:val="BookText"/>
        <w:rPr/>
      </w:pPr>
      <w:r>
        <w:rPr>
          <w:rFonts w:ascii="IRNazanin" w:hAnsi="IRNazanin" w:eastAsia="IRNazanin"/>
          <w:color w:val="111111"/>
          <w:sz w:val="28"/>
          <w:sz w:val="28"/>
          <w:szCs w:val="28"/>
          <w:rtl w:val="true"/>
          <w:lang w:bidi="fa-IR"/>
        </w:rPr>
        <w:t xml:space="preserve">الکلب رطوبة فاغسله ، وإنّ مسّه جافّاً فاصبب علیه الماء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 استدلاله بهذه الروایة المبحوث عنها أولی ؛ لاحتمال روایة أبی العباس أنّ یراد بالصبّ الرشّ ، لتصریح الأصحاب ومنهم العلاّمة </w:t>
      </w:r>
      <w:r>
        <w:rPr>
          <w:rStyle w:val="FootnoteAnchor"/>
          <w:rtl w:val="true"/>
        </w:rPr>
        <w:footnoteReference w:id="498"/>
      </w:r>
      <w:r>
        <w:rPr>
          <w:rFonts w:ascii="IRNazanin" w:hAnsi="IRNazanin" w:eastAsia="IRNazanin"/>
          <w:color w:val="111111"/>
          <w:sz w:val="28"/>
          <w:sz w:val="28"/>
          <w:szCs w:val="28"/>
          <w:rtl w:val="true"/>
          <w:lang w:bidi="fa-IR"/>
        </w:rPr>
        <w:t>بأنّ الرشّ هو الذی یفعل والحال هذه ، وبتقدیر إرادة الرشّ لا یتم مطلوبه من أنّ الغَسل لا یتحقق إلاّ بالعصر ؛ لأنّ عدم الرشّ یتم بالصبّ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المبحوث عنها وجه الأولویة فیها أنّه علیه السلام جعل حکم ما قبل الأکل صبّاً ، والمفروض نجاسة البول فلا یحتمل إرادة الرشّ ، ومفارقة الحکم بعد الأکل یقتضی أنّ یراد بالغَسل غیر ذلک ، فیمکن إتمام الاستدلال علی تقدیر العمل بالروایة حینئذ ، وإن أمکن أنّ یقال بتحقق المغایرة بین الصبّ والغَسل بکثرة الماء فی الغَسل دون الصبّ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یحمل الصبّ فی الروایة علی الرشّ لئلاّ یخالف مدلول الروایة الأُولی ، فیکون البول طاهراً غایة الأمر أنّ الرشّ تعبّد کما فی حکم الکلب؟</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ثبت الحکم بطهارة البول أمکن التوجیه وکان أقرب من توجیه الشیخ ، إلاّ أنّ للکلام فیه مجالاً </w:t>
      </w:r>
      <w:r>
        <w:rPr>
          <w:rStyle w:val="FootnoteAnchor"/>
          <w:rtl w:val="true"/>
        </w:rPr>
        <w:footnoteReference w:id="499"/>
      </w:r>
      <w:r>
        <w:rPr>
          <w:rFonts w:ascii="IRNazanin" w:hAnsi="IRNazanin" w:eastAsia="IRNazanin"/>
          <w:color w:val="111111"/>
          <w:sz w:val="28"/>
          <w:sz w:val="28"/>
          <w:szCs w:val="28"/>
          <w:rtl w:val="true"/>
          <w:lang w:bidi="fa-IR"/>
        </w:rPr>
        <w:t xml:space="preserve">من حیث إطباق الأصحاب فیما یظهر منهم ما عدا ابن الجنید علی النجاسة </w:t>
      </w:r>
      <w:r>
        <w:rPr>
          <w:rStyle w:val="FootnoteAnchor"/>
          <w:rtl w:val="true"/>
        </w:rPr>
        <w:footnoteReference w:id="500"/>
      </w:r>
      <w:r>
        <w:rPr>
          <w:rFonts w:ascii="Amiri" w:hAnsi="Amiri" w:eastAsia="Amiri" w:cs="Amiri"/>
          <w:color w:val="111111"/>
          <w:sz w:val="28"/>
          <w:sz w:val="28"/>
          <w:szCs w:val="28"/>
          <w:rtl w:val="true"/>
          <w:lang w:bidi="ar-SA"/>
        </w:rPr>
        <w:t xml:space="preserve">وإنّ کان </w:t>
      </w:r>
      <w:r>
        <w:rPr>
          <w:rStyle w:val="FootnoteAnchor"/>
          <w:rtl w:val="true"/>
        </w:rPr>
        <w:footnoteReference w:id="501"/>
      </w:r>
      <w:r>
        <w:rPr>
          <w:rFonts w:ascii="IRNazanin" w:hAnsi="IRNazanin" w:eastAsia="IRNazanin"/>
          <w:color w:val="111111"/>
          <w:sz w:val="28"/>
          <w:sz w:val="28"/>
          <w:szCs w:val="28"/>
          <w:rtl w:val="true"/>
          <w:lang w:bidi="fa-IR"/>
        </w:rPr>
        <w:t xml:space="preserve">ظاهر الصدوق </w:t>
      </w:r>
      <w:bookmarkStart w:id="398" w:name="pg15025_160285"/>
    </w:p>
    <w:p>
      <w:pPr>
        <w:pStyle w:val="BookText"/>
        <w:rPr/>
      </w:pPr>
      <w:bookmarkEnd w:id="398"/>
      <w:r>
        <w:rPr>
          <w:rFonts w:ascii="IRNazanin" w:hAnsi="IRNazanin" w:eastAsia="IRNazanin"/>
          <w:color w:val="111111"/>
          <w:sz w:val="28"/>
          <w:sz w:val="28"/>
          <w:szCs w:val="28"/>
          <w:rtl w:val="true"/>
          <w:lang w:bidi="fa-IR"/>
        </w:rPr>
        <w:t xml:space="preserve">العمل بالروایة ، والحال فیها ما قدمناه </w:t>
      </w:r>
      <w:r>
        <w:rPr>
          <w:rStyle w:val="FootnoteAnchor"/>
          <w:rtl w:val="true"/>
        </w:rPr>
        <w:footnoteReference w:id="502"/>
      </w:r>
      <w:r>
        <w:rPr>
          <w:rFonts w:ascii="IRNazanin" w:hAnsi="IRNazanin" w:eastAsia="IRNazanin"/>
          <w:color w:val="111111"/>
          <w:sz w:val="28"/>
          <w:sz w:val="28"/>
          <w:szCs w:val="28"/>
          <w:rtl w:val="true"/>
          <w:lang w:bidi="fa-IR"/>
        </w:rPr>
        <w:t>، وتناول الأخبار الواردة فی البول لبول الرضیع محل کلام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ادّعاه البعض من دخول العصر فی مفهوم الغَسل </w:t>
      </w:r>
      <w:r>
        <w:rPr>
          <w:rStyle w:val="FootnoteAnchor"/>
          <w:rtl w:val="true"/>
        </w:rPr>
        <w:footnoteReference w:id="503"/>
      </w:r>
      <w:r>
        <w:rPr>
          <w:rFonts w:ascii="IRNazanin" w:hAnsi="IRNazanin" w:eastAsia="IRNazanin"/>
          <w:color w:val="111111"/>
          <w:sz w:val="28"/>
          <w:sz w:val="28"/>
          <w:szCs w:val="28"/>
          <w:rtl w:val="true"/>
          <w:lang w:bidi="fa-IR"/>
        </w:rPr>
        <w:t>، فقد نوقش بأنّ اللازم من ذلک لزوم العصر فی غیر القلیل ، وهو منتف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الجواب عن المناقشة سهل ؛ فإنّ الإجماع إن تحقق فهو المخصِّص ، وإلاّ فالاطراد ممکن ، وقد صرح الصدوق فی الفقیه بالعصر إذا غسل الثوب فی الراکد </w:t>
      </w:r>
      <w:r>
        <w:rPr>
          <w:rStyle w:val="FootnoteAnchor"/>
          <w:rtl w:val="true"/>
        </w:rPr>
        <w:footnoteReference w:id="504"/>
      </w:r>
      <w:r>
        <w:rPr>
          <w:rFonts w:ascii="IRNazanin" w:hAnsi="IRNazanin" w:eastAsia="IRNazanin"/>
          <w:color w:val="111111"/>
          <w:sz w:val="28"/>
          <w:sz w:val="28"/>
          <w:szCs w:val="28"/>
          <w:rtl w:val="true"/>
          <w:lang w:bidi="fa-IR"/>
        </w:rPr>
        <w:t>الشامل للکرّ فما زاد ، والناقص عن الکرّ ، وحینئذ لا استغراب فی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الظاهر من الروایة مساواة الغلام والجاریة فی الغَسل بعد الأکل والصبّ قبله ، والشیخ کما تری حمل المساواة علی ما بعد الأکل لمعارضة خبر السکونی ، واعترضه شیخنا قدس سره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الروایة تساوی بول الغلام والجاریة فی الحکمین معاً ، وتخصیصه بما بعد أکل الطعام تعویلاً علی روایة السکونی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بعد ما قدّمناه من نقل الروایة فی الفقیه </w:t>
      </w:r>
      <w:r>
        <w:rPr>
          <w:rStyle w:val="FootnoteAnchor"/>
          <w:rtl w:val="true"/>
        </w:rPr>
        <w:footnoteReference w:id="505"/>
      </w:r>
      <w:r>
        <w:rPr>
          <w:rFonts w:ascii="IRNazanin" w:hAnsi="IRNazanin" w:eastAsia="IRNazanin"/>
          <w:color w:val="111111"/>
          <w:sz w:val="28"/>
          <w:sz w:val="28"/>
          <w:szCs w:val="28"/>
          <w:rtl w:val="true"/>
          <w:lang w:bidi="fa-IR"/>
        </w:rPr>
        <w:t>إنّها لا تقصر عن غیرها ، وحینئذ لا محید عن تأویل الشیخ ، غایة الأمر إمکان أنّ یقال علی الشیخ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من أنّ الخبر لا ینفی الصبّ ، مسلّم ، إلاّ أنّ ظاهر الخبر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9" w:name="__RefHeading___Toc146744_2142443653"/>
      <w:bookmarkStart w:id="400" w:name="_Toc150"/>
      <w:bookmarkEnd w:id="399"/>
      <w:r>
        <w:rPr>
          <w:rtl w:val="true"/>
        </w:rPr>
        <w:t>توجیه الشیخ لما دل علی تساوی بول الغلام والجاریة والمناقشة فیه</w:t>
      </w:r>
      <w:bookmarkEnd w:id="400"/>
    </w:p>
    <w:p>
      <w:pPr>
        <w:pStyle w:val="BookText"/>
        <w:rPr/>
      </w:pPr>
      <w:r>
        <w:rPr>
          <w:rFonts w:ascii="IRNazanin" w:hAnsi="IRNazanin" w:eastAsia="IRNazanin"/>
          <w:color w:val="111111"/>
          <w:sz w:val="28"/>
          <w:sz w:val="28"/>
          <w:szCs w:val="28"/>
          <w:rtl w:val="true"/>
          <w:lang w:bidi="fa-IR"/>
        </w:rPr>
        <w:t xml:space="preserve">الأوّل الطهارة بقرینة ذکر البول مع اللبن ، والحال أنَّ لبن الغلام لا ریب فی طهارته ، والمشارکة للبن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بولها فی الغَسل غیر منقول عن الشیخ القول به ، بل هو منقول عن ابن الجنید فی المختلف </w:t>
      </w:r>
      <w:r>
        <w:rPr>
          <w:rStyle w:val="FootnoteAnchor"/>
          <w:rtl w:val="true"/>
        </w:rPr>
        <w:footnoteReference w:id="506"/>
      </w:r>
      <w:r>
        <w:rPr>
          <w:rFonts w:ascii="IRNazanin" w:hAnsi="IRNazanin" w:eastAsia="IRNazanin"/>
          <w:color w:val="111111"/>
          <w:sz w:val="28"/>
          <w:sz w:val="28"/>
          <w:szCs w:val="28"/>
          <w:rtl w:val="true"/>
          <w:lang w:bidi="fa-IR"/>
        </w:rPr>
        <w:t xml:space="preserve">، فإنّ کان الشیخ </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مصرّحاً بالطهارة فی غیر الکتاب أمکن أنّ یکون العلاّمة فهم منه عدم القول بموافقة ابن الجنید ، وإنْ کان محل بحث ؛ لأنّ العلاّمة کثیراً ما ینقل مذهب الشیخ فی الاستبصار ، وإنّ کان فی نظری القاصر أنّ اعتماد الشیخ فی الکتاب عند ما یذکره فی کل محل لا یخلو من تأمّل ، کما یعلم من ممارسة الکتاب ، ویظهر أیضاً من الأصحاب ، فإنّ فی الکتاب احتمالات لم ینقل القول بها فی الکتب المعدة بخلاف </w:t>
      </w:r>
      <w:r>
        <w:rPr>
          <w:rStyle w:val="FootnoteAnchor"/>
          <w:rtl w:val="true"/>
        </w:rPr>
        <w:footnoteReference w:id="508"/>
      </w:r>
      <w:r>
        <w:rPr>
          <w:rFonts w:ascii="IRNazanin" w:hAnsi="IRNazanin" w:eastAsia="IRNazanin"/>
          <w:color w:val="111111"/>
          <w:sz w:val="28"/>
          <w:sz w:val="28"/>
          <w:szCs w:val="28"/>
          <w:rtl w:val="true"/>
          <w:lang w:bidi="fa-IR"/>
        </w:rPr>
        <w:t xml:space="preserve">الأصحاب ، لکن التعجب من العلاّمة فی المختلف واقع ، حیث لم ینقل فی اللبن إلاّ قول ابن الجنید ، مع 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القول به علی ما یعهد من العلاّمة فی نقل أقوال الشیخ فی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الشیخ </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من أنّ بول الجاریة لا بدّ من غسله ، إنْ کان استناده </w:t>
      </w:r>
      <w:r>
        <w:rPr>
          <w:rStyle w:val="FootnoteAnchor"/>
          <w:rtl w:val="true"/>
        </w:rPr>
        <w:footnoteReference w:id="510"/>
      </w:r>
      <w:r>
        <w:rPr>
          <w:rFonts w:ascii="IRNazanin" w:hAnsi="IRNazanin" w:eastAsia="IRNazanin"/>
          <w:color w:val="111111"/>
          <w:sz w:val="28"/>
          <w:sz w:val="28"/>
          <w:szCs w:val="28"/>
          <w:rtl w:val="true"/>
          <w:lang w:bidi="fa-IR"/>
        </w:rPr>
        <w:t xml:space="preserve">فیه إلی روایة السکونی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اقتران اللبن فیه مع البول یقتضی حمل الغَسل علی الاستحباب ، إلاّ أنّ یقول الشیخ بوجوب غَسل اللبن ، وقد عرفت الحال فیه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حمل الغَسل فی البول علی الوجوب وفی اللبن علی الاستحباب أشکل بمعارضة ما دل علی المساواة بین الجاریة والصبی الظاهر منه </w:t>
      </w:r>
      <w:bookmarkStart w:id="401" w:name="pg15025_160287"/>
    </w:p>
    <w:p>
      <w:pPr>
        <w:pStyle w:val="BookText"/>
        <w:rPr/>
      </w:pPr>
      <w:bookmarkEnd w:id="401"/>
      <w:r>
        <w:rPr>
          <w:rFonts w:ascii="IRNazanin" w:hAnsi="IRNazanin" w:eastAsia="IRNazanin"/>
          <w:color w:val="111111"/>
          <w:sz w:val="28"/>
          <w:sz w:val="28"/>
          <w:szCs w:val="28"/>
          <w:rtl w:val="true"/>
          <w:lang w:bidi="fa-IR"/>
        </w:rPr>
        <w:t>المساواة فی الأمرین أعنی قبل الأکل وبعده ، وحینئذ یحمل الغَسل علی الاستحباب ، ویؤیّده اللبن لیتوافق نظم الخبر ، وحمل الشیخ التسویة فیما بعد الأکل یتوقف علی عدم الاحتمال فی خبر السکونی ، وقد سمعت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استحباب الغَسل لا یقتضی طهارة البول ، بل یقال بالنجاسة والاکتفاء فی زوالها بالصب </w:t>
      </w:r>
      <w:r>
        <w:rPr>
          <w:rStyle w:val="FootnoteAnchor"/>
          <w:rtl w:val="true"/>
        </w:rPr>
        <w:footnoteReference w:id="511"/>
      </w:r>
      <w:r>
        <w:rPr>
          <w:rFonts w:ascii="IRNazanin" w:hAnsi="IRNazanin" w:eastAsia="IRNazanin"/>
          <w:color w:val="111111"/>
          <w:sz w:val="28"/>
          <w:sz w:val="28"/>
          <w:szCs w:val="28"/>
          <w:rtl w:val="true"/>
          <w:lang w:bidi="fa-IR"/>
        </w:rPr>
        <w:t>، ویستحب الغَسل ، وهو بزیادة الماء أو العصر ونحو ذلک ، وحینئذ فالمشارکة فی الاستحباب بین اللبن والبول حاصلة فی الجملة ، ویتم مطلوب الشیخ ، ولو نوزع فی هذا أمکن أنّ یقال بجواز إرادة ما یعم الوجوب والاستحباب من الغَسل ، ووجود مثله کثیر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غَسل بول الجاریة مشهور کما نقله البعض </w:t>
      </w:r>
      <w:r>
        <w:rPr>
          <w:rStyle w:val="FootnoteAnchor"/>
          <w:rtl w:val="true"/>
        </w:rPr>
        <w:footnoteReference w:id="512"/>
      </w:r>
      <w:r>
        <w:rPr>
          <w:rFonts w:ascii="IRNazanin" w:hAnsi="IRNazanin" w:eastAsia="IRNazanin"/>
          <w:color w:val="111111"/>
          <w:sz w:val="28"/>
          <w:sz w:val="28"/>
          <w:szCs w:val="28"/>
          <w:rtl w:val="true"/>
          <w:lang w:bidi="fa-IR"/>
        </w:rPr>
        <w:t xml:space="preserve">، کما أنّ الاکتفاء بالصبّ فی بول الصبی کذلک </w:t>
      </w:r>
      <w:r>
        <w:rPr>
          <w:rStyle w:val="FootnoteAnchor"/>
          <w:rtl w:val="true"/>
        </w:rPr>
        <w:footnoteReference w:id="513"/>
      </w:r>
      <w:r>
        <w:rPr>
          <w:rFonts w:ascii="IRNazanin" w:hAnsi="IRNazanin" w:eastAsia="IRNazanin"/>
          <w:color w:val="111111"/>
          <w:sz w:val="28"/>
          <w:sz w:val="28"/>
          <w:szCs w:val="28"/>
          <w:rtl w:val="true"/>
          <w:lang w:bidi="fa-IR"/>
        </w:rPr>
        <w:t xml:space="preserve">، بل ادّعی بعض عدم العلم بالخلاف فیه </w:t>
      </w:r>
      <w:r>
        <w:rPr>
          <w:rStyle w:val="FootnoteAnchor"/>
          <w:rtl w:val="true"/>
        </w:rPr>
        <w:footnoteReference w:id="514"/>
      </w:r>
      <w:r>
        <w:rPr>
          <w:rFonts w:ascii="IRNazanin" w:hAnsi="IRNazanin" w:eastAsia="IRNazanin"/>
          <w:color w:val="111111"/>
          <w:sz w:val="28"/>
          <w:sz w:val="28"/>
          <w:szCs w:val="28"/>
          <w:rtl w:val="true"/>
          <w:lang w:bidi="fa-IR"/>
        </w:rPr>
        <w:t xml:space="preserve">، وفی الخلاف نقل الشیخ إجماع الفرقة فی بول الصبی علی ما حکاه شیخنا قدس سره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ویحکی عن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ساوی بین بول الصبی والصبیّة فی الغَسل </w:t>
      </w:r>
      <w:r>
        <w:rPr>
          <w:rStyle w:val="FootnoteAnchor"/>
          <w:rtl w:val="true"/>
        </w:rPr>
        <w:footnoteReference w:id="516"/>
      </w:r>
      <w:r>
        <w:rPr>
          <w:rFonts w:ascii="IRNazanin" w:hAnsi="IRNazanin" w:eastAsia="IRNazanin"/>
          <w:color w:val="111111"/>
          <w:sz w:val="28"/>
          <w:sz w:val="28"/>
          <w:szCs w:val="28"/>
          <w:rtl w:val="true"/>
          <w:lang w:bidi="fa-IR"/>
        </w:rPr>
        <w:t xml:space="preserve">، وربما أمکن الاستدلال بالروایة المبحوث عنها من حیث التسویة ظاهراً ، وما أجاب به المحقق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التسویة علی التنجیس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2" w:name="__RefHeading___Toc146746_2142443653"/>
      <w:bookmarkStart w:id="403" w:name="_Toc151"/>
      <w:bookmarkEnd w:id="402"/>
      <w:r>
        <w:rPr>
          <w:rtl w:val="true"/>
        </w:rPr>
        <w:t>الجواب عن المناقشة</w:t>
      </w:r>
      <w:bookmarkStart w:id="404" w:name="pg15025_160288"/>
      <w:bookmarkEnd w:id="403"/>
    </w:p>
    <w:p>
      <w:pPr>
        <w:pStyle w:val="BookText"/>
        <w:rPr/>
      </w:pPr>
      <w:bookmarkEnd w:id="404"/>
      <w:r>
        <w:rPr>
          <w:rFonts w:ascii="IRNazanin" w:hAnsi="IRNazanin" w:eastAsia="IRNazanin"/>
          <w:color w:val="111111"/>
          <w:sz w:val="28"/>
          <w:sz w:val="28"/>
          <w:szCs w:val="28"/>
          <w:rtl w:val="true"/>
          <w:lang w:bidi="fa-IR"/>
        </w:rPr>
        <w:t xml:space="preserve">بمعنی أنّهما سواء فی التنجیس لا فی کیفیة الإزالة ، بعید </w:t>
      </w:r>
      <w:r>
        <w:rPr>
          <w:rStyle w:val="FootnoteAnchor"/>
          <w:rtl w:val="true"/>
        </w:rPr>
        <w:footnoteReference w:id="517"/>
      </w:r>
      <w:r>
        <w:rPr>
          <w:rFonts w:ascii="IRNazanin" w:hAnsi="IRNazanin" w:eastAsia="IRNazanin"/>
          <w:color w:val="111111"/>
          <w:sz w:val="28"/>
          <w:sz w:val="28"/>
          <w:szCs w:val="28"/>
          <w:rtl w:val="true"/>
          <w:lang w:bidi="fa-IR"/>
        </w:rPr>
        <w:t xml:space="preserve">، وسیأتی فی الروایة الدالة علی العصر بعد الصبّ التنبیه علی احتمال المساواة کما ظنه بعض من أنّ الفرق بین الغَسل والصب بالعصر وعدمه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تمهد هذا کلّه فما تضمنته الروایة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قد 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الأکل المستند إلی شهوته وإرادته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أن یطعم ما یکون غذاءً له </w:t>
      </w:r>
      <w:r>
        <w:rPr>
          <w:rStyle w:val="FootnoteAnchor"/>
          <w:rtl w:val="true"/>
        </w:rPr>
        <w:footnoteReference w:id="520"/>
      </w:r>
      <w:r>
        <w:rPr>
          <w:rFonts w:ascii="IRNazanin" w:hAnsi="IRNazanin" w:eastAsia="IRNazanin"/>
          <w:color w:val="111111"/>
          <w:sz w:val="28"/>
          <w:sz w:val="28"/>
          <w:szCs w:val="28"/>
          <w:rtl w:val="true"/>
          <w:lang w:bidi="fa-IR"/>
        </w:rPr>
        <w:t xml:space="preserve">، ولا عبرة بما یلعق دواءً ومن الغذاء فی الندرة ، ولا تصغ إلی من یُعلّق الحکم بالحولین ، بل </w:t>
      </w:r>
      <w:r>
        <w:rPr>
          <w:rStyle w:val="FootnoteAnchor"/>
          <w:rtl w:val="true"/>
        </w:rPr>
        <w:footnoteReference w:id="521"/>
      </w:r>
      <w:r>
        <w:rPr>
          <w:rFonts w:ascii="IRNazanin" w:hAnsi="IRNazanin" w:eastAsia="IRNazanin"/>
          <w:color w:val="111111"/>
          <w:sz w:val="28"/>
          <w:sz w:val="28"/>
          <w:szCs w:val="28"/>
          <w:rtl w:val="true"/>
          <w:lang w:bidi="fa-IR"/>
        </w:rPr>
        <w:t xml:space="preserve">هو مجازف ، بل لو استقل بالغذاء قبل الحولین تعلق ببوله وجوب الغسل </w:t>
      </w:r>
      <w:r>
        <w:rPr>
          <w:rStyle w:val="FootnoteAnchor"/>
          <w:rtl w:val="true"/>
        </w:rPr>
        <w:footnoteReference w:id="52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جماعة من المتأخّرین بول الرضیع </w:t>
      </w:r>
      <w:r>
        <w:rPr>
          <w:rStyle w:val="FootnoteAnchor"/>
          <w:rtl w:val="true"/>
        </w:rPr>
        <w:footnoteReference w:id="523"/>
      </w:r>
      <w:r>
        <w:rPr>
          <w:rFonts w:ascii="IRNazanin" w:hAnsi="IRNazanin" w:eastAsia="IRNazanin"/>
          <w:color w:val="111111"/>
          <w:sz w:val="28"/>
          <w:sz w:val="28"/>
          <w:szCs w:val="28"/>
          <w:rtl w:val="true"/>
          <w:lang w:bidi="fa-IR"/>
        </w:rPr>
        <w:t>، وقد عرفت مدلول الخبر ،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فی هذا شَرْعٌ ویُحَرَّکُ أی سواء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شرع سواء وهو مصدر بفتح الراء وسکونها یستوی فیه الواحد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5" w:name="__RefHeading___Toc146748_2142443653"/>
      <w:bookmarkStart w:id="406" w:name="_Toc152"/>
      <w:bookmarkEnd w:id="405"/>
      <w:r>
        <w:rPr>
          <w:rtl w:val="true"/>
        </w:rPr>
        <w:t xml:space="preserve">معنی قوله </w:t>
      </w:r>
      <w:r>
        <w:rPr>
          <w:rtl w:val="true"/>
        </w:rPr>
        <w:t xml:space="preserve">: « </w:t>
      </w:r>
      <w:r>
        <w:rPr>
          <w:rtl w:val="true"/>
        </w:rPr>
        <w:t xml:space="preserve">شَرْعٌ سواء </w:t>
      </w:r>
      <w:r>
        <w:rPr>
          <w:rtl w:val="true"/>
        </w:rPr>
        <w:t>»</w:t>
      </w:r>
      <w:bookmarkStart w:id="407" w:name="pg15025_160289"/>
      <w:bookmarkEnd w:id="406"/>
    </w:p>
    <w:p>
      <w:pPr>
        <w:pStyle w:val="BookText"/>
        <w:rPr/>
      </w:pPr>
      <w:bookmarkEnd w:id="407"/>
      <w:r>
        <w:rPr>
          <w:rFonts w:ascii="IRNazanin" w:hAnsi="IRNazanin" w:eastAsia="IRNazanin"/>
          <w:color w:val="111111"/>
          <w:sz w:val="28"/>
          <w:sz w:val="28"/>
          <w:szCs w:val="28"/>
          <w:rtl w:val="true"/>
          <w:lang w:bidi="fa-IR"/>
        </w:rPr>
        <w:t xml:space="preserve">والمؤنّث والاثنان والجمع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أیضاً ما رواه أحمد بن محمد ، عن علی بن الحکم ، عن الحسین بن أبی العلاء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الصبی یبول علی الثوب؟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تصبّ علیه الماء قلیلاً ثم تعصر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بول الصبی یصیب الثوب؟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أجد مکانه؟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الثوب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ینافی ما قدّمناه ، لأنّه یحتمل أنْ یکون المراد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علیه الماء ، ویجوز أنّ یکون أراد بول من أکل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والثانی قد کرّرنا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بن الحکم وإنّ ظن اشتراکه </w:t>
      </w:r>
      <w:r>
        <w:rPr>
          <w:rStyle w:val="FootnoteAnchor"/>
          <w:rtl w:val="true"/>
        </w:rPr>
        <w:footnoteReference w:id="526"/>
      </w:r>
      <w:r>
        <w:rPr>
          <w:rFonts w:ascii="IRNazanin" w:hAnsi="IRNazanin" w:eastAsia="IRNazanin"/>
          <w:color w:val="111111"/>
          <w:sz w:val="28"/>
          <w:sz w:val="28"/>
          <w:szCs w:val="28"/>
          <w:rtl w:val="true"/>
          <w:lang w:bidi="fa-IR"/>
        </w:rPr>
        <w:t>، إلاّ أنّ روایة أحمد بن محمد بن عیسی یعیّن کونه الثقة کما یعرف من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والحسین بن أبی العلاء غیر معلوم التوثیق إلاّ بما نقله ابن داود عن ابن طاوس فی البشری </w:t>
      </w:r>
      <w:r>
        <w:rPr>
          <w:rStyle w:val="FootnoteAnchor"/>
          <w:rtl w:val="true"/>
        </w:rPr>
        <w:footnoteReference w:id="527"/>
      </w:r>
      <w:r>
        <w:rPr>
          <w:rFonts w:ascii="IRNazanin" w:hAnsi="IRNazanin" w:eastAsia="IRNazanin"/>
          <w:color w:val="111111"/>
          <w:sz w:val="28"/>
          <w:sz w:val="28"/>
          <w:szCs w:val="28"/>
          <w:rtl w:val="true"/>
          <w:lang w:bidi="fa-IR"/>
        </w:rPr>
        <w:t xml:space="preserve">، وکونه أوجه أخویه کما فی کتب الرجال </w:t>
      </w:r>
      <w:r>
        <w:rPr>
          <w:rStyle w:val="FootnoteAnchor"/>
          <w:rtl w:val="true"/>
        </w:rPr>
        <w:footnoteReference w:id="528"/>
      </w:r>
      <w:r>
        <w:rPr>
          <w:rFonts w:ascii="IRNazanin" w:hAnsi="IRNazanin" w:eastAsia="IRNazanin"/>
          <w:color w:val="111111"/>
          <w:sz w:val="28"/>
          <w:sz w:val="28"/>
          <w:szCs w:val="28"/>
          <w:rtl w:val="true"/>
          <w:lang w:bidi="fa-IR"/>
        </w:rPr>
        <w:t>مع</w:t>
      </w:r>
    </w:p>
    <w:p>
      <w:pPr>
        <w:pStyle w:val="Heading4"/>
        <w:numPr>
          <w:ilvl w:val="3"/>
          <w:numId w:val="1"/>
        </w:numPr>
        <w:rPr/>
      </w:pPr>
      <w:bookmarkStart w:id="408" w:name="__RefHeading___Toc146750_2142443653"/>
      <w:bookmarkStart w:id="409" w:name="_Toc153"/>
      <w:bookmarkEnd w:id="408"/>
      <w:r>
        <w:rPr>
          <w:rtl w:val="true"/>
        </w:rPr>
        <w:t>علی بن الحکم الذی یروی عنه أحمد بن محمّد بن عیسی هو الثقة</w:t>
      </w:r>
      <w:bookmarkEnd w:id="40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0" w:name="__RefHeading___Toc146752_2142443653"/>
      <w:bookmarkStart w:id="411" w:name="_Toc154"/>
      <w:bookmarkEnd w:id="410"/>
      <w:r>
        <w:rPr>
          <w:rtl w:val="true"/>
        </w:rPr>
        <w:t>بحث حول الحسین بن أبی العلاء</w:t>
      </w:r>
      <w:bookmarkStart w:id="412" w:name="pg15025_160290"/>
      <w:bookmarkEnd w:id="411"/>
    </w:p>
    <w:p>
      <w:pPr>
        <w:pStyle w:val="BookText"/>
        <w:rPr/>
      </w:pPr>
      <w:bookmarkEnd w:id="412"/>
      <w:r>
        <w:rPr>
          <w:rFonts w:ascii="Amiri" w:hAnsi="Amiri" w:eastAsia="Amiri" w:cs="Amiri"/>
          <w:color w:val="111111"/>
          <w:sz w:val="28"/>
          <w:sz w:val="28"/>
          <w:szCs w:val="28"/>
          <w:rtl w:val="true"/>
          <w:lang w:bidi="ar-SA"/>
        </w:rPr>
        <w:t xml:space="preserve">أن أحدهما ثقة </w:t>
      </w:r>
      <w:r>
        <w:rPr>
          <w:rStyle w:val="FootnoteAnchor"/>
          <w:rtl w:val="true"/>
        </w:rPr>
        <w:footnoteReference w:id="529"/>
      </w:r>
      <w:r>
        <w:rPr>
          <w:rFonts w:ascii="IRNazanin" w:hAnsi="IRNazanin" w:eastAsia="IRNazanin"/>
          <w:color w:val="111111"/>
          <w:sz w:val="28"/>
          <w:sz w:val="28"/>
          <w:szCs w:val="28"/>
          <w:rtl w:val="true"/>
          <w:lang w:bidi="fa-IR"/>
        </w:rPr>
        <w:t>لا یقتضی التوثیق بعد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وعثمان بن عیسی لا أعلم توثیقه ، وقد ذکرت فیما تقدم الوجه فیه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الصبّ والعصر ، فیندفع ما ذکره البعض من الفرق بین الصبّ والغَسل بالعصر </w:t>
      </w:r>
      <w:r>
        <w:rPr>
          <w:rStyle w:val="FootnoteAnchor"/>
          <w:rtl w:val="true"/>
        </w:rPr>
        <w:footnoteReference w:id="531"/>
      </w:r>
      <w:r>
        <w:rPr>
          <w:rFonts w:ascii="IRNazanin" w:hAnsi="IRNazanin" w:eastAsia="IRNazanin"/>
          <w:color w:val="111111"/>
          <w:sz w:val="28"/>
          <w:sz w:val="28"/>
          <w:szCs w:val="28"/>
          <w:rtl w:val="true"/>
          <w:lang w:bidi="fa-IR"/>
        </w:rPr>
        <w:t xml:space="preserve">، إلاّ أن یحمل العصر علی الاستحباب لا لتوقف تحقق التطهیر علیه لیکون غَسلاً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الفرق غیر منحصر فیما ذکره کما نبهنا </w:t>
      </w:r>
      <w:r>
        <w:rPr>
          <w:rStyle w:val="FootnoteAnchor"/>
          <w:rtl w:val="true"/>
        </w:rPr>
        <w:footnoteReference w:id="532"/>
      </w:r>
      <w:r>
        <w:rPr>
          <w:rFonts w:ascii="IRNazanin" w:hAnsi="IRNazanin" w:eastAsia="IRNazanin"/>
          <w:color w:val="111111"/>
          <w:sz w:val="28"/>
          <w:sz w:val="28"/>
          <w:szCs w:val="28"/>
          <w:rtl w:val="true"/>
          <w:lang w:bidi="fa-IR"/>
        </w:rPr>
        <w:t>علیه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الغَسل ، ولا منافاة فیه للأوّل علی تقدیر أن یکون الغسل بالصب والعصر ، والشیخ رحمه الله کأنّه أراد عدم منافاته لما قدّمه فی الخبر الأوّل ، أعنی روایة السکونی الدالة علی أنّه لا یغسل منه الثوب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الشیخ عن ذلک باحتمال إرادة الصب من الغَسل لا یخلو من تأمّل ؛ لأنّ ما تقدم منه من الأخبار الدالة علی الصب لیس إلاّ روایة الحلبی ، وروایة الحسین الدالة علی العصر تقتضی تقییدها إمّا بکون الماء کثیراً فی روایة الحلبی فلا تکون حاجة إلی العصر لأنّ روایة الحسین تضمنت قلّة الماء ، أو لأنّ العصر مستحب ، وکلا الأمرین یوجب عدم</w:t>
      </w:r>
    </w:p>
    <w:p>
      <w:pPr>
        <w:pStyle w:val="Heading4"/>
        <w:numPr>
          <w:ilvl w:val="3"/>
          <w:numId w:val="1"/>
        </w:numPr>
        <w:rPr/>
      </w:pPr>
      <w:bookmarkStart w:id="413" w:name="__RefHeading___Toc146754_2142443653"/>
      <w:bookmarkStart w:id="414" w:name="_Toc155"/>
      <w:bookmarkEnd w:id="413"/>
      <w:r>
        <w:rPr>
          <w:rtl w:val="true"/>
        </w:rPr>
        <w:t>إشارة إلی حال عثمان بن عیسی</w:t>
      </w:r>
      <w:bookmarkEnd w:id="41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5" w:name="__RefHeading___Toc146756_2142443653"/>
      <w:bookmarkStart w:id="416" w:name="_Toc156"/>
      <w:bookmarkEnd w:id="415"/>
      <w:r>
        <w:rPr>
          <w:rtl w:val="true"/>
        </w:rPr>
        <w:t>وجه الجمع بین ما دلّ علی الصّب والعصر وما دلّ علی الغَسل</w:t>
      </w:r>
      <w:bookmarkStart w:id="417" w:name="pg15025_160291"/>
      <w:bookmarkEnd w:id="416"/>
    </w:p>
    <w:p>
      <w:pPr>
        <w:pStyle w:val="BookText"/>
        <w:rPr/>
      </w:pPr>
      <w:bookmarkEnd w:id="417"/>
      <w:r>
        <w:rPr>
          <w:rFonts w:ascii="IRNazanin" w:hAnsi="IRNazanin" w:eastAsia="IRNazanin"/>
          <w:color w:val="111111"/>
          <w:sz w:val="28"/>
          <w:sz w:val="28"/>
          <w:szCs w:val="28"/>
          <w:rtl w:val="true"/>
          <w:lang w:bidi="fa-IR"/>
        </w:rPr>
        <w:t>تمامیّة توجیه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کثرة الماء تقتضی تحقق الغَسل والحال أنّه علیه السلام جعل الغَسل مع الأکل فلا بد أنّ یراد بالصب مع </w:t>
      </w:r>
      <w:r>
        <w:rPr>
          <w:rStyle w:val="FootnoteAnchor"/>
          <w:rtl w:val="true"/>
        </w:rPr>
        <w:footnoteReference w:id="534"/>
      </w:r>
      <w:r>
        <w:rPr>
          <w:rFonts w:ascii="IRNazanin" w:hAnsi="IRNazanin" w:eastAsia="IRNazanin"/>
          <w:color w:val="111111"/>
          <w:sz w:val="28"/>
          <w:sz w:val="28"/>
          <w:szCs w:val="28"/>
          <w:rtl w:val="true"/>
          <w:lang w:bidi="fa-IR"/>
        </w:rPr>
        <w:t>قلّة الماء ، ومعه لا بدّ من العصر کما تضمنته روایة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استحباب العصر یتوقف علی ثبوت المعارض ولم یتقدم إلاّ روایة الحلبی وفیها الاحتمال الأوّل أعنی إرادة الکثرة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 </w:t>
      </w:r>
      <w:r>
        <w:rPr>
          <w:rStyle w:val="FootnoteAnchor"/>
          <w:rtl w:val="true"/>
        </w:rPr>
        <w:footnoteReference w:id="535"/>
      </w:r>
      <w:r>
        <w:rPr>
          <w:rFonts w:ascii="IRNazanin" w:hAnsi="IRNazanin" w:eastAsia="IRNazanin"/>
          <w:color w:val="111111"/>
          <w:sz w:val="28"/>
          <w:sz w:val="28"/>
          <w:szCs w:val="28"/>
          <w:rtl w:val="true"/>
          <w:lang w:bidi="fa-IR"/>
        </w:rPr>
        <w:t xml:space="preserve">مندفع عن الشیخ لأنّ الصب إذا دل علیه خبر الحلبی بالإطلاق تعیّن حمل العصر علی الاستحباب ، أمّا من یقول بأنّ الفرق بین الغَسل والصب یتحقق بکثرة الماء وقلّته فالإشکال علیه وارد لو عمل بالأخبار ، ومن توقف عمله علی الصحیح فهو فی </w:t>
      </w:r>
      <w:r>
        <w:rPr>
          <w:rStyle w:val="FootnoteAnchor"/>
          <w:rtl w:val="true"/>
        </w:rPr>
        <w:footnoteReference w:id="536"/>
      </w:r>
      <w:r>
        <w:rPr>
          <w:rFonts w:ascii="IRNazanin" w:hAnsi="IRNazanin" w:eastAsia="IRNazanin"/>
          <w:color w:val="111111"/>
          <w:sz w:val="28"/>
          <w:sz w:val="28"/>
          <w:szCs w:val="28"/>
          <w:rtl w:val="true"/>
          <w:lang w:bidi="fa-IR"/>
        </w:rPr>
        <w:t>راحة من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الشیخ رحمه الله من الحمل علی إرادة بول من أکل الطعام فله وجه ، إلاّ أنّ الحمل علی الاستحباب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فی المقام أُموراً لا بد من التنبیه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ممّا ذکرناه سابقاً عن البعض أنّ الفرق بین الغَسل والصب لا یتم الاّ بالعصر </w:t>
      </w:r>
      <w:r>
        <w:rPr>
          <w:rStyle w:val="FootnoteAnchor"/>
          <w:rtl w:val="true"/>
        </w:rPr>
        <w:footnoteReference w:id="537"/>
      </w:r>
      <w:r>
        <w:rPr>
          <w:rFonts w:ascii="IRNazanin" w:hAnsi="IRNazanin" w:eastAsia="IRNazanin"/>
          <w:color w:val="111111"/>
          <w:sz w:val="28"/>
          <w:sz w:val="28"/>
          <w:szCs w:val="28"/>
          <w:rtl w:val="true"/>
          <w:lang w:bidi="fa-IR"/>
        </w:rPr>
        <w:t>، وهذا إنّما یتم فیما یمکن فیه العصر ، أمّا البدن ونحوه فالحکم فیه مشکل حینئذ ، والشیخ کما تری ذکر الأخبار هنا ولم یتعرض لشی‌ء من ذلک والحال أنَّ مدلول روایة الحسین بن أبی العلاء</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8" w:name="__RefHeading___Toc146758_2142443653"/>
      <w:bookmarkStart w:id="419" w:name="_Toc157"/>
      <w:bookmarkEnd w:id="418"/>
      <w:r>
        <w:rPr>
          <w:rtl w:val="true"/>
        </w:rPr>
        <w:t>مالفرق بین الصّب والغَسل؟</w:t>
      </w:r>
      <w:bookmarkEnd w:id="419"/>
    </w:p>
    <w:p>
      <w:pPr>
        <w:pStyle w:val="BookText"/>
        <w:rPr/>
      </w:pPr>
      <w:r>
        <w:rPr>
          <w:rFonts w:ascii="IRNazanin" w:hAnsi="IRNazanin" w:eastAsia="IRNazanin"/>
          <w:color w:val="111111"/>
          <w:sz w:val="28"/>
          <w:sz w:val="28"/>
          <w:szCs w:val="28"/>
          <w:rtl w:val="true"/>
          <w:lang w:bidi="fa-IR"/>
        </w:rPr>
        <w:t>الثوب إذا اصابه البول وکذلک روایة سماعة ، وروایة الحلبی شاملة للثوب وغیره ، وروایة السکونی تضمنت نفی الغَسل عن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نظرنا الی ظاهر ما ذکره الشیخ وغیره من الفرق بین الصب والغَسل یحتاج فی روایة الحلبی إلی أنّ نبیّن الوجه فی المغایرة ، وهی بما ذکر من العصر وعدمه منتفیة فی البدن ، فإمّا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الغَسل یحتاج إلی کثرة الماء بخلاف الصبّ ، أو نقول بالدلک </w:t>
      </w:r>
      <w:r>
        <w:rPr>
          <w:rStyle w:val="FootnoteAnchor"/>
          <w:rtl w:val="true"/>
        </w:rPr>
        <w:footnoteReference w:id="538"/>
      </w:r>
      <w:r>
        <w:rPr>
          <w:rFonts w:ascii="IRNazanin" w:hAnsi="IRNazanin" w:eastAsia="IRNazanin"/>
          <w:color w:val="111111"/>
          <w:sz w:val="28"/>
          <w:sz w:val="28"/>
          <w:szCs w:val="28"/>
          <w:rtl w:val="true"/>
          <w:lang w:bidi="fa-IR"/>
        </w:rPr>
        <w:t xml:space="preserve">، کما ذکره العلاّمة فی النهایة والتحریر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دلیله علی الدلک مدخول ، فإنّه استدل بروایة عمار الساباطی الواردة فی الإناء الذی یشرب فیه الخمر ، فإنّه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یجزؤه الصب حتی یدلکه </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الدخل أنّ فی الروایة احتمال کون الدلک لذهاب أجزاء </w:t>
      </w:r>
      <w:r>
        <w:rPr>
          <w:rStyle w:val="FootnoteAnchor"/>
          <w:rtl w:val="true"/>
        </w:rPr>
        <w:footnoteReference w:id="541"/>
      </w:r>
      <w:r>
        <w:rPr>
          <w:rFonts w:ascii="IRNazanin" w:hAnsi="IRNazanin" w:eastAsia="IRNazanin"/>
          <w:color w:val="111111"/>
          <w:sz w:val="28"/>
          <w:sz w:val="28"/>
          <w:szCs w:val="28"/>
          <w:rtl w:val="true"/>
          <w:lang w:bidi="fa-IR"/>
        </w:rPr>
        <w:t>الخمر ، ولو فرض فی البول وجود أجزاء أمکن القول به ،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الحسین بن أبی العلاء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البول یُصیب الجسد؟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 علیه الماء مرّتین </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ومثلها روایة لأبی إسحاق النحوی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بأنّ الظاهر من الروایتین الاکتفاء بالصبّ فی البدن ، فالفرق المحتمل غیر واضح</w:t>
      </w:r>
      <w:r>
        <w:rPr>
          <w:rFonts w:eastAsia="IRNazanin" w:cs="IRNazanin"/>
          <w:color w:val="111111"/>
          <w:sz w:val="28"/>
          <w:szCs w:val="28"/>
          <w:rtl w:val="true"/>
          <w:lang w:bidi="fa-IR"/>
        </w:rPr>
        <w:t xml:space="preserve">. </w:t>
      </w:r>
      <w:bookmarkStart w:id="420" w:name="pg15025_160293"/>
    </w:p>
    <w:p>
      <w:pPr>
        <w:pStyle w:val="BookText"/>
        <w:rPr/>
      </w:pPr>
      <w:bookmarkEnd w:id="420"/>
      <w:r>
        <w:rPr>
          <w:rFonts w:ascii="IRNazanin" w:hAnsi="IRNazanin" w:eastAsia="IRNazanin"/>
          <w:color w:val="111111"/>
          <w:sz w:val="28"/>
          <w:sz w:val="28"/>
          <w:szCs w:val="28"/>
          <w:rtl w:val="true"/>
          <w:lang w:bidi="fa-IR"/>
        </w:rPr>
        <w:t xml:space="preserve">والمحقق رحمه الله جعل غَسل الثوب من البول مرّتین غَسلاً ، وفی البدن صبّاً ، وجعل وجه الفرق أنّ الغَسل یتضمن العصر والصب لا عصر معه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الفرق بین الثوب والبدن فلأنّ البول یلاقی ظاهر البدن ، ولا یرسب فیه ، فیکفی صبّ الماء ؛ لأنّه یزیل ما علی ظاهره ، ولیس کذلک الثوب ، لأنّ النجاسة ترسخ فیه فلا تزول إلاّ بالعصر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للمناقشة فیه مجالاً ، وما قاله من المرّتین فی الثوب هو المشهور فی غیر بول الرضیع </w:t>
      </w:r>
      <w:r>
        <w:rPr>
          <w:rStyle w:val="FootnoteAnchor"/>
          <w:rtl w:val="true"/>
        </w:rPr>
        <w:footnoteReference w:id="545"/>
      </w:r>
      <w:r>
        <w:rPr>
          <w:rFonts w:ascii="IRNazanin" w:hAnsi="IRNazanin" w:eastAsia="IRNazanin"/>
          <w:color w:val="111111"/>
          <w:sz w:val="28"/>
          <w:sz w:val="28"/>
          <w:szCs w:val="28"/>
          <w:rtl w:val="true"/>
          <w:lang w:bidi="fa-IR"/>
        </w:rPr>
        <w:t xml:space="preserve">، بل ظاهر کلامه فی المعتبر أنّه لا خلاف فیه </w:t>
      </w:r>
      <w:r>
        <w:rPr>
          <w:rStyle w:val="FootnoteAnchor"/>
          <w:rtl w:val="true"/>
        </w:rPr>
        <w:footnoteReference w:id="546"/>
      </w:r>
      <w:r>
        <w:rPr>
          <w:rFonts w:ascii="IRNazanin" w:hAnsi="IRNazanin" w:eastAsia="IRNazanin"/>
          <w:color w:val="111111"/>
          <w:sz w:val="28"/>
          <w:sz w:val="28"/>
          <w:szCs w:val="28"/>
          <w:rtl w:val="true"/>
          <w:lang w:bidi="fa-IR"/>
        </w:rPr>
        <w:t xml:space="preserve">، وقد صرح الشهید فی البیان بأنّ الخلاف متحقق بین الأصحاب فاکتفی بعض بالمرّة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فالإشکال فی تحقق الفرق بین الصبّ والغَسل واقع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روایة سماعة لزوم غسل الثوب کله إذا لم یجد مکانه ، وغیر خفیّ أنّ الحکم مقیّد بما إذا لم یُعلم انتفاء النجاسة فی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أجد مکانه ، معلوم أنّ المراد به العلم بالإصابة مع جهل المکان ، والخبر وإنّ لم یکن معتبراً إلاّ أنّ الشیخ فی التهذیب روی بطریق حسن فی باب تطهیر الثیاب ما یدل علی مضمونه فی المنی ، ونحو ذلک أخبار صحاح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والمحقق فی المعتبر استدل علی الحکم حیث إنّ ظاهر الأخبار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1" w:name="__RefHeading___Toc146760_2142443653"/>
      <w:bookmarkStart w:id="422" w:name="_Toc158"/>
      <w:bookmarkEnd w:id="421"/>
      <w:r>
        <w:rPr>
          <w:rtl w:val="true"/>
        </w:rPr>
        <w:t>لزوم غَسلْ کلّ الثوب الذی أصابه بول الصبی ولم یوجد مکانه</w:t>
      </w:r>
      <w:bookmarkEnd w:id="422"/>
    </w:p>
    <w:p>
      <w:pPr>
        <w:pStyle w:val="BookText"/>
        <w:rPr/>
      </w:pPr>
      <w:r>
        <w:rPr>
          <w:rFonts w:ascii="IRNazanin" w:hAnsi="IRNazanin" w:eastAsia="IRNazanin"/>
          <w:color w:val="111111"/>
          <w:sz w:val="28"/>
          <w:sz w:val="28"/>
          <w:szCs w:val="28"/>
          <w:rtl w:val="true"/>
          <w:lang w:bidi="fa-IR"/>
        </w:rPr>
        <w:t xml:space="preserve">غَسل ما یقع فیه الاشتباه بأنّ النجاسة موجودة علی الیقین ، ولا یحصل الیقین بزوالها إلاّ بغَسل جمیع ما وقع فیه الاشتباه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علیه بأنّ یقین </w:t>
      </w:r>
      <w:r>
        <w:rPr>
          <w:rStyle w:val="FootnoteAnchor"/>
          <w:rtl w:val="true"/>
        </w:rPr>
        <w:footnoteReference w:id="550"/>
      </w:r>
      <w:r>
        <w:rPr>
          <w:rFonts w:ascii="IRNazanin" w:hAnsi="IRNazanin" w:eastAsia="IRNazanin"/>
          <w:color w:val="111111"/>
          <w:sz w:val="28"/>
          <w:sz w:val="28"/>
          <w:szCs w:val="28"/>
          <w:rtl w:val="true"/>
          <w:lang w:bidi="fa-IR"/>
        </w:rPr>
        <w:t xml:space="preserve">النجاسة یرتفع بغَسل جزء ممّا وقع فیه الاشتباه وإنّ لم یحصل القطع بغَسل ذلک المحل بعینه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 هذا الاعتراض لا وجه له بعد ورود معتبر الأخبار بغَسل الثوب کله ، وقد أوضحت الحال فی حاشیة التهذیب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نمنع ارتفاع یقین </w:t>
      </w:r>
      <w:r>
        <w:rPr>
          <w:rStyle w:val="FootnoteAnchor"/>
          <w:rtl w:val="true"/>
        </w:rPr>
        <w:footnoteReference w:id="552"/>
      </w:r>
      <w:r>
        <w:rPr>
          <w:rFonts w:ascii="IRNazanin" w:hAnsi="IRNazanin" w:eastAsia="IRNazanin"/>
          <w:color w:val="111111"/>
          <w:sz w:val="28"/>
          <w:sz w:val="28"/>
          <w:szCs w:val="28"/>
          <w:rtl w:val="true"/>
          <w:lang w:bidi="fa-IR"/>
        </w:rPr>
        <w:t xml:space="preserve">النجاسة بما ذکر ، لأنّه لا معنی للنجاسة إلاّ المنع من العبادة بسبب وصول العین النجسة </w:t>
      </w:r>
      <w:r>
        <w:rPr>
          <w:rStyle w:val="FootnoteAnchor"/>
          <w:rtl w:val="true"/>
        </w:rPr>
        <w:footnoteReference w:id="553"/>
      </w:r>
      <w:r>
        <w:rPr>
          <w:rFonts w:ascii="IRNazanin" w:hAnsi="IRNazanin" w:eastAsia="IRNazanin"/>
          <w:color w:val="111111"/>
          <w:sz w:val="28"/>
          <w:sz w:val="28"/>
          <w:szCs w:val="28"/>
          <w:rtl w:val="true"/>
          <w:lang w:bidi="fa-IR"/>
        </w:rPr>
        <w:t>إلی الثوب علی وجه خاص ، فزوال المنع یتوقف علی إباحة الشارع ما منع منه ، ولم یعلم إلاّ بغَسله کلّه ، وعدم یقین بقاء العین بعد غَسل جزء لا یستلزم زوال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الدال علی أنّ النجاسة لا بدّ فیها من العلم موجود وبتقدیر غَسل الجزء یزول الیقین </w:t>
      </w:r>
      <w:r>
        <w:rPr>
          <w:rStyle w:val="FootnoteAnchor"/>
          <w:rtl w:val="true"/>
        </w:rPr>
        <w:footnoteReference w:id="554"/>
      </w:r>
      <w:r>
        <w:rPr>
          <w:rFonts w:ascii="IRNazanin" w:hAnsi="IRNazanin" w:eastAsia="IRNazanin"/>
          <w:color w:val="111111"/>
          <w:sz w:val="28"/>
          <w:sz w:val="28"/>
          <w:szCs w:val="28"/>
          <w:rtl w:val="true"/>
          <w:lang w:bidi="fa-IR"/>
        </w:rPr>
        <w:t>، فیزول المنع</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منّا جواب هذا بما یغنی عن الإعادة تفصیلاً ، والإجمال أنّ یقین </w:t>
      </w:r>
      <w:r>
        <w:rPr>
          <w:rStyle w:val="FootnoteAnchor"/>
          <w:rtl w:val="true"/>
        </w:rPr>
        <w:footnoteReference w:id="555"/>
      </w:r>
      <w:r>
        <w:rPr>
          <w:rFonts w:ascii="IRNazanin" w:hAnsi="IRNazanin" w:eastAsia="IRNazanin"/>
          <w:color w:val="111111"/>
          <w:sz w:val="28"/>
          <w:sz w:val="28"/>
          <w:szCs w:val="28"/>
          <w:rtl w:val="true"/>
          <w:lang w:bidi="fa-IR"/>
        </w:rPr>
        <w:t xml:space="preserve">النجاسة لا یرفعه إلاّ ما أعدّه الشارع ، والمعدّ هنا غَسل ما یحصل فیه الاشتباه ، وحصول النجاسة حینئذ بالظن لا یضرّ ، لأنّ الممنوع منه علی ما یستفاد من الأدلة عدم الاعتبار بظن النجاسة ابتداءً ، وبالجملة </w:t>
      </w:r>
      <w:bookmarkStart w:id="423" w:name="pg15025_160295"/>
    </w:p>
    <w:p>
      <w:pPr>
        <w:pStyle w:val="BookText"/>
        <w:rPr/>
      </w:pPr>
      <w:bookmarkEnd w:id="423"/>
      <w:r>
        <w:rPr>
          <w:rFonts w:ascii="IRNazanin" w:hAnsi="IRNazanin" w:eastAsia="IRNazanin"/>
          <w:color w:val="111111"/>
          <w:sz w:val="28"/>
          <w:sz w:val="28"/>
          <w:szCs w:val="28"/>
          <w:rtl w:val="true"/>
          <w:lang w:bidi="fa-IR"/>
        </w:rPr>
        <w:t>لا تعارض بین ما دل علی العلم وبین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الروایة المرویة </w:t>
      </w:r>
      <w:r>
        <w:rPr>
          <w:rStyle w:val="FootnoteAnchor"/>
          <w:rtl w:val="true"/>
        </w:rPr>
        <w:footnoteReference w:id="556"/>
      </w:r>
      <w:r>
        <w:rPr>
          <w:rFonts w:ascii="IRNazanin" w:hAnsi="IRNazanin" w:eastAsia="IRNazanin"/>
          <w:color w:val="111111"/>
          <w:sz w:val="28"/>
          <w:sz w:val="28"/>
          <w:szCs w:val="28"/>
          <w:rtl w:val="true"/>
          <w:lang w:bidi="fa-IR"/>
        </w:rPr>
        <w:t xml:space="preserve">فی التهذیب </w:t>
      </w:r>
      <w:r>
        <w:rPr>
          <w:rStyle w:val="FootnoteAnchor"/>
          <w:rtl w:val="true"/>
        </w:rPr>
        <w:footnoteReference w:id="557"/>
      </w:r>
      <w:r>
        <w:rPr>
          <w:rFonts w:ascii="IRNazanin" w:hAnsi="IRNazanin" w:eastAsia="IRNazanin"/>
          <w:color w:val="111111"/>
          <w:sz w:val="28"/>
          <w:sz w:val="28"/>
          <w:szCs w:val="28"/>
          <w:rtl w:val="true"/>
          <w:lang w:bidi="fa-IR"/>
        </w:rPr>
        <w:t>أنّ غَسل الثوب کله أحسن ، والمطلوب وجوب الغَسل لا حسنة ، إذ الأکملیة لا ریب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ذکرت إلاّ أنّ غیره من الأخبار أصرح منه ، وإنّ أردت تحقیق الحال فارجع إلی ما ذکرناه 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یستفاد من خبر الحسین بن أبی العلاء أنّ العصر لکون البول استنقع فی الثوب کما یشعر به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یبول علی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الشهید رحمه الله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العلّة فی العصر وجوب إخراج النجاسة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یخفی أنّ الوجه المذکور یقتضی عدم لزوم العصر إذا علم انتفاء دخول شی‌ء من النجاسة فی بطن الثوب ، والمدعی الوجوب مطلقاً ، والخبر المذکور لا یصلح للاعتماد علیه فی إثبات الحکم ؛ 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أظهرها أنّ إطلاق الصب فی الأخبار موجود مع قیام احتمال دخول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العلاّمة فی التذکرة والنهایة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وجه العصر نجاسة 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نجاسة الغسالة لا تختص بنجاسة دون نجاسة فیبقی العصر فی نجاسة البول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اعترض علیه به من أنّ اللازم من التوجیه الاکتفاء بما یحصل به الإزالة وإنّ کان بمجرّد الجفاف ، فلا یتعین العصر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نظر ؛ لأنّ الظن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4" w:name="__RefHeading___Toc146762_2142443653"/>
      <w:bookmarkStart w:id="425" w:name="_Toc159"/>
      <w:bookmarkEnd w:id="424"/>
      <w:r>
        <w:rPr>
          <w:rtl w:val="true"/>
        </w:rPr>
        <w:t>ما هی العلّة فی لزوم العصر؟</w:t>
      </w:r>
      <w:bookmarkStart w:id="426" w:name="pg15025_160296"/>
      <w:bookmarkEnd w:id="425"/>
    </w:p>
    <w:p>
      <w:pPr>
        <w:pStyle w:val="BookText"/>
        <w:rPr/>
      </w:pPr>
      <w:bookmarkEnd w:id="426"/>
      <w:r>
        <w:rPr>
          <w:rFonts w:ascii="Amiri" w:hAnsi="Amiri" w:eastAsia="Amiri" w:cs="Amiri"/>
          <w:color w:val="111111"/>
          <w:sz w:val="28"/>
          <w:sz w:val="28"/>
          <w:szCs w:val="28"/>
          <w:rtl w:val="true"/>
          <w:lang w:bidi="ar-SA"/>
        </w:rPr>
        <w:t>حاصل بانفصال النجاسة مع العصر دون الجفاف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ذکره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هذا یعنی الظن المذکور مجرّد دعوی خلیة عن الدلیل </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نجاسة الغُسالة علی تقدیر القول بها بعد الانفصال سواء کان بالعصر أو غیره ، فما یتخلف فی الثوب لا یحکم بنجاسته کما تدل علیه الأدلة العامة المنبئة عن طهارته بالغَسل بصبّ الماء علی المحل ، إلاّ أنّ فی ثبوت ما یصلح للاستدلال بالاکتفاء بالصبّ علی الإطلاق تأمّلاً ، فلا ینبغی الغفلة عن هذا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العِنَبَ ونحوَه یَعْصِرُه فهو مَعْصورٌ وعَصیر ، واعْتَصَرَهُ اسْتَخْرَجَ ما فیه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وعرّفه جدّی قدس سره بأنّه کبس الثوب بالمعتاد لإخراج الماء المغسول به </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بالمغایرة بین المعنی اللغوی والتفسیر المذکور ،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المذی یصیب الثوب والجسد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الشیخ رحمه الله عن أحمد بن محمد ، عن أبیه ، عن الحسین بن الحسن بن أبان ، عن الحسن بن سعید ، عن ابن أبی</w:t>
      </w:r>
    </w:p>
    <w:p>
      <w:pPr>
        <w:pStyle w:val="Heading4"/>
        <w:numPr>
          <w:ilvl w:val="3"/>
          <w:numId w:val="1"/>
        </w:numPr>
        <w:rPr/>
      </w:pPr>
      <w:bookmarkStart w:id="427" w:name="__RefHeading___Toc146764_2142443653"/>
      <w:bookmarkStart w:id="428" w:name="_Toc160"/>
      <w:bookmarkEnd w:id="427"/>
      <w:r>
        <w:rPr>
          <w:rtl w:val="true"/>
        </w:rPr>
        <w:t>معنی العصر</w:t>
      </w:r>
      <w:bookmarkEnd w:id="428"/>
    </w:p>
    <w:p>
      <w:pPr>
        <w:pStyle w:val="Heading3"/>
        <w:numPr>
          <w:ilvl w:val="2"/>
          <w:numId w:val="1"/>
        </w:numPr>
        <w:rPr/>
      </w:pPr>
      <w:bookmarkStart w:id="429" w:name="__RefHeading___Toc146766_2142443653"/>
      <w:bookmarkStart w:id="430" w:name="_Toc161"/>
      <w:bookmarkEnd w:id="429"/>
      <w:r>
        <w:rPr>
          <w:rtl w:val="true"/>
        </w:rPr>
        <w:t>المذی یصیب الثوب والجسد</w:t>
      </w:r>
      <w:bookmarkEnd w:id="43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1" w:name="__RefHeading___Toc146768_2142443653"/>
      <w:bookmarkStart w:id="432" w:name="_Toc162"/>
      <w:bookmarkEnd w:id="431"/>
      <w:r>
        <w:rPr>
          <w:rtl w:val="true"/>
        </w:rPr>
        <w:t>اشارة</w:t>
      </w:r>
      <w:bookmarkStart w:id="433" w:name="pg15025_160297"/>
      <w:bookmarkEnd w:id="432"/>
    </w:p>
    <w:p>
      <w:pPr>
        <w:pStyle w:val="BookText"/>
        <w:rPr/>
      </w:pPr>
      <w:bookmarkEnd w:id="433"/>
      <w:r>
        <w:rPr>
          <w:rFonts w:ascii="IRNazanin" w:hAnsi="IRNazanin" w:eastAsia="IRNazanin"/>
          <w:color w:val="111111"/>
          <w:sz w:val="28"/>
          <w:sz w:val="28"/>
          <w:szCs w:val="28"/>
          <w:rtl w:val="true"/>
          <w:lang w:bidi="fa-IR"/>
        </w:rPr>
        <w:t xml:space="preserve">عمیر ، عن غیر واحد من أصحابنا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المذی من الشهوة ، ولا من الإنعاظ ، ولا من القُبلة ، ولا من مسّ الفرج ، ولا من المضاجعة وضوء ، ولا یغسل منه الثوب ولا الجسد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علی بن الحکم ، عن الحسین بن أبی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المذی یصیب الثوب؟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عرفت مکانه فاغسله وإنّ خفی مکانه علیک فاغسل الثوب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علی ، عن الحسین بن أبی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المذی یصیب الثوب فیلتزق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یغسله ولا یتوضّأ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الاستحباب ، وقد استوفینا ما یتعلق بهذا الباب فی الکتاب الکبیر ، وفیما ذکرناه ها هنا وفیما تقدم من الکتاب کفایة إنّ شاء الله ، وقد روی هذا الراوی بعینه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أحمد بن محمد ، عن علی بن الحکم ، عن الحسین بن أبی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المذی یصیب الثوب؟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رددنا علیه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ینضحه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معروف الحال ممّا تقدم </w:t>
      </w:r>
      <w:r>
        <w:rPr>
          <w:rStyle w:val="FootnoteAnchor"/>
          <w:rtl w:val="true"/>
        </w:rPr>
        <w:footnoteReference w:id="564"/>
      </w:r>
      <w:r>
        <w:rPr>
          <w:rFonts w:ascii="IRNazanin" w:hAnsi="IRNazanin" w:eastAsia="IRNazanin"/>
          <w:color w:val="111111"/>
          <w:sz w:val="28"/>
          <w:sz w:val="28"/>
          <w:szCs w:val="28"/>
          <w:rtl w:val="true"/>
          <w:lang w:bidi="fa-IR"/>
        </w:rPr>
        <w:t xml:space="preserve">، ومال بعض مشایخنا إلی عدّه من الصحیح </w:t>
      </w:r>
      <w:r>
        <w:rPr>
          <w:rStyle w:val="FootnoteAnchor"/>
          <w:rtl w:val="true"/>
        </w:rPr>
        <w:footnoteReference w:id="565"/>
      </w:r>
      <w:r>
        <w:rPr>
          <w:rFonts w:ascii="IRNazanin" w:hAnsi="IRNazanin" w:eastAsia="IRNazanin"/>
          <w:color w:val="111111"/>
          <w:sz w:val="28"/>
          <w:sz w:val="28"/>
          <w:szCs w:val="28"/>
          <w:rtl w:val="true"/>
          <w:lang w:bidi="fa-IR"/>
        </w:rPr>
        <w:t xml:space="preserve">، وإنّ لم نقل بقبول مراسیل ابن أبی عمیر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4" w:name="__RefHeading___Toc146770_2142443653"/>
      <w:bookmarkStart w:id="435" w:name="_Toc163"/>
      <w:bookmarkEnd w:id="434"/>
      <w:r>
        <w:rPr>
          <w:rtl w:val="true"/>
        </w:rPr>
        <w:t>بحث حول إرسال ابن أبی عمیر عن غیر واحد</w:t>
      </w:r>
      <w:bookmarkStart w:id="436" w:name="pg15025_160298"/>
      <w:bookmarkEnd w:id="435"/>
    </w:p>
    <w:p>
      <w:pPr>
        <w:pStyle w:val="BookText"/>
        <w:rPr/>
      </w:pPr>
      <w:bookmarkEnd w:id="436"/>
      <w:r>
        <w:rPr>
          <w:rFonts w:ascii="IRNazanin" w:hAnsi="IRNazanin" w:eastAsia="IRNazanin"/>
          <w:color w:val="111111"/>
          <w:sz w:val="28"/>
          <w:sz w:val="28"/>
          <w:szCs w:val="28"/>
          <w:rtl w:val="true"/>
          <w:lang w:bidi="fa-IR"/>
        </w:rPr>
        <w:t>غیر واحد ، یفید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تأمّل ؛ لأنّ غیر الواحد إذا لم یحصل فیهم الوصف المعتبر فی القبول لا 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حال الثانی ، غیر أنّ علی بن الحکم قد أسلفنا أنّ الراوی عنه إذا کان أحمد بن محمد بن عیسی فهو الثقة </w:t>
      </w:r>
      <w:r>
        <w:rPr>
          <w:rStyle w:val="FootnoteAnchor"/>
          <w:rtl w:val="true"/>
        </w:rPr>
        <w:footnoteReference w:id="566"/>
      </w:r>
      <w:r>
        <w:rPr>
          <w:rFonts w:ascii="IRNazanin" w:hAnsi="IRNazanin" w:eastAsia="IRNazanin"/>
          <w:color w:val="111111"/>
          <w:sz w:val="28"/>
          <w:sz w:val="28"/>
          <w:szCs w:val="28"/>
          <w:rtl w:val="true"/>
          <w:lang w:bidi="fa-IR"/>
        </w:rPr>
        <w:t>بتقدیر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ومرادنا بتقدیر الاشتراک أنّ احتمال الاتحاد له نوع وجه ؛ لأنّ علی بن الحکم الکوفی الثقة ذکره الشیخ فی الفهرست </w:t>
      </w:r>
      <w:r>
        <w:rPr>
          <w:rStyle w:val="FootnoteAnchor"/>
          <w:rtl w:val="true"/>
        </w:rPr>
        <w:footnoteReference w:id="567"/>
      </w:r>
      <w:r>
        <w:rPr>
          <w:rFonts w:ascii="IRNazanin" w:hAnsi="IRNazanin" w:eastAsia="IRNazanin"/>
          <w:color w:val="111111"/>
          <w:sz w:val="28"/>
          <w:sz w:val="28"/>
          <w:szCs w:val="28"/>
          <w:rtl w:val="true"/>
          <w:lang w:bidi="fa-IR"/>
        </w:rPr>
        <w:t xml:space="preserve">، والنجاشی ذکر علی بن الحکم بن الزبیر النخعی غیر موثق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والکشی ذکر علی بن الحکم الأنباری </w:t>
      </w:r>
      <w:r>
        <w:rPr>
          <w:rStyle w:val="FootnoteAnchor"/>
          <w:rtl w:val="true"/>
        </w:rPr>
        <w:footnoteReference w:id="569"/>
      </w:r>
      <w:r>
        <w:rPr>
          <w:rFonts w:ascii="Amiri" w:hAnsi="Amiri" w:eastAsia="Amiri" w:cs="Amiri"/>
          <w:color w:val="111111"/>
          <w:sz w:val="28"/>
          <w:sz w:val="28"/>
          <w:szCs w:val="28"/>
          <w:rtl w:val="true"/>
          <w:lang w:bidi="ar-SA"/>
        </w:rPr>
        <w:t xml:space="preserve">، فالعلاّمة ظن التعدد </w:t>
      </w:r>
      <w:r>
        <w:rPr>
          <w:rStyle w:val="FootnoteAnchor"/>
          <w:rtl w:val="true"/>
        </w:rPr>
        <w:footnoteReference w:id="570"/>
      </w:r>
      <w:r>
        <w:rPr>
          <w:rFonts w:ascii="IRNazanin" w:hAnsi="IRNazanin" w:eastAsia="IRNazanin"/>
          <w:color w:val="111111"/>
          <w:sz w:val="28"/>
          <w:sz w:val="28"/>
          <w:szCs w:val="28"/>
          <w:rtl w:val="true"/>
          <w:lang w:bidi="fa-IR"/>
        </w:rPr>
        <w:t xml:space="preserve">وکذلک ابن داود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کان الوجه فی ذلک أنّ الکشی نقل عن حمدویه ، عن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الحکم هو ابن أخت داود بن النعمان بیّاع الأنماط ، وهو نسیب بنی الزبیر الصیارفة ، وعلی بن الحکم تلمیذ ابن أبی عمیر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أنّ یکون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نسیب بنی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عائداً إلی داود بن النعمان کما ینبه علیه ذکر علی بن الحکم ثانیاً ، فلا یتوهم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عدم التعدد أنّ الشیخ ذکر الکوفی خاصّة ، والنجاشی النخعی خاصّة ، والکشی الأنباری خاصّة ، ولا مانع من اتصاف الرجل الواحد بأوصاف ، غیر أنّ مجال الاحتمال واسع ، أمّا ما اتفق للعلاّمة وابن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7" w:name="__RefHeading___Toc146772_2142443653"/>
      <w:bookmarkStart w:id="438" w:name="_Toc164"/>
      <w:bookmarkEnd w:id="437"/>
      <w:r>
        <w:rPr>
          <w:rtl w:val="true"/>
        </w:rPr>
        <w:t>بحث حول علی بن الحکم</w:t>
      </w:r>
      <w:bookmarkStart w:id="439" w:name="pg15025_160299"/>
      <w:bookmarkEnd w:id="438"/>
    </w:p>
    <w:p>
      <w:pPr>
        <w:pStyle w:val="BookText"/>
        <w:rPr/>
      </w:pPr>
      <w:bookmarkEnd w:id="439"/>
      <w:r>
        <w:rPr>
          <w:rFonts w:ascii="IRNazanin" w:hAnsi="IRNazanin" w:eastAsia="IRNazanin"/>
          <w:color w:val="111111"/>
          <w:sz w:val="28"/>
          <w:sz w:val="28"/>
          <w:szCs w:val="28"/>
          <w:rtl w:val="true"/>
          <w:lang w:bidi="fa-IR"/>
        </w:rPr>
        <w:t>داود من الاختلاف فأمره سهل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کالثانی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لیس فیه إلاّ الحسین بن أبی العلاء ممّا یوجب التوقف فی الصحة علی ما قدّمناه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ظاهر الدلالة علی طهارة المذی سواء حصل من الشهوة أو الإنعاظ أو القُبلة أو المسّ أو المضاجعة ، بقرینة قوله علیه السلام أخیراً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یغسل منه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النقل عن العلاّمة فی ما سبق أنّه استدل بهذا الخبر علی نفی الوضوء بمسّ الفرج </w:t>
      </w:r>
      <w:r>
        <w:rPr>
          <w:rStyle w:val="FootnoteAnchor"/>
          <w:rtl w:val="true"/>
        </w:rPr>
        <w:footnoteReference w:id="574"/>
      </w:r>
      <w:r>
        <w:rPr>
          <w:rFonts w:ascii="IRNazanin" w:hAnsi="IRNazanin" w:eastAsia="IRNazanin"/>
          <w:color w:val="111111"/>
          <w:sz w:val="28"/>
          <w:sz w:val="28"/>
          <w:szCs w:val="28"/>
          <w:rtl w:val="true"/>
          <w:lang w:bidi="fa-IR"/>
        </w:rPr>
        <w:t>، وبیّنا ما ذکرناه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بعض المحقّقین سلّمه الله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من الإنعاظ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معطوف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الأوّل یکون الکلام مقصوراً علی ذکر عدم النقض بالمذی وحده سواء کان من الشهوة أو من الإنعاظ أو ما عطف علیه ، وعلی الثانی یکون الغرض عدم النقض بشی‌ء من الأُمور الخمسة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یظهر عدم صلاحیته للاستدلال علی عدم النقض بمسّ الفرج ، فاستدلال العلاّمة وغیره علی ذلک محل کلام </w:t>
      </w:r>
      <w:r>
        <w:rPr>
          <w:rStyle w:val="FootnoteAnchor"/>
          <w:rtl w:val="true"/>
        </w:rPr>
        <w:footnoteReference w:id="57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ما ذکرناه من دلالة آخر الحدیث لا ارتیاب فیها واحتمال غیره خلاف الظاهر ، بل خلاف الصریح ، علی أنّ العطف علی</w:t>
      </w:r>
    </w:p>
    <w:p>
      <w:pPr>
        <w:pStyle w:val="Heading4"/>
        <w:numPr>
          <w:ilvl w:val="3"/>
          <w:numId w:val="1"/>
        </w:numPr>
        <w:rPr/>
      </w:pPr>
      <w:bookmarkStart w:id="440" w:name="__RefHeading___Toc146774_2142443653"/>
      <w:bookmarkStart w:id="441" w:name="_Toc165"/>
      <w:bookmarkEnd w:id="440"/>
      <w:r>
        <w:rPr>
          <w:rtl w:val="true"/>
        </w:rPr>
        <w:t>إشارة إلی حال الحسین بن أبی العلاء</w:t>
      </w:r>
      <w:bookmarkEnd w:id="441"/>
    </w:p>
    <w:p>
      <w:pPr>
        <w:pStyle w:val="Heading4"/>
        <w:numPr>
          <w:ilvl w:val="3"/>
          <w:numId w:val="1"/>
        </w:numPr>
        <w:rPr/>
      </w:pPr>
      <w:bookmarkStart w:id="442" w:name="__RefHeading___Toc146776_2142443653"/>
      <w:bookmarkStart w:id="443" w:name="_Toc166"/>
      <w:bookmarkEnd w:id="442"/>
      <w:r>
        <w:rPr>
          <w:rtl w:val="true"/>
        </w:rPr>
        <w:t>دلالة مرسلة ابن أبی عمیر علی طهارة المذی</w:t>
      </w:r>
      <w:bookmarkEnd w:id="44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4" w:name="__RefHeading___Toc146778_2142443653"/>
      <w:bookmarkStart w:id="445" w:name="_Toc167"/>
      <w:bookmarkEnd w:id="444"/>
      <w:r>
        <w:rPr>
          <w:rtl w:val="true"/>
        </w:rPr>
        <w:t>هل تدل المرسلة علی عدم ناقضیة مسّ الفرج للوضوء؟</w:t>
      </w:r>
      <w:bookmarkStart w:id="446" w:name="pg15025_160300"/>
      <w:bookmarkEnd w:id="445"/>
    </w:p>
    <w:p>
      <w:pPr>
        <w:pStyle w:val="BookText"/>
        <w:rPr/>
      </w:pPr>
      <w:bookmarkEnd w:id="446"/>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سماجة </w:t>
      </w:r>
      <w:r>
        <w:rPr>
          <w:rStyle w:val="FootnoteAnchor"/>
          <w:rtl w:val="true"/>
        </w:rPr>
        <w:footnoteReference w:id="576"/>
      </w:r>
      <w:r>
        <w:rPr>
          <w:rFonts w:ascii="IRNazanin" w:hAnsi="IRNazanin" w:eastAsia="IRNazanin"/>
          <w:color w:val="111111"/>
          <w:sz w:val="28"/>
          <w:sz w:val="28"/>
          <w:szCs w:val="28"/>
          <w:rtl w:val="true"/>
          <w:lang w:bidi="fa-IR"/>
        </w:rPr>
        <w:t>اللفظ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الثانی والثالث نقل العلاّمة فی المختلف عن ابن الجنید أنّه احتج بهما علی نجاسة المذی بعد أن نقل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المذی ناقضاً لطهارة الإنسان غُسل منه الثوب والجسد ، ولو غُسل من جمیعه کان أحوط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المذی الناقض ما خرج عقیب شهوة لا ما کان </w:t>
      </w:r>
      <w:r>
        <w:rPr>
          <w:rFonts w:eastAsia="IRNazanin" w:cs="IRNazanin"/>
          <w:color w:val="111111"/>
          <w:sz w:val="28"/>
          <w:szCs w:val="28"/>
          <w:rtl w:val="true"/>
          <w:lang w:bidi="fa-IR"/>
        </w:rPr>
        <w:t xml:space="preserve">) </w:t>
      </w:r>
      <w:r>
        <w:rPr>
          <w:rStyle w:val="FootnoteAnchor"/>
          <w:rtl w:val="true"/>
        </w:rPr>
        <w:footnoteReference w:id="578"/>
      </w:r>
      <w:r>
        <w:rPr>
          <w:rFonts w:ascii="Amiri" w:hAnsi="Amiri" w:eastAsia="Amiri" w:cs="Amiri"/>
          <w:color w:val="111111"/>
          <w:sz w:val="28"/>
          <w:sz w:val="28"/>
          <w:szCs w:val="28"/>
          <w:rtl w:val="true"/>
          <w:lang w:bidi="ar-SA"/>
        </w:rPr>
        <w:t>من الخلقة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العلاّمة عن الحدیثین بالمنع من صحة السند أوّلاً ، وبالحمل علی الاستحباب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فی الحجّة أیضاً أنّ المذی خارج من أحد السبیلین فکان نجساً کالبول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القیاس بالفرق بما افترق به الأصل والفرع وإلاّ لاتّحدا وهو ینافی القیاس ، علی أنّ القیاس عندنا باطل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الوالد قدس سره علی الحجّة بالخبرین أنّهما لا یناسبان قول ابن الجنید ؛ لأنّه خصّ بالناقض ، وجعل الغَسل من الجمیع أحوط ،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تخصیص قول ابن الجنید وإنّ کان فی موضع النظر من حیث إنّ المعروف من المذی ما کان عقیب الشهوة ، وقد فسّر به الناقض الذی جعله مناطاً لوجوب الغَسل ، إلاّ أنّه بعد فرضه صدق الاسم علیه وعلی غیره لا یناسبه التمسک بالحدیثین ،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القیاس علی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7" w:name="__RefHeading___Toc146780_2142443653"/>
      <w:bookmarkStart w:id="448" w:name="_Toc168"/>
      <w:bookmarkEnd w:id="447"/>
      <w:r>
        <w:rPr>
          <w:rtl w:val="true"/>
        </w:rPr>
        <w:t>أدلّة ابن الجنید علی نجاسة المذی والجوب عنها والمناقشة فی الجواب</w:t>
      </w:r>
      <w:bookmarkEnd w:id="448"/>
    </w:p>
    <w:p>
      <w:pPr>
        <w:pStyle w:val="BookText"/>
        <w:rPr/>
      </w:pPr>
      <w:r>
        <w:rPr>
          <w:rFonts w:ascii="IRNazanin" w:hAnsi="IRNazanin" w:eastAsia="IRNazanin"/>
          <w:color w:val="111111"/>
          <w:sz w:val="28"/>
          <w:sz w:val="28"/>
          <w:szCs w:val="28"/>
          <w:rtl w:val="true"/>
          <w:lang w:bidi="fa-IR"/>
        </w:rPr>
        <w:t>البول فلأنه یقتضی نجاسة الجمیع والتفصیل ینافیه</w:t>
      </w:r>
      <w:r>
        <w:rPr>
          <w:rFonts w:eastAsia="IRNazanin" w:cs="IRNazanin"/>
          <w:color w:val="111111"/>
          <w:sz w:val="28"/>
          <w:szCs w:val="28"/>
          <w:rtl w:val="true"/>
          <w:lang w:bidi="fa-IR"/>
        </w:rPr>
        <w:t xml:space="preserve">.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لابن الجنید أنّ یقول فی دفع الاعتراض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فبأنّ ما دل علی النقض تضمن التخصیص بما کان عن شهوة ، وهو خبر علی بن یقطین المعدود فی الصحیح حیث قال علیه السلام فیه عن المذی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عن شهوة نقض </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والمناقشة بأنّ المعروف فی المذی ما کان عقیب الشهوة ، یدفعها الخبر المبحوث عنه فإنّه ذکر المذی من الشهوة وغیرها ، وفی خبر لعلی بن یقطین أنّ المذی من شهوة وغیر شهوة منه الوضوء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وإنّ کان مخالفاً لقول ابن الجنید ، إلاّ أنّه یدفع المناقشة ، ولابن الجنید أنّ یوجّه ذلک ، وإن کان الحق اندفاع ما قاله من النقض بما ذکرناه فی موضعه ، غایة الأمر أنّ ما ذکره الوالد قدس سره لا یخلو من 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الاعتراض بعدم دلالة الخبرین علی التفصیل له وجه إلاّ أنّ النظر الی الأخبار الدالة علی النقض والدالة علی الغَسل یوجب التقیید ، والاکتفاء بالإجمال اعتماداً علی الظهور غیر عزیز الوجود ، ومثل هذا القیاس علی البول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أجاب العلاّمة بضعف الخبرین </w:t>
      </w:r>
      <w:r>
        <w:rPr>
          <w:rStyle w:val="FootnoteAnchor"/>
          <w:rtl w:val="true"/>
        </w:rPr>
        <w:footnoteReference w:id="583"/>
      </w:r>
      <w:r>
        <w:rPr>
          <w:rFonts w:ascii="IRNazanin" w:hAnsi="IRNazanin" w:eastAsia="IRNazanin"/>
          <w:color w:val="111111"/>
          <w:sz w:val="28"/>
          <w:sz w:val="28"/>
          <w:szCs w:val="28"/>
          <w:rtl w:val="true"/>
          <w:lang w:bidi="fa-IR"/>
        </w:rPr>
        <w:t>، إمّا للحسین بن أبی العلاء ، أو لاشتراک علی بن الحکم علی ما ظنه ، فلا صراحة فی کلامه علی عدم توثیق الحسین بن أبی العلاء</w:t>
      </w:r>
      <w:r>
        <w:rPr>
          <w:rFonts w:eastAsia="IRNazanin" w:cs="IRNazanin"/>
          <w:color w:val="111111"/>
          <w:sz w:val="28"/>
          <w:szCs w:val="28"/>
          <w:rtl w:val="true"/>
          <w:lang w:bidi="fa-IR"/>
        </w:rPr>
        <w:t xml:space="preserve">. </w:t>
      </w:r>
      <w:bookmarkStart w:id="449" w:name="pg15025_160302"/>
    </w:p>
    <w:p>
      <w:pPr>
        <w:pStyle w:val="BookText"/>
        <w:rPr/>
      </w:pPr>
      <w:bookmarkEnd w:id="449"/>
      <w:r>
        <w:rPr>
          <w:rFonts w:ascii="IRNazanin" w:hAnsi="IRNazanin" w:eastAsia="IRNazanin"/>
          <w:color w:val="111111"/>
          <w:sz w:val="28"/>
          <w:sz w:val="28"/>
          <w:szCs w:val="28"/>
          <w:rtl w:val="true"/>
          <w:lang w:bidi="fa-IR"/>
        </w:rPr>
        <w:t xml:space="preserve">وقد اعترض الوالد قدس سره علی جواب العلاّمة عن الحجّة الأُخری بأنّ محاولته إبداء الفارق یشعر بکونه جواباً علی طریق التنزل والتسلیم ، لا سیما بقرینة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ارتقاء من الأدنی یعنی تجویز القیاس إلی منع العمل ، به واعتبار الفرق الذی ذکره یقتضی نفی القیاس رأساً ؛ إذ ما من قیاس إلاّ یتأتّی فیه هذا الفرق ، ولو حمل علی جعله وجهاً لإبطال أصل القیاس لم یبق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 هذا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وجاهته ، غیر ان فی نظری القاصر یمکن تکلّف الجواب بأنّ مراده أوّلاً بیان بطلان القیاس علی مذهب الخصم ، فلو رام دفع الجواب بأنّ الفرق بین الفرع والأصل لا یقتضی عدم صحة القیاس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عندنا باطل بالإجماع ، ویکون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 دالاًّ علی الإجماع ، والترقی من الأدنی إلی الأعلی ممکن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ابطال القیاس بوجهین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 وهو لزوم عدم الفرق ، وأعلی وهو الإجماع ، ووجه کون الأوّل أدنی إمکان الدخل فیه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العلاّمة قال فی الاحتجاج للطهارة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من الإمامیة علی طهارته ، وخلاف ابن الجنید غیر معتدٍّ به ، فإنّ الشیخ رحمه الله لمّا ذکره فی الفهرست وأثنی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أصحابنا ترکوا خلافه لأنّه کان یقول بالقیاس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منه رحمه الله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لا یشترط فیه جمیع الأعصار لیحتاج إلی الطعن فی ابن الجنید ، 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معتمداً لما ضرّ علی تقدیر اعتبار الجمیع لمعلومیة النسب ، وثالثاً أنّه فی إیضاح</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0" w:name="__RefHeading___Toc146782_2142443653"/>
      <w:bookmarkStart w:id="451" w:name="_Toc169"/>
      <w:bookmarkEnd w:id="450"/>
      <w:r>
        <w:rPr>
          <w:rtl w:val="true"/>
        </w:rPr>
        <w:t>کلام حول دعوی العلّامة الإجماع علی طهارة المذی</w:t>
      </w:r>
      <w:bookmarkEnd w:id="451"/>
    </w:p>
    <w:p>
      <w:pPr>
        <w:pStyle w:val="BookText"/>
        <w:rPr/>
      </w:pPr>
      <w:r>
        <w:rPr>
          <w:rFonts w:ascii="IRNazanin" w:hAnsi="IRNazanin" w:eastAsia="IRNazanin"/>
          <w:color w:val="111111"/>
          <w:sz w:val="28"/>
          <w:sz w:val="28"/>
          <w:szCs w:val="28"/>
          <w:rtl w:val="true"/>
          <w:lang w:bidi="fa-IR"/>
        </w:rPr>
        <w:t xml:space="preserve">الاشتباه قال فی ترجمة ابن الجنید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کلام لصفی الدین ابن معد یتضمن المدح لبعض مصنفات ابن الجنید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إلیّ من مصنفات الشیخ المعظم الشأن کتاب الأحمدی فی الفقه المحمدی ، وهو مختصر هذا الکتاب ، جیّد ، یدل علی فضل هذا الرجل وکماله وبلوغه الغایة القصوی فی الفقه وجودة نظره ، وأنا ذکرت خلافه وأقواله فی کتاب مختلف الشیعة </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هذا الکلام مناف لما قاله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یمکن 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الإجماع وإن لم یعتبر فیه جمیع الأعصار إلاّ أنّه إذا اتفقت فیه جمیع الأعصار کان أولی بالاستدلال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معلومیة النسب وإن کانت غیر قادحة فی الإجماع عنده إلاّ أنّه إذا انضمّ إلیها ما یزید الدلیل قوة کان أحری بالقبول ، علی أنّ فی عدم القدح بالمعلوم نوع کلام ، لاحتمال وجود المشارک کما ذکره بعض مشایخنا </w:t>
      </w:r>
      <w:r>
        <w:rPr>
          <w:rStyle w:val="FootnoteAnchor"/>
          <w:rtl w:val="true"/>
        </w:rPr>
        <w:footnoteReference w:id="587"/>
      </w:r>
      <w:r>
        <w:rPr>
          <w:rFonts w:ascii="IRNazanin" w:hAnsi="IRNazanin" w:eastAsia="IRNazanin"/>
          <w:color w:val="111111"/>
          <w:sz w:val="28"/>
          <w:sz w:val="28"/>
          <w:szCs w:val="28"/>
          <w:rtl w:val="true"/>
          <w:lang w:bidi="fa-IR"/>
        </w:rPr>
        <w:t>، وإن کان فیه نظر ؛ لأنّ المفروض انحصار المخالف فی المعلوم ، والاحتمال البعید لا یقدح ، غیر أنّ تحقق الإجماع الحقیقی علی تقدیر الإمکان فی بعض الأزمان فی غایة البعد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الشیخ من الحمل علی الاستحباب ظاهر الوجاهة ، وقد یحتمل التقیة لولا نفی الوضوء فی الخبر الثالث</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فیه شی‌ء وهو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ینضحه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 أنّ یکون من الإمام علیه السلام حین ردّد علیه الحسین أبی العلاء یحتمل أنّ یکون من الحسین والرادّ علیه علی بن الحکم ، ووجه الرّد أنّهم رووا عنه أنّه سمع </w:t>
      </w:r>
      <w:bookmarkStart w:id="452" w:name="pg15025_160304"/>
    </w:p>
    <w:p>
      <w:pPr>
        <w:pStyle w:val="BookText"/>
        <w:rPr/>
      </w:pPr>
      <w:bookmarkEnd w:id="452"/>
      <w:r>
        <w:rPr>
          <w:rFonts w:ascii="IRNazanin" w:hAnsi="IRNazanin" w:eastAsia="IRNazanin"/>
          <w:color w:val="111111"/>
          <w:sz w:val="28"/>
          <w:sz w:val="28"/>
          <w:szCs w:val="28"/>
          <w:rtl w:val="true"/>
          <w:lang w:bidi="fa-IR"/>
        </w:rPr>
        <w:t xml:space="preserve">خلاف ذلک ، فقال عوض لا بأس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ینضحه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یخفی بُعد هذا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قدّمنا تفسیر المذی عن بعض </w:t>
      </w:r>
      <w:r>
        <w:rPr>
          <w:rStyle w:val="FootnoteAnchor"/>
          <w:rtl w:val="true"/>
        </w:rPr>
        <w:footnoteReference w:id="588"/>
      </w:r>
      <w:r>
        <w:rPr>
          <w:rFonts w:ascii="IRNazanin" w:hAnsi="IRNazanin" w:eastAsia="IRNazanin"/>
          <w:color w:val="111111"/>
          <w:sz w:val="28"/>
          <w:sz w:val="28"/>
          <w:szCs w:val="28"/>
          <w:rtl w:val="true"/>
          <w:lang w:bidi="fa-IR"/>
        </w:rPr>
        <w:t xml:space="preserve">، والإنعاظ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قیام الذکر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نضح البیت ینضحه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المقدار الذی یجب إزالته من الدم وما لا یجب</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ابن یعقوب ، عن علی بن إبراهیم ، عن أبیه ، عن حماد ، عن حریز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یکون فی الثوب علیّ وأنا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رأیته وعلیک ثوب غیره فاطرحه وصلّ ، فإنّ لم یکن علیک غیره فامض فی صلاتک ولا اعادة علیک ما لم یزد علی مقدار 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أقل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فلیس بشی‌ء رأیته أو لم تره ، فاذا کنت قد رأیته وهو أکثر من مقدار الدرهم وضیّعت غَسله وصلّیت فیه صلاة کثیرة فأعد ما صلّیت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الحسین بن عبید الله ، عن أحمد بن محمد بن یحیی ،</w:t>
      </w:r>
    </w:p>
    <w:p>
      <w:pPr>
        <w:pStyle w:val="Heading4"/>
        <w:numPr>
          <w:ilvl w:val="3"/>
          <w:numId w:val="1"/>
        </w:numPr>
        <w:rPr/>
      </w:pPr>
      <w:bookmarkStart w:id="453" w:name="__RefHeading___Toc146784_2142443653"/>
      <w:bookmarkStart w:id="454" w:name="_Toc170"/>
      <w:bookmarkEnd w:id="453"/>
      <w:r>
        <w:rPr>
          <w:rtl w:val="true"/>
        </w:rPr>
        <w:t>معنی الإنعاظ والنضح</w:t>
      </w:r>
      <w:bookmarkEnd w:id="454"/>
    </w:p>
    <w:p>
      <w:pPr>
        <w:pStyle w:val="Heading3"/>
        <w:numPr>
          <w:ilvl w:val="2"/>
          <w:numId w:val="1"/>
        </w:numPr>
        <w:rPr/>
      </w:pPr>
      <w:bookmarkStart w:id="455" w:name="__RefHeading___Toc146786_2142443653"/>
      <w:bookmarkStart w:id="456" w:name="_Toc171"/>
      <w:bookmarkEnd w:id="455"/>
      <w:r>
        <w:rPr>
          <w:rtl w:val="true"/>
        </w:rPr>
        <w:t>المقدار الذی یجب إزالته من الدم ومالایجب</w:t>
      </w:r>
      <w:bookmarkEnd w:id="45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7" w:name="__RefHeading___Toc146788_2142443653"/>
      <w:bookmarkStart w:id="458" w:name="_Toc172"/>
      <w:bookmarkEnd w:id="457"/>
      <w:r>
        <w:rPr>
          <w:rtl w:val="true"/>
        </w:rPr>
        <w:t>اشارة</w:t>
      </w:r>
      <w:bookmarkEnd w:id="458"/>
    </w:p>
    <w:p>
      <w:pPr>
        <w:pStyle w:val="BookText"/>
        <w:rPr/>
      </w:pPr>
      <w:r>
        <w:rPr>
          <w:rFonts w:ascii="IRNazanin" w:hAnsi="IRNazanin" w:eastAsia="IRNazanin"/>
          <w:color w:val="111111"/>
          <w:sz w:val="28"/>
          <w:sz w:val="28"/>
          <w:szCs w:val="28"/>
          <w:rtl w:val="true"/>
          <w:lang w:bidi="fa-IR"/>
        </w:rPr>
        <w:t xml:space="preserve">عن أبیه ، عن محمد بن علی بن محبوب ، عن الحسین بن الحسن ، عن جعفر بن بشیر ، عن إسماعیل الجعفی ، عن أبی جعفر علیه السلام </w:t>
      </w:r>
      <w:r>
        <w:rPr>
          <w:rStyle w:val="FootnoteAnchor"/>
          <w:rtl w:val="true"/>
        </w:rPr>
        <w:footnoteReference w:id="592"/>
      </w:r>
      <w:r>
        <w:rPr>
          <w:rFonts w:ascii="IRNazanin" w:hAnsi="IRNazanin" w:eastAsia="IRNazanin"/>
          <w:color w:val="111111"/>
          <w:sz w:val="28"/>
          <w:sz w:val="28"/>
          <w:szCs w:val="28"/>
          <w:rtl w:val="true"/>
          <w:lang w:bidi="fa-IR"/>
        </w:rPr>
        <w:t xml:space="preserve">قال فی الدم یکون فی الثوب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أقلّ من قدر الدرهم فلا یعید الصلاة ، وإن کان أکثر من قدر الدرهم وکان رآه فلم یغسله حتی صلّی فلیعد صلاته ، وإن لم یکن رآه حتی صلّی فلا یعید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عن أحمد بن محمد ، عن أبیه ، عن الصفار </w:t>
      </w:r>
      <w:r>
        <w:rPr>
          <w:rStyle w:val="FootnoteAnchor"/>
          <w:rtl w:val="true"/>
        </w:rPr>
        <w:footnoteReference w:id="593"/>
      </w:r>
      <w:r>
        <w:rPr>
          <w:rFonts w:ascii="IRNazanin" w:hAnsi="IRNazanin" w:eastAsia="IRNazanin"/>
          <w:color w:val="111111"/>
          <w:sz w:val="28"/>
          <w:sz w:val="28"/>
          <w:szCs w:val="28"/>
          <w:rtl w:val="true"/>
          <w:lang w:bidi="fa-IR"/>
        </w:rPr>
        <w:t xml:space="preserve">، عن علی بن الحکم ، عن زیاد بن أبی الحلال ، عن عبد الله 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دم البراغیث؟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یکثر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فالرجل یکون فی ثوبه نقط الدم لا یعلم به ثم یعلم فینسی </w:t>
      </w:r>
      <w:r>
        <w:rPr>
          <w:rStyle w:val="FootnoteAnchor"/>
          <w:rtl w:val="true"/>
        </w:rPr>
        <w:footnoteReference w:id="594"/>
      </w:r>
      <w:r>
        <w:rPr>
          <w:rFonts w:ascii="IRNazanin" w:hAnsi="IRNazanin" w:eastAsia="IRNazanin"/>
          <w:color w:val="111111"/>
          <w:sz w:val="28"/>
          <w:sz w:val="28"/>
          <w:szCs w:val="28"/>
          <w:rtl w:val="true"/>
          <w:lang w:bidi="fa-IR"/>
        </w:rPr>
        <w:t xml:space="preserve">أن یغسله فیصلّی ثم یذکر بعد ما صلّی أیعید صلاته؟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یغسله ولا یعید صلاته إلاّ أن یکون مقدار الدرهم مجتمعاً فیغسله ویعید الصلاة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سعد بن عبد الله ، عن أبی جعفر ، عن علی بن حدید ، عن جمیل بن درّاج ، عن بعض أصحابنا ، عن ابی جعفر وأبی عبد الله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یصلّی الرجل فی الثوب وفیه الدم متفرقاً شبه النضح ، فإن کان قد رآه صاحبه قبل ذلک فلا بأس به ما لم یکن مجتمعاً قدر الدرهم </w:t>
      </w:r>
      <w:r>
        <w:rPr>
          <w:rFonts w:eastAsia="IRNazanin" w:cs="IRNazanin"/>
          <w:color w:val="111111"/>
          <w:sz w:val="28"/>
          <w:szCs w:val="28"/>
          <w:rtl w:val="true"/>
          <w:lang w:bidi="fa-IR"/>
        </w:rPr>
        <w:t xml:space="preserve">». </w:t>
      </w:r>
      <w:bookmarkStart w:id="459" w:name="pg15025_160306"/>
    </w:p>
    <w:p>
      <w:pPr>
        <w:pStyle w:val="BookText"/>
        <w:rPr/>
      </w:pPr>
      <w:bookmarkEnd w:id="459"/>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فیه علی ما قدّمناه ، وحمّاد هو ابن عیسی کما صرّح به الصدوق فی الفقیه حیث قال فی إسناده إلی وصیة أمیر المؤمنین علیه السلام لابنه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بن هاشم ، عن أبیه ، عن حماد بن عیسی ، ویغلط أکثر الناس فیجعلون مکان حماد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 وإبراهیم بن هاشم لم یلق حمّاد بن عثمان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الخلاصة ذکر ذلک تبعاً </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 یظن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ذلک للتصریح فی </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کتب الرجال حیث ذکر إبراهیم وحمّاد بن عثمان فی أصحاب الرضا </w:t>
      </w:r>
      <w:r>
        <w:rPr>
          <w:rStyle w:val="FootnoteAnchor"/>
          <w:rtl w:val="true"/>
        </w:rPr>
        <w:footnoteReference w:id="598"/>
      </w:r>
      <w:r>
        <w:rPr>
          <w:rFonts w:ascii="IRNazanin" w:hAnsi="IRNazanin" w:eastAsia="IRNazanin"/>
          <w:color w:val="111111"/>
          <w:sz w:val="28"/>
          <w:sz w:val="28"/>
          <w:szCs w:val="28"/>
          <w:rtl w:val="true"/>
          <w:lang w:bidi="fa-IR"/>
        </w:rPr>
        <w:t>، یدفعه أنّ اللقاء أمر 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الحسین بن الحسن علی ما وقفت علیه من النسخ ، ولا یبعد کونه ابن أبان ، وقد أسلفنا بیان حاله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فوائد شیخنا المحقق أیّده الله علی الکتاب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الحسین ، وهو اللؤلؤی ؛ لما تقدم فی باب من دخل فی الصلاة بتیمم من روایة محمد بن علی بن محبوب ، عنه ، عن جعفر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 وکأنّ الحسین هو ابن الحسن بن أبان والحدیث صحیح ، أو هو ابن الحسن الفارسی المذکور مهملاً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أیّده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وجه النظر أنّه لا یلزم من تلک الروایة کونه مطّرداً ، وهو کذلک ،</w:t>
      </w:r>
    </w:p>
    <w:p>
      <w:pPr>
        <w:pStyle w:val="Heading4"/>
        <w:numPr>
          <w:ilvl w:val="3"/>
          <w:numId w:val="1"/>
        </w:numPr>
        <w:rPr/>
      </w:pPr>
      <w:bookmarkStart w:id="460" w:name="__RefHeading___Toc146790_2142443653"/>
      <w:bookmarkStart w:id="461" w:name="_Toc173"/>
      <w:bookmarkEnd w:id="460"/>
      <w:r>
        <w:rPr>
          <w:rtl w:val="true"/>
        </w:rPr>
        <w:t>حماد الذی یروی عنه إبراهیم بن هاشم هو حماد بن عیسی</w:t>
      </w:r>
      <w:bookmarkEnd w:id="46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2" w:name="__RefHeading___Toc146792_2142443653"/>
      <w:bookmarkStart w:id="463" w:name="_Toc174"/>
      <w:bookmarkEnd w:id="462"/>
      <w:r>
        <w:rPr>
          <w:rtl w:val="true"/>
        </w:rPr>
        <w:t>بحث حول الحسین بن الحسن</w:t>
      </w:r>
      <w:bookmarkStart w:id="464" w:name="pg15025_160307"/>
      <w:bookmarkEnd w:id="463"/>
    </w:p>
    <w:p>
      <w:pPr>
        <w:pStyle w:val="BookText"/>
        <w:rPr/>
      </w:pPr>
      <w:bookmarkEnd w:id="464"/>
      <w:r>
        <w:rPr>
          <w:rFonts w:ascii="IRNazanin" w:hAnsi="IRNazanin" w:eastAsia="IRNazanin"/>
          <w:color w:val="111111"/>
          <w:sz w:val="28"/>
          <w:sz w:val="28"/>
          <w:szCs w:val="28"/>
          <w:rtl w:val="true"/>
          <w:lang w:bidi="fa-IR"/>
        </w:rPr>
        <w:t>إلاّ أنّ الظن یقرب إلی ترجیح ما ذکره القائل لولا اتفاق النسخ ، وبالجملة فللکلام مجال فی صحة الحدیث بالنسبة إلی الرجل المبحوث عنه بعد وجود من ذکر مهملاً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إسماعیل الجعفی فهو وإنّ کان مشترکاً بین ابن جابر وبین ابن عبد الرحمن المذکور فی رجال الباقر والصادق علیهماالسلام من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فقیهاً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الظاهر کونه ابن جابر وقد وقع فیه نوع اضطراب ؛ لأن النجاشی ذکره من غیر توثیق </w:t>
      </w:r>
      <w:r>
        <w:rPr>
          <w:rStyle w:val="FootnoteAnchor"/>
          <w:rtl w:val="true"/>
        </w:rPr>
        <w:footnoteReference w:id="601"/>
      </w:r>
      <w:r>
        <w:rPr>
          <w:rFonts w:ascii="Amiri" w:hAnsi="Amiri" w:eastAsia="Amiri" w:cs="Amiri"/>
          <w:color w:val="111111"/>
          <w:sz w:val="28"/>
          <w:sz w:val="28"/>
          <w:szCs w:val="28"/>
          <w:rtl w:val="true"/>
          <w:lang w:bidi="ar-SA"/>
        </w:rPr>
        <w:t xml:space="preserve">، والعلاّمة وثّقه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وجدناه فی کتاب الشیخ من رجال الباقر علیه السلام إسماعیل بن جابر الخثعمی وقال إنّه ثقة ممدوح </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قال بعد لفظ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 وهو قرینة علی أنّ الأخذ من کلام الشیخ ، فیکون الخثعمی فی النسخ ، وممّا یؤیّد ذلک أنّ النجاشی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حدیث الأذان </w:t>
      </w:r>
      <w:r>
        <w:rPr>
          <w:rStyle w:val="FootnoteAnchor"/>
          <w:rtl w:val="true"/>
        </w:rPr>
        <w:footnoteReference w:id="604"/>
      </w:r>
      <w:r>
        <w:rPr>
          <w:rFonts w:ascii="IRNazanin" w:hAnsi="IRNazanin" w:eastAsia="IRNazanin"/>
          <w:color w:val="111111"/>
          <w:sz w:val="28"/>
          <w:sz w:val="28"/>
          <w:szCs w:val="28"/>
          <w:rtl w:val="true"/>
          <w:lang w:bidi="fa-IR"/>
        </w:rPr>
        <w:t xml:space="preserve">، والحدیث فی کتابی </w:t>
      </w:r>
      <w:r>
        <w:rPr>
          <w:rStyle w:val="FootnoteAnchor"/>
          <w:rtl w:val="true"/>
        </w:rPr>
        <w:footnoteReference w:id="605"/>
      </w:r>
      <w:r>
        <w:rPr>
          <w:rFonts w:ascii="IRNazanin" w:hAnsi="IRNazanin" w:eastAsia="IRNazanin"/>
          <w:color w:val="111111"/>
          <w:sz w:val="28"/>
          <w:sz w:val="28"/>
          <w:szCs w:val="28"/>
          <w:rtl w:val="true"/>
          <w:lang w:bidi="fa-IR"/>
        </w:rPr>
        <w:t>الشیخ بلفظ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رجال الصادق علیه السلام من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الخثعمی أیضاً من غیر توثیق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الصواب روایة الصفار ، عن أحمد بن محمد ، عن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5" w:name="__RefHeading___Toc146794_2142443653"/>
      <w:bookmarkStart w:id="466" w:name="_Toc175"/>
      <w:bookmarkEnd w:id="465"/>
      <w:r>
        <w:rPr>
          <w:rtl w:val="true"/>
        </w:rPr>
        <w:t>بحث حول إسماعیل الجعفی</w:t>
      </w:r>
      <w:bookmarkStart w:id="467" w:name="pg15025_160308"/>
      <w:bookmarkEnd w:id="466"/>
    </w:p>
    <w:p>
      <w:pPr>
        <w:pStyle w:val="BookText"/>
        <w:rPr/>
      </w:pPr>
      <w:bookmarkEnd w:id="467"/>
      <w:r>
        <w:rPr>
          <w:rFonts w:ascii="IRNazanin" w:hAnsi="IRNazanin" w:eastAsia="IRNazanin"/>
          <w:color w:val="111111"/>
          <w:sz w:val="28"/>
          <w:sz w:val="28"/>
          <w:szCs w:val="28"/>
          <w:rtl w:val="true"/>
          <w:lang w:bidi="fa-IR"/>
        </w:rPr>
        <w:t xml:space="preserve">علی بن الحکم ، کما فی التهذیب </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وزیاد بن أبی الحلال وعبد الله حالهما فی الجلالة غنی عن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بعلی بن حدید والإرسال ، وأبو جعفر هو أحمد بن محمد بن عیسی علی ما ذکره العلاّمة فی الخلاصة </w:t>
      </w:r>
      <w:r>
        <w:rPr>
          <w:rStyle w:val="FootnoteAnchor"/>
          <w:rtl w:val="true"/>
        </w:rPr>
        <w:footnoteReference w:id="608"/>
      </w:r>
      <w:r>
        <w:rPr>
          <w:rFonts w:ascii="IRNazanin" w:hAnsi="IRNazanin" w:eastAsia="IRNazanin"/>
          <w:color w:val="111111"/>
          <w:sz w:val="28"/>
          <w:sz w:val="28"/>
          <w:szCs w:val="28"/>
          <w:rtl w:val="true"/>
          <w:lang w:bidi="fa-IR"/>
        </w:rPr>
        <w:t xml:space="preserve">، والاعتبار یساعده ، إلاّ أنّا قدّمنا ما یوجب نوع ریب فی ذلک ، وأمره سهل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من العلاّمة رحمه الله فی الخلاصة أنّه قال فی ترجمة إسماعیل بن عبد الرحمن الجعفی الذی أشرنا إلی احتماله سابقاً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ابن عبد الرحمن الجُعفی الکوفی تابعی من أصحاب أبی عبد الله الصادق سمع من أبی الطفیل مات فی حیاة أبی عبد الله علیه السلام وکان فقیهاً وروی عن أبی جعفر الباقر علیه السلام ، ونقل ابن عقدة أنّ الصادق علیه السلام ترحّم علیه ، وحکی عن ابن نمیر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 وبالجملة إنّ حدیثه اعتمد علیه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ما ذکره لا یصلح للاعتماد إلاّ أن یکون له وجه آخر مخفی ، ومثل هذا یوجب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صدره علی أنّ الدم إذا رئی فی الثوب فی أثناء الصلاة وکان علی المصلّی ثوب غیر الذی فیه الدم فلیطرح الثوب ولیصلّ ،</w:t>
      </w:r>
    </w:p>
    <w:p>
      <w:pPr>
        <w:pStyle w:val="Heading4"/>
        <w:numPr>
          <w:ilvl w:val="3"/>
          <w:numId w:val="1"/>
        </w:numPr>
        <w:rPr/>
      </w:pPr>
      <w:bookmarkStart w:id="468" w:name="__RefHeading___Toc146796_2142443653"/>
      <w:bookmarkStart w:id="469" w:name="_Toc176"/>
      <w:bookmarkEnd w:id="468"/>
      <w:r>
        <w:rPr>
          <w:rtl w:val="true"/>
        </w:rPr>
        <w:t>إشارة إلی جلالة زیاد بن ابی الحلال وعبدالله بن أبی یعفور</w:t>
      </w:r>
      <w:bookmarkEnd w:id="469"/>
    </w:p>
    <w:p>
      <w:pPr>
        <w:pStyle w:val="Heading4"/>
        <w:numPr>
          <w:ilvl w:val="3"/>
          <w:numId w:val="1"/>
        </w:numPr>
        <w:rPr/>
      </w:pPr>
      <w:bookmarkStart w:id="470" w:name="__RefHeading___Toc146798_2142443653"/>
      <w:bookmarkStart w:id="471" w:name="_Toc177"/>
      <w:bookmarkEnd w:id="470"/>
      <w:r>
        <w:rPr>
          <w:rtl w:val="true"/>
        </w:rPr>
        <w:t>علی بن حدید ضعیف</w:t>
      </w:r>
      <w:bookmarkEnd w:id="471"/>
    </w:p>
    <w:p>
      <w:pPr>
        <w:pStyle w:val="Heading4"/>
        <w:numPr>
          <w:ilvl w:val="3"/>
          <w:numId w:val="1"/>
        </w:numPr>
        <w:rPr/>
      </w:pPr>
      <w:bookmarkStart w:id="472" w:name="__RefHeading___Toc146800_2142443653"/>
      <w:bookmarkStart w:id="473" w:name="_Toc178"/>
      <w:bookmarkEnd w:id="472"/>
      <w:r>
        <w:rPr>
          <w:rtl w:val="true"/>
        </w:rPr>
        <w:t>أبو جعفر الذی یروی عنه سعد بن عبدالله هو أحمد بن محمّد بن عیسی</w:t>
      </w:r>
      <w:bookmarkEnd w:id="473"/>
    </w:p>
    <w:p>
      <w:pPr>
        <w:pStyle w:val="Heading4"/>
        <w:numPr>
          <w:ilvl w:val="3"/>
          <w:numId w:val="1"/>
        </w:numPr>
        <w:rPr/>
      </w:pPr>
      <w:bookmarkStart w:id="474" w:name="__RefHeading___Toc146802_2142443653"/>
      <w:bookmarkStart w:id="475" w:name="_Toc179"/>
      <w:bookmarkEnd w:id="474"/>
      <w:r>
        <w:rPr>
          <w:rtl w:val="true"/>
        </w:rPr>
        <w:t>کلمة حول إسماعیل بن عبدالرحمان الجعفی</w:t>
      </w:r>
      <w:bookmarkEnd w:id="47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6" w:name="__RefHeading___Toc146804_2142443653"/>
      <w:bookmarkStart w:id="477" w:name="_Toc180"/>
      <w:bookmarkEnd w:id="476"/>
      <w:r>
        <w:rPr>
          <w:rtl w:val="true"/>
        </w:rPr>
        <w:t>مایستفاد من روایة محمّد بن مسلم فی مسألة رؤیة الدم فی الثوب فی حال الصلاة</w:t>
      </w:r>
      <w:bookmarkEnd w:id="477"/>
    </w:p>
    <w:p>
      <w:pPr>
        <w:pStyle w:val="BookText"/>
        <w:rPr/>
      </w:pPr>
      <w:r>
        <w:rPr>
          <w:rFonts w:ascii="IRNazanin" w:hAnsi="IRNazanin" w:eastAsia="IRNazanin"/>
          <w:color w:val="111111"/>
          <w:sz w:val="28"/>
          <w:sz w:val="28"/>
          <w:szCs w:val="28"/>
          <w:rtl w:val="true"/>
          <w:lang w:bidi="fa-IR"/>
        </w:rPr>
        <w:t xml:space="preserve">وإن لم یکن غیره فلیمض فی الصلاة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فیما وقفت علیه ، لکنه فی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لم یزد </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والمعنی علی ما فی التهذیب أوضح ، لکن الظاهر ارتباطه بالسابق أیضاً علی معنی أنّ وجوب الطرح إنّما هو إذا زاد علی مقدار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 الارتباط بأنّ الزیادة إنّما ذکرت لما بعدها من جهة الفرق بین الرؤیة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منافاة فیجتمع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الإطلاق فی صدره یشمل ما لو استلزم الطرح فعلاً کثیراً وعدمه ، وبعض المتأخّرین قیّد الحکم بغیر الفعل الکثیر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الإطلاق فی المضیّ یتناول الضرورة وعدمها ، وفیه أیضاً کلام ذکرناه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یقتضیه هذه العبارة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الواو لو کان مرتبطاً بما قبله إمّا بالإعادة ، أو بالمضی فی الصلاة ، أو بالطرح والصلاة لم یبق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 بشی‌ء رأیته أو لم 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مناسبة کما لا یخفی ، بل یضر بحال ما تقدم ؛ لأنّه إذا کان لیس بشی‌ء فلا وجه لبعض ما تقدّم إلاّ بالحمل علی الاستحباب فی بعض ، ویلزم نوع اضطراب فی المتن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دلالة عجز الخبر علی اعتبار کون الدم أکثر من درهم ، لکن یدل علی أنّ الدم رئی لتکون الصلاة وقعت نسیاناً أو جهلاً علی احتمال لا یخلو من تأمّل ، والرؤیة المذکورة لا تخلو من شمول بحسب الإطلاق لما قبل الصلاة أو فی أثنائها ، وقد یظن ظهور تضییع الغَسل بما </w:t>
      </w:r>
      <w:bookmarkStart w:id="478" w:name="pg15025_160310"/>
    </w:p>
    <w:p>
      <w:pPr>
        <w:pStyle w:val="BookText"/>
        <w:rPr/>
      </w:pPr>
      <w:bookmarkEnd w:id="478"/>
      <w:r>
        <w:rPr>
          <w:rFonts w:ascii="IRNazanin" w:hAnsi="IRNazanin" w:eastAsia="IRNazanin"/>
          <w:color w:val="111111"/>
          <w:sz w:val="28"/>
          <w:sz w:val="28"/>
          <w:szCs w:val="28"/>
          <w:rtl w:val="true"/>
          <w:lang w:bidi="fa-IR"/>
        </w:rPr>
        <w:t>قبل الصلاة کما یعرف بالتأمّل ، کما یظهر منه وجه التأمل فی تناول الجاهل ، وإن أمکن أن یکون من أسباب التضییع عدم السؤال عن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الظاهر أیضاً من التضییع ینافی النسیان ، ولعل التوجیه غیر 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تأیید لما تضمنه العجز ، والکلام فی الرؤیة فیه کالأوّل ، إلاّ أنّ له ظهوراً أزید من الأوّل فی الدلالة علی ما قبل الصلاة ، واحتمال أنّ یقال بصراحته ، لما یفهم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یدفعه التأمّل الصادق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نقل العلاّمة </w:t>
      </w:r>
      <w:r>
        <w:rPr>
          <w:rStyle w:val="FootnoteAnchor"/>
          <w:rtl w:val="true"/>
        </w:rPr>
        <w:footnoteReference w:id="613"/>
      </w:r>
      <w:r>
        <w:rPr>
          <w:rFonts w:ascii="Amiri" w:hAnsi="Amiri" w:eastAsia="Amiri" w:cs="Amiri"/>
          <w:color w:val="111111"/>
          <w:sz w:val="28"/>
          <w:sz w:val="28"/>
          <w:szCs w:val="28"/>
          <w:rtl w:val="true"/>
          <w:lang w:bidi="ar-SA"/>
        </w:rPr>
        <w:t xml:space="preserve">والمحقّق </w:t>
      </w:r>
      <w:r>
        <w:rPr>
          <w:rStyle w:val="FootnoteAnchor"/>
          <w:rtl w:val="true"/>
        </w:rPr>
        <w:footnoteReference w:id="614"/>
      </w:r>
      <w:r>
        <w:rPr>
          <w:rFonts w:ascii="IRNazanin" w:hAnsi="IRNazanin" w:eastAsia="IRNazanin"/>
          <w:color w:val="111111"/>
          <w:sz w:val="28"/>
          <w:sz w:val="28"/>
          <w:szCs w:val="28"/>
          <w:rtl w:val="true"/>
          <w:lang w:bidi="fa-IR"/>
        </w:rPr>
        <w:t xml:space="preserve">فی المعتبر الإجماع علی وجوب إزالة ما زاد علی الدرهم ، کما ادّعیا الإجماع علی أنّ الأقل من الدرهم لا تجب إزالته ، وإنّما الخلاف فی مقدار الدرهم ، فذهب البعض إلی عدم العفو عنه </w:t>
      </w:r>
      <w:r>
        <w:rPr>
          <w:rStyle w:val="FootnoteAnchor"/>
          <w:rtl w:val="true"/>
        </w:rPr>
        <w:footnoteReference w:id="615"/>
      </w:r>
      <w:r>
        <w:rPr>
          <w:rFonts w:ascii="IRNazanin" w:hAnsi="IRNazanin" w:eastAsia="IRNazanin"/>
          <w:color w:val="111111"/>
          <w:sz w:val="28"/>
          <w:sz w:val="28"/>
          <w:szCs w:val="28"/>
          <w:rtl w:val="true"/>
          <w:lang w:bidi="fa-IR"/>
        </w:rPr>
        <w:t xml:space="preserve">، وینقل عن السیّد المرتضی وسلاّر عدم وجوب الإزالة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اعتبار مقدار الدرهم مجتمعاً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فی توجیه دلالته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 العفو عن مقدار الدرهم حاصلاً لما وجب إعادة الصلاة مع النسیان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والخبران الأوّلان یدلان علی اعتبار الزیادة ، والمفهوم منهما العفو عن المساوی ، إلاّ أنّ بعض القائلین بالعفو عن المساوی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یعارض الخبران </w:t>
      </w:r>
      <w:r>
        <w:rPr>
          <w:rStyle w:val="FootnoteAnchor"/>
          <w:rtl w:val="true"/>
        </w:rPr>
        <w:footnoteReference w:id="618"/>
      </w:r>
      <w:r>
        <w:rPr>
          <w:rFonts w:ascii="IRNazanin" w:hAnsi="IRNazanin" w:eastAsia="IRNazanin"/>
          <w:color w:val="111111"/>
          <w:sz w:val="28"/>
          <w:sz w:val="28"/>
          <w:szCs w:val="28"/>
          <w:rtl w:val="true"/>
          <w:lang w:bidi="fa-IR"/>
        </w:rPr>
        <w:t>الخبر الثالث لاعتضاد الخبرین بأصالة البراءة ، والقائلون بعدم العفو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9" w:name="__RefHeading___Toc146806_2142443653"/>
      <w:bookmarkStart w:id="480" w:name="_Toc181"/>
      <w:bookmarkEnd w:id="479"/>
      <w:r>
        <w:rPr>
          <w:rtl w:val="true"/>
        </w:rPr>
        <w:t>حکم الدم إذا کان مساویاً للدرهم</w:t>
      </w:r>
      <w:bookmarkEnd w:id="480"/>
    </w:p>
    <w:p>
      <w:pPr>
        <w:pStyle w:val="BookText"/>
        <w:rPr/>
      </w:pPr>
      <w:r>
        <w:rPr>
          <w:rFonts w:ascii="IRNazanin" w:hAnsi="IRNazanin" w:eastAsia="IRNazanin"/>
          <w:color w:val="111111"/>
          <w:sz w:val="28"/>
          <w:sz w:val="28"/>
          <w:szCs w:val="28"/>
          <w:rtl w:val="true"/>
          <w:lang w:bidi="fa-IR"/>
        </w:rPr>
        <w:t>عن المساوی أیّدوا الخبرین بالأخبار المطلقة الدالة علی إزالة الدم کیف کان ، خرج ما وقع الاتفاق علیه ، وهو الناقص ، فبقی الباقی ، وللکلام فی المقام مجال وقد بسطنا القول فیه فی حاشیة الروضة غیر أنّا نذکر هنا ما لا بدّ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تعارض خبری محمد بن مسلم وابن أبی یعفور عند من یعمل بالحسن علی ما ذکره من رأینا کلامه </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من الأصحاب </w:t>
      </w:r>
      <w:r>
        <w:rPr>
          <w:rStyle w:val="FootnoteAnchor"/>
          <w:rtl w:val="true"/>
        </w:rPr>
        <w:footnoteReference w:id="620"/>
      </w:r>
      <w:r>
        <w:rPr>
          <w:rFonts w:ascii="IRNazanin" w:hAnsi="IRNazanin" w:eastAsia="IRNazanin"/>
          <w:color w:val="111111"/>
          <w:sz w:val="28"/>
          <w:sz w:val="28"/>
          <w:szCs w:val="28"/>
          <w:rtl w:val="true"/>
          <w:lang w:bidi="fa-IR"/>
        </w:rPr>
        <w:t>أمّا خبر الجعفی فالعمل به غیر واضح الوجه ، ومع التعارض فالأولی الاعتماد علی أنّ ذکر الزیادة فی خبر ابن مسلم تنبیه علی أن اتفاق کون الدم بمقدار الدرهم بعید ، والغالب فیه الزیادة والنقصان ، ویؤیّد ذلک ما فی روایة إسماعیل الجعفی من ذکر الأقل والأکثر من دون ذکر المساوی ، وعلی هذا فالمفهوم الحاصل من روایة محمّد بن مسلم یقید بروایة ابن أبی یعفور ، کما أنَّ مفهوم الشرط الأوّل فی روایة الجعفی یقیّد الثانی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یعمل بالحسن فخبر ابن ابی یعفور لا معارض له ، نعم فیه نوع إجمال وسنذکره إنّ شاء الله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نظری القاصر أنّ المفهوم فی خبر محمد بن مسلم وإنّ ذکره والدی قدس سره </w:t>
      </w:r>
      <w:r>
        <w:rPr>
          <w:rStyle w:val="FootnoteAnchor"/>
          <w:rtl w:val="true"/>
        </w:rPr>
        <w:footnoteReference w:id="621"/>
      </w:r>
      <w:r>
        <w:rPr>
          <w:rFonts w:ascii="IRNazanin" w:hAnsi="IRNazanin" w:eastAsia="IRNazanin"/>
          <w:color w:val="111111"/>
          <w:sz w:val="28"/>
          <w:sz w:val="28"/>
          <w:szCs w:val="28"/>
          <w:rtl w:val="true"/>
          <w:lang w:bidi="fa-IR"/>
        </w:rPr>
        <w:t xml:space="preserve">أیضاً لا یخلو من تأمّل ؛ لاحتماله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عدم الرؤیة وهو أکثر من مقدار الدرهم ، وثانیهما الرؤیة وهو مساوٍ ، وخبر ابن أبی یعفور تضمن النسیان ، وهو مخصوص بالرؤیة ، إذ النسیان لا یکون إلاّ معها ، فإطلاق تقیید کل من الروایتین بالأخری محل بحث یظهر بمزید </w:t>
      </w:r>
    </w:p>
    <w:p>
      <w:pPr>
        <w:pStyle w:val="BookText"/>
        <w:rPr/>
      </w:pPr>
      <w:r>
        <w:rPr>
          <w:rFonts w:ascii="IRNazanin" w:hAnsi="IRNazanin" w:eastAsia="IRNazanin"/>
          <w:color w:val="111111"/>
          <w:sz w:val="28"/>
          <w:sz w:val="28"/>
          <w:szCs w:val="28"/>
          <w:rtl w:val="true"/>
          <w:lang w:bidi="fa-IR"/>
        </w:rPr>
        <w:t>التأمّل وجهه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اتفق للعلاّمة فی المختلف الاحتجاج بروایة إسماعیل الجعفی للقول بمساواة الدرهم للزائد عنه ، واقتصر منها علی الشرط الأول </w:t>
      </w:r>
      <w:r>
        <w:rPr>
          <w:rStyle w:val="FootnoteAnchor"/>
          <w:rtl w:val="true"/>
        </w:rPr>
        <w:footnoteReference w:id="622"/>
      </w:r>
      <w:r>
        <w:rPr>
          <w:rFonts w:ascii="IRNazanin" w:hAnsi="IRNazanin" w:eastAsia="IRNazanin"/>
          <w:color w:val="111111"/>
          <w:sz w:val="28"/>
          <w:sz w:val="28"/>
          <w:szCs w:val="28"/>
          <w:rtl w:val="true"/>
          <w:lang w:bidi="fa-IR"/>
        </w:rPr>
        <w:t>، وهو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المنتهی ذکرها فی حجة مساواته للناقص </w:t>
      </w:r>
      <w:r>
        <w:rPr>
          <w:rStyle w:val="FootnoteAnchor"/>
          <w:rtl w:val="true"/>
        </w:rPr>
        <w:footnoteReference w:id="623"/>
      </w:r>
      <w:r>
        <w:rPr>
          <w:rFonts w:ascii="IRNazanin" w:hAnsi="IRNazanin" w:eastAsia="IRNazanin"/>
          <w:color w:val="111111"/>
          <w:sz w:val="28"/>
          <w:sz w:val="28"/>
          <w:szCs w:val="28"/>
          <w:rtl w:val="true"/>
          <w:lang w:bidi="fa-IR"/>
        </w:rPr>
        <w:t>، ولا یخلو من تأمّل ؛ لأنّه وإن استفید من الشرط الثانی إلاّ أنّ معارضة من الشرط الأول موجود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العلاّمة عن خبر محمد بن مسلم بأنّه لم یسنده إلی إمام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وعدالته وإنّ کانت تقتضی الإخبار عن الإمام إلاّ أنّ ما ذکرناه یعنی حدیث ابن أبی یعفور لا لبس فیه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بأنّ مثل هذا الإضمار لا یضر فی الاخبار لا سیّما من مثل محمد بن مسلم ، کما أوضحه الوالد قدس سره </w:t>
      </w:r>
      <w:r>
        <w:rPr>
          <w:rStyle w:val="FootnoteAnchor"/>
          <w:rtl w:val="true"/>
        </w:rPr>
        <w:footnoteReference w:id="625"/>
      </w:r>
      <w:r>
        <w:rPr>
          <w:rFonts w:ascii="IRNazanin" w:hAnsi="IRNazanin" w:eastAsia="IRNazanin"/>
          <w:color w:val="111111"/>
          <w:sz w:val="28"/>
          <w:sz w:val="28"/>
          <w:szCs w:val="28"/>
          <w:rtl w:val="true"/>
          <w:lang w:bidi="fa-IR"/>
        </w:rPr>
        <w:t xml:space="preserve">وأشرنا إلی ذلک فی موضعه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وللشهید رحمه الله فی الذکری کلام علی خبر ابن أبی یعفور </w:t>
      </w:r>
      <w:r>
        <w:rPr>
          <w:rStyle w:val="FootnoteAnchor"/>
          <w:rtl w:val="true"/>
        </w:rPr>
        <w:footnoteReference w:id="627"/>
      </w:r>
      <w:r>
        <w:rPr>
          <w:rFonts w:ascii="IRNazanin" w:hAnsi="IRNazanin" w:eastAsia="IRNazanin"/>
          <w:color w:val="111111"/>
          <w:sz w:val="28"/>
          <w:sz w:val="28"/>
          <w:szCs w:val="28"/>
          <w:rtl w:val="true"/>
          <w:lang w:bidi="fa-IR"/>
        </w:rPr>
        <w:t xml:space="preserve">، وأجاب عنه الوالد قدس سره </w:t>
      </w:r>
      <w:r>
        <w:rPr>
          <w:rStyle w:val="FootnoteAnchor"/>
          <w:rtl w:val="true"/>
        </w:rPr>
        <w:footnoteReference w:id="628"/>
      </w:r>
      <w:r>
        <w:rPr>
          <w:rFonts w:ascii="IRNazanin" w:hAnsi="IRNazanin" w:eastAsia="IRNazanin"/>
          <w:color w:val="111111"/>
          <w:sz w:val="28"/>
          <w:sz w:val="28"/>
          <w:szCs w:val="28"/>
          <w:rtl w:val="true"/>
          <w:lang w:bidi="fa-IR"/>
        </w:rPr>
        <w:t>ولی فی الجواب بحث وقد ذکرت جمیع ذلک فی حاشیة التهذیب</w:t>
      </w:r>
      <w:r>
        <w:rPr>
          <w:rFonts w:eastAsia="IRNazanin" w:cs="IRNazanin"/>
          <w:color w:val="111111"/>
          <w:sz w:val="28"/>
          <w:szCs w:val="28"/>
          <w:rtl w:val="true"/>
          <w:lang w:bidi="fa-IR"/>
        </w:rPr>
        <w:t xml:space="preserve">. </w:t>
      </w:r>
      <w:bookmarkStart w:id="481" w:name="pg15025_160313"/>
    </w:p>
    <w:p>
      <w:pPr>
        <w:pStyle w:val="BookText"/>
        <w:rPr/>
      </w:pPr>
      <w:bookmarkEnd w:id="481"/>
      <w:r>
        <w:rPr>
          <w:rFonts w:ascii="IRNazanin" w:hAnsi="IRNazanin" w:eastAsia="IRNazanin"/>
          <w:color w:val="111111"/>
          <w:sz w:val="28"/>
          <w:sz w:val="28"/>
          <w:szCs w:val="28"/>
          <w:rtl w:val="true"/>
          <w:lang w:bidi="fa-IR"/>
        </w:rPr>
        <w:t>إذا عرفت هذا فاعلم أنّ الخبر الأخیر تضمن السؤال عن الدم المتفرق ، والجواب منه علیه السلام کما تری یدل علی أنّه لا بأس به ما لم یکن مجتمعاً قدر الدرهم ، وهو مؤیّد لعدم العفو عن مقدار الدرهم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والأصحاب مختلفون فی الدم المتفرّق إذا کان لا یبلغ کل موضع منه قدر الدرهم ، فذهب سلاّر </w:t>
      </w:r>
      <w:r>
        <w:rPr>
          <w:rStyle w:val="FootnoteAnchor"/>
          <w:rtl w:val="true"/>
        </w:rPr>
        <w:footnoteReference w:id="629"/>
      </w:r>
      <w:r>
        <w:rPr>
          <w:rFonts w:ascii="IRNazanin" w:hAnsi="IRNazanin" w:eastAsia="IRNazanin"/>
          <w:color w:val="111111"/>
          <w:sz w:val="28"/>
          <w:sz w:val="28"/>
          <w:szCs w:val="28"/>
          <w:rtl w:val="true"/>
          <w:lang w:bidi="fa-IR"/>
        </w:rPr>
        <w:t xml:space="preserve">من المتقدّمین وأکثر المتأخرین </w:t>
      </w:r>
      <w:r>
        <w:rPr>
          <w:rStyle w:val="FootnoteAnchor"/>
          <w:rtl w:val="true"/>
        </w:rPr>
        <w:footnoteReference w:id="630"/>
      </w:r>
      <w:r>
        <w:rPr>
          <w:rFonts w:ascii="IRNazanin" w:hAnsi="IRNazanin" w:eastAsia="IRNazanin"/>
          <w:color w:val="111111"/>
          <w:sz w:val="28"/>
          <w:sz w:val="28"/>
          <w:szCs w:val="28"/>
          <w:rtl w:val="true"/>
          <w:lang w:bidi="fa-IR"/>
        </w:rPr>
        <w:t>إلی أنّ حکمه حکم المجتمع فیجب إزالته إنّ بلغ المجموع علی تقدیر الاجتماع قدر الدرهم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ظاهر الشیخ فی النهایة عدم وجوب الإزالة مطلقاً إلاّ أن یتفاحش </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الوالد قدس سره عن ظاهر المحقّق فی المعتبر وفاق الشیخ فی النهایة ، واحتج لعدم وجوب الإزالة وإنّ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الدرهم لو جمع بقوله علیه السلام فی خبر عبد الله بن أبی یعفور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یکون مقدار الدرهم مجتمعاً </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العلاّمة عن ذلک بأنّ الحدیث کما یحتمل أنّ یکون قوله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مجتمعاً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بعد خبر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 أنّ الاجتماع شرط فی وجوب الإزالة یحتمل کونه حالاً مقدّرة فیصیر المعنی إلاّ أنّ یکون مقدار الدرهم لو کان مجتمعاً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2" w:name="__RefHeading___Toc146808_2142443653"/>
      <w:bookmarkStart w:id="483" w:name="_Toc182"/>
      <w:bookmarkEnd w:id="482"/>
      <w:r>
        <w:rPr>
          <w:rtl w:val="true"/>
        </w:rPr>
        <w:t>حکم الدم المتفرّق إذا لم یبلغ کل موضع منه قدر الدرهم</w:t>
      </w:r>
      <w:bookmarkEnd w:id="483"/>
    </w:p>
    <w:p>
      <w:pPr>
        <w:pStyle w:val="BookText"/>
        <w:rPr/>
      </w:pPr>
      <w:r>
        <w:rPr>
          <w:rFonts w:ascii="IRNazanin" w:hAnsi="IRNazanin" w:eastAsia="IRNazanin"/>
          <w:color w:val="111111"/>
          <w:sz w:val="28"/>
          <w:sz w:val="28"/>
          <w:szCs w:val="28"/>
          <w:rtl w:val="true"/>
          <w:lang w:bidi="fa-IR"/>
        </w:rPr>
        <w:t xml:space="preserve">وناقش بعض المتأخرین العلاّمة فی الجواب بأنّ الحال المقدّرة هی التی زمانها غیر زمان عاملها کالمثال المشهور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برجل معه صقر صائداً به غداً ، والزمان فیما نحن فیه متّحد ، فبتقدیر کونه حالاً یکون من قبیل المحققة لا المقدّرة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نظری القاصر أنّ المقام لا یخلو من إجمال ، وقد اتفق للوالد قدس سره وشیخنا قدس سره فیه نوع اضطراب ، والحال قد فصّلتها فی حاشیة الروضة غیر أنّی أذکر هنا ما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الظاهر من خبر ابن أبی یعفور مطابقة الجواب للسؤال ، ولمّا کان السؤال عن المتفرق من الدم فالجواب فی قوّة أنّ الدم المتفرق إذا کان مقدار الدرهم مجتمعاً فیه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الحال المقدرة کما ذکره العلاّمة نوع وجه بالنسبة إلی کون المورد الدم المتفرق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والاعتراض علیه بأنّ الزمان متحد لا یخلو من تأمّل ؛ لأنّ المعترض إنّ أراد باتحاد الزمان زمان تقدیر المتفرق مجتمعاً فإنّه واحد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یستلزم عدم تحقق الحال المقدرة إلاّ بتکلّف ، علی أنّ احتمال کونه خبراً بعد خبر له وجه أیضاً ، وفیه تأیید لما ذکرناه ؛ إذ هو فی قوّة أنّ الدم المتفرق إذا کان مقدار الدرهم أو کان الدم مجتمعاً فیه البأس</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النظر أنّ فی هذا بحثاً ؛ لأنّ الجواب لا یصیر مفیداً ، إذ حاصل الجواب أنّ المتفرّق إذا کان مقدار الدرهم به البأس ، لکن مقدار الدرهم مع التفرق إمّا أنّ یراد به کل قطعة منه أو المجموع بتقدیر الاجتماع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مجتمعاً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کونه خبراً کما هو المفروض یصیر مجملاً أیضاً ، إذ یحتمل أنّ یراد عدم العفو عنه مطلقاً أو مقدار الدرهم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الجواب عن هذا ممکن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الأقل بالإجماع ، ومقدار الدرهم یکتفی فی الاستدلال له بذکر الدرهم فی 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ینظر فی هذا بأنّ مقدار الدرهم فی المتفرق لا یدل علی المجتمع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ترکه فی المجتمع دلیل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یتم لو انحصر الاحتمال والحال ما تری ، علی أنّ فی النظر عدم مطابقة هذا لکونه خبراً بعد خبر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الاسم مختلف ، ومعه کیف یکون خبراً بعد خبر ، الاّ أنّ یجوز مثل هذا فی العربیّة ، ولا أعلمه الآن ، فینبغی 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هذا فلا یخفی علیک حینئذ أنّه لا تعارض بین روایة محمد بن مسلم وروایة ابن ابی یعفور ، لأنّ المورد مختلف علی بعض الاحتمالات ، وذلک کافٍ ، فإطلاق التعارض فی کلام مشایخنا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ما اعترض به شیخنا قدس سره فی المدارک علی جواب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تقدیر الاجتماع هنا لا یدل علیه اللفظ ، ولو کانت الحال هنا مقدرة لکان الحدیث مختصاً بما قدر فیه الاجتماع لا بما حقّق ، وهو خلاف الظاهر ، ولو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محقّقة أفادت اشتراط الاجتماع أیضاً ؛ إذ یصیر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الدم مقدار الدرهم حال کونه مجتمعاً ، وکیف </w:t>
      </w:r>
    </w:p>
    <w:p>
      <w:pPr>
        <w:pStyle w:val="BookText"/>
        <w:rPr/>
      </w:pPr>
      <w:r>
        <w:rPr>
          <w:rFonts w:ascii="IRNazanin" w:hAnsi="IRNazanin" w:eastAsia="IRNazanin"/>
          <w:color w:val="111111"/>
          <w:sz w:val="28"/>
          <w:sz w:val="28"/>
          <w:szCs w:val="28"/>
          <w:rtl w:val="true"/>
          <w:lang w:bidi="fa-IR"/>
        </w:rPr>
        <w:t xml:space="preserve">کان فدلالة الروایة علی المطلوب واضحة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البحث فی هذا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من کون تقدیر الاجتماع لا یدل علیه اللفظ محل کلام ؛ لأنّ السؤال صریح فی الدم المفرق ، والمطابقة للسؤال یقتضی ذلک ، والظهور واضح ، غایة الأمر أنّ الاحتمال </w:t>
      </w:r>
      <w:r>
        <w:rPr>
          <w:rStyle w:val="FootnoteAnchor"/>
          <w:rtl w:val="true"/>
        </w:rPr>
        <w:footnoteReference w:id="637"/>
      </w:r>
      <w:r>
        <w:rPr>
          <w:rFonts w:ascii="IRNazanin" w:hAnsi="IRNazanin" w:eastAsia="IRNazanin"/>
          <w:color w:val="111111"/>
          <w:sz w:val="28"/>
          <w:sz w:val="28"/>
          <w:szCs w:val="28"/>
          <w:rtl w:val="true"/>
          <w:lang w:bidi="fa-IR"/>
        </w:rPr>
        <w:t>الذی أسلفناه ممکن لکن لا ینافی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جعل مجتمعاً حالاً ، إلی آخره ، محل نظر أیضاً ؛ لأنّ الدلالة علی المعنیین معاً أعنی المجتمع والمتفرق المسئول عنه بعید التصور إلاّ علی ما قدّمنا </w:t>
      </w:r>
      <w:r>
        <w:rPr>
          <w:rStyle w:val="FootnoteAnchor"/>
          <w:rtl w:val="true"/>
        </w:rPr>
        <w:footnoteReference w:id="638"/>
      </w:r>
      <w:r>
        <w:rPr>
          <w:rFonts w:ascii="IRNazanin" w:hAnsi="IRNazanin" w:eastAsia="IRNazanin"/>
          <w:color w:val="111111"/>
          <w:sz w:val="28"/>
          <w:sz w:val="28"/>
          <w:szCs w:val="28"/>
          <w:rtl w:val="true"/>
          <w:lang w:bidi="fa-IR"/>
        </w:rPr>
        <w:t>، وظاهر کلامه قدس سره غیر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الروایة علی المطلوب واضحة ، غریب بعد ما قلناه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کله فإنی لا أعلم أحداً حام حول هذا المبحث </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ویبقی الکلام فیما خطر بالبال علی مشایخنا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مراد المحقّق من الاستدلال بروایة ابن أبی یعفور کما أشرنا إلیه سابقاً </w:t>
      </w:r>
      <w:r>
        <w:rPr>
          <w:rStyle w:val="FootnoteAnchor"/>
          <w:rtl w:val="true"/>
        </w:rPr>
        <w:footnoteReference w:id="640"/>
      </w:r>
      <w:r>
        <w:rPr>
          <w:rFonts w:ascii="IRNazanin" w:hAnsi="IRNazanin" w:eastAsia="IRNazanin"/>
          <w:color w:val="111111"/>
          <w:sz w:val="28"/>
          <w:sz w:val="28"/>
          <w:szCs w:val="28"/>
          <w:rtl w:val="true"/>
          <w:lang w:bidi="fa-IR"/>
        </w:rPr>
        <w:t xml:space="preserve">، ففی المدارک بعد نقل الاحتجاج عن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بالروایة </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لعدم وجوب الإزالة إلاّ مع التفاحش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لکن لا دلالة فی الروایة علی ما اعتبره من القید </w:t>
      </w:r>
      <w:r>
        <w:rPr>
          <w:rStyle w:val="FootnoteAnchor"/>
          <w:rtl w:val="true"/>
        </w:rPr>
        <w:footnoteReference w:id="642"/>
      </w:r>
      <w:r>
        <w:rPr>
          <w:rFonts w:ascii="IRNazanin" w:hAnsi="IRNazanin" w:eastAsia="IRNazanin"/>
          <w:color w:val="111111"/>
          <w:sz w:val="28"/>
          <w:sz w:val="28"/>
          <w:szCs w:val="28"/>
          <w:rtl w:val="true"/>
          <w:lang w:bidi="fa-IR"/>
        </w:rPr>
        <w:t xml:space="preserve">، وأجاب العلاّمة فی المختلف </w:t>
      </w:r>
      <w:r>
        <w:rPr>
          <w:rStyle w:val="FootnoteAnchor"/>
          <w:rtl w:val="true"/>
        </w:rPr>
        <w:footnoteReference w:id="643"/>
      </w:r>
      <w:r>
        <w:rPr>
          <w:rFonts w:ascii="IRNazanin" w:hAnsi="IRNazanin" w:eastAsia="IRNazanin"/>
          <w:color w:val="111111"/>
          <w:sz w:val="28"/>
          <w:sz w:val="28"/>
          <w:szCs w:val="28"/>
          <w:rtl w:val="true"/>
          <w:lang w:bidi="fa-IR"/>
        </w:rPr>
        <w:t xml:space="preserve">، وذکر ما قدّمناه عن العلاّمة </w:t>
      </w:r>
    </w:p>
    <w:p>
      <w:pPr>
        <w:pStyle w:val="BookText"/>
        <w:rPr/>
      </w:pPr>
      <w:r>
        <w:rPr>
          <w:rFonts w:ascii="IRNazanin" w:hAnsi="IRNazanin" w:eastAsia="IRNazanin"/>
          <w:color w:val="111111"/>
          <w:sz w:val="28"/>
          <w:sz w:val="28"/>
          <w:szCs w:val="28"/>
          <w:rtl w:val="true"/>
          <w:lang w:bidi="fa-IR"/>
        </w:rPr>
        <w:t xml:space="preserve">وتنظّر فیه بما سبق بیانه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کلّه إذا تأمّله المتأمّل یعطی أنّ مراد المحقق الاستدلال لعدم وجوب إزالة المتفرّق مطلقاً إلاّ أن یتفاحش ، سواء کان درهماً بتقدیر الاجتماع أو أکثر ، إلاّ أن یتفاحش ، لأنّ العلاّمة فهم أن یکون مراده الاجتماع المحقّق فی مقدار الدرهم ، فیکون المفرّق مطلقاً ثابتاً له حکم العفو ، وإلاّ لما حسن الجواب باحتمال الحال المقدرة ، وعلی هذا فهو منافٍ لما صرّح به شیخنا قدس سره قبل ذلک بأنّ محل الخلاف ما إذا کان بحیث لو جمع بلغ الدرهم ، علی أنّه نقل القول بالعفو مطلقاً إلاّ مع التفاحش ، ولو کان غرض المحقّق هذا أعنی کونه لو جمع بلغ الدرهم فلا وجه لاعتراض العلاّمة ، لموافقة المحقّق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والوالد قدس سره فی المعالم نقل احتجاج المحقق کما أسلفناه </w:t>
      </w:r>
      <w:r>
        <w:rPr>
          <w:rStyle w:val="FootnoteAnchor"/>
          <w:rtl w:val="true"/>
        </w:rPr>
        <w:footnoteReference w:id="645"/>
      </w:r>
      <w:r>
        <w:rPr>
          <w:rFonts w:ascii="IRNazanin" w:hAnsi="IRNazanin" w:eastAsia="IRNazanin"/>
          <w:color w:val="111111"/>
          <w:sz w:val="28"/>
          <w:sz w:val="28"/>
          <w:szCs w:val="28"/>
          <w:rtl w:val="true"/>
          <w:lang w:bidi="fa-IR"/>
        </w:rPr>
        <w:t xml:space="preserve">ولم یذکر اعتبار التفاحش عنه فی الدلیل ، بل </w:t>
      </w:r>
      <w:r>
        <w:rPr>
          <w:rStyle w:val="FootnoteAnchor"/>
          <w:rtl w:val="true"/>
        </w:rPr>
        <w:footnoteReference w:id="646"/>
      </w:r>
      <w:r>
        <w:rPr>
          <w:rFonts w:ascii="IRNazanin" w:hAnsi="IRNazanin" w:eastAsia="IRNazanin"/>
          <w:color w:val="111111"/>
          <w:sz w:val="28"/>
          <w:sz w:val="28"/>
          <w:szCs w:val="28"/>
          <w:rtl w:val="true"/>
          <w:lang w:bidi="fa-IR"/>
        </w:rPr>
        <w:t>إنّما نبّه علی أنّه وإن بلغ الدرهم لو جمع ، ولم یفهم منه المنع من الزائد عن الدرهم ، لکن الروایة کما علمت إذا صارت مطلقة فی المتفرق أفادت العفو مطلقاً ، فالمنع من الزائد عن الدرهم یحتاج إلی الوقوف علی ما یقتضی المنع منه فی المتفرق ، وللکلام فی المقام تتمّة تطلب ممّا أشرنا إلیه أوّلاً والله ولی التوفیق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شی‌ء وهو أنّ الأخبار المذکورة خاصة بالثوب إذا کان فیه الدم ، لکن نقل الإجماع علی مساواة البدن له فی بعض الأحکام المذکورة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484" w:name="pg15025_160318"/>
    </w:p>
    <w:p>
      <w:pPr>
        <w:pStyle w:val="BookText"/>
        <w:rPr/>
      </w:pPr>
      <w:bookmarkEnd w:id="484"/>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قدّمنا عن القاموس أنّ النضح الرشّ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ما رواه معاویة بن حکیم ، عن ابن المغیرة ، عن مثنی بن عبد السلام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حککت جلدی فخرج منه دم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اجتمع قدر حمصة فاغسله وإلاّ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أن نحمله علی ضرب من الاستحباب دون الإیجاب ، ولا ینافی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أحمد بن محمد بن عیسی ، عن أبی عبد الله البرقی ، عن إسماعیل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جعفر علیه السلام یصلّی والدم یسیل </w:t>
      </w:r>
      <w:r>
        <w:rPr>
          <w:rStyle w:val="FootnoteAnchor"/>
          <w:rtl w:val="true"/>
        </w:rPr>
        <w:footnoteReference w:id="650"/>
      </w:r>
      <w:r>
        <w:rPr>
          <w:rFonts w:ascii="IRNazanin" w:hAnsi="IRNazanin" w:eastAsia="IRNazanin"/>
          <w:color w:val="111111"/>
          <w:sz w:val="28"/>
          <w:sz w:val="28"/>
          <w:szCs w:val="28"/>
          <w:rtl w:val="true"/>
          <w:lang w:bidi="fa-IR"/>
        </w:rPr>
        <w:t xml:space="preserve">من ساقیه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هذا الخبر محمول علی ما یشق التحرّز منه من الجراحات اللازمة والدمامیل التی لا یمکن معها الاحتراز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معاویة </w:t>
      </w:r>
      <w:r>
        <w:rPr>
          <w:rStyle w:val="FootnoteAnchor"/>
          <w:rtl w:val="true"/>
        </w:rPr>
        <w:footnoteReference w:id="652"/>
      </w:r>
      <w:r>
        <w:rPr>
          <w:rFonts w:ascii="IRNazanin" w:hAnsi="IRNazanin" w:eastAsia="IRNazanin"/>
          <w:color w:val="111111"/>
          <w:sz w:val="28"/>
          <w:sz w:val="28"/>
          <w:szCs w:val="28"/>
          <w:rtl w:val="true"/>
          <w:lang w:bidi="fa-IR"/>
        </w:rPr>
        <w:t xml:space="preserve">، وقد قدّمنا نقل کونه فطحیاً عن الکشی </w:t>
      </w:r>
      <w:r>
        <w:rPr>
          <w:rStyle w:val="FootnoteAnchor"/>
          <w:rtl w:val="true"/>
        </w:rPr>
        <w:footnoteReference w:id="653"/>
      </w:r>
      <w:r>
        <w:rPr>
          <w:rFonts w:ascii="IRNazanin" w:hAnsi="IRNazanin" w:eastAsia="IRNazanin"/>
          <w:color w:val="111111"/>
          <w:sz w:val="28"/>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5" w:name="__RefHeading___Toc146810_2142443653"/>
      <w:bookmarkStart w:id="486" w:name="_Toc183"/>
      <w:bookmarkEnd w:id="485"/>
      <w:r>
        <w:rPr>
          <w:rtl w:val="true"/>
        </w:rPr>
        <w:t>بحث حول معاویة بن حکیم</w:t>
      </w:r>
      <w:bookmarkStart w:id="487" w:name="pg15025_160319"/>
      <w:bookmarkEnd w:id="486"/>
    </w:p>
    <w:p>
      <w:pPr>
        <w:pStyle w:val="BookText"/>
        <w:rPr/>
      </w:pPr>
      <w:bookmarkEnd w:id="487"/>
      <w:r>
        <w:rPr>
          <w:rFonts w:ascii="IRNazanin" w:hAnsi="IRNazanin" w:eastAsia="IRNazanin"/>
          <w:color w:val="111111"/>
          <w:sz w:val="28"/>
          <w:sz w:val="28"/>
          <w:szCs w:val="28"/>
          <w:rtl w:val="true"/>
          <w:lang w:bidi="fa-IR"/>
        </w:rPr>
        <w:t xml:space="preserve">وظاهر المتأخرین عنه من مصنّفی الرجال عدم الالتفات إلی ذلک ، بل النجاشی وثّقه ساکتاً علی التوثیق </w:t>
      </w:r>
      <w:r>
        <w:rPr>
          <w:rStyle w:val="FootnoteAnchor"/>
          <w:rtl w:val="true"/>
        </w:rPr>
        <w:footnoteReference w:id="654"/>
      </w:r>
      <w:r>
        <w:rPr>
          <w:rFonts w:ascii="IRNazanin" w:hAnsi="IRNazanin" w:eastAsia="IRNazanin"/>
          <w:color w:val="111111"/>
          <w:sz w:val="28"/>
          <w:sz w:val="28"/>
          <w:szCs w:val="28"/>
          <w:rtl w:val="true"/>
          <w:lang w:bidi="fa-IR"/>
        </w:rPr>
        <w:t xml:space="preserve">، وسیأتی إنّ شاء الله فی کتاب الطلاق من هذا الکتاب کلام الشیخ فی مسألة عدّة الآئسة والصغیرة أنّ الذی اختاره الشیخ مذهب معاویة بن حکیم من متقدّمی فقهاء أصحابنا </w:t>
      </w:r>
      <w:r>
        <w:rPr>
          <w:rStyle w:val="FootnoteAnchor"/>
          <w:rtl w:val="true"/>
        </w:rPr>
        <w:footnoteReference w:id="655"/>
      </w:r>
      <w:r>
        <w:rPr>
          <w:rFonts w:ascii="IRNazanin" w:hAnsi="IRNazanin" w:eastAsia="IRNazanin"/>
          <w:color w:val="111111"/>
          <w:sz w:val="28"/>
          <w:sz w:val="28"/>
          <w:szCs w:val="28"/>
          <w:rtl w:val="true"/>
          <w:lang w:bidi="fa-IR"/>
        </w:rPr>
        <w:t>، وهذا لفظ الشیخ ، وهو کما تری ظاهر فی عدم کون الرجل فطحیاً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رحمه الله ذکر أیضاً قریباً من هذه المسألة مسألة أُخری وقال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الحسن بن محمد بن سماعة وهو </w:t>
      </w:r>
      <w:r>
        <w:rPr>
          <w:rStyle w:val="FootnoteAnchor"/>
          <w:rtl w:val="true"/>
        </w:rPr>
        <w:footnoteReference w:id="656"/>
      </w:r>
      <w:r>
        <w:rPr>
          <w:rFonts w:ascii="IRNazanin" w:hAnsi="IRNazanin" w:eastAsia="IRNazanin"/>
          <w:color w:val="111111"/>
          <w:sz w:val="28"/>
          <w:sz w:val="28"/>
          <w:szCs w:val="28"/>
          <w:rtl w:val="true"/>
          <w:lang w:bidi="fa-IR"/>
        </w:rPr>
        <w:t xml:space="preserve">من الواقفة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الجواب عنه بتکلّف ، إلاّ أنّ العبارة فی معاویة بن حکیم أظهر دلالة فی کونه غیر فطحی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ابن المغیرة فهو عبد الله ، والنجاشی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ثقة لا یعدل به أحد من جلالته ودینه وورعه </w:t>
      </w:r>
      <w:r>
        <w:rPr>
          <w:rStyle w:val="FootnoteAnchor"/>
          <w:rtl w:val="true"/>
        </w:rPr>
        <w:footnoteReference w:id="657"/>
      </w:r>
      <w:r>
        <w:rPr>
          <w:rFonts w:ascii="IRNazanin" w:hAnsi="IRNazanin" w:eastAsia="IRNazanin"/>
          <w:color w:val="111111"/>
          <w:sz w:val="28"/>
          <w:sz w:val="28"/>
          <w:szCs w:val="28"/>
          <w:rtl w:val="true"/>
          <w:lang w:bidi="fa-IR"/>
        </w:rPr>
        <w:t xml:space="preserve">، والشیخ ذکره من غیر توثیق فی رجال الصادق والکاظم علیهماالسلام </w:t>
      </w:r>
      <w:r>
        <w:rPr>
          <w:rStyle w:val="FootnoteAnchor"/>
          <w:rtl w:val="true"/>
        </w:rPr>
        <w:footnoteReference w:id="658"/>
      </w:r>
      <w:r>
        <w:rPr>
          <w:rFonts w:ascii="IRNazanin" w:hAnsi="IRNazanin" w:eastAsia="IRNazanin"/>
          <w:color w:val="111111"/>
          <w:sz w:val="28"/>
          <w:sz w:val="28"/>
          <w:szCs w:val="28"/>
          <w:rtl w:val="true"/>
          <w:lang w:bidi="fa-IR"/>
        </w:rPr>
        <w:t xml:space="preserve">، والعلاّمة حکی عن الکشی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 کان واقفیاً ثم رجع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وقفت علیه من کتاب الکشی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أبی عبد الله بن محمد الشاذانی قال العبیدی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علی بن فضال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فحججت علی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8" w:name="__RefHeading___Toc146812_2142443653"/>
      <w:bookmarkStart w:id="489" w:name="_Toc184"/>
      <w:bookmarkEnd w:id="488"/>
      <w:r>
        <w:rPr>
          <w:rtl w:val="true"/>
        </w:rPr>
        <w:t>بحث حول عبدالله بن المغیرة</w:t>
      </w:r>
      <w:bookmarkStart w:id="490" w:name="pg15025_160320"/>
      <w:bookmarkEnd w:id="489"/>
    </w:p>
    <w:p>
      <w:pPr>
        <w:pStyle w:val="BookText"/>
        <w:rPr/>
      </w:pPr>
      <w:bookmarkEnd w:id="490"/>
      <w:r>
        <w:rPr>
          <w:rFonts w:ascii="IRNazanin" w:hAnsi="IRNazanin" w:eastAsia="IRNazanin"/>
          <w:color w:val="111111"/>
          <w:sz w:val="28"/>
          <w:sz w:val="28"/>
          <w:szCs w:val="28"/>
          <w:rtl w:val="true"/>
          <w:lang w:bidi="fa-IR"/>
        </w:rPr>
        <w:t xml:space="preserve">تلک الحالة </w:t>
      </w:r>
      <w:r>
        <w:rPr>
          <w:rStyle w:val="FootnoteAnchor"/>
          <w:rtl w:val="true"/>
        </w:rPr>
        <w:footnoteReference w:id="660"/>
      </w:r>
      <w:r>
        <w:rPr>
          <w:rFonts w:ascii="IRNazanin" w:hAnsi="IRNazanin" w:eastAsia="IRNazanin"/>
          <w:color w:val="111111"/>
          <w:sz w:val="28"/>
          <w:sz w:val="28"/>
          <w:szCs w:val="28"/>
          <w:rtl w:val="true"/>
          <w:lang w:bidi="fa-IR"/>
        </w:rPr>
        <w:t>، وذکر الروایة الدالة علی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ضعیفة ، وتصرّف العلاّمة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مثنّی بن عبد السلام فالنجاشی اقتصر علی أنّ له کتاباً </w:t>
      </w:r>
      <w:r>
        <w:rPr>
          <w:rStyle w:val="FootnoteAnchor"/>
          <w:rtl w:val="true"/>
        </w:rPr>
        <w:footnoteReference w:id="661"/>
      </w:r>
      <w:r>
        <w:rPr>
          <w:rFonts w:ascii="IRNazanin" w:hAnsi="IRNazanin" w:eastAsia="IRNazanin"/>
          <w:color w:val="111111"/>
          <w:sz w:val="28"/>
          <w:sz w:val="28"/>
          <w:szCs w:val="28"/>
          <w:rtl w:val="true"/>
          <w:lang w:bidi="fa-IR"/>
        </w:rPr>
        <w:t xml:space="preserve">، والعلاّمة عدّه فی القسم الأوّل ناقلاً عن الکشی ، عن محمد بن مسعود ، عن علی بن الحسن ، أنّه کوفی حنّاط </w:t>
      </w:r>
      <w:r>
        <w:rPr>
          <w:rStyle w:val="FootnoteAnchor"/>
          <w:rtl w:val="true"/>
        </w:rPr>
        <w:footnoteReference w:id="662"/>
      </w:r>
      <w:r>
        <w:rPr>
          <w:rFonts w:ascii="IRNazanin" w:hAnsi="IRNazanin" w:eastAsia="IRNazanin"/>
          <w:color w:val="111111"/>
          <w:sz w:val="28"/>
          <w:sz w:val="28"/>
          <w:szCs w:val="28"/>
          <w:rtl w:val="true"/>
          <w:lang w:bidi="fa-IR"/>
        </w:rPr>
        <w:t xml:space="preserve">لا بأس به </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معروف ممّا قدمناه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ظاهر الصدوق فی الفقیه العمل بمضمونه ، إلاّ أنّه قیّده بأن لا یکون دم حیض </w:t>
      </w:r>
      <w:r>
        <w:rPr>
          <w:rStyle w:val="FootnoteAnchor"/>
          <w:rtl w:val="true"/>
        </w:rPr>
        <w:footnoteReference w:id="664"/>
      </w:r>
      <w:r>
        <w:rPr>
          <w:rFonts w:ascii="IRNazanin" w:hAnsi="IRNazanin" w:eastAsia="IRNazanin"/>
          <w:color w:val="111111"/>
          <w:sz w:val="28"/>
          <w:sz w:val="28"/>
          <w:szCs w:val="28"/>
          <w:rtl w:val="true"/>
          <w:lang w:bidi="fa-IR"/>
        </w:rPr>
        <w:t xml:space="preserve">، وحکی الوالد قدس سره ذلک عن والده أیضاً فی الرسالة ، وذکر الوالد قدس سره أنّ هذا الخبر لو کان صحیحاً لکان حجة فیما ذهب إلیه الصدوق ، لکنه غیر صحیح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بإمکان أنّ یقال نحو ما قدّمناه فی اعتماد الصدوق ، إلاّ أنّ ما قاله الصدوق أزید من مدلول الروایة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فالذی یظهر من الشیخ حیث حمل الخبر علی الاستحباب أنّه ظن وروده فی الصلاة علی معنی عدم جواز الصلاة فیه إذا</w:t>
      </w:r>
    </w:p>
    <w:p>
      <w:pPr>
        <w:pStyle w:val="Heading4"/>
        <w:numPr>
          <w:ilvl w:val="3"/>
          <w:numId w:val="1"/>
        </w:numPr>
        <w:rPr/>
      </w:pPr>
      <w:bookmarkStart w:id="491" w:name="__RefHeading___Toc146814_2142443653"/>
      <w:bookmarkStart w:id="492" w:name="_Toc185"/>
      <w:bookmarkEnd w:id="491"/>
      <w:r>
        <w:rPr>
          <w:rtl w:val="true"/>
        </w:rPr>
        <w:t>بحث حول مثنّی بن عبدالسلام</w:t>
      </w:r>
      <w:bookmarkEnd w:id="49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3" w:name="__RefHeading___Toc146816_2142443653"/>
      <w:bookmarkStart w:id="494" w:name="_Toc186"/>
      <w:bookmarkEnd w:id="493"/>
      <w:r>
        <w:rPr>
          <w:rtl w:val="true"/>
        </w:rPr>
        <w:t>حکم الدم إذا کان قدر حمصة</w:t>
      </w:r>
      <w:bookmarkEnd w:id="494"/>
    </w:p>
    <w:p>
      <w:pPr>
        <w:pStyle w:val="BookText"/>
        <w:rPr/>
      </w:pPr>
      <w:r>
        <w:rPr>
          <w:rFonts w:ascii="IRNazanin" w:hAnsi="IRNazanin" w:eastAsia="IRNazanin"/>
          <w:color w:val="111111"/>
          <w:sz w:val="28"/>
          <w:sz w:val="28"/>
          <w:szCs w:val="28"/>
          <w:rtl w:val="true"/>
          <w:lang w:bidi="fa-IR"/>
        </w:rPr>
        <w:t>اجتمع قدر حمصة واستحباب إزالته ، أمّا لو کان الحدیث مورده الطهارة وعدمها فالاستحباب لا وجه له إلاّ علی تکلّفٍ ترکه أولی من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أردنا الجمع بینه وبین ما دلّ علی نجاسة الدم مطلقاً أمکن توجیه ما ذکره الشیخ وإن بعد ، إلاّ أنّ الذی یظهر من العلاّمة فی المختلف أن دلیل نجاسة الدم وغیره قلیلاً وکثیراً العمومات ، وذکر خبراً فی البول ، وهو صحیح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 السلام عن رجل یبول فی اللیل فیحسب أنّ البول اصابه فلا یستیقن إلی أنّ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ما استبان أنّه أصابه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عن المرتضی رضی الله عنه ما یقتضی أن البول إذا ترشش عند الاستنجاء کرؤوس الإبر یعفی عنه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علیک أنّ العمومات قابلة للتخصیص بتقدیر وجودها فی الدم ، إلاّ أنّه لا خروج عن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الثانی کما تری غیر صریح فی کون الإمام علیه السلام عالماً بالدم لیحتاج إلی حمل الشیخ ، ولو کان عالماً لا دلالة فی الروایة علی کونه درهماً أو أقلّ أو أکثر ، ویجوز کونه أقل ، وحمل الشیخ ممکن أیضاً ، إلاّ أنّ فی التقیید بما لا یمکن معه الاحتراز کلاماً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الحسین بن سعید ، عن فضالة وصفوان ، عن العلاء بن رزین ، عن محمد بن مسلم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یخرج به القروح ولا تزال تُدمی کیف یصلّی؟ </w:t>
      </w:r>
      <w:bookmarkStart w:id="495" w:name="pg15025_160322"/>
    </w:p>
    <w:p>
      <w:pPr>
        <w:pStyle w:val="BookText"/>
        <w:rPr/>
      </w:pPr>
      <w:bookmarkEnd w:id="49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وإن کانت الدماء تسیل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أحمد بن محمد ، عن معاویة بن حکیم ، عن معلّی أبی </w:t>
      </w:r>
      <w:r>
        <w:rPr>
          <w:rStyle w:val="FootnoteAnchor"/>
          <w:rtl w:val="true"/>
        </w:rPr>
        <w:footnoteReference w:id="668"/>
      </w:r>
      <w:r>
        <w:rPr>
          <w:rFonts w:ascii="IRNazanin" w:hAnsi="IRNazanin" w:eastAsia="IRNazanin"/>
          <w:color w:val="111111"/>
          <w:sz w:val="28"/>
          <w:sz w:val="28"/>
          <w:szCs w:val="28"/>
          <w:rtl w:val="true"/>
          <w:lang w:bidi="fa-IR"/>
        </w:rPr>
        <w:t xml:space="preserve">عثمان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علیه السلام وهو یصلّی فقال لی قائدی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ثوبه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قائدی أخبرنی أنّ بثوبک دماً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بی دمامیل ولست أغسل ثوبی حتی تبرأ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محمد بن یعقوب ، عن محمد بن یحیی ، عن أحمد بن محمد بن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به القروح أو الجروح </w:t>
      </w:r>
      <w:r>
        <w:rPr>
          <w:rStyle w:val="FootnoteAnchor"/>
          <w:rtl w:val="true"/>
        </w:rPr>
        <w:footnoteReference w:id="669"/>
      </w:r>
      <w:r>
        <w:rPr>
          <w:rFonts w:ascii="IRNazanin" w:hAnsi="IRNazanin" w:eastAsia="IRNazanin"/>
          <w:color w:val="111111"/>
          <w:sz w:val="28"/>
          <w:sz w:val="28"/>
          <w:szCs w:val="28"/>
          <w:rtl w:val="true"/>
          <w:lang w:bidi="fa-IR"/>
        </w:rPr>
        <w:t xml:space="preserve">فلا یستطیع أن یربطه ولا یغسل دمه؟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ولا یغسل ثوبه کل یوم إلاّ مرّة ، فإنه لا یستطیع أنّ یغسل ثوبه کل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الخبر أیضاً </w:t>
      </w:r>
      <w:r>
        <w:rPr>
          <w:rStyle w:val="FootnoteAnchor"/>
          <w:rtl w:val="true"/>
        </w:rPr>
        <w:footnoteReference w:id="670"/>
      </w:r>
      <w:r>
        <w:rPr>
          <w:rFonts w:ascii="IRNazanin" w:hAnsi="IRNazanin" w:eastAsia="IRNazanin"/>
          <w:color w:val="111111"/>
          <w:sz w:val="28"/>
          <w:sz w:val="28"/>
          <w:szCs w:val="28"/>
          <w:rtl w:val="true"/>
          <w:lang w:bidi="fa-IR"/>
        </w:rPr>
        <w:t xml:space="preserve">محمول علی الاستحباب ، وقد استوفینا ما یتعلق بهذا الباب فی کتابنا الکبیر ، فمن أراده وقف علیه من هناک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 صحّته ، غیر أنّه ینبغی أنّ یعلم أنّ الشیخ فی الفهرست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رزین القلاء ثقة جلیل القدر له کتاب وهو أربع نسخ ، منها روایة الحسن بن محبوب ، ومنها روایة محمد بن خالد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6" w:name="__RefHeading___Toc146818_2142443653"/>
      <w:bookmarkStart w:id="497" w:name="_Toc187"/>
      <w:bookmarkEnd w:id="496"/>
      <w:r>
        <w:rPr>
          <w:rtl w:val="true"/>
        </w:rPr>
        <w:t>بحث حول العلاء بن رزین ورواة کتابه</w:t>
      </w:r>
      <w:bookmarkStart w:id="498" w:name="pg15025_160323"/>
      <w:bookmarkEnd w:id="497"/>
    </w:p>
    <w:p>
      <w:pPr>
        <w:pStyle w:val="BookText"/>
        <w:rPr/>
      </w:pPr>
      <w:bookmarkEnd w:id="498"/>
      <w:r>
        <w:rPr>
          <w:rFonts w:ascii="IRNazanin" w:hAnsi="IRNazanin" w:eastAsia="IRNazanin"/>
          <w:color w:val="111111"/>
          <w:sz w:val="28"/>
          <w:sz w:val="28"/>
          <w:szCs w:val="28"/>
          <w:rtl w:val="true"/>
          <w:lang w:bidi="fa-IR"/>
        </w:rPr>
        <w:t>الطیالسی ، ومنها روایة محمد بن أبی الصهبان ، ومنها روایة 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بأنّ محمد بن أبی الصهبان إنّ کان یروی کتاب العلاء عنه ففیه أنّ محمداً من أصحاب الهادی علیه السلام والعلاء من أصحاب أبی عبد الله علیه السلام ، وإنّ کان یرویه بواسطة فهو خلاف المتعارف عند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وقع فی النجاشی نقلاً عن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الحسین لم یلق فضالة وانّ أخاه الحسن تفرّد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یثبت حکماً </w:t>
      </w:r>
      <w:r>
        <w:rPr>
          <w:rStyle w:val="FootnoteAnchor"/>
          <w:rtl w:val="true"/>
        </w:rPr>
        <w:footnoteReference w:id="673"/>
      </w:r>
      <w:r>
        <w:rPr>
          <w:rFonts w:ascii="IRNazanin" w:hAnsi="IRNazanin" w:eastAsia="IRNazanin"/>
          <w:color w:val="111111"/>
          <w:sz w:val="28"/>
          <w:sz w:val="28"/>
          <w:szCs w:val="28"/>
          <w:rtl w:val="true"/>
          <w:lang w:bidi="fa-IR"/>
        </w:rPr>
        <w:t>، وعلی تقدیر ثبوته لا یضّر فی هذا السند مع وجود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بصیر الضریر بقرینة ذکر القائد ، وقد أسلفنا القول فیه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المعلّی فهو ابن عثمان ، وقد وثّقه النجاشی ، ونقل أنه ابن یزید فی قول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عثمان بن عیسی وقد تقدّم ذکره مفصّلاً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وسماعة أیضاً تقدّم </w:t>
      </w:r>
      <w:r>
        <w:rPr>
          <w:rStyle w:val="FootnoteAnchor"/>
          <w:rtl w:val="true"/>
        </w:rPr>
        <w:footnoteReference w:id="677"/>
      </w:r>
      <w:r>
        <w:rPr>
          <w:rFonts w:ascii="IRNazanin" w:hAnsi="IRNazanin" w:eastAsia="IRNazanin"/>
          <w:color w:val="111111"/>
          <w:sz w:val="28"/>
          <w:sz w:val="28"/>
          <w:szCs w:val="28"/>
          <w:rtl w:val="true"/>
          <w:lang w:bidi="fa-IR"/>
        </w:rPr>
        <w:t>، والإضمار فیه لا یضرّ بالحال لو خلا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ظاهر الدلالة علی جواز الصلاة لصاحب القروح وإنّ کانت الدماء تسیل ، ویستفاد منه جواز الصلاة مع عدم السیلان ؛ لأنّ المفهوم من</w:t>
      </w:r>
    </w:p>
    <w:p>
      <w:pPr>
        <w:pStyle w:val="Heading4"/>
        <w:numPr>
          <w:ilvl w:val="3"/>
          <w:numId w:val="1"/>
        </w:numPr>
        <w:rPr/>
      </w:pPr>
      <w:bookmarkStart w:id="499" w:name="__RefHeading___Toc146820_2142443653"/>
      <w:bookmarkStart w:id="500" w:name="_Toc188"/>
      <w:bookmarkEnd w:id="499"/>
      <w:r>
        <w:rPr>
          <w:rtl w:val="true"/>
        </w:rPr>
        <w:t>المعلّی بن عثمان ثقة</w:t>
      </w:r>
      <w:bookmarkEnd w:id="50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1" w:name="__RefHeading___Toc146822_2142443653"/>
      <w:bookmarkStart w:id="502" w:name="_Toc189"/>
      <w:bookmarkEnd w:id="501"/>
      <w:r>
        <w:rPr>
          <w:rtl w:val="true"/>
        </w:rPr>
        <w:t>حکم دم القرح والجرح</w:t>
      </w:r>
      <w:bookmarkEnd w:id="502"/>
    </w:p>
    <w:p>
      <w:pPr>
        <w:pStyle w:val="BookText"/>
        <w:rPr/>
      </w:pPr>
      <w:r>
        <w:rPr>
          <w:rFonts w:ascii="IRNazanin" w:hAnsi="IRNazanin" w:eastAsia="IRNazanin"/>
          <w:color w:val="111111"/>
          <w:sz w:val="28"/>
          <w:sz w:val="28"/>
          <w:szCs w:val="28"/>
          <w:rtl w:val="true"/>
          <w:lang w:bidi="fa-IR"/>
        </w:rPr>
        <w:t xml:space="preserve">هذا الترکیب کون المفهوم أولی بالحکم کما قاله الوالد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یستفاد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تدمی ، أنّ الحکم مفروض فیما هو مستمرّ الجریان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من کلام السائل فلا یفید حکماً ، 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تدمی ، لیس هو الاستمرار فی کل حین ، بل الظاهر أنّ المراد تکرر خروج الدم ولو حیناً بعد حین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لا یزال یتردّد إلی محل کذا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الشیخ فی التهذیب صحیحاً عن لیث المرادی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به الدمامیل والقروح فجلده وثیابه مملوءة دماً وقیحاً وثیابه بمنزلة جلده؟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فی ثیابه ولا شی‌ء علیه ولا یغسلها </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 الصحیح عن عبد الرحمن بن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یکون فی مکان لا یقدر علی ربطه فیسیل منه الدم والقیح فیصیب ثوبی؟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دعه فلا یضرّک أنّ لا تغسله </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شیخنا قدس سره بعد جملة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یستفاد من إطلاق الروایات العفو عن هذا الدم فی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والبدن سواء شقّت إزالته أم لا ، وسواء کان له فترة ینقطع فیها بقدر الصلاة أم لا ، وأنّه لا یجب إبدال الثوب </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ولا تخفیف النجاسة ، ولا عصب موضع الدم بحیث یمنع من الخروج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الدلالة علی بعض ما ذکر تأمّلاً ؛ إذ الصالح من الأخبار للاستدلال ما ذکرناه ، والباقی غیر صالح بأبی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بن عیسی </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المحقّق الشیخ علی فی بعض مصنفاته أنّ الشیخ نقل الإجماع علی عدم وجوب عصب الجرح وتقلیل الدم ، بل یصلّی کیف کان وإنّ سال وتفاحش إلی أنّ یبرأ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وللمتأخّرین عن الشیخ اختلاف فی حدّ العفو ، فمنهم من جعله البرء </w:t>
      </w:r>
      <w:r>
        <w:rPr>
          <w:rStyle w:val="FootnoteAnchor"/>
          <w:rtl w:val="true"/>
        </w:rPr>
        <w:footnoteReference w:id="685"/>
      </w:r>
      <w:r>
        <w:rPr>
          <w:rFonts w:ascii="IRNazanin" w:hAnsi="IRNazanin" w:eastAsia="IRNazanin"/>
          <w:color w:val="111111"/>
          <w:sz w:val="28"/>
          <w:sz w:val="28"/>
          <w:szCs w:val="28"/>
          <w:rtl w:val="true"/>
          <w:lang w:bidi="fa-IR"/>
        </w:rPr>
        <w:t xml:space="preserve">، ومنهم من جعله الانقطاع ، وذکر الوالد قدس سره أنّهم بین مطلق له یعنی للانقطاع ومقیّد بکونه فی زمان یتسع لأداء الفریضة ، فالإطلاق للعلاّمة والشهید فی غیر الذکری </w:t>
      </w:r>
      <w:r>
        <w:rPr>
          <w:rStyle w:val="FootnoteAnchor"/>
          <w:rtl w:val="true"/>
        </w:rPr>
        <w:footnoteReference w:id="686"/>
      </w:r>
      <w:r>
        <w:rPr>
          <w:rFonts w:ascii="IRNazanin" w:hAnsi="IRNazanin" w:eastAsia="IRNazanin"/>
          <w:color w:val="111111"/>
          <w:sz w:val="28"/>
          <w:sz w:val="28"/>
          <w:szCs w:val="28"/>
          <w:rtl w:val="true"/>
          <w:lang w:bidi="fa-IR"/>
        </w:rPr>
        <w:t xml:space="preserve">، والتقیید للمحقق فی المعتبر والشهید فی الذکری </w:t>
      </w:r>
      <w:r>
        <w:rPr>
          <w:rStyle w:val="FootnoteAnchor"/>
          <w:rtl w:val="true"/>
        </w:rPr>
        <w:footnoteReference w:id="68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إذا تأمّلت الأخبار لا یخفی علیک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الدلالة علی اعتبار البرء لو صحّ</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دلالة علی الغَسل فی الیوم مرة ، لکن جماعة من الأصحاب قالوا باستحباب ذلک </w:t>
      </w:r>
      <w:r>
        <w:rPr>
          <w:rStyle w:val="FootnoteAnchor"/>
          <w:rtl w:val="true"/>
        </w:rPr>
        <w:footnoteReference w:id="688"/>
      </w:r>
      <w:r>
        <w:rPr>
          <w:rFonts w:ascii="IRNazanin" w:hAnsi="IRNazanin" w:eastAsia="IRNazanin"/>
          <w:color w:val="111111"/>
          <w:sz w:val="28"/>
          <w:sz w:val="28"/>
          <w:szCs w:val="28"/>
          <w:rtl w:val="true"/>
          <w:lang w:bidi="fa-IR"/>
        </w:rPr>
        <w:t xml:space="preserve">، والعلاّمة فی المنتهی احتجّ للاستحباب </w:t>
      </w:r>
      <w:bookmarkStart w:id="503" w:name="pg15025_160326"/>
    </w:p>
    <w:p>
      <w:pPr>
        <w:pStyle w:val="BookText"/>
        <w:rPr/>
      </w:pPr>
      <w:bookmarkEnd w:id="503"/>
      <w:r>
        <w:rPr>
          <w:rFonts w:ascii="IRNazanin" w:hAnsi="IRNazanin" w:eastAsia="IRNazanin"/>
          <w:color w:val="111111"/>
          <w:sz w:val="28"/>
          <w:sz w:val="28"/>
          <w:szCs w:val="28"/>
          <w:rtl w:val="true"/>
          <w:lang w:bidi="fa-IR"/>
        </w:rPr>
        <w:t xml:space="preserve">مع الروایة بأنّ فیه تطهیراً غیر مشقّ فکان مطلوباً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بأنّ إثبات الاستحباب بالخبر یتوقف علی ثبوت قاعدة التساهل فی أخبار السنن ، أما الوجه الآخر فلا یثبت الاستحباب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تعدّی الدم عن محل الضرورة فی الثوب أو البدن بأن لمس بالسلیم من بدنه دم الجرح أو بالطاهر من ثوبه فالأقرب عدم الترخّص فیه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حسن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نظری القاصر أنّه محل بحث علی الإطلاق بعد ملاحظة الأخبار ، إلاّ أنّ یرید الوالد قدس سره بالأحسنیة استحباب الإزالة ، وهو خلاف الظاهر من العبارة</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الدُّمَّل کسُکَّر وصُرَد الخُراجُ ، الجمع دمامیل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 المریض یَبْرأ ویَبْرُؤ بُراً بالضم </w:t>
      </w:r>
      <w:r>
        <w:rPr>
          <w:rStyle w:val="FootnoteAnchor"/>
          <w:rtl w:val="true"/>
        </w:rPr>
        <w:footnoteReference w:id="693"/>
      </w:r>
      <w:r>
        <w:rPr>
          <w:rFonts w:ascii="Amiri" w:hAnsi="Amiri" w:eastAsia="Amiri" w:cs="Amiri"/>
          <w:color w:val="111111"/>
          <w:sz w:val="28"/>
          <w:sz w:val="28"/>
          <w:szCs w:val="28"/>
          <w:rtl w:val="true"/>
          <w:lang w:bidi="ar-SA"/>
        </w:rPr>
        <w:t>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نَقِهَ من مرضه صح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القَرْحُ ویضم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 السِّلاح ونحوه ممّا یخرج بالبدن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رَبَطه یربِطه ویَربطُه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4" w:name="__RefHeading___Toc146824_2142443653"/>
      <w:bookmarkStart w:id="505" w:name="_Toc190"/>
      <w:bookmarkEnd w:id="504"/>
      <w:r>
        <w:rPr>
          <w:rtl w:val="true"/>
        </w:rPr>
        <w:t>معنی الدمل ، براء ، نقه ، القرح ، ربط</w:t>
      </w:r>
      <w:bookmarkStart w:id="506" w:name="pg15025_160327"/>
      <w:bookmarkEnd w:id="505"/>
    </w:p>
    <w:p>
      <w:pPr>
        <w:pStyle w:val="BookText"/>
        <w:rPr/>
      </w:pPr>
      <w:bookmarkEnd w:id="506"/>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ذرق الدجاج</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 عن أبیه ، عن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عن أبی جعفر ، عن أبیه ، عن وهب بن وهب ، عن جعفر ، عن أبیه علیهماالسلام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بخرء الدجاج والحمام یصیب الثوب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احمد بن یحیی ، عن محمد بن عیسی ، عن فارس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الیه رجل یسأله عن ذرق الدجاج یجوز الصلاة فیه؟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هذه الروایة أنّه لا تجوز الصلاة فیه إذا کان الدجاج جلاّلا ، ویجوز أیضاً أن یکون محمولاً علی ضرب من الاستحباب ، أو محمولاً علی التقیة ؛ لأنّ ذلک مذهب کثیر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فیه محمد بن عیسی الأشعری المعبّر عنه بأبیه بعد أبی جعفر ، وهو أحمد بن محمد بن عیسی ، وقد قدّمنا فیه القول </w:t>
      </w:r>
      <w:r>
        <w:rPr>
          <w:rStyle w:val="FootnoteAnchor"/>
          <w:rtl w:val="true"/>
        </w:rPr>
        <w:footnoteReference w:id="698"/>
      </w:r>
      <w:r>
        <w:rPr>
          <w:rFonts w:ascii="IRNazanin" w:hAnsi="IRNazanin" w:eastAsia="IRNazanin"/>
          <w:color w:val="111111"/>
          <w:sz w:val="28"/>
          <w:sz w:val="28"/>
          <w:szCs w:val="28"/>
          <w:rtl w:val="true"/>
          <w:lang w:bidi="fa-IR"/>
        </w:rPr>
        <w:t xml:space="preserve">، والحاصل أنّ توثیقه غیر معلوم ؛ إذ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شیخ القمیّین وجه الأشاعرة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عدّه فی القسم الأوّل ، وذکر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فوائد</w:t>
      </w:r>
    </w:p>
    <w:p>
      <w:pPr>
        <w:pStyle w:val="Heading3"/>
        <w:numPr>
          <w:ilvl w:val="2"/>
          <w:numId w:val="1"/>
        </w:numPr>
        <w:rPr/>
      </w:pPr>
      <w:bookmarkStart w:id="507" w:name="__RefHeading___Toc146826_2142443653"/>
      <w:bookmarkStart w:id="508" w:name="_Toc191"/>
      <w:bookmarkEnd w:id="507"/>
      <w:r>
        <w:rPr>
          <w:rtl w:val="true"/>
        </w:rPr>
        <w:t>ذرق الدجاج</w:t>
      </w:r>
      <w:bookmarkEnd w:id="50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9" w:name="__RefHeading___Toc146828_2142443653"/>
      <w:bookmarkStart w:id="510" w:name="_Toc192"/>
      <w:bookmarkEnd w:id="509"/>
      <w:r>
        <w:rPr>
          <w:rtl w:val="true"/>
        </w:rPr>
        <w:t>بحث حول محمّد بن عیسی الأشعری</w:t>
      </w:r>
      <w:bookmarkStart w:id="511" w:name="pg15025_160328"/>
      <w:bookmarkEnd w:id="510"/>
    </w:p>
    <w:p>
      <w:pPr>
        <w:pStyle w:val="BookText"/>
        <w:rPr/>
      </w:pPr>
      <w:bookmarkEnd w:id="511"/>
      <w:r>
        <w:rPr>
          <w:rFonts w:ascii="IRNazanin" w:hAnsi="IRNazanin" w:eastAsia="IRNazanin"/>
          <w:color w:val="111111"/>
          <w:sz w:val="28"/>
          <w:sz w:val="28"/>
          <w:szCs w:val="28"/>
          <w:rtl w:val="true"/>
          <w:lang w:bidi="fa-IR"/>
        </w:rPr>
        <w:t xml:space="preserve">جدی قدس سره علی الخلاصة أنّ هذه العبارة لا تدل صریحاً علی توثیقه ، نعم قد یظهر منها ذلک ، مع أنّ المصنف یصف </w:t>
      </w:r>
      <w:r>
        <w:rPr>
          <w:rStyle w:val="FootnoteAnchor"/>
          <w:rtl w:val="true"/>
        </w:rPr>
        <w:footnoteReference w:id="701"/>
      </w:r>
      <w:r>
        <w:rPr>
          <w:rFonts w:ascii="IRNazanin" w:hAnsi="IRNazanin" w:eastAsia="IRNazanin"/>
          <w:color w:val="111111"/>
          <w:sz w:val="28"/>
          <w:sz w:val="28"/>
          <w:szCs w:val="28"/>
          <w:rtl w:val="true"/>
          <w:lang w:bidi="fa-IR"/>
        </w:rPr>
        <w:t>الروایات التی هو فیها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ظهور التوثیق غیر واضح ، ووصف الصحة فی روایاته من العلاّمة </w:t>
      </w:r>
      <w:r>
        <w:rPr>
          <w:rStyle w:val="FootnoteAnchor"/>
          <w:rtl w:val="true"/>
        </w:rPr>
        <w:footnoteReference w:id="702"/>
      </w:r>
      <w:r>
        <w:rPr>
          <w:rFonts w:ascii="IRNazanin" w:hAnsi="IRNazanin" w:eastAsia="IRNazanin"/>
          <w:color w:val="111111"/>
          <w:sz w:val="28"/>
          <w:sz w:val="28"/>
          <w:szCs w:val="28"/>
          <w:rtl w:val="true"/>
          <w:lang w:bidi="fa-IR"/>
        </w:rPr>
        <w:t xml:space="preserve">وغیره </w:t>
      </w:r>
      <w:r>
        <w:rPr>
          <w:rStyle w:val="FootnoteAnchor"/>
          <w:rtl w:val="true"/>
        </w:rPr>
        <w:footnoteReference w:id="703"/>
      </w:r>
      <w:r>
        <w:rPr>
          <w:rFonts w:ascii="IRNazanin" w:hAnsi="IRNazanin" w:eastAsia="IRNazanin"/>
          <w:color w:val="111111"/>
          <w:sz w:val="28"/>
          <w:sz w:val="28"/>
          <w:szCs w:val="28"/>
          <w:rtl w:val="true"/>
          <w:lang w:bidi="fa-IR"/>
        </w:rPr>
        <w:t xml:space="preserve">کذلک ، إلاّ أنّ للعلاّمة رحمه الله فی الرجال کثرة أوهام یبعد زیادة بُعدٍ معها الاعتماد ، بخلاف مثل الصدوق ، فإنّ احتمال الاعتماد قد یوجه کما أسلفناه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فی السند أیضاً وهب بن وهب ، وهو أبو البختری ، وقد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کذّابا </w:t>
      </w:r>
      <w:r>
        <w:rPr>
          <w:rStyle w:val="FootnoteAnchor"/>
          <w:rtl w:val="true"/>
        </w:rPr>
        <w:footnoteReference w:id="705"/>
      </w:r>
      <w:r>
        <w:rPr>
          <w:rFonts w:ascii="IRNazanin" w:hAnsi="IRNazanin" w:eastAsia="IRNazanin"/>
          <w:color w:val="111111"/>
          <w:sz w:val="28"/>
          <w:sz w:val="28"/>
          <w:szCs w:val="28"/>
          <w:rtl w:val="true"/>
          <w:lang w:bidi="fa-IR"/>
        </w:rPr>
        <w:t xml:space="preserve">وفی الفهرست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عامیّ المذهب ضعیف </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الفقیه بعد ذکر حدیث فی طریقه وهب بن وهب قال ، قال مصنف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هذا الحدیث هکذا فی روایة وهب بن وهب ، وهو ضعیف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ان شاء الله فی هذا الکتاب أیضاً ما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وهب عامی متروک العمل فیما یختص بروایته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فارس ، والظاهر أنّه ابن حاتم ، وقد ذکره الشیخ فی رجال الهادی علیه السلام من کتابه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غال ملعون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والکشی أورد فیه</w:t>
      </w:r>
    </w:p>
    <w:p>
      <w:pPr>
        <w:pStyle w:val="Heading4"/>
        <w:numPr>
          <w:ilvl w:val="3"/>
          <w:numId w:val="1"/>
        </w:numPr>
        <w:rPr/>
      </w:pPr>
      <w:bookmarkStart w:id="512" w:name="__RefHeading___Toc146830_2142443653"/>
      <w:bookmarkStart w:id="513" w:name="_Toc193"/>
      <w:bookmarkEnd w:id="512"/>
      <w:r>
        <w:rPr>
          <w:rtl w:val="true"/>
        </w:rPr>
        <w:t>بحث حول وهب بن وهب</w:t>
      </w:r>
      <w:bookmarkEnd w:id="51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4" w:name="__RefHeading___Toc146832_2142443653"/>
      <w:bookmarkStart w:id="515" w:name="_Toc194"/>
      <w:bookmarkEnd w:id="514"/>
      <w:r>
        <w:rPr>
          <w:rtl w:val="true"/>
        </w:rPr>
        <w:t>بحث حول فارس بن حاتم</w:t>
      </w:r>
      <w:bookmarkStart w:id="516" w:name="pg15025_160329"/>
      <w:bookmarkEnd w:id="515"/>
    </w:p>
    <w:p>
      <w:pPr>
        <w:pStyle w:val="BookText"/>
        <w:rPr/>
      </w:pPr>
      <w:bookmarkEnd w:id="516"/>
      <w:r>
        <w:rPr>
          <w:rFonts w:ascii="IRNazanin" w:hAnsi="IRNazanin" w:eastAsia="IRNazanin"/>
          <w:color w:val="111111"/>
          <w:sz w:val="28"/>
          <w:sz w:val="28"/>
          <w:szCs w:val="28"/>
          <w:rtl w:val="true"/>
          <w:lang w:bidi="fa-IR"/>
        </w:rPr>
        <w:t xml:space="preserve">من الذمّ ما لا حاجة إلی ذکره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 لوجود من هو بالاسم غیر أنّی لم أعلم مرتبته ، والوالد قدس سره جزم بأنّه فارس بن حاتم </w:t>
      </w:r>
      <w:r>
        <w:rPr>
          <w:rStyle w:val="FootnoteAnchor"/>
          <w:rtl w:val="true"/>
        </w:rPr>
        <w:footnoteReference w:id="711"/>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ظاهره الدلالة علی الطهارة ، وضعفه یؤیّد بالأصل وعموم روایة لعمار الساباطی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أُکل لحمه فلا بأس بما یخرج منه </w:t>
      </w:r>
      <w:r>
        <w:rPr>
          <w:rFonts w:eastAsia="IRNazanin" w:cs="IRNazanin"/>
          <w:color w:val="111111"/>
          <w:sz w:val="28"/>
          <w:szCs w:val="28"/>
          <w:rtl w:val="true"/>
          <w:lang w:bidi="fa-IR"/>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المعتبر بعد ذکر الروایتین والتنبیه علی ضعفهما </w:t>
      </w:r>
      <w:r>
        <w:rPr>
          <w:rStyle w:val="FootnoteAnchor"/>
          <w:rtl w:val="true"/>
        </w:rPr>
        <w:footnoteReference w:id="714"/>
      </w:r>
      <w:r>
        <w:rPr>
          <w:rFonts w:ascii="IRNazanin" w:hAnsi="IRNazanin" w:eastAsia="IRNazanin"/>
          <w:color w:val="111111"/>
          <w:sz w:val="28"/>
          <w:sz w:val="28"/>
          <w:szCs w:val="28"/>
          <w:rtl w:val="true"/>
          <w:lang w:bidi="fa-IR"/>
        </w:rPr>
        <w:t xml:space="preserve">بما أشرنا إلیه الدال علی ما جزم به الوالد قدس سره وغیره من مشایخنا قال المحقّق علی ما نقله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المرجع إلی الأصل وهو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الدجاج لا یتوقّی النجاسة ، فرجیعه مستحیل عنها فیکون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أنّ یکون ذلک محضاً ، یکون التنجیس ثابتاً ، أما إذا کان یمزج علفه فإنّه یستحیل إمّا عنهما أو عن أحدهما ، فلا یتحقق الاستحالة عن النجاسة ؛ إذ لو حکم بغلبة النجاسة لسری التحریم إلی لحمها ، ولمّا حصل الإجماع علی حلّها مع الإرسال بطل الحکم بغلبة النجاسة علی رجیعها </w:t>
      </w:r>
      <w:r>
        <w:rPr>
          <w:rStyle w:val="FootnoteAnchor"/>
          <w:rtl w:val="true"/>
        </w:rPr>
        <w:footnoteReference w:id="7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7" w:name="__RefHeading___Toc146834_2142443653"/>
      <w:bookmarkStart w:id="518" w:name="_Toc195"/>
      <w:bookmarkEnd w:id="517"/>
      <w:r>
        <w:rPr>
          <w:rtl w:val="true"/>
        </w:rPr>
        <w:t>حکم ذرق الدجاج</w:t>
      </w:r>
      <w:bookmarkStart w:id="519" w:name="pg15025_160330"/>
      <w:bookmarkEnd w:id="518"/>
    </w:p>
    <w:p>
      <w:pPr>
        <w:pStyle w:val="BookText"/>
        <w:rPr/>
      </w:pPr>
      <w:bookmarkEnd w:id="519"/>
      <w:r>
        <w:rPr>
          <w:rFonts w:ascii="IRNazanin" w:hAnsi="IRNazanin" w:eastAsia="IRNazanin"/>
          <w:color w:val="111111"/>
          <w:sz w:val="28"/>
          <w:sz w:val="28"/>
          <w:szCs w:val="28"/>
          <w:rtl w:val="true"/>
          <w:lang w:bidi="fa-IR"/>
        </w:rPr>
        <w:t>ولا یخفی علیک حال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المختلف قال العلاّمة ، ذرق الدجاج الجلاّل نجس إجماعاً ، وفی غیر الجلاّل قولان ، أحدهما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الشیخان فإنهما استثنیا ذرق الدجاج من الحکم بطهارته من جمیع </w:t>
      </w:r>
      <w:r>
        <w:rPr>
          <w:rStyle w:val="FootnoteAnchor"/>
          <w:rtl w:val="true"/>
        </w:rPr>
        <w:footnoteReference w:id="716"/>
      </w:r>
      <w:r>
        <w:rPr>
          <w:rFonts w:ascii="IRNazanin" w:hAnsi="IRNazanin" w:eastAsia="IRNazanin"/>
          <w:color w:val="111111"/>
          <w:sz w:val="28"/>
          <w:sz w:val="28"/>
          <w:szCs w:val="28"/>
          <w:rtl w:val="true"/>
          <w:lang w:bidi="fa-IR"/>
        </w:rPr>
        <w:t xml:space="preserve">ما یؤکل لحمه ، وهو یدل علی حکمهما </w:t>
      </w:r>
      <w:r>
        <w:rPr>
          <w:rStyle w:val="FootnoteAnchor"/>
          <w:rtl w:val="true"/>
        </w:rPr>
        <w:footnoteReference w:id="717"/>
      </w:r>
      <w:r>
        <w:rPr>
          <w:rFonts w:ascii="IRNazanin" w:hAnsi="IRNazanin" w:eastAsia="IRNazanin"/>
          <w:color w:val="111111"/>
          <w:sz w:val="28"/>
          <w:sz w:val="28"/>
          <w:szCs w:val="28"/>
          <w:rtl w:val="true"/>
          <w:lang w:bidi="fa-IR"/>
        </w:rPr>
        <w:t xml:space="preserve">بالتنجیس ، إلاّ أنّ الشیخ ذهب إلی طهارته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 المانعون بما رواه فارس فی الحسن ، وذکر الروایة ، ثم أجاب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السائل لم یذکر المسئول فجاز أن یکون غیر الإمام ، ویحتمل کون الألف واللام للعهد ، ویراد به الجلاّل ، کاحتمال إرادة الجنس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العلاّمة لم یجعل فارس المذکور ابن حاتم ؛ إذ قد صرح فی الخلاصة بأنّه غال ملعون </w:t>
      </w:r>
      <w:r>
        <w:rPr>
          <w:rStyle w:val="FootnoteAnchor"/>
          <w:rtl w:val="true"/>
        </w:rPr>
        <w:footnoteReference w:id="719"/>
      </w:r>
      <w:r>
        <w:rPr>
          <w:rFonts w:ascii="IRNazanin" w:hAnsi="IRNazanin" w:eastAsia="IRNazanin"/>
          <w:color w:val="111111"/>
          <w:sz w:val="28"/>
          <w:sz w:val="28"/>
          <w:szCs w:val="28"/>
          <w:rtl w:val="true"/>
          <w:lang w:bidi="fa-IR"/>
        </w:rPr>
        <w:t xml:space="preserve">، بل ظنّ أنّه فارس بن سلیمان الذی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شیخ من أصحابنا کثیر الأدب </w:t>
      </w:r>
      <w:r>
        <w:rPr>
          <w:rStyle w:val="FootnoteAnchor"/>
          <w:rtl w:val="true"/>
        </w:rPr>
        <w:footnoteReference w:id="720"/>
      </w:r>
      <w:r>
        <w:rPr>
          <w:rFonts w:ascii="IRNazanin" w:hAnsi="IRNazanin" w:eastAsia="IRNazanin"/>
          <w:color w:val="111111"/>
          <w:sz w:val="28"/>
          <w:sz w:val="28"/>
          <w:szCs w:val="28"/>
          <w:rtl w:val="true"/>
          <w:lang w:bidi="fa-IR"/>
        </w:rPr>
        <w:t xml:space="preserve">، وذکره فی الخلاصة فی القسم الأوّل بعین عبارة النجاشی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أعلم الوجه فی تعیّن کونه ابن سلیمان ، وقد أسلفنا أنّ مرتبته غیر معلومة ، إذ لم یذکر فی أصحاب أحد من الأئمّة علیهم السلام ، نعم ذکر النجاشی أنّه أخذ عن محمد بن بحر الرهنی </w:t>
      </w:r>
      <w:r>
        <w:rPr>
          <w:rStyle w:val="FootnoteAnchor"/>
          <w:rtl w:val="true"/>
        </w:rPr>
        <w:footnoteReference w:id="722"/>
      </w:r>
      <w:r>
        <w:rPr>
          <w:rFonts w:ascii="IRNazanin" w:hAnsi="IRNazanin" w:eastAsia="IRNazanin"/>
          <w:color w:val="111111"/>
          <w:sz w:val="28"/>
          <w:sz w:val="28"/>
          <w:szCs w:val="28"/>
          <w:rtl w:val="true"/>
          <w:lang w:bidi="fa-IR"/>
        </w:rPr>
        <w:t xml:space="preserve">، وذکر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لمحمد کتاباً یرویه أحمد بن علی بن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0" w:name="__RefHeading___Toc146836_2142443653"/>
      <w:bookmarkStart w:id="521" w:name="_Toc196"/>
      <w:bookmarkEnd w:id="520"/>
      <w:r>
        <w:rPr>
          <w:rtl w:val="true"/>
        </w:rPr>
        <w:t>فارس بن سلیمان ممدوح</w:t>
      </w:r>
      <w:bookmarkStart w:id="522" w:name="pg15025_160331"/>
      <w:bookmarkEnd w:id="521"/>
    </w:p>
    <w:p>
      <w:pPr>
        <w:pStyle w:val="BookText"/>
        <w:rPr/>
      </w:pPr>
      <w:bookmarkEnd w:id="522"/>
      <w:r>
        <w:rPr>
          <w:rFonts w:ascii="IRNazanin" w:hAnsi="IRNazanin" w:eastAsia="IRNazanin"/>
          <w:color w:val="111111"/>
          <w:sz w:val="28"/>
          <w:sz w:val="28"/>
          <w:szCs w:val="28"/>
          <w:rtl w:val="true"/>
          <w:lang w:bidi="fa-IR"/>
        </w:rPr>
        <w:t xml:space="preserve">نوح أبو العباس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متأخّر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أنّ یکون المسئول غیر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له ، کما أسلفنا الإشارة إلی ذلک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الحمل علی الجلاّل نظراً إلی المعارض الدالّ علی الطهارة کما ذکره الشیخ فلا یخلو من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الخُرء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العذرة </w:t>
      </w:r>
      <w:r>
        <w:rPr>
          <w:rStyle w:val="FootnoteAnchor"/>
          <w:rtl w:val="true"/>
        </w:rPr>
        <w:footnoteReference w:id="725"/>
      </w:r>
      <w:r>
        <w:rPr>
          <w:rFonts w:ascii="Amiri" w:hAnsi="Amiri" w:eastAsia="Amiri" w:cs="Amiri"/>
          <w:color w:val="111111"/>
          <w:sz w:val="28"/>
          <w:sz w:val="28"/>
          <w:szCs w:val="28"/>
          <w:rtl w:val="true"/>
          <w:lang w:bidi="ar-SA"/>
        </w:rPr>
        <w:t xml:space="preserve">وفیه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ذرق الطائرُ یَذْرُقُ ویَذْرِقُ زرق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زرق الطائر یزرق ذرق </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دلالة الخبر وکلام القاموس أنّ العذرة تقال لغیر الإنسان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العذرة مع الإطلاق للإنسان والخرء لغیره ، وفیه تأمّل یظهر ممّا کتبناه علی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أبوال الدوابّ والبغال والحمیر</w:t>
      </w:r>
    </w:p>
    <w:p>
      <w:pPr>
        <w:pStyle w:val="BookText"/>
        <w:rPr/>
      </w:pPr>
      <w:r>
        <w:rPr>
          <w:rFonts w:ascii="IRNazanin" w:hAnsi="IRNazanin" w:eastAsia="IRNazanin"/>
          <w:color w:val="111111"/>
          <w:sz w:val="28"/>
          <w:sz w:val="28"/>
          <w:szCs w:val="28"/>
          <w:rtl w:val="true"/>
          <w:lang w:bidi="fa-IR"/>
        </w:rPr>
        <w:t xml:space="preserve">أخبرنی الشیخ رحمة الله عن أبی القاسم جعفر بن محمد ، عن محمد بن یعقوب ، عن علی بن إبراهیم ، عن أبیه ، عن حماد ، عن حریز ،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ألبان الإبل</w:t>
      </w:r>
    </w:p>
    <w:p>
      <w:pPr>
        <w:pStyle w:val="Heading4"/>
        <w:numPr>
          <w:ilvl w:val="3"/>
          <w:numId w:val="1"/>
        </w:numPr>
        <w:rPr/>
      </w:pPr>
      <w:bookmarkStart w:id="523" w:name="__RefHeading___Toc146838_2142443653"/>
      <w:bookmarkStart w:id="524" w:name="_Toc197"/>
      <w:bookmarkEnd w:id="523"/>
      <w:r>
        <w:rPr>
          <w:rtl w:val="true"/>
        </w:rPr>
        <w:t>معنی الخرء والذرق</w:t>
      </w:r>
      <w:bookmarkEnd w:id="524"/>
    </w:p>
    <w:p>
      <w:pPr>
        <w:pStyle w:val="Heading3"/>
        <w:numPr>
          <w:ilvl w:val="2"/>
          <w:numId w:val="1"/>
        </w:numPr>
        <w:rPr/>
      </w:pPr>
      <w:bookmarkStart w:id="525" w:name="__RefHeading___Toc146840_2142443653"/>
      <w:bookmarkStart w:id="526" w:name="_Toc198"/>
      <w:bookmarkEnd w:id="525"/>
      <w:r>
        <w:rPr>
          <w:rtl w:val="true"/>
        </w:rPr>
        <w:t>أبوال الدوابّ والبغال والحمیر</w:t>
      </w:r>
      <w:bookmarkEnd w:id="52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7" w:name="__RefHeading___Toc146842_2142443653"/>
      <w:bookmarkStart w:id="528" w:name="_Toc199"/>
      <w:bookmarkEnd w:id="527"/>
      <w:r>
        <w:rPr>
          <w:rtl w:val="true"/>
        </w:rPr>
        <w:t>اشارة</w:t>
      </w:r>
      <w:bookmarkEnd w:id="528"/>
    </w:p>
    <w:p>
      <w:pPr>
        <w:pStyle w:val="BookText"/>
        <w:rPr/>
      </w:pPr>
      <w:r>
        <w:rPr>
          <w:rFonts w:ascii="IRNazanin" w:hAnsi="IRNazanin" w:eastAsia="IRNazanin"/>
          <w:color w:val="111111"/>
          <w:sz w:val="28"/>
          <w:sz w:val="28"/>
          <w:szCs w:val="28"/>
          <w:rtl w:val="true"/>
          <w:lang w:bidi="fa-IR"/>
        </w:rPr>
        <w:t xml:space="preserve">والبقر والغنم وأبوالها ولحومها؟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تتوضأ منه ، وإنّ أصابک منه شی‌ء أو ثوباً لک فلا تغسله إلاّ أنّ تتنظّف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أبوال الدواب والبغال والحمیر؟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اغسلها ، فإنّ لم تعلم مکانها فاغسل الثوب کله ، فإنّ شککت فانضحه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البرقی ، عن أبان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بروث الحمیر ، واغسل أبوالها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فضالة ، عن حسین بن عثمان ، عن ابن مسکان ،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أبوال الخیل والبغال؟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ما أصابک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 عن الحسین بن محمد ، عن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 xml:space="preserve">عن الوشاء ، عن أبان بن عثمان ، عن أبی مریم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أبوال الدواب وأرواثها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أبوالها فاغسل إنّ أصابک ، وأمّا أرواثها فهی أکثر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فضالة ، عن أبان بن عثمان ، عن عبد الرحمن بن أبی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یمسّه بعض </w:t>
      </w:r>
      <w:r>
        <w:rPr>
          <w:rStyle w:val="FootnoteAnchor"/>
          <w:rtl w:val="true"/>
        </w:rPr>
        <w:footnoteReference w:id="728"/>
      </w:r>
      <w:r>
        <w:rPr>
          <w:rFonts w:ascii="IRNazanin" w:hAnsi="IRNazanin" w:eastAsia="IRNazanin"/>
          <w:color w:val="111111"/>
          <w:sz w:val="28"/>
          <w:sz w:val="28"/>
          <w:szCs w:val="28"/>
          <w:rtl w:val="true"/>
          <w:lang w:bidi="fa-IR"/>
        </w:rPr>
        <w:t xml:space="preserve">أبوال البهائم أیغسله أم 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بول الفرس والحمار والبغل ، وأما الشاة وکلّ ما یؤکل لحمه فلا بأس ببوله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بن یحیی ، عن السندی بن محمد ، عن یونس ابن یعقوب ، عن عبد الأعلی بن أعین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w:t>
      </w:r>
      <w:bookmarkStart w:id="529" w:name="pg15025_160333"/>
    </w:p>
    <w:p>
      <w:pPr>
        <w:pStyle w:val="BookText"/>
        <w:rPr/>
      </w:pPr>
      <w:bookmarkEnd w:id="529"/>
      <w:r>
        <w:rPr>
          <w:rFonts w:ascii="IRNazanin" w:hAnsi="IRNazanin" w:eastAsia="IRNazanin"/>
          <w:color w:val="111111"/>
          <w:sz w:val="28"/>
          <w:sz w:val="28"/>
          <w:szCs w:val="28"/>
          <w:rtl w:val="true"/>
          <w:lang w:bidi="fa-IR"/>
        </w:rPr>
        <w:t xml:space="preserve">أبوال الحمیر </w:t>
      </w:r>
      <w:r>
        <w:rPr>
          <w:rStyle w:val="FootnoteAnchor"/>
          <w:rtl w:val="true"/>
        </w:rPr>
        <w:footnoteReference w:id="729"/>
      </w:r>
      <w:r>
        <w:rPr>
          <w:rFonts w:ascii="IRNazanin" w:hAnsi="IRNazanin" w:eastAsia="IRNazanin"/>
          <w:color w:val="111111"/>
          <w:sz w:val="28"/>
          <w:sz w:val="28"/>
          <w:szCs w:val="28"/>
          <w:rtl w:val="true"/>
          <w:lang w:bidi="fa-IR"/>
        </w:rPr>
        <w:t xml:space="preserve">والبغال؟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ثوبک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فأرواثها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أکبر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کلّها محمولة علی ضرب من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بلا ریب ، کما تقدم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البرقی ، وقد تکرّر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فی هذا الکتاب </w:t>
      </w:r>
      <w:r>
        <w:rPr>
          <w:rStyle w:val="FootnoteAnchor"/>
          <w:rtl w:val="true"/>
        </w:rPr>
        <w:footnoteReference w:id="732"/>
      </w:r>
      <w:r>
        <w:rPr>
          <w:rFonts w:ascii="IRNazanin" w:hAnsi="IRNazanin" w:eastAsia="IRNazanin"/>
          <w:color w:val="111111"/>
          <w:sz w:val="28"/>
          <w:sz w:val="28"/>
          <w:szCs w:val="28"/>
          <w:rtl w:val="true"/>
          <w:lang w:bidi="fa-IR"/>
        </w:rPr>
        <w:t xml:space="preserve">وغیره ، وأبان لا ریب فی صحة حدیثه لو خلا من الموانع فی غیره عند من لا یعمل بالموثق ؛ إذ الجارح له ثقة غیر إمامی ، والإجماع علی تصحیح ما یصحّ عن أبان کما فی الکشی </w:t>
      </w:r>
      <w:r>
        <w:rPr>
          <w:rStyle w:val="FootnoteAnchor"/>
          <w:rtl w:val="true"/>
        </w:rPr>
        <w:footnoteReference w:id="733"/>
      </w:r>
      <w:r>
        <w:rPr>
          <w:rFonts w:ascii="IRNazanin" w:hAnsi="IRNazanin" w:eastAsia="IRNazanin"/>
          <w:color w:val="111111"/>
          <w:sz w:val="28"/>
          <w:sz w:val="28"/>
          <w:szCs w:val="28"/>
          <w:rtl w:val="true"/>
          <w:lang w:bidi="fa-IR"/>
        </w:rPr>
        <w:t>لا یخرج حدیثه عن کونه موثّقاً ، غایة الأمر أنّ یوصف حدیثه بالصحة علی غیر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مشترک فکیف یحکم بأنّه ابن عثمان؟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ذکرت ، إلاّ أنّ الظاهر فی إطلاق مثله أنّ یکون ابن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اتفق للوالد قدس سره فی المعالم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لا یقصر عن الأخبار التی تظن صحتها فی روایات التنجیس ، والتشبّث فی تضعیفه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0" w:name="__RefHeading___Toc146844_2142443653"/>
      <w:bookmarkStart w:id="531" w:name="_Toc200"/>
      <w:bookmarkEnd w:id="530"/>
      <w:r>
        <w:rPr>
          <w:rtl w:val="true"/>
        </w:rPr>
        <w:t>بحث حول أبان بن عثمان</w:t>
      </w:r>
      <w:bookmarkEnd w:id="531"/>
    </w:p>
    <w:p>
      <w:pPr>
        <w:pStyle w:val="BookText"/>
        <w:rPr/>
      </w:pPr>
      <w:r>
        <w:rPr>
          <w:rFonts w:ascii="IRNazanin" w:hAnsi="IRNazanin" w:eastAsia="IRNazanin"/>
          <w:color w:val="111111"/>
          <w:sz w:val="28"/>
          <w:sz w:val="28"/>
          <w:szCs w:val="28"/>
          <w:rtl w:val="true"/>
          <w:lang w:bidi="fa-IR"/>
        </w:rPr>
        <w:t xml:space="preserve">باشتمال طریقه علی البرقی وأبان لا یتجه عند من یحکم بصحّة شی‌ء من أخبار النجاسة إلی أنّ قال وأما من جهة أبان فلأنّ القرائن قائمة علی أنّه ابن عثمان ، وهو أحد الجماعة الذین حکی الکشی الإجماع علی تصحیح ما یصح عنهم ، وما جرح به لم یثبت ؛ لأنّ الأصل فیه علی بن الحسن بن فضّال ، والمتقرّر فی کلام الأصحاب أنّه من جملة الفطحیة ، فلو قُبل طعنه فی أبان لم یتجه المنع من قبول روایة أبان ؛ إذ لیس القدح إلاّ بفساد المذهب ، وهو مشترک بین الجارح والمجروح ، وقد اتضح بهذا وجه ثبوت التعارض بین الأخبار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أنّه محل تأمّل ؛ لأنّ 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المتضمن لنفی البأس یعنی الخبر المذکور لا یقصر عن الأخبار التی تظن صحتها ، کون الخبر صحیحاً ، فإنّ أراد المصطلح علیه کما هو المتعارف من الإطلاق فی مثله ، ففیه أنّ العامل بالموثّق لا بدّ أنّ یکون الخبر عنده موثّقاً ؛ لما قدّمناه من لزوم القول بخبر علی بن فضّال فی کون أبان فطحیاً </w:t>
      </w:r>
      <w:r>
        <w:rPr>
          <w:rStyle w:val="FootnoteAnchor"/>
          <w:rtl w:val="true"/>
        </w:rPr>
        <w:footnoteReference w:id="735"/>
      </w:r>
      <w:r>
        <w:rPr>
          <w:rFonts w:ascii="IRNazanin" w:hAnsi="IRNazanin" w:eastAsia="IRNazanin"/>
          <w:color w:val="111111"/>
          <w:sz w:val="28"/>
          <w:sz w:val="28"/>
          <w:szCs w:val="28"/>
          <w:rtl w:val="true"/>
          <w:lang w:bidi="fa-IR"/>
        </w:rPr>
        <w:t>ومن لا یعمل بذلک فالخبر عنده صحیح علی الاصطلاح ، فإطلاق الصحة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بالصحة غیر المصطلح علیه کان استعمالاً للفظ فی غیر وضعه من غیر قرینة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یعلم أنّ ما فی الحبل المتین من وصف الخبر المذکور بالصحة </w:t>
      </w:r>
      <w:r>
        <w:rPr>
          <w:rStyle w:val="FootnoteAnchor"/>
          <w:rtl w:val="true"/>
        </w:rPr>
        <w:footnoteReference w:id="736"/>
      </w:r>
      <w:r>
        <w:rPr>
          <w:rFonts w:ascii="IRNazanin" w:hAnsi="IRNazanin" w:eastAsia="IRNazanin"/>
          <w:color w:val="111111"/>
          <w:sz w:val="28"/>
          <w:sz w:val="28"/>
          <w:szCs w:val="28"/>
          <w:rtl w:val="true"/>
          <w:lang w:bidi="fa-IR"/>
        </w:rPr>
        <w:t xml:space="preserve">مع عمل مؤلّفة سلّمه الله بالموثّق لا یخلو من خلط فی </w:t>
      </w:r>
      <w:bookmarkStart w:id="532" w:name="pg15025_160335"/>
    </w:p>
    <w:p>
      <w:pPr>
        <w:pStyle w:val="BookText"/>
        <w:rPr/>
      </w:pPr>
      <w:bookmarkEnd w:id="532"/>
      <w:r>
        <w:rPr>
          <w:rFonts w:ascii="IRNazanin" w:hAnsi="IRNazanin" w:eastAsia="IRNazanin"/>
          <w:color w:val="111111"/>
          <w:sz w:val="28"/>
          <w:sz w:val="28"/>
          <w:szCs w:val="28"/>
          <w:rtl w:val="true"/>
          <w:lang w:bidi="fa-IR"/>
        </w:rPr>
        <w:t>الاصطلاح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من جهة الوالد قدس سره أنّ مراده کون القائلین بالنجاسة وصفوا أخباراً بالصحة وفیها أبان ، والحال فی الخبر أنّه مشتمل علی أبان ، لکن لا یخفی علیک أنّهم إذا لم یلتفتوا إلی ما ذکرناه کان علی الوالد قدس سره أنّ یبیّن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الحسین بن عثمان ، و </w:t>
      </w:r>
      <w:r>
        <w:rPr>
          <w:rStyle w:val="FootnoteAnchor"/>
          <w:rtl w:val="true"/>
        </w:rPr>
        <w:footnoteReference w:id="737"/>
      </w:r>
      <w:r>
        <w:rPr>
          <w:rFonts w:ascii="IRNazanin" w:hAnsi="IRNazanin" w:eastAsia="IRNazanin"/>
          <w:color w:val="111111"/>
          <w:sz w:val="28"/>
          <w:sz w:val="28"/>
          <w:szCs w:val="28"/>
          <w:rtl w:val="true"/>
          <w:lang w:bidi="fa-IR"/>
        </w:rPr>
        <w:t xml:space="preserve">المذکور 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ابن عثمان الأحمسی البجلی ، کوفی ثقة ، ذکره أبو العباس فی رجال أبی عبد الله </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عثمان بن شریک بن عدی العامری الوحیدی ثقة ، روی عن أبی عبد الله وأبی الحسن علیهماالسلام ، ذکره أصحابنا فی رجال أبی عبد الله ، له کتاب یختلف الرواة فیه ، فمنها ما رواه ابن أبی عمیر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رحمه الله فی الفهرست ذکر الأحمسی من غیر توثیق </w:t>
      </w:r>
      <w:r>
        <w:rPr>
          <w:rStyle w:val="FootnoteAnchor"/>
          <w:rtl w:val="true"/>
        </w:rPr>
        <w:footnoteReference w:id="740"/>
      </w:r>
      <w:r>
        <w:rPr>
          <w:rFonts w:ascii="IRNazanin" w:hAnsi="IRNazanin" w:eastAsia="IRNazanin"/>
          <w:color w:val="111111"/>
          <w:sz w:val="28"/>
          <w:sz w:val="28"/>
          <w:szCs w:val="28"/>
          <w:rtl w:val="true"/>
          <w:lang w:bidi="fa-IR"/>
        </w:rPr>
        <w:t xml:space="preserve">، وکذلک فی رجال الصادق علیه السلام من کتابه </w:t>
      </w:r>
      <w:r>
        <w:rPr>
          <w:rStyle w:val="FootnoteAnchor"/>
          <w:rtl w:val="true"/>
        </w:rPr>
        <w:footnoteReference w:id="741"/>
      </w:r>
      <w:r>
        <w:rPr>
          <w:rFonts w:ascii="IRNazanin" w:hAnsi="IRNazanin" w:eastAsia="IRNazanin"/>
          <w:color w:val="111111"/>
          <w:sz w:val="28"/>
          <w:sz w:val="28"/>
          <w:szCs w:val="28"/>
          <w:rtl w:val="true"/>
          <w:lang w:bidi="fa-IR"/>
        </w:rPr>
        <w:t xml:space="preserve">، وذکر العامری أیضاً فی رجال الصادق علیه السلام من غیر توثیق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والکشی قال فی الحسین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بن زیاد الرواسی ، عن حمدویه ، عن أشیاخه ، أنّه ثقة خیر فاضل </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الرجل فی ظاهر الحال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3" w:name="__RefHeading___Toc146846_2142443653"/>
      <w:bookmarkStart w:id="534" w:name="_Toc201"/>
      <w:bookmarkEnd w:id="533"/>
      <w:r>
        <w:rPr>
          <w:rtl w:val="true"/>
        </w:rPr>
        <w:t>بحث حول الحسین بن عثمان</w:t>
      </w:r>
      <w:bookmarkEnd w:id="534"/>
    </w:p>
    <w:p>
      <w:pPr>
        <w:pStyle w:val="BookText"/>
        <w:rPr/>
      </w:pPr>
      <w:r>
        <w:rPr>
          <w:rFonts w:ascii="IRNazanin" w:hAnsi="IRNazanin" w:eastAsia="IRNazanin"/>
          <w:color w:val="111111"/>
          <w:sz w:val="28"/>
          <w:sz w:val="28"/>
          <w:szCs w:val="28"/>
          <w:rtl w:val="true"/>
          <w:lang w:bidi="fa-IR"/>
        </w:rPr>
        <w:t>أنّه غیر الأوّلین ، والذی فی الکشی ما ذکرته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قال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بن عثمان مشترک بین رجلین وثّقهما النجاشی ، وحکی الکشی توثیق أحدهما عن حمدویه عن أشیاخه ، مع أنّ عبارة الاختیار توهم مغایرة المحکی بتوثیقه </w:t>
      </w:r>
      <w:r>
        <w:rPr>
          <w:rStyle w:val="FootnoteAnchor"/>
          <w:rtl w:val="true"/>
        </w:rPr>
        <w:footnoteReference w:id="745"/>
      </w:r>
      <w:r>
        <w:rPr>
          <w:rFonts w:ascii="IRNazanin" w:hAnsi="IRNazanin" w:eastAsia="IRNazanin"/>
          <w:color w:val="111111"/>
          <w:sz w:val="28"/>
          <w:sz w:val="28"/>
          <w:szCs w:val="28"/>
          <w:rtl w:val="true"/>
          <w:lang w:bidi="fa-IR"/>
        </w:rPr>
        <w:t xml:space="preserve">لهما ، وهذه الحکایة لا تخرجه عند التحقیق عن عداد من عرفت عدالته بتزکیة الواحد </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أنّه محلّ تأمّل ؛ لأنّ ما ذکرناه عن الکشی یقتضی المغایرة ، فیکونون ثلاثة ، وهذه عبارة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أشیاخی یذکرون أنّ حماداً وجعفراً والحسین بنی عثمان بن زیاد الرواسی ، وحمّاد یلقّب بالناب ، کلّهم ثقات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فی الخلاصة ذکر الحسین بن عثمان بن شریک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الکشی عن حمدویه ، عن أشیاخه أنّ الحسین بن عثمان خیّر فاضل ، ثقة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من العلاّمة أنّه ظن کون الرواسی هو العامری ، أو أنّ لفظ الرواسی لم یکن فی نسخة الکشی التی عنده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الکشی حکی توثیق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أنّ ما وقف علیه من الأخبار للکشی لیس فیه الرواسی ، إلاّ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عبارة الاختیار توهم المغایرة یدلّ علی أنّ لفظ الرواسی موجود فی الاختیار ، معه فالوهم غیر ظاهر الوجه ، إلاّ أنّ یکون اعتمد قدس سره علی قرائن تدلّ علی </w:t>
      </w:r>
    </w:p>
    <w:p>
      <w:pPr>
        <w:pStyle w:val="BookText"/>
        <w:rPr/>
      </w:pPr>
      <w:r>
        <w:rPr>
          <w:rFonts w:ascii="IRNazanin" w:hAnsi="IRNazanin" w:eastAsia="IRNazanin"/>
          <w:color w:val="111111"/>
          <w:sz w:val="28"/>
          <w:sz w:val="28"/>
          <w:szCs w:val="28"/>
          <w:rtl w:val="true"/>
          <w:lang w:bidi="fa-IR"/>
        </w:rPr>
        <w:t>تعدد الوصف لأحد الرجلین ، ولا أعلم الآن حقیقة الحال ، ونسخة الاختیار لم تحضرنی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ذکره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هذه الحکایة لا تخرجه ، إلی آخره ، یرید به المشی علی أُصوله من اعتبار تزکیة الاثنین ، والوجه فی عدم الخروج بالحکایة عن تزکیة الواحد لا یخلو من أحد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المذکور فی الکشی أحد الرجلین الموثّقین من النجاشی فقط ، والکشی توثیقه لا یفید ؛ لأنّه یرجع إلی شیوخ حمدویه ، وحالتهم غیر معلومة ، فیکون التوثیق من النجاشی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المذکور غیر الاثنین ، والتوثیق حینئذ لیس إلاّ من الکشی وإن کان راجعاً إلی شیوخ حمدویه ، إلاّ أنّ ظاهر الإضافة فی أشیاخه یفید العموم وفیهم من هو ثقة کما یعلم من الفهرست ، وحینئذ لا یخرج الرجل عن توثیق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نظری القاصر أنّ کلا الأمرین لا یخلو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کونه أحد الرجلین من غیر تعیین </w:t>
      </w:r>
      <w:r>
        <w:rPr>
          <w:rStyle w:val="FootnoteAnchor"/>
          <w:rtl w:val="true"/>
        </w:rPr>
        <w:footnoteReference w:id="749"/>
      </w:r>
      <w:r>
        <w:rPr>
          <w:rFonts w:ascii="IRNazanin" w:hAnsi="IRNazanin" w:eastAsia="IRNazanin"/>
          <w:color w:val="111111"/>
          <w:sz w:val="28"/>
          <w:sz w:val="28"/>
          <w:szCs w:val="28"/>
          <w:rtl w:val="true"/>
          <w:lang w:bidi="fa-IR"/>
        </w:rPr>
        <w:t xml:space="preserve">یقتضی عدم صحة الخبر عنده وإن أفاد کلام الکشی التوثیق ؛ إذ عدم تعیین </w:t>
      </w:r>
      <w:r>
        <w:rPr>
          <w:rStyle w:val="FootnoteAnchor"/>
          <w:rtl w:val="true"/>
        </w:rPr>
        <w:footnoteReference w:id="750"/>
      </w:r>
      <w:r>
        <w:rPr>
          <w:rFonts w:ascii="IRNazanin" w:hAnsi="IRNazanin" w:eastAsia="IRNazanin"/>
          <w:color w:val="111111"/>
          <w:sz w:val="28"/>
          <w:sz w:val="28"/>
          <w:szCs w:val="28"/>
          <w:rtl w:val="true"/>
          <w:lang w:bidi="fa-IR"/>
        </w:rPr>
        <w:t>الموثق بالاثنین کاف فی عدم الصحة ، وظاهر الکلام یعطی أنّ المانع من الصحة کون الرجل من الذین عرفت عدالتهم بتزکیة الواحد ، فلیتأمّل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الثالث إذا تحقق وقلنا بدلالة الإضافة علی العموم وکان فی الأشیاخ من هو ثقة ، فلا ریب أنّها لا یخرجه عن کونه مزکّی بالواحد ، فالاحتیاج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التحقیق ، لا وجه له ، علی أنّه بعد ذکر </w:t>
      </w:r>
      <w:bookmarkStart w:id="535" w:name="pg15025_160338"/>
    </w:p>
    <w:p>
      <w:pPr>
        <w:pStyle w:val="BookText"/>
        <w:rPr/>
      </w:pPr>
      <w:bookmarkEnd w:id="535"/>
      <w:r>
        <w:rPr>
          <w:rFonts w:ascii="IRNazanin" w:hAnsi="IRNazanin" w:eastAsia="IRNazanin"/>
          <w:color w:val="111111"/>
          <w:sz w:val="28"/>
          <w:sz w:val="28"/>
          <w:szCs w:val="28"/>
          <w:rtl w:val="true"/>
          <w:lang w:bidi="fa-IR"/>
        </w:rPr>
        <w:t>إیهام العبارة للمغایرة لا وجه لکون الرجل غیر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فالرجل علی ما فی الکشی محتمل لثلاثة ، والثلاثة لا یبعد توثیقهم ؛ لما أشرنا إلیه من الإضافة ، علی أنّ الذی یستفاد من النجاشی أن الراوی عن الرجلین ابن أبی عمیر </w:t>
      </w:r>
      <w:r>
        <w:rPr>
          <w:rStyle w:val="FootnoteAnchor"/>
          <w:rtl w:val="true"/>
        </w:rPr>
        <w:footnoteReference w:id="751"/>
      </w:r>
      <w:r>
        <w:rPr>
          <w:rFonts w:ascii="IRNazanin" w:hAnsi="IRNazanin" w:eastAsia="IRNazanin"/>
          <w:color w:val="111111"/>
          <w:sz w:val="28"/>
          <w:sz w:val="28"/>
          <w:szCs w:val="28"/>
          <w:rtl w:val="true"/>
          <w:lang w:bidi="fa-IR"/>
        </w:rPr>
        <w:t>فیحتمل الاتحاد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معلّی بن محمد ، وهو البصری ، لما صرح به الشیخ فی رجال من لم یرو عن احمد من الأئمّة علیهم السلام أنّ الراوی عنه الحسین بن محمد </w:t>
      </w:r>
      <w:r>
        <w:rPr>
          <w:rStyle w:val="FootnoteAnchor"/>
          <w:rtl w:val="true"/>
        </w:rPr>
        <w:footnoteReference w:id="752"/>
      </w:r>
      <w:r>
        <w:rPr>
          <w:rFonts w:ascii="IRNazanin" w:hAnsi="IRNazanin" w:eastAsia="IRNazanin"/>
          <w:color w:val="111111"/>
          <w:sz w:val="28"/>
          <w:sz w:val="28"/>
          <w:szCs w:val="28"/>
          <w:rtl w:val="true"/>
          <w:lang w:bidi="fa-IR"/>
        </w:rPr>
        <w:t xml:space="preserve">وکذلک النجاشی ، وهذا الرجل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مضطرب الحدیث والمذهب </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والوشاء قد قدّمنا القول فیه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مریم اسمه عبد الغفار ، وقد وثّقه النجاشی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الحال بعد ما أسلفناه من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الأعلی بن أعین ، وهو مهمل فی رجال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الشیخ </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یونس بن یعقوب فقد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بعبد الله ورجع ، وکان یتوکّل لأبی الحسن علیه السلام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حظیّا عندهم موثقاً </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رحمه الله وثّقه فی رجال الکاظم علیه السلام من کتابه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عبارة النجاشی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موثقاً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دلّت</w:t>
      </w:r>
    </w:p>
    <w:p>
      <w:pPr>
        <w:pStyle w:val="Heading4"/>
        <w:numPr>
          <w:ilvl w:val="3"/>
          <w:numId w:val="1"/>
        </w:numPr>
        <w:rPr/>
      </w:pPr>
      <w:bookmarkStart w:id="536" w:name="__RefHeading___Toc146848_2142443653"/>
      <w:bookmarkStart w:id="537" w:name="_Toc202"/>
      <w:bookmarkEnd w:id="536"/>
      <w:r>
        <w:rPr>
          <w:rtl w:val="true"/>
        </w:rPr>
        <w:t>بحث حول معلّی بن محمّد البصری</w:t>
      </w:r>
      <w:bookmarkEnd w:id="537"/>
    </w:p>
    <w:p>
      <w:pPr>
        <w:pStyle w:val="Heading4"/>
        <w:numPr>
          <w:ilvl w:val="3"/>
          <w:numId w:val="1"/>
        </w:numPr>
        <w:rPr/>
      </w:pPr>
      <w:bookmarkStart w:id="538" w:name="__RefHeading___Toc146850_2142443653"/>
      <w:bookmarkStart w:id="539" w:name="_Toc203"/>
      <w:bookmarkEnd w:id="538"/>
      <w:r>
        <w:rPr>
          <w:rtl w:val="true"/>
        </w:rPr>
        <w:t>أبو مریم اسمه عبدالغفّار ، ثقة</w:t>
      </w:r>
      <w:bookmarkEnd w:id="539"/>
    </w:p>
    <w:p>
      <w:pPr>
        <w:pStyle w:val="Heading4"/>
        <w:numPr>
          <w:ilvl w:val="3"/>
          <w:numId w:val="1"/>
        </w:numPr>
        <w:rPr/>
      </w:pPr>
      <w:bookmarkStart w:id="540" w:name="__RefHeading___Toc146852_2142443653"/>
      <w:bookmarkStart w:id="541" w:name="_Toc204"/>
      <w:bookmarkEnd w:id="540"/>
      <w:r>
        <w:rPr>
          <w:rtl w:val="true"/>
        </w:rPr>
        <w:t>عبدالأعلی بن أعین مهمل</w:t>
      </w:r>
      <w:bookmarkEnd w:id="54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2" w:name="__RefHeading___Toc146854_2142443653"/>
      <w:bookmarkStart w:id="543" w:name="_Toc205"/>
      <w:bookmarkEnd w:id="542"/>
      <w:r>
        <w:rPr>
          <w:rtl w:val="true"/>
        </w:rPr>
        <w:t>بحث حول یونس بن یعقوب</w:t>
      </w:r>
      <w:bookmarkStart w:id="544" w:name="pg15025_160339"/>
      <w:bookmarkEnd w:id="543"/>
    </w:p>
    <w:p>
      <w:pPr>
        <w:pStyle w:val="BookText"/>
        <w:rPr/>
      </w:pPr>
      <w:bookmarkEnd w:id="544"/>
      <w:r>
        <w:rPr>
          <w:rFonts w:ascii="IRNazanin" w:hAnsi="IRNazanin" w:eastAsia="IRNazanin"/>
          <w:color w:val="111111"/>
          <w:sz w:val="28"/>
          <w:sz w:val="28"/>
          <w:szCs w:val="28"/>
          <w:rtl w:val="true"/>
          <w:lang w:bidi="fa-IR"/>
        </w:rPr>
        <w:t>علی التوثیق المعتبر فی الروایة أفادت توثیق النجاشی للرجل ، لکن فیها نوع احتمال ، ولعلّ توثیق الشیخ هو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قول العلاّمة فی الخلاصة بعد نقل الفطحیة عن ابن بابویه ، والکشی فی روایته عن حمدویه عن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أعتمد علیه قبول روایته </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 لأنّ الرجوع لا یعلم قبل الروایة أو بعدها ، والعلاّمة لا یعمل بالموثق کما یظهر من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العلاّمة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الکشی أحادیث حسنة تدل علی حسن عقیدة هذا الرجل </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الأحادیث التی فی الکشی لیس فیها صحیح ولا حسن ، ولعلّ مراده بالحسن معنی آخر غیر المصطلح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به القائلون بالنجاسة مطلقاً </w:t>
      </w:r>
      <w:r>
        <w:rPr>
          <w:rStyle w:val="FootnoteAnchor"/>
          <w:rtl w:val="true"/>
        </w:rPr>
        <w:footnoteReference w:id="761"/>
      </w:r>
      <w:r>
        <w:rPr>
          <w:rFonts w:ascii="IRNazanin" w:hAnsi="IRNazanin" w:eastAsia="IRNazanin"/>
          <w:color w:val="111111"/>
          <w:sz w:val="28"/>
          <w:sz w:val="28"/>
          <w:szCs w:val="28"/>
          <w:rtl w:val="true"/>
          <w:lang w:bidi="fa-IR"/>
        </w:rPr>
        <w:t>، أعنی البول والروث ، وهی کما تری خاصة بالبول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الوالد قدس سره فی الاستدلال للطهارة فی الروث والبول ، موجّهاً للاستدلال به أنّ مقتضاه نفی البأس عن الروث ، فیکون الأمر بغَسل البول للاستحباب ؛ إذ لا قائل بالفصل فیما یظهر </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ما قاله من عدم القائل بالفصل ، بأنّ العلاّمة فی المنتهی ، إنما نقل الخلاف فی بول الدواب </w:t>
      </w:r>
      <w:r>
        <w:rPr>
          <w:rStyle w:val="FootnoteAnchor"/>
          <w:rtl w:val="true"/>
        </w:rPr>
        <w:footnoteReference w:id="763"/>
      </w:r>
      <w:r>
        <w:rPr>
          <w:rFonts w:ascii="IRNazanin" w:hAnsi="IRNazanin" w:eastAsia="IRNazanin"/>
          <w:color w:val="111111"/>
          <w:sz w:val="28"/>
          <w:sz w:val="28"/>
          <w:szCs w:val="28"/>
          <w:rtl w:val="true"/>
          <w:lang w:bidi="fa-IR"/>
        </w:rPr>
        <w:t>، والظاهر من ذلک وجود القائل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مذکور فی أدلة القائلین بالنجاسة مطلقاً علی ما حکاه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5" w:name="__RefHeading___Toc146856_2142443653"/>
      <w:bookmarkStart w:id="546" w:name="_Toc206"/>
      <w:bookmarkEnd w:id="545"/>
      <w:r>
        <w:rPr>
          <w:rtl w:val="true"/>
        </w:rPr>
        <w:t>حکم أبوال الدوابّ والحمیر والبغال وأرواثها فی الأخبار</w:t>
      </w:r>
      <w:bookmarkEnd w:id="546"/>
    </w:p>
    <w:p>
      <w:pPr>
        <w:pStyle w:val="BookText"/>
        <w:rPr/>
      </w:pPr>
      <w:r>
        <w:rPr>
          <w:rFonts w:ascii="IRNazanin" w:hAnsi="IRNazanin" w:eastAsia="IRNazanin"/>
          <w:color w:val="111111"/>
          <w:sz w:val="28"/>
          <w:sz w:val="28"/>
          <w:szCs w:val="28"/>
          <w:rtl w:val="true"/>
          <w:lang w:bidi="fa-IR"/>
        </w:rPr>
        <w:t xml:space="preserve">الوالد قدس سره </w:t>
      </w:r>
      <w:r>
        <w:rPr>
          <w:rStyle w:val="FootnoteAnchor"/>
          <w:rtl w:val="true"/>
        </w:rPr>
        <w:footnoteReference w:id="764"/>
      </w:r>
      <w:r>
        <w:rPr>
          <w:rFonts w:ascii="IRNazanin" w:hAnsi="IRNazanin" w:eastAsia="IRNazanin"/>
          <w:color w:val="111111"/>
          <w:sz w:val="28"/>
          <w:sz w:val="28"/>
          <w:szCs w:val="28"/>
          <w:rtl w:val="true"/>
          <w:lang w:bidi="fa-IR"/>
        </w:rPr>
        <w:t>، والحال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فی کلام الوالد قدس سره لتأیید القول بالطهارة </w:t>
      </w:r>
      <w:r>
        <w:rPr>
          <w:rStyle w:val="FootnoteAnchor"/>
          <w:rtl w:val="true"/>
        </w:rPr>
        <w:footnoteReference w:id="765"/>
      </w:r>
      <w:r>
        <w:rPr>
          <w:rFonts w:ascii="IRNazanin" w:hAnsi="IRNazanin" w:eastAsia="IRNazanin"/>
          <w:color w:val="111111"/>
          <w:sz w:val="28"/>
          <w:sz w:val="28"/>
          <w:szCs w:val="28"/>
          <w:rtl w:val="true"/>
          <w:lang w:bidi="fa-IR"/>
        </w:rPr>
        <w:t>علی نحو ما ذکره فی خبر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أرواثها فهی أکثر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فسیجی‌ء بیانه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والسادس </w:t>
      </w:r>
      <w:r>
        <w:rPr>
          <w:rStyle w:val="FootnoteAnchor"/>
          <w:rtl w:val="true"/>
        </w:rPr>
        <w:footnoteReference w:id="76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مذکور فی حجّة الطهارة مطلقاً فی کلام الوالد قدس سره </w:t>
      </w:r>
      <w:r>
        <w:rPr>
          <w:rStyle w:val="FootnoteAnchor"/>
          <w:rtl w:val="true"/>
        </w:rPr>
        <w:footnoteReference w:id="767"/>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Style w:val="FootnoteAnchor"/>
          <w:rtl w:val="true"/>
        </w:rPr>
        <w:footnoteReference w:id="768"/>
      </w:r>
      <w:r>
        <w:rPr>
          <w:rFonts w:ascii="IRNazanin" w:hAnsi="IRNazanin" w:eastAsia="IRNazanin"/>
          <w:color w:val="111111"/>
          <w:sz w:val="28"/>
          <w:sz w:val="28"/>
          <w:szCs w:val="28"/>
          <w:rtl w:val="true"/>
          <w:lang w:bidi="fa-IR"/>
        </w:rPr>
        <w:t xml:space="preserve">وکذلک ذکره المحقق فی المعتبر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کثرتها یمنع التکلیف بإزالتها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یعطی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بالثاء المثلثة ، واحتمال أن یراد أکثر نجاسة قائم ، بخلاف روایة أبی مریم </w:t>
      </w:r>
      <w:r>
        <w:rPr>
          <w:rStyle w:val="FootnoteAnchor"/>
          <w:rtl w:val="true"/>
        </w:rPr>
        <w:footnoteReference w:id="770"/>
      </w:r>
      <w:r>
        <w:rPr>
          <w:rFonts w:ascii="IRNazanin" w:hAnsi="IRNazanin" w:eastAsia="IRNazanin"/>
          <w:color w:val="111111"/>
          <w:sz w:val="28"/>
          <w:sz w:val="28"/>
          <w:szCs w:val="28"/>
          <w:rtl w:val="true"/>
          <w:lang w:bidi="fa-IR"/>
        </w:rPr>
        <w:t xml:space="preserve">فإنّ سیاقها یعطی ما ذکره المحقّق فکان متوجهاً ، وما فی بعض النسخ من لفظ أکبر بالباء الموحدة فقد یمکن توجیهه بما لا ینافی ذلک ، لکن لا یخفی أنّه لا بد من ضمیمة عدم القائل بالفصل ، لیلزم من طهارة الروث طهارة البول ، وقد سمعت ما قدّمناه عن المنتهی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 وغیر بعید أن یکون ما فی المنتهی قصور عبارة ؛ لأنّه رحمه الله فی المختلف بعد الروایة الثانیة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البأس عن الروث یقتضی طهارته ، ویلزم من ذلک طهارة البول ؛ لعدم القائل بالفرق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القائل بالفرق فی الطهارة لا یستلزم عدم </w:t>
      </w:r>
      <w:bookmarkStart w:id="547" w:name="pg15025_160341"/>
    </w:p>
    <w:p>
      <w:pPr>
        <w:pStyle w:val="BookText"/>
        <w:rPr/>
      </w:pPr>
      <w:bookmarkEnd w:id="547"/>
      <w:r>
        <w:rPr>
          <w:rFonts w:ascii="IRNazanin" w:hAnsi="IRNazanin" w:eastAsia="IRNazanin"/>
          <w:color w:val="111111"/>
          <w:sz w:val="28"/>
          <w:sz w:val="28"/>
          <w:szCs w:val="28"/>
          <w:rtl w:val="true"/>
          <w:lang w:bidi="fa-IR"/>
        </w:rPr>
        <w:t>القائل بالفرق فی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المنافاة لإطلاق المنتهی حاصلة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وهو أنّه تقدّم فی أوّل الکتاب خبر صحیح تضمّن السؤال عن الماء تبول فیه الدواب وتلغ فیه الکلاب ، والجواب تضمّن أنّ الماء إذا کان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یفید بسبب التقریر نجاسة أبوال الدواب ، ولم أر من تعرض له فی الاستدلال هنا ، وقد نبّهنا علی ذلک فی أوّل الکتاب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فاعلم أنّ القائلین بالطهارة استدلوا بالأصل مع الأخبار المذکورة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قد علم المخرج عنه من الأخبار فکیف یتم الاستدلال؟</w:t>
      </w:r>
    </w:p>
    <w:p>
      <w:pPr>
        <w:pStyle w:val="BookText"/>
        <w:rPr/>
      </w:pPr>
      <w:r>
        <w:rPr>
          <w:rFonts w:ascii="IRNazanin" w:hAnsi="IRNazanin" w:eastAsia="IRNazanin"/>
          <w:color w:val="111111"/>
          <w:sz w:val="28"/>
          <w:sz w:val="28"/>
          <w:szCs w:val="28"/>
          <w:rtl w:val="true"/>
          <w:lang w:bidi="fa-IR"/>
        </w:rPr>
        <w:t>ویمکن الجواب بأنّ الأصل لا یخرج عنه إلاّ بالأخبار السلیمة من التعارض وهو موجود ، فإن من الأخبار ما هو صحیح من الطرفین فی الجملة ، وتوجیه دفع التعارض ممکن بالاستحباب فیعمل الأصل عمله والأخبار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 الحال بأنّ الأصل إذ علم من مجموع الأخبار الخروج عنه انتفی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أوّل البحث بعد تحقق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الاستدلال علی الطهارة بالعمومات الدالة علی طهارة بول ما یؤکل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8" w:name="__RefHeading___Toc146858_2142443653"/>
      <w:bookmarkStart w:id="549" w:name="_Toc207"/>
      <w:bookmarkEnd w:id="548"/>
      <w:r>
        <w:rPr>
          <w:rtl w:val="true"/>
        </w:rPr>
        <w:t>أدلّة القائلین بالطهارة والمناقشة فیها</w:t>
      </w:r>
      <w:bookmarkEnd w:id="549"/>
    </w:p>
    <w:p>
      <w:pPr>
        <w:pStyle w:val="BookText"/>
        <w:rPr/>
      </w:pPr>
      <w:r>
        <w:rPr>
          <w:rFonts w:ascii="IRNazanin" w:hAnsi="IRNazanin" w:eastAsia="IRNazanin"/>
          <w:color w:val="111111"/>
          <w:sz w:val="28"/>
          <w:sz w:val="28"/>
          <w:szCs w:val="28"/>
          <w:rtl w:val="true"/>
          <w:lang w:bidi="fa-IR"/>
        </w:rPr>
        <w:t xml:space="preserve">لحمه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الخاص مقدّم کما ذکر بعض محقّقی المتأخرین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الخاص لا یعلم تخصیصه مع التعارض والحال 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بأنّ البول لا تعارض فی أخباره ، فالتخصیص لا مانع منه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بعض الاخبار ما یفید المعارضة ، وهو ما رواه الصدوق فی الفقیه عن أبیه ، عن محمد بن یحیی العطار ، عن إبراهیم بن هاشم ، عن صفوان بن یحیی ومحمد بن أبی عمیر ، عن أبی الأغرّ النخّاس أنَّه سأل أبا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أُعالج الدواب فربما خرجت باللیل وقد بالت وراثت فتضرب إحداها بیدها أو برجلها فینضح علی ثوبی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الأغرّ وإنّ کان مجهول الحال ، إلاّ أنّ روایة الصدوق لها توجب المزیة الظاهرة کما قدّمناه </w:t>
      </w:r>
      <w:r>
        <w:rPr>
          <w:rStyle w:val="FootnoteAnchor"/>
          <w:rtl w:val="true"/>
        </w:rPr>
        <w:footnoteReference w:id="777"/>
      </w:r>
      <w:r>
        <w:rPr>
          <w:rFonts w:ascii="IRNazanin" w:hAnsi="IRNazanin" w:eastAsia="IRNazanin"/>
          <w:color w:val="111111"/>
          <w:sz w:val="28"/>
          <w:sz w:val="28"/>
          <w:szCs w:val="28"/>
          <w:rtl w:val="true"/>
          <w:lang w:bidi="fa-IR"/>
        </w:rPr>
        <w:t xml:space="preserve">، مضافاً الی روایة الثقتین </w:t>
      </w:r>
      <w:r>
        <w:rPr>
          <w:rStyle w:val="FootnoteAnchor"/>
          <w:rtl w:val="true"/>
        </w:rPr>
        <w:footnoteReference w:id="778"/>
      </w:r>
      <w:r>
        <w:rPr>
          <w:rFonts w:ascii="IRNazanin" w:hAnsi="IRNazanin" w:eastAsia="IRNazanin"/>
          <w:color w:val="111111"/>
          <w:sz w:val="28"/>
          <w:sz w:val="28"/>
          <w:szCs w:val="28"/>
          <w:rtl w:val="true"/>
          <w:lang w:bidi="fa-IR"/>
        </w:rPr>
        <w:t xml:space="preserve">عنه ، وقد قیل فی مدحهما </w:t>
      </w:r>
      <w:r>
        <w:rPr>
          <w:rStyle w:val="FootnoteAnchor"/>
          <w:rtl w:val="true"/>
        </w:rPr>
        <w:footnoteReference w:id="779"/>
      </w:r>
      <w:r>
        <w:rPr>
          <w:rFonts w:ascii="IRNazanin" w:hAnsi="IRNazanin" w:eastAsia="IRNazanin"/>
          <w:color w:val="111111"/>
          <w:sz w:val="28"/>
          <w:sz w:val="28"/>
          <w:szCs w:val="28"/>
          <w:rtl w:val="true"/>
          <w:lang w:bidi="fa-IR"/>
        </w:rPr>
        <w:t xml:space="preserve">ما یشعر بالقبول فی الجملة ، وحینئذ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جهة البول أنّ الأخبار متعارضة فلا یخرج عن الأصل ، غیر أنّ الاحتیاط مطلوب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غریب ما وقع للعلاّمة فی المختلف أنّه استدل للطهارة فی جملة أشیاء بأنّ طهارة أبوال الإبل مثلاً مع نجاسة هذه الأبوال ممّا لا یجتمعان ، والأول ثابت فینتفی الثانی ، ووجه المنافاة أنّ کون الحیوان </w:t>
      </w:r>
      <w:bookmarkStart w:id="550" w:name="pg15025_160343"/>
    </w:p>
    <w:p>
      <w:pPr>
        <w:pStyle w:val="BookText"/>
        <w:rPr/>
      </w:pPr>
      <w:bookmarkEnd w:id="550"/>
      <w:r>
        <w:rPr>
          <w:rFonts w:ascii="IRNazanin" w:hAnsi="IRNazanin" w:eastAsia="IRNazanin"/>
          <w:color w:val="111111"/>
          <w:sz w:val="28"/>
          <w:sz w:val="28"/>
          <w:szCs w:val="28"/>
          <w:rtl w:val="true"/>
          <w:lang w:bidi="fa-IR"/>
        </w:rPr>
        <w:t xml:space="preserve">مأکول اللحم إمّا أنّ یقتضی طهارة رجیعه أو لا ، وعلی کلا التقدیرین یلزم التنافی ، أما علی الأوّل فلوجود المشترک فی صورة النزاع ، وأمّا علی الثانی فلأنّه یلزم نجاسة أبوال الإبل عملاً بالعموم الدال علی نجاسة البول مطلقاً السالم عن معارضة کون الحیوان مأکولاً عادة ، وأما ثبوت الأول فبالإجماع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إذا لاحظت الکلام بأیسر نظر تری أنّه منحرف عن جادة التحقیق ، بل لا ینبغی صدور مثله عن مثله لکن فی المختلف له 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وأغرب منه ما وقع منه فی المنتهی بعد ذکر روایة لابن سنان تتضمن الأمر بغَسل الثوب من أبوال ما لا یؤکل لحمه ، أنّ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روایة ابن سنان غیر مصرحة بالتنجیس ، أقصی ما فی الباب أنّه أمر بالغَسل ، وهو غیر دال علی النجاسة إلاّ من حیث المفهوم ، والمنطوق أقوی </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فی المقام وهو أنّ الخبر الأول تضمّن جمیع الألبان والبول واللحم فی السؤال ، والجواب کما تری تضمّن النهی عن الوضوء ، وغیر بعید أنّ یراد بالوضوء غَسل الیدین ، واستعماله فی هذا غیر عزیز ، وربما کان ذکر عدم غَسل الثوب قرینة علی ذلک ، واحتمال الوضوء الحقیقی لا وجه له ، والأعم منه ومن غَسل الیدین بعید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تقدّم تفسیر النضح عن القاموس بأنه الرشّ </w:t>
      </w:r>
      <w:r>
        <w:rPr>
          <w:rStyle w:val="FootnoteAnchor"/>
          <w:rtl w:val="true"/>
        </w:rPr>
        <w:footnoteReference w:id="783"/>
      </w:r>
      <w:r>
        <w:rPr>
          <w:rFonts w:ascii="IRNazanin" w:hAnsi="IRNazanin" w:eastAsia="IRNazanin"/>
          <w:color w:val="111111"/>
          <w:sz w:val="28"/>
          <w:sz w:val="28"/>
          <w:szCs w:val="28"/>
          <w:rtl w:val="true"/>
          <w:lang w:bidi="fa-IR"/>
        </w:rPr>
        <w:t>، لکن فی الحبل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1" w:name="__RefHeading___Toc146860_2142443653"/>
      <w:bookmarkStart w:id="552" w:name="_Toc208"/>
      <w:bookmarkEnd w:id="551"/>
      <w:r>
        <w:rPr>
          <w:rtl w:val="true"/>
        </w:rPr>
        <w:t>معنی النضح والرشّ والفرق بینهما</w:t>
      </w:r>
      <w:bookmarkEnd w:id="552"/>
    </w:p>
    <w:p>
      <w:pPr>
        <w:pStyle w:val="BookText"/>
        <w:rPr/>
      </w:pPr>
      <w:r>
        <w:rPr>
          <w:rFonts w:ascii="IRNazanin" w:hAnsi="IRNazanin" w:eastAsia="IRNazanin"/>
          <w:color w:val="111111"/>
          <w:sz w:val="28"/>
          <w:sz w:val="28"/>
          <w:szCs w:val="28"/>
          <w:rtl w:val="true"/>
          <w:lang w:bidi="fa-IR"/>
        </w:rPr>
        <w:t xml:space="preserve">المتین أنّ ظاهر کلام العلاّمة فی النهایة یعطی أنّ الرشّ أخص من النضح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w:t>
      </w:r>
      <w:r>
        <w:rPr>
          <w:rStyle w:val="FootnoteAnchor"/>
          <w:rtl w:val="true"/>
        </w:rPr>
        <w:footnoteReference w:id="784"/>
      </w:r>
      <w:r>
        <w:rPr>
          <w:rFonts w:ascii="IRNazanin" w:hAnsi="IRNazanin" w:eastAsia="IRNazanin"/>
          <w:color w:val="111111"/>
          <w:sz w:val="28"/>
          <w:sz w:val="28"/>
          <w:szCs w:val="28"/>
          <w:rtl w:val="true"/>
          <w:lang w:bidi="fa-IR"/>
        </w:rPr>
        <w:t xml:space="preserve">إیراد الماء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النضح المجرد ومع الغلبة ، ومع الجریان ، ولا حاجة فی الرشّ إلی الدرجة الثالثة قطعاً ، وهل یحتاج إلی الثانیة؟ الأقرب ذلک ، ویفرّق بین الرشّ والغَسل بالسیلان والتقاطر </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أعلم بوجه 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أوردناه فی کتابنا الکبیر ، وفیما تقدم أیضاً من هذا الکتاب أنّ ما یؤکل لحمه لا بأس ببوله وروثه ، وإذا کانت هذه الأشیاء غیر محرّمة اللحوم لم تکن أرواثها وأبوالها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أحمد بن محمد ، عن محمد بن خالد ، عن القاسم بن عروة ، عن ابن بکیر ، عن زرارة ، عن أحدهما علیهماالسلام فی أبوال الدواب یصیب الثوب فکرهه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لحومها حلالاً؟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ولکن لیس ممّا جعلها الله للأکل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هذا الخبر مفسّراً للأخبار کلّها </w:t>
      </w:r>
      <w:r>
        <w:rPr>
          <w:rStyle w:val="FootnoteAnchor"/>
          <w:rtl w:val="true"/>
        </w:rPr>
        <w:footnoteReference w:id="786"/>
      </w:r>
      <w:r>
        <w:rPr>
          <w:rFonts w:ascii="IRNazanin" w:hAnsi="IRNazanin" w:eastAsia="IRNazanin"/>
          <w:color w:val="111111"/>
          <w:sz w:val="28"/>
          <w:sz w:val="28"/>
          <w:szCs w:val="28"/>
          <w:rtl w:val="true"/>
          <w:lang w:bidi="fa-IR"/>
        </w:rPr>
        <w:t>ومصرّحاً بکراهة ما تضمنته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الحسین بن سعید ، عن عثمان بن عیسی ،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بول السنّور والکلب والحمار والفرس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کأبوال الإنسان </w:t>
      </w:r>
      <w:r>
        <w:rPr>
          <w:rFonts w:eastAsia="IRNazanin" w:cs="IRNazanin"/>
          <w:color w:val="111111"/>
          <w:sz w:val="28"/>
          <w:szCs w:val="28"/>
          <w:rtl w:val="true"/>
          <w:lang w:bidi="fa-IR"/>
        </w:rPr>
        <w:t xml:space="preserve">». </w:t>
      </w:r>
      <w:bookmarkStart w:id="553" w:name="pg15025_160345"/>
    </w:p>
    <w:p>
      <w:pPr>
        <w:pStyle w:val="BookText"/>
        <w:rPr/>
      </w:pPr>
      <w:bookmarkEnd w:id="553"/>
      <w:r>
        <w:rPr>
          <w:rFonts w:ascii="IRNazanin" w:hAnsi="IRNazanin" w:eastAsia="IRNazanin"/>
          <w:color w:val="111111"/>
          <w:sz w:val="28"/>
          <w:sz w:val="28"/>
          <w:szCs w:val="28"/>
          <w:rtl w:val="true"/>
          <w:lang w:bidi="fa-IR"/>
        </w:rPr>
        <w:t xml:space="preserve">فالوجه فی هذا الخبر أنّ نحمل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کأبوال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راجع إلی بول السنّور والکلب ؛ لأنّهما ممّا لا یؤکل لحمهما ، ویجوز أن یکون الوجه فی هذه الأحادیث أیضاً ضرباً من التقیة لأنّها موافقة 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والذی یدل أیضاً علی أنّها خرجت مخرج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الکراهیّة للتقیّة </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یحیی ، عن محمد بن الحسین ، عن الحکم بن مسکین ، عن إسحاق بن عمار ، عن المعلّی بن خنیس وعبد الله بن أبی یعفور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جنازة وقدّامنا حمار فبال فجاءت الریح ببوله حتی صکّت وجوهنا وثیابنا فدخلنا علی أبی عبد الله علیه السلام فأخبرناه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علیکم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بن عروة ولم یذکر النجاشی فیه بعد النسب سوی أنّه روی عن أبی عبد الله علیه السلام له کتاب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الفهرست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عروة له کتاب </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رجال الصادق علیه السلام من کتابه کذلک </w:t>
      </w:r>
      <w:r>
        <w:rPr>
          <w:rStyle w:val="FootnoteAnchor"/>
          <w:rtl w:val="true"/>
        </w:rPr>
        <w:footnoteReference w:id="792"/>
      </w:r>
      <w:r>
        <w:rPr>
          <w:rFonts w:ascii="IRNazanin" w:hAnsi="IRNazanin" w:eastAsia="IRNazanin"/>
          <w:color w:val="111111"/>
          <w:sz w:val="28"/>
          <w:sz w:val="28"/>
          <w:szCs w:val="28"/>
          <w:rtl w:val="true"/>
          <w:lang w:bidi="fa-IR"/>
        </w:rPr>
        <w:t>مع زیادة لا فائدة فیها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4" w:name="__RefHeading___Toc146862_2142443653"/>
      <w:bookmarkStart w:id="555" w:name="_Toc209"/>
      <w:bookmarkEnd w:id="554"/>
      <w:r>
        <w:rPr>
          <w:rtl w:val="true"/>
        </w:rPr>
        <w:t>بحث حول القاسم بن عروة</w:t>
      </w:r>
      <w:bookmarkStart w:id="556" w:name="pg15025_160346"/>
      <w:bookmarkEnd w:id="555"/>
    </w:p>
    <w:p>
      <w:pPr>
        <w:pStyle w:val="BookText"/>
        <w:rPr/>
      </w:pPr>
      <w:bookmarkEnd w:id="556"/>
      <w:r>
        <w:rPr>
          <w:rFonts w:ascii="Amiri" w:hAnsi="Amiri" w:eastAsia="Amiri" w:cs="Amiri"/>
          <w:color w:val="111111"/>
          <w:sz w:val="28"/>
          <w:sz w:val="28"/>
          <w:szCs w:val="28"/>
          <w:rtl w:val="true"/>
          <w:lang w:bidi="ar-SA"/>
        </w:rPr>
        <w:t xml:space="preserve">وابن بکیر قدّمنا ذکره مفصّلاً </w:t>
      </w:r>
      <w:r>
        <w:rPr>
          <w:rStyle w:val="FootnoteAnchor"/>
          <w:rtl w:val="true"/>
        </w:rPr>
        <w:footnoteReference w:id="793"/>
      </w:r>
      <w:r>
        <w:rPr>
          <w:rFonts w:ascii="IRNazanin" w:hAnsi="IRNazanin" w:eastAsia="IRNazanin"/>
          <w:color w:val="111111"/>
          <w:sz w:val="28"/>
          <w:sz w:val="28"/>
          <w:szCs w:val="28"/>
          <w:rtl w:val="true"/>
          <w:lang w:bidi="fa-IR"/>
        </w:rPr>
        <w:t xml:space="preserve">، والحاصل أنّ النجاشی ذکره من غیر توثیق ولا مدح </w:t>
      </w:r>
      <w:r>
        <w:rPr>
          <w:rStyle w:val="FootnoteAnchor"/>
          <w:rtl w:val="true"/>
        </w:rPr>
        <w:footnoteReference w:id="794"/>
      </w:r>
      <w:r>
        <w:rPr>
          <w:rFonts w:ascii="IRNazanin" w:hAnsi="IRNazanin" w:eastAsia="IRNazanin"/>
          <w:color w:val="111111"/>
          <w:sz w:val="28"/>
          <w:sz w:val="28"/>
          <w:szCs w:val="28"/>
          <w:rtl w:val="true"/>
          <w:lang w:bidi="fa-IR"/>
        </w:rPr>
        <w:t xml:space="preserve">، والشیخ فی الفهرست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فطحی إلاّ أنّه ثقة </w:t>
      </w:r>
      <w:r>
        <w:rPr>
          <w:rStyle w:val="FootnoteAnchor"/>
          <w:rtl w:val="true"/>
        </w:rPr>
        <w:footnoteReference w:id="795"/>
      </w:r>
      <w:r>
        <w:rPr>
          <w:rFonts w:ascii="IRNazanin" w:hAnsi="IRNazanin" w:eastAsia="IRNazanin"/>
          <w:color w:val="111111"/>
          <w:sz w:val="28"/>
          <w:sz w:val="28"/>
          <w:szCs w:val="28"/>
          <w:rtl w:val="true"/>
          <w:lang w:bidi="fa-IR"/>
        </w:rPr>
        <w:t xml:space="preserve">، وقد کرّرنا القول فی أنّ عدم ذکر النجاشی فی أمثال الرجل المذکور کونه فطحیاً دلیل علی انتفائه عنده </w:t>
      </w:r>
      <w:r>
        <w:rPr>
          <w:rStyle w:val="FootnoteAnchor"/>
          <w:rtl w:val="true"/>
        </w:rPr>
        <w:footnoteReference w:id="796"/>
      </w:r>
      <w:r>
        <w:rPr>
          <w:rFonts w:ascii="IRNazanin" w:hAnsi="IRNazanin" w:eastAsia="IRNazanin"/>
          <w:color w:val="111111"/>
          <w:sz w:val="28"/>
          <w:sz w:val="28"/>
          <w:szCs w:val="28"/>
          <w:rtl w:val="true"/>
          <w:lang w:bidi="fa-IR"/>
        </w:rPr>
        <w:t xml:space="preserve">؛ إذ من البعید اطّلاع الشیخ علی ما لم یطّلع علیه النجاشی ، مع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وشدة ممارسة النجاشی للرجال وعدم سلوکه سبیل الاستعجال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الحکم بن مسکین وهو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وإسحاق بن عمار ثقة فی النجاشی </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فطحی فی الفهرست </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ووثّقة فیه وفی رجال الکاظم علیه السلام </w:t>
      </w:r>
      <w:r>
        <w:rPr>
          <w:rStyle w:val="FootnoteAnchor"/>
          <w:rtl w:val="true"/>
        </w:rPr>
        <w:footnoteReference w:id="800"/>
      </w:r>
      <w:r>
        <w:rPr>
          <w:rFonts w:ascii="IRNazanin" w:hAnsi="IRNazanin" w:eastAsia="IRNazanin"/>
          <w:color w:val="111111"/>
          <w:sz w:val="28"/>
          <w:sz w:val="28"/>
          <w:szCs w:val="28"/>
          <w:rtl w:val="true"/>
          <w:lang w:bidi="fa-IR"/>
        </w:rPr>
        <w:t>، وقد سمعت القول من جهة عدم ذکر النجاشی لکونه فطحیاً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قال فی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أحمد بن محمد بن سعید فی رجاله </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هو </w:t>
      </w:r>
      <w:r>
        <w:rPr>
          <w:rStyle w:val="FootnoteAnchor"/>
          <w:rtl w:val="true"/>
        </w:rPr>
        <w:footnoteReference w:id="802"/>
      </w:r>
      <w:r>
        <w:rPr>
          <w:rFonts w:ascii="IRNazanin" w:hAnsi="IRNazanin" w:eastAsia="IRNazanin"/>
          <w:color w:val="111111"/>
          <w:sz w:val="28"/>
          <w:sz w:val="28"/>
          <w:szCs w:val="28"/>
          <w:rtl w:val="true"/>
          <w:lang w:bidi="fa-IR"/>
        </w:rPr>
        <w:t>ابن عقدة الزیدی المشهور فلا یفید</w:t>
      </w:r>
    </w:p>
    <w:p>
      <w:pPr>
        <w:pStyle w:val="Heading4"/>
        <w:numPr>
          <w:ilvl w:val="3"/>
          <w:numId w:val="1"/>
        </w:numPr>
        <w:rPr/>
      </w:pPr>
      <w:bookmarkStart w:id="557" w:name="__RefHeading___Toc146864_2142443653"/>
      <w:bookmarkStart w:id="558" w:name="_Toc210"/>
      <w:bookmarkEnd w:id="557"/>
      <w:r>
        <w:rPr>
          <w:rtl w:val="true"/>
        </w:rPr>
        <w:t>بحث حول ابن بکیر</w:t>
      </w:r>
      <w:bookmarkEnd w:id="558"/>
    </w:p>
    <w:p>
      <w:pPr>
        <w:pStyle w:val="Heading4"/>
        <w:numPr>
          <w:ilvl w:val="3"/>
          <w:numId w:val="1"/>
        </w:numPr>
        <w:rPr/>
      </w:pPr>
      <w:bookmarkStart w:id="559" w:name="__RefHeading___Toc146866_2142443653"/>
      <w:bookmarkStart w:id="560" w:name="_Toc211"/>
      <w:bookmarkEnd w:id="559"/>
      <w:r>
        <w:rPr>
          <w:rtl w:val="true"/>
        </w:rPr>
        <w:t>الحکم بن مسکین مجهول</w:t>
      </w:r>
      <w:bookmarkEnd w:id="56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1" w:name="__RefHeading___Toc146868_2142443653"/>
      <w:bookmarkStart w:id="562" w:name="_Toc212"/>
      <w:bookmarkEnd w:id="561"/>
      <w:r>
        <w:rPr>
          <w:rtl w:val="true"/>
        </w:rPr>
        <w:t>بحث حول إسحاق بن عمار</w:t>
      </w:r>
      <w:bookmarkEnd w:id="562"/>
    </w:p>
    <w:p>
      <w:pPr>
        <w:pStyle w:val="BookText"/>
        <w:rPr/>
      </w:pPr>
      <w:r>
        <w:rPr>
          <w:rFonts w:ascii="IRNazanin" w:hAnsi="IRNazanin" w:eastAsia="IRNazanin"/>
          <w:color w:val="111111"/>
          <w:sz w:val="28"/>
          <w:sz w:val="28"/>
          <w:szCs w:val="28"/>
          <w:rtl w:val="true"/>
          <w:lang w:bidi="fa-IR"/>
        </w:rPr>
        <w:t>التوثیق ، وبتقدیر احتمال عود الإشارة إلی روایته عن أبی عبد الله وأبی الحسن علیهماالسلام ؛ لأنّه ذکر هذا قبل الإشارة ، فلا أقل من احتمال غیره ، وهو کافٍ فی عدم الصلاحیّة للتوثیق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الأوّل بعید وإنّ قرّبه الإشارة للبعید ، علی أنّ توثیق الشیخ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توثیق النجاشی له فائدة ، وهو تعارض الجرح والتعدیل ، فالجارح وإنّ کان مقدماً فی الجملة علی ما فصل فی موضعه </w:t>
      </w:r>
      <w:r>
        <w:rPr>
          <w:rStyle w:val="FootnoteAnchor"/>
          <w:rtl w:val="true"/>
        </w:rPr>
        <w:footnoteReference w:id="803"/>
      </w:r>
      <w:r>
        <w:rPr>
          <w:rFonts w:ascii="IRNazanin" w:hAnsi="IRNazanin" w:eastAsia="IRNazanin"/>
          <w:color w:val="111111"/>
          <w:sz w:val="28"/>
          <w:sz w:val="28"/>
          <w:szCs w:val="28"/>
          <w:rtl w:val="true"/>
          <w:lang w:bidi="fa-IR"/>
        </w:rPr>
        <w:t xml:space="preserve">إلاّ أنّ مثل النجاشی له رجحان یوجب تقدیم تعدیله علی جرح الشیخ کما ذکر أیضاً فی محله </w:t>
      </w:r>
      <w:r>
        <w:rPr>
          <w:rStyle w:val="FootnoteAnchor"/>
          <w:rtl w:val="true"/>
        </w:rPr>
        <w:footnoteReference w:id="804"/>
      </w:r>
      <w:r>
        <w:rPr>
          <w:rFonts w:ascii="IRNazanin" w:hAnsi="IRNazanin" w:eastAsia="IRNazanin"/>
          <w:color w:val="111111"/>
          <w:sz w:val="28"/>
          <w:sz w:val="28"/>
          <w:szCs w:val="28"/>
          <w:rtl w:val="true"/>
          <w:lang w:bidi="fa-IR"/>
        </w:rPr>
        <w:t>، وحینئذ فاذا ثبت توثیق النجاشی أمکن أنّ یقال بأنّ إسحاق إمامی ثقة ، وبدون ثبوت التوثیق لا یثبت ذلک فلا یکون خبره صحیحاً إذا خلا من الموانع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ذکرت وجه ، إلاّ أنّ ظهور احتمال العود إلی الأخیر کافٍ فی الجواب ، علی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الشیخ بالفطحیة وعدم ذکر النجاشی لها من قبیل التعارض فی الجملة ، فترجیح النجاشی من هذه الجهة علی حاله ، وتوثیق الشیخ لا معارض له ؛ إذ الفطحیة تجامعه تارة وتنفک عنه اخری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الشیخ فی حکم المرکب فکان حکمه بالتوثیق مع کونه فطحیاً ، فلیتأمّل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الطریق المعلی بن خنیس ، وفیه کلام ، إلاّ أنَّه لا یضر بحال الروایة لو سلمت من غیره کما لا یخفی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bookmarkStart w:id="563" w:name="pg15025_160348"/>
    </w:p>
    <w:p>
      <w:pPr>
        <w:pStyle w:val="BookText"/>
        <w:rPr/>
      </w:pPr>
      <w:bookmarkEnd w:id="563"/>
      <w:r>
        <w:rPr>
          <w:rFonts w:ascii="IRNazanin" w:hAnsi="IRNazanin" w:eastAsia="IRNazanin"/>
          <w:color w:val="111111"/>
          <w:sz w:val="28"/>
          <w:sz w:val="28"/>
          <w:szCs w:val="28"/>
          <w:rtl w:val="true"/>
          <w:lang w:bidi="fa-IR"/>
        </w:rPr>
        <w:t xml:space="preserve">ثم إنّ المعلی بن خنیس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جدّاً لا یعوّل علیه </w:t>
      </w:r>
      <w:r>
        <w:rPr>
          <w:rStyle w:val="FootnoteAnchor"/>
          <w:rtl w:val="true"/>
        </w:rPr>
        <w:footnoteReference w:id="806"/>
      </w:r>
      <w:r>
        <w:rPr>
          <w:rFonts w:ascii="IRNazanin" w:hAnsi="IRNazanin" w:eastAsia="IRNazanin"/>
          <w:color w:val="111111"/>
          <w:sz w:val="28"/>
          <w:sz w:val="28"/>
          <w:szCs w:val="28"/>
          <w:rtl w:val="true"/>
          <w:lang w:bidi="fa-IR"/>
        </w:rPr>
        <w:t xml:space="preserve">، والعلاّمة فی الخلاصة نقل عن الشیخ الطوسی فی کتاب الغیبة بغیر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من قوّام أبی عبد الله علیه السلام وکان محموداً عنده ومضی علی منهاجه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یقتضی وصفه بالعدالة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نظری القاصر أنّ کلام الشیخ لا یقتضی الوصف بالعدالة ، أمّا من جهة کونه من القوّام فلأنّ الوکالة لا تفید العدالة ، إلاّ إذا تعلّقت بمشروط بها ، وذلک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وکونه محموداً عنده لم یعلم أنَّه من أی جهة ، وربما یکون من حیث قضاء مآربه علیه السلام علی الوجه الأکمل ، وهذا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به أنّه علی سبیل الجزم من الشیخ فکان ینبغی بیان التعارض بینه وبین تضعیف النجاشی ، وإن کان الشیخ ذکر ما یشعر بالروایة فاقتضاء کلامه التعدیل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بعید أنّ غرض العلاّمة التنبیه علی رجحان جانب الجرح ؛ لأنّه ذکره عن النجاشی وابن الغضائری </w:t>
      </w:r>
      <w:r>
        <w:rPr>
          <w:rStyle w:val="FootnoteAnchor"/>
          <w:rtl w:val="true"/>
        </w:rPr>
        <w:footnoteReference w:id="808"/>
      </w:r>
      <w:r>
        <w:rPr>
          <w:rFonts w:ascii="IRNazanin" w:hAnsi="IRNazanin" w:eastAsia="IRNazanin"/>
          <w:color w:val="111111"/>
          <w:sz w:val="28"/>
          <w:sz w:val="28"/>
          <w:szCs w:val="28"/>
          <w:rtl w:val="true"/>
          <w:lang w:bidi="fa-IR"/>
        </w:rPr>
        <w:t xml:space="preserve">، وقد روی الکلینی فی الروضة من الکافی عن علی بن إبراهیم ، عن أبیه ، عن ابن ابی عمیر ، عن الولید بن صبیح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 یوماً فالقی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ثیابه </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ولید ردّها علی مطاویها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بین یدیه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المعلّی بن خنیس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 للدنیا إنّما الدنیا دار بلاء سلّط الله فیها عدوّه علی ولیّه </w:t>
      </w:r>
      <w:r>
        <w:rPr>
          <w:rFonts w:eastAsia="IRNazanin" w:cs="IRNazanin"/>
          <w:color w:val="111111"/>
          <w:sz w:val="28"/>
          <w:szCs w:val="28"/>
          <w:rtl w:val="true"/>
          <w:lang w:bidi="fa-IR"/>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4" w:name="__RefHeading___Toc146870_2142443653"/>
      <w:bookmarkStart w:id="565" w:name="_Toc213"/>
      <w:bookmarkEnd w:id="564"/>
      <w:r>
        <w:rPr>
          <w:rtl w:val="true"/>
        </w:rPr>
        <w:t>بحث حول المعلّی بن خنیس</w:t>
      </w:r>
      <w:bookmarkStart w:id="566" w:name="pg15025_160349"/>
      <w:bookmarkEnd w:id="565"/>
    </w:p>
    <w:p>
      <w:pPr>
        <w:pStyle w:val="BookText"/>
        <w:rPr/>
      </w:pPr>
      <w:bookmarkEnd w:id="566"/>
      <w:r>
        <w:rPr>
          <w:rFonts w:ascii="IRNazanin" w:hAnsi="IRNazanin" w:eastAsia="IRNazanin"/>
          <w:color w:val="111111"/>
          <w:sz w:val="28"/>
          <w:sz w:val="28"/>
          <w:szCs w:val="28"/>
          <w:rtl w:val="true"/>
          <w:lang w:bidi="fa-IR"/>
        </w:rPr>
        <w:t xml:space="preserve">وهذا الحدیث ربما دل علی مدح فی الجملة ، وفی کتاب الدین من التهذیب حدیث حسن أیضا ربما یفید نوع مدح </w:t>
      </w:r>
      <w:r>
        <w:rPr>
          <w:rStyle w:val="FootnoteAnchor"/>
          <w:rtl w:val="true"/>
        </w:rPr>
        <w:footnoteReference w:id="811"/>
      </w:r>
      <w:r>
        <w:rPr>
          <w:rFonts w:ascii="IRNazanin" w:hAnsi="IRNazanin" w:eastAsia="IRNazanin"/>
          <w:color w:val="111111"/>
          <w:sz w:val="28"/>
          <w:sz w:val="28"/>
          <w:szCs w:val="28"/>
          <w:rtl w:val="true"/>
          <w:lang w:bidi="fa-IR"/>
        </w:rPr>
        <w:t>والله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حمل الشیخ فیه الکراهة علی معناها الأُصولی ، ولا یخلو من تأمّل ؛ لوجود استعمالها فی التحریم کما فی کثیر من الأخبار ، وللشیخ فی ذلک اضطراب یعلمه من تصفّح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کرهه ، إمّا أنّ تقرأ بالتضعیف علی معنی أنّه جعله مکروهاً ، وحینئذ یصیر مشترکاً بین التحریم والکراهة الأُصولیة کما یستفاد من الأخبار ، وإمّا بغیر التضعیف علی معنی أنّه نفر منه ، والاشتراک أیضاً محتمل من النفرة ، وعلی کل حال فقول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الخبر مصرّحاً بالکراهة صحیح ، أمّا تفسیر معنی الکراهة منه فمحل کلام ، غایة الأمر أنّه إذا نظر الی تعارض الأخبار أمکن حمل الکراهة علی معناها الأُصولی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أورد فی الکتاب الکبیر </w:t>
      </w:r>
      <w:r>
        <w:rPr>
          <w:rStyle w:val="FootnoteAnchor"/>
          <w:rtl w:val="true"/>
        </w:rPr>
        <w:footnoteReference w:id="812"/>
      </w:r>
      <w:r>
        <w:rPr>
          <w:rFonts w:ascii="IRNazanin" w:hAnsi="IRNazanin" w:eastAsia="IRNazanin"/>
          <w:color w:val="111111"/>
          <w:sz w:val="28"/>
          <w:sz w:val="28"/>
          <w:szCs w:val="28"/>
          <w:rtl w:val="true"/>
          <w:lang w:bidi="fa-IR"/>
        </w:rPr>
        <w:t>وفیما تقدم أنّ ما یؤکل لحمه لا بأس ببوله وروثه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أیضاً ، إلاّ أنّ الأخبار لو صحّت لکانت قابلة للتخصیص ، کما أوضحنا الحال فیه سابقاً </w:t>
      </w:r>
      <w:r>
        <w:rPr>
          <w:rStyle w:val="FootnoteAnchor"/>
          <w:rtl w:val="true"/>
        </w:rPr>
        <w:footnoteReference w:id="813"/>
      </w:r>
      <w:r>
        <w:rPr>
          <w:rFonts w:ascii="IRNazanin" w:hAnsi="IRNazanin" w:eastAsia="IRNazanin"/>
          <w:color w:val="111111"/>
          <w:sz w:val="28"/>
          <w:sz w:val="28"/>
          <w:szCs w:val="28"/>
          <w:rtl w:val="true"/>
          <w:lang w:bidi="fa-IR"/>
        </w:rPr>
        <w:t xml:space="preserve">، ونقول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دل علی النجاسة ناقل ، وما دلّ علی الطهارة مقرّر للأصل ، وعند التعارض یرجّح </w:t>
      </w:r>
      <w:r>
        <w:rPr>
          <w:rStyle w:val="FootnoteAnchor"/>
          <w:rtl w:val="true"/>
        </w:rPr>
        <w:footnoteReference w:id="814"/>
      </w:r>
      <w:r>
        <w:rPr>
          <w:rFonts w:ascii="IRNazanin" w:hAnsi="IRNazanin" w:eastAsia="IRNazanin"/>
          <w:color w:val="111111"/>
          <w:sz w:val="28"/>
          <w:sz w:val="28"/>
          <w:szCs w:val="28"/>
          <w:rtl w:val="true"/>
          <w:lang w:bidi="fa-IR"/>
        </w:rPr>
        <w:t>الناقل ، مضافاً إلی أنّ أخبار النجاسة أکثر ، بل ربما کانت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7" w:name="__RefHeading___Toc146872_2142443653"/>
      <w:bookmarkStart w:id="568" w:name="_Toc214"/>
      <w:bookmarkEnd w:id="567"/>
      <w:r>
        <w:rPr>
          <w:rtl w:val="true"/>
        </w:rPr>
        <w:t xml:space="preserve">ما المراد بالکراهة فی قوله </w:t>
      </w:r>
      <w:r>
        <w:rPr>
          <w:rtl w:val="true"/>
        </w:rPr>
        <w:t xml:space="preserve">: </w:t>
      </w:r>
      <w:r>
        <w:rPr>
          <w:rtl w:val="true"/>
        </w:rPr>
        <w:t>فکرهه ، فی روایة زرارة؟</w:t>
      </w:r>
      <w:bookmarkStart w:id="569" w:name="pg15025_160350"/>
      <w:bookmarkEnd w:id="568"/>
    </w:p>
    <w:p>
      <w:pPr>
        <w:pStyle w:val="BookText"/>
        <w:rPr/>
      </w:pPr>
      <w:bookmarkEnd w:id="569"/>
      <w:r>
        <w:rPr>
          <w:rFonts w:ascii="IRNazanin" w:hAnsi="IRNazanin" w:eastAsia="IRNazanin"/>
          <w:color w:val="111111"/>
          <w:sz w:val="28"/>
          <w:sz w:val="28"/>
          <w:szCs w:val="28"/>
          <w:rtl w:val="true"/>
          <w:lang w:bidi="fa-IR"/>
        </w:rPr>
        <w:t xml:space="preserve">أصحّ ، کما یعرف بمراجعتها ، إلاّ أنّه محل کلام بعد ما ذکرناه من روایة الصدوق </w:t>
      </w:r>
      <w:r>
        <w:rPr>
          <w:rStyle w:val="FootnoteAnchor"/>
          <w:rtl w:val="true"/>
        </w:rPr>
        <w:footnoteReference w:id="815"/>
      </w:r>
      <w:r>
        <w:rPr>
          <w:rFonts w:ascii="IRNazanin" w:hAnsi="IRNazanin" w:eastAsia="IRNazanin"/>
          <w:color w:val="111111"/>
          <w:sz w:val="28"/>
          <w:sz w:val="28"/>
          <w:szCs w:val="28"/>
          <w:rtl w:val="true"/>
          <w:lang w:bidi="fa-IR"/>
        </w:rPr>
        <w:t xml:space="preserve">، ویؤیدّها أنّ الثقة الجلیل محمد بن یعقوب رواها أیضاً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الوالد قدس سره فی المعالم بعد ما قدّمناه عنه سابقاً </w:t>
      </w:r>
      <w:r>
        <w:rPr>
          <w:rStyle w:val="FootnoteAnchor"/>
          <w:rtl w:val="true"/>
        </w:rPr>
        <w:footnoteReference w:id="817"/>
      </w:r>
      <w:r>
        <w:rPr>
          <w:rFonts w:ascii="IRNazanin" w:hAnsi="IRNazanin" w:eastAsia="IRNazanin"/>
          <w:color w:val="111111"/>
          <w:sz w:val="28"/>
          <w:sz w:val="28"/>
          <w:szCs w:val="28"/>
          <w:rtl w:val="true"/>
          <w:lang w:bidi="fa-IR"/>
        </w:rPr>
        <w:t xml:space="preserve">من توجیهه لصحّة خبر الحلبی الدال علی نفی البأس عن روث الحمیر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 أنّ المشی علی طریقهم فی تصحیح الأخبار مقتضٍ لصحّة الخبر المذکور ، واللازم من الأمرین یعنی صحة الخبر وعدم القائل بالفصل ثبوت الطهارة ، وتبقی الأخبار الأُخر عاضدة ، وقد أشار المحقّق فی المعتبر إلی خلو الأخبار عن نجاسة الروث ، فقال بعد نقل جملة من الروایات فخلّص من هذا تطابق أخبارنا علی طهارة الروث وتصادمها علی البول ، فیقضی بالکراهة </w:t>
      </w:r>
      <w:r>
        <w:rPr>
          <w:rStyle w:val="FootnoteAnchor"/>
          <w:rtl w:val="true"/>
        </w:rPr>
        <w:footnoteReference w:id="818"/>
      </w:r>
      <w:r>
        <w:rPr>
          <w:rFonts w:ascii="IRNazanin" w:hAnsi="IRNazanin" w:eastAsia="IRNazanin"/>
          <w:color w:val="111111"/>
          <w:sz w:val="28"/>
          <w:sz w:val="28"/>
          <w:szCs w:val="28"/>
          <w:rtl w:val="true"/>
          <w:lang w:bidi="fa-IR"/>
        </w:rPr>
        <w:t xml:space="preserve">عملاً بالروایتین ، ولأنّ تعارض النقل یثمر الطهارة لوجهین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الطهارة فیکون طرفها أرجح ،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نظیف حتی تعلم أنّه قذر </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انتهی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خبیر بعد ما ذکرناه من ترجیح الناقل علی المقرّر یشکل ما ذکره الوالد قدس سره والمحقّق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 النجاسة غیر صریحة فی ذلک ، بل بعضها المقترن بالروث قرینة الاستحباب فیه موجودة ، نظراً إلی ما تقدم من عدم القائل بالفصل ، فإذا حکم بطهارة الروث فی الخبر ومعه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0" w:name="__RefHeading___Toc146874_2142443653"/>
      <w:bookmarkStart w:id="571" w:name="_Toc215"/>
      <w:bookmarkEnd w:id="570"/>
      <w:r>
        <w:rPr>
          <w:rtl w:val="true"/>
        </w:rPr>
        <w:t>استدلال صاحب المعالم لطهارة أبوال الدوابّ والمناقشة فیه</w:t>
      </w:r>
      <w:bookmarkStart w:id="572" w:name="pg15025_160351"/>
      <w:bookmarkEnd w:id="571"/>
    </w:p>
    <w:p>
      <w:pPr>
        <w:pStyle w:val="BookText"/>
        <w:rPr/>
      </w:pPr>
      <w:bookmarkEnd w:id="572"/>
      <w:r>
        <w:rPr>
          <w:rFonts w:ascii="IRNazanin" w:hAnsi="IRNazanin" w:eastAsia="IRNazanin"/>
          <w:color w:val="111111"/>
          <w:sz w:val="28"/>
          <w:sz w:val="28"/>
          <w:szCs w:val="28"/>
          <w:rtl w:val="true"/>
          <w:lang w:bidi="fa-IR"/>
        </w:rPr>
        <w:t>الأمر بغَسل البول کان للاستحباب ، والبعض الخالی من الاقتران لا بدّ حینئذ من حمله علی الاستحباب کالمقترن ، إذ یبعد الحکم فی بعض دون بعض ، وإذا لم تکن الأخبار صریحة فترجیح الناقل یتوقف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یجاب عن هذا بأنّ إثبات عدم القائل بالفصل عسر ، بل هو من قبیل الإجماع الذی یدّعی من المتأخّرین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بعض محقّقی المعاصرین سلّمه الله أنّه ذکر ترجیح الناقل علی المقرّر فی خبرین ، أحدهما دالّ علی الأمر بغَسل الثوب من بول ما لا یؤکل لحمه ، والآخر دالّ علی أنّ کل شی‌ء یطیر لا بأس بخرئه وبوله </w:t>
      </w:r>
      <w:r>
        <w:rPr>
          <w:rStyle w:val="FootnoteAnchor"/>
          <w:rtl w:val="true"/>
        </w:rPr>
        <w:footnoteReference w:id="821"/>
      </w:r>
      <w:r>
        <w:rPr>
          <w:rFonts w:ascii="IRNazanin" w:hAnsi="IRNazanin" w:eastAsia="IRNazanin"/>
          <w:color w:val="111111"/>
          <w:sz w:val="28"/>
          <w:sz w:val="28"/>
          <w:szCs w:val="28"/>
          <w:rtl w:val="true"/>
          <w:lang w:bidi="fa-IR"/>
        </w:rPr>
        <w:t xml:space="preserve">، والحال أنّه ذکر فی مسألة أبوال الدواب أنّ أخبار النجاسة ربما حملت علی الاستحباب لاعتضادها بالأصل وعمل الأکثر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محل توقف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والوجه فی التعجب أنّ هذا المحل أولی بذکر المقرّر والناقل ؛ لأنّ أحد ذینک الخبرین روایة أبی بصیر ، فلیس الاعتناء به أولی من غیره ، ولا یبعد أنّ یکون عمل الأکثر کما ذکر مع الأصل مؤیداً قویّاً ، إلاّ أنّ الکلام فی ثبوت الأکثریة ، وبالجملة فالمقام واسع الباب ، والله سبحانه الهادی إلی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تضمنه الأوّل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لیس ممّا جعلها الله للأکل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إجمال ، ولعلّ المراد أنّ المأکول الخالی بوله وروثه من الریب ما أعدّه الله للأکل ، بمعنی أنّ خلقه للأکل بالذات ، والاستعمال فی غیر الأکل بالعرض ؛ أمّا ما کان خلقه بالذات للاستعمال کالخیل والبغال والحمیر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3" w:name="__RefHeading___Toc146876_2142443653"/>
      <w:bookmarkStart w:id="574" w:name="_Toc216"/>
      <w:bookmarkEnd w:id="573"/>
      <w:r>
        <w:rPr>
          <w:rtl w:val="true"/>
        </w:rPr>
        <w:t xml:space="preserve">معنی قوله علیه السلام فی الدوابّ </w:t>
      </w:r>
      <w:r>
        <w:rPr>
          <w:rtl w:val="true"/>
        </w:rPr>
        <w:t xml:space="preserve">: « </w:t>
      </w:r>
      <w:r>
        <w:rPr>
          <w:rtl w:val="true"/>
        </w:rPr>
        <w:t xml:space="preserve">لیس ممّا جعلها الله للأکل </w:t>
      </w:r>
      <w:r>
        <w:rPr>
          <w:rtl w:val="true"/>
        </w:rPr>
        <w:t>»</w:t>
      </w:r>
      <w:bookmarkStart w:id="575" w:name="pg15025_160352"/>
      <w:bookmarkEnd w:id="574"/>
    </w:p>
    <w:p>
      <w:pPr>
        <w:pStyle w:val="BookText"/>
        <w:rPr/>
      </w:pPr>
      <w:bookmarkEnd w:id="575"/>
      <w:r>
        <w:rPr>
          <w:rFonts w:ascii="Amiri" w:hAnsi="Amiri" w:eastAsia="Amiri" w:cs="Amiri"/>
          <w:color w:val="111111"/>
          <w:sz w:val="28"/>
          <w:sz w:val="28"/>
          <w:szCs w:val="28"/>
          <w:rtl w:val="true"/>
          <w:lang w:bidi="ar-SA"/>
        </w:rPr>
        <w:t xml:space="preserve">وأکله بالعرض ، فبوله محلّ ارتیاب إمّا بتحریم أو کراهة ، وربما دل علی حکم المذکورات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وَالْخَیْلَ وَالْبِغالَ وَالْحَمِیرَ لِتَرْکَبُوها وَزِینَةً </w:t>
      </w:r>
      <w:r>
        <w:rPr>
          <w:rFonts w:eastAsia="Amiri" w:cs="Amiri" w:ascii="Amiri" w:hAnsi="Amiri"/>
          <w:color w:val="111111"/>
          <w:sz w:val="28"/>
          <w:szCs w:val="28"/>
          <w:rtl w:val="true"/>
          <w:lang w:bidi="ar-SA"/>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وهذا علی سبیل الاحتمال ، والله سبحانه أعلم بمقاصد أولیائه ، وقد صرّح بعض الأصحاب بأنَّ المراد بما یؤکل لحمه ما کان بحسب العادة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الشیخ فیه لا وجه له ، بل کان ترکه أولی ، والحمل علی التقیّة واضح الحُسن ، وربما کان فی الجواب نوع میل عن الکذب ، لأنّ أبوال المذکورات کأبوال الإنسان فی الصورة لا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قاله الشیخ فی الثالث فواضح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شدیداً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الرجل یصلّی فی ثوب فیه نجاسة قبل أنّ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 عن أبیه ، عن محمد بن أحمد بن یحیی ، عن أبی جعفر ، عن أبیه ، عن حفص بن غیاث ، عن جعفر ، عن أبیه ، عن علی علیهم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أُبالی أبول أصابنی أو ماء إذا لم أعلم </w:t>
      </w:r>
      <w:r>
        <w:rPr>
          <w:rFonts w:eastAsia="IRNazanin" w:cs="IRNazanin"/>
          <w:color w:val="111111"/>
          <w:sz w:val="28"/>
          <w:szCs w:val="28"/>
          <w:rtl w:val="true"/>
          <w:lang w:bidi="fa-IR"/>
        </w:rPr>
        <w:t>».</w:t>
      </w:r>
    </w:p>
    <w:p>
      <w:pPr>
        <w:pStyle w:val="Heading4"/>
        <w:numPr>
          <w:ilvl w:val="3"/>
          <w:numId w:val="1"/>
        </w:numPr>
        <w:rPr/>
      </w:pPr>
      <w:bookmarkStart w:id="576" w:name="__RefHeading___Toc146878_2142443653"/>
      <w:bookmarkStart w:id="577" w:name="_Toc217"/>
      <w:bookmarkEnd w:id="576"/>
      <w:r>
        <w:rPr>
          <w:rtl w:val="true"/>
        </w:rPr>
        <w:t>معنی صکّ</w:t>
      </w:r>
      <w:bookmarkEnd w:id="577"/>
    </w:p>
    <w:p>
      <w:pPr>
        <w:pStyle w:val="Heading3"/>
        <w:numPr>
          <w:ilvl w:val="2"/>
          <w:numId w:val="1"/>
        </w:numPr>
        <w:rPr/>
      </w:pPr>
      <w:bookmarkStart w:id="578" w:name="__RefHeading___Toc146880_2142443653"/>
      <w:bookmarkStart w:id="579" w:name="_Toc218"/>
      <w:bookmarkEnd w:id="578"/>
      <w:r>
        <w:rPr>
          <w:rtl w:val="true"/>
        </w:rPr>
        <w:t>الرجل یصلّی فی ثوب فیه نجاسة قبل أن یعلم</w:t>
      </w:r>
      <w:bookmarkEnd w:id="57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0" w:name="__RefHeading___Toc146882_2142443653"/>
      <w:bookmarkStart w:id="581" w:name="_Toc219"/>
      <w:bookmarkEnd w:id="580"/>
      <w:r>
        <w:rPr>
          <w:rtl w:val="true"/>
        </w:rPr>
        <w:t>اشارة</w:t>
      </w:r>
      <w:bookmarkStart w:id="582" w:name="pg15025_160353"/>
      <w:bookmarkEnd w:id="581"/>
    </w:p>
    <w:p>
      <w:pPr>
        <w:pStyle w:val="BookText"/>
        <w:rPr/>
      </w:pPr>
      <w:bookmarkEnd w:id="582"/>
      <w:r>
        <w:rPr>
          <w:rFonts w:ascii="IRNazanin" w:hAnsi="IRNazanin" w:eastAsia="IRNazanin"/>
          <w:color w:val="111111"/>
          <w:sz w:val="28"/>
          <w:sz w:val="28"/>
          <w:szCs w:val="28"/>
          <w:rtl w:val="true"/>
          <w:lang w:bidi="fa-IR"/>
        </w:rPr>
        <w:t xml:space="preserve">علی بن مهزیار ، عن فضالة ، عن أبان ، عن عبد الرحمن بن أبی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یصلّی وفی ثوبه عذرة من إنسان أو سنّور أو کلب أیعید صلاته؟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لم یعلم فلا یعید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صفوان ، عن العیص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عن رجل صلّی فی ثوب رجل أیّاماً ثم إنّ صاحب الثوب أخبره أنّه لا یصلّی فیه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 شیئاً من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معلوم ممّا کرّرناه ، وقد مضی أیضاً عن قریب أنّ أبا جعفر أحمد بن محمد بن عیسی </w:t>
      </w:r>
      <w:r>
        <w:rPr>
          <w:rStyle w:val="FootnoteAnchor"/>
          <w:rtl w:val="true"/>
        </w:rPr>
        <w:footnoteReference w:id="826"/>
      </w:r>
      <w:r>
        <w:rPr>
          <w:rFonts w:ascii="IRNazanin" w:hAnsi="IRNazanin" w:eastAsia="IRNazanin"/>
          <w:color w:val="111111"/>
          <w:sz w:val="28"/>
          <w:sz w:val="28"/>
          <w:szCs w:val="28"/>
          <w:rtl w:val="true"/>
          <w:lang w:bidi="fa-IR"/>
        </w:rPr>
        <w:t xml:space="preserve">، وأمّا حفص بن غیاث فقد ذکر النجاشی أنّه ولی القضاء ببغداد لهارون ثم ولاّه قضاء الکوفة </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قال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عامیّ المذهب وله کتاب معتمد </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وفائدة ما ذکره الشیخ من الکتاب المعتمد إنّما یظهر لو علم أنّ الخبر من کتابه ، وأنّی یعلم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لا ریب فیه ؛ إذ الطریق إلی علی بن مهزیار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کالثانی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دلالة علی عدم اعتبار الظن فی النجاسة ، إذ المتبادر من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3" w:name="__RefHeading___Toc146884_2142443653"/>
      <w:bookmarkStart w:id="584" w:name="_Toc220"/>
      <w:bookmarkEnd w:id="583"/>
      <w:r>
        <w:rPr>
          <w:rtl w:val="true"/>
        </w:rPr>
        <w:t>بحث حول حفص بن غیاث</w:t>
      </w:r>
      <w:bookmarkStart w:id="585" w:name="pg15025_160354"/>
      <w:bookmarkEnd w:id="584"/>
    </w:p>
    <w:p>
      <w:pPr>
        <w:pStyle w:val="BookText"/>
        <w:rPr/>
      </w:pPr>
      <w:bookmarkEnd w:id="585"/>
      <w:r>
        <w:rPr>
          <w:rFonts w:ascii="IRNazanin" w:hAnsi="IRNazanin" w:eastAsia="IRNazanin"/>
          <w:color w:val="111111"/>
          <w:sz w:val="28"/>
          <w:sz w:val="28"/>
          <w:szCs w:val="28"/>
          <w:rtl w:val="true"/>
          <w:lang w:bidi="fa-IR"/>
        </w:rPr>
        <w:t>العلم غیر الظن ، واحتمال إرادة العلم الشرعی المتناول للظن علی تقدیر ظهوره یمکن القول به ، بل الظاهر أنّ الظن الشرعی لا ارتیاب فیه ؛ إذ النجاسات غالبها ثابتة بالظن الشرعی عند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ینقل عن أبی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النجاسة تحصل بالظنّ مطلقاً </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یقتضیه نظری القاصر أنّ مراده 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 ؛ لأنّ المنقول فی احتجاجه لما قاله بأنّ الشرعیات کلّها ظنیة ، وأنّ العمل بالمرجوح مع قیام الراجح باطل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دلالة أوّل الدلیل علی ما ذکرناه ، وأمّا الثانی فهو قابل للردّ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إرادته کل ظن إذا کان فی نفسه راجحاً فما قابلة مرجوح ، فلو حصل ظن النجاسة ترجحت وکانت الطهارة مرجوحة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الطهارة لا تصیر مرجوحة بمجرّد ظن النجاسة ، بل الطهارة إن کانت مستصحبة فظنها یساوی غیرها ، وکلامه فی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جملة الصور المتناول لها إطلاقه ما لو کان ظن النجاسة أرجح عند المکلف من ذلک الاستصحاب للطهارة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کلامه کما سمعت فی الظن الشرعی ، والاستصحاب إن فرض أنّه شرعی کما هو ظاهر مراده فالرجحان محلّ کلام ، إلاّ أنّ یکون دلیل النجاسة أقوی ، وهذا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أجاب به المتأخّرون </w:t>
      </w:r>
      <w:r>
        <w:rPr>
          <w:rStyle w:val="FootnoteAnchor"/>
          <w:rtl w:val="true"/>
        </w:rPr>
        <w:footnoteReference w:id="831"/>
      </w:r>
      <w:r>
        <w:rPr>
          <w:rFonts w:ascii="IRNazanin" w:hAnsi="IRNazanin" w:eastAsia="IRNazanin"/>
          <w:color w:val="111111"/>
          <w:sz w:val="28"/>
          <w:sz w:val="28"/>
          <w:szCs w:val="28"/>
          <w:rtl w:val="true"/>
          <w:lang w:bidi="fa-IR"/>
        </w:rPr>
        <w:t>عن حجّته من المنع من العمل بمطلق الظن شرعاً ، وثبوته فی مواضع مخصوصة لدلیل خاص</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6" w:name="__RefHeading___Toc146886_2142443653"/>
      <w:bookmarkStart w:id="587" w:name="_Toc221"/>
      <w:bookmarkEnd w:id="586"/>
      <w:r>
        <w:rPr>
          <w:rtl w:val="true"/>
        </w:rPr>
        <w:t>ثبوت النجاسة بالظنّ الشرعی</w:t>
      </w:r>
      <w:bookmarkStart w:id="588" w:name="pg15025_160355"/>
      <w:bookmarkEnd w:id="587"/>
    </w:p>
    <w:p>
      <w:pPr>
        <w:pStyle w:val="BookText"/>
        <w:rPr/>
      </w:pPr>
      <w:bookmarkEnd w:id="588"/>
      <w:r>
        <w:rPr>
          <w:rFonts w:ascii="IRNazanin" w:hAnsi="IRNazanin" w:eastAsia="IRNazanin"/>
          <w:color w:val="111111"/>
          <w:sz w:val="28"/>
          <w:sz w:val="28"/>
          <w:szCs w:val="28"/>
          <w:rtl w:val="true"/>
          <w:lang w:bidi="fa-IR"/>
        </w:rPr>
        <w:t>لا یقتضی التعدیة إلاّ بالقیاس محل بحث ؛ لأنّ حاصل دلیله أنّ الظن الشرعی معمول به فی النجاسة ، لا أنّ کل ظن یعمل 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الوالد قدس سره أنّه ذکر الجواب علی ما ذکره غیره ولم یتوجه لتحقیق الحال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أنّ إطلاق بعض الأصحاب اعتبار العلم فی النجاسة </w:t>
      </w:r>
      <w:r>
        <w:rPr>
          <w:rStyle w:val="FootnoteAnchor"/>
          <w:rtl w:val="true"/>
        </w:rPr>
        <w:footnoteReference w:id="833"/>
      </w:r>
      <w:r>
        <w:rPr>
          <w:rFonts w:ascii="IRNazanin" w:hAnsi="IRNazanin" w:eastAsia="IRNazanin"/>
          <w:color w:val="111111"/>
          <w:sz w:val="28"/>
          <w:sz w:val="28"/>
          <w:szCs w:val="28"/>
          <w:rtl w:val="true"/>
          <w:lang w:bidi="fa-IR"/>
        </w:rPr>
        <w:t>لا وجه له إنّ أراد الیقین ؛ لأنّ المجتهد لا یحصل له الیقین فی أغلب المسائل ، بل الظنّ ، وإذا اکتفی بالظنّ علم أنّ اعتبار العلم الحقیقی مطلقاً غیر معتبر فی النجاسة ، وإذا رجع إلی الشرعی علم أنّ المراد ما یتناول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النظر أنّ الأولی أنّ یقال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 المجتهد بالظنّ مرجع دلیله الإجماع ، وما عداه یتوقف علی الدلیل ، فالظنّ الحاصل لغیره یتوقف علی الدلیل ، فإذا ورد فی مثل الخبر المذکور اعتبار العلم حملناه علی ظاهره ، ویخص بما عدا ظن المجتهد ، علی انَّ المراد بالعلم ما یشمل الظن لو سلّمت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العلم أو ظن المجتهد ، لا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التوجیه یعلم أنّ ما قیل فی ثبوت النجاسة إذا شهد بها عدلان </w:t>
      </w:r>
      <w:r>
        <w:rPr>
          <w:rStyle w:val="FootnoteAnchor"/>
          <w:rtl w:val="true"/>
        </w:rPr>
        <w:footnoteReference w:id="834"/>
      </w:r>
      <w:r>
        <w:rPr>
          <w:rFonts w:ascii="IRNazanin" w:hAnsi="IRNazanin" w:eastAsia="IRNazanin"/>
          <w:color w:val="111111"/>
          <w:sz w:val="28"/>
          <w:sz w:val="28"/>
          <w:szCs w:val="28"/>
          <w:rtl w:val="true"/>
          <w:lang w:bidi="fa-IR"/>
        </w:rPr>
        <w:t xml:space="preserve">، محل نظر ؛ لأنّ شهادة العدلین إنّ کانت عند الحاکم أمکن الثبوت ، وأمّا عند غیره فالقبول مشکل ؛ إذ لا دلیل علی قبولها لغیر الحاکم فی النجاسة من نص ، والإجماع منتف لوجود الخلاف علی ما یظهر من المنتهی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أخبر عدل بنجاسة الماء لم یجب القبول ، أمّا لو شهد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9" w:name="__RefHeading___Toc146888_2142443653"/>
      <w:bookmarkStart w:id="590" w:name="_Toc222"/>
      <w:bookmarkEnd w:id="589"/>
      <w:r>
        <w:rPr>
          <w:rtl w:val="true"/>
        </w:rPr>
        <w:t>هل تثبت النجاسة بشهادة العدلین؟</w:t>
      </w:r>
      <w:bookmarkEnd w:id="590"/>
    </w:p>
    <w:p>
      <w:pPr>
        <w:pStyle w:val="BookText"/>
        <w:rPr/>
      </w:pPr>
      <w:r>
        <w:rPr>
          <w:rFonts w:ascii="IRNazanin" w:hAnsi="IRNazanin" w:eastAsia="IRNazanin"/>
          <w:color w:val="111111"/>
          <w:sz w:val="28"/>
          <w:sz w:val="28"/>
          <w:szCs w:val="28"/>
          <w:rtl w:val="true"/>
          <w:lang w:bidi="fa-IR"/>
        </w:rPr>
        <w:t xml:space="preserve">عدلان فالأولی القبول </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یقتضی الخلاف فی العدلین ، وقد احتج لقبول العدلین بأنّ شهادتهما معتبرة فی نظر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بورود النظر الذی ذکرناه علی الاحتجاج ؛ فإنّ اعتبار الشاهدین فی نظر الشارع موقوف علی الدلیل من إجماع ونحوه ، وبعد تصریحه بالخلاف لا إجماع ، والأخبار لم أقف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المنتهی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أخبر العدل بنجاسة إنائه فالوجه القبول ، ولو أخبر الفاسق بنجاسة إنائه فالوجه القبول أیضاً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التذکرة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استند الظن إلی سبب کقول العدل فهو کالمتیقّن ، وإلاّ فلا </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أنّ یکون مراده فی التذکرة بالعدل إذا أخبر بنجاسة مائه ، إذ من المستبعد الحکم بقوله فی نجاسة الماء بمجرد قول العدل وإنّ أثمر الظنّ ؛ لأنّ الظنّ المعتبر هو الشرعی علی ما یظهر من کلام أبی الصلاح ، وهو القائل بالظن </w:t>
      </w:r>
      <w:r>
        <w:rPr>
          <w:rStyle w:val="FootnoteAnchor"/>
          <w:rtl w:val="true"/>
        </w:rPr>
        <w:footnoteReference w:id="838"/>
      </w:r>
      <w:r>
        <w:rPr>
          <w:rFonts w:ascii="IRNazanin" w:hAnsi="IRNazanin" w:eastAsia="IRNazanin"/>
          <w:color w:val="111111"/>
          <w:sz w:val="28"/>
          <w:sz w:val="28"/>
          <w:szCs w:val="28"/>
          <w:rtl w:val="true"/>
          <w:lang w:bidi="fa-IR"/>
        </w:rPr>
        <w:t>، وعلی تقدیر کون العلاّمة اختار مطلق الظن فالإشکال واضح بالنسبة إلی الدلیل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أنّ ما نقل عن ابن البرّاج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قبول العدلین </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وجه ، ولا یتوجه علیه أنّ قبول العدلین إذا شهدا عند المجتهد لا ینبغی الارتیاب فیه ؛ لإمکان الجواب بأنّ قبول شهادة الشاهدین للمجتهد موقوف علی الدلیل ، والإجماع علی قبول شهادة الشاهدین فی الماء النجس محلّ کلام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المخالف منحصر فی ابن البراج فلا یضرّ </w:t>
      </w:r>
    </w:p>
    <w:p>
      <w:pPr>
        <w:pStyle w:val="BookText"/>
        <w:rPr/>
      </w:pPr>
      <w:r>
        <w:rPr>
          <w:rFonts w:ascii="IRNazanin" w:hAnsi="IRNazanin" w:eastAsia="IRNazanin"/>
          <w:color w:val="111111"/>
          <w:sz w:val="28"/>
          <w:sz w:val="28"/>
          <w:szCs w:val="28"/>
          <w:rtl w:val="true"/>
          <w:lang w:bidi="fa-IR"/>
        </w:rPr>
        <w:t>الإجماع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المحقّق فی المعتبر أنّه جزم بعدم القبول مع إخبار العدل ، وحکی عن ابن البرّاج قوله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القبول ؛ لثبوت الأحکام بشهادتهما عند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اشتراه وادعی المشتری نجاسته قبل العقد ، فلو شهد شاهدان لساغ الردّ ، وهو مبنیّ علی ثبوت العیب </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التعجب أنّه یتوجه علیه فی نظری القاصر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المدّعی ثبوت النجاسة بالشاهدین مطلقاً ، وظاهر الدلیل الثبوت عند الشارع ، فهو أخصّ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الثبوت عند الشارع علی تقدیر تحقق الدلیل علیه یقال به ، لکن تعدیته </w:t>
      </w:r>
      <w:r>
        <w:rPr>
          <w:rStyle w:val="FootnoteAnchor"/>
          <w:rtl w:val="true"/>
        </w:rPr>
        <w:footnoteReference w:id="842"/>
      </w:r>
      <w:r>
        <w:rPr>
          <w:rFonts w:ascii="IRNazanin" w:hAnsi="IRNazanin" w:eastAsia="IRNazanin"/>
          <w:color w:val="111111"/>
          <w:sz w:val="28"/>
          <w:sz w:val="28"/>
          <w:szCs w:val="28"/>
          <w:rtl w:val="true"/>
          <w:lang w:bidi="fa-IR"/>
        </w:rPr>
        <w:t>لکل شخص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استدل به من ثبوت العیب ربما یناقش فیه بأنّ ثبوت الخیار یقتضی عدم ثبوت النجاسة ؛ إذ لو تحققت بطل البیع إلاّ فیما یمکن تطهیره ، والإطلاق لا یناسبه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أنّ ما قاله الوالد قدس سره بعد کلام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منه ، مضافاً إلی ما قاله بعد النقل عن بعض الأصحاب أنه شرط فی قبول العدلین تبیّن السبب المقتضی للنجاسة ؛ لوقوع الخلاف فیه </w:t>
      </w:r>
      <w:r>
        <w:rPr>
          <w:rStyle w:val="FootnoteAnchor"/>
          <w:rtl w:val="true"/>
        </w:rPr>
        <w:footnoteReference w:id="843"/>
      </w:r>
      <w:r>
        <w:rPr>
          <w:rFonts w:ascii="IRNazanin" w:hAnsi="IRNazanin" w:eastAsia="IRNazanin"/>
          <w:color w:val="111111"/>
          <w:sz w:val="28"/>
          <w:sz w:val="28"/>
          <w:szCs w:val="28"/>
          <w:rtl w:val="true"/>
          <w:lang w:bidi="fa-IR"/>
        </w:rPr>
        <w:t xml:space="preserve">إلاّ أنّ یعلم الوفاق فیکتفی بالإطلاق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الاشتراط حسن ووجهه </w:t>
      </w:r>
      <w:bookmarkStart w:id="591" w:name="pg15025_160358"/>
    </w:p>
    <w:p>
      <w:pPr>
        <w:pStyle w:val="BookText"/>
        <w:rPr/>
      </w:pPr>
      <w:bookmarkEnd w:id="591"/>
      <w:r>
        <w:rPr>
          <w:rFonts w:ascii="IRNazanin" w:hAnsi="IRNazanin" w:eastAsia="IRNazanin"/>
          <w:color w:val="111111"/>
          <w:sz w:val="28"/>
          <w:sz w:val="28"/>
          <w:szCs w:val="28"/>
          <w:rtl w:val="true"/>
          <w:lang w:bidi="fa-IR"/>
        </w:rPr>
        <w:t xml:space="preserve">ظاهر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کلّه فالذی یظهر من العلاّمة فی النهایة توجیه قبول العدل الواحد بأنّ الشهادة فی الأُمور المتعلقة بالعبادة کالروایة ، والواحد فیها مقبول ، فکذا فیما یشبهها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علیک حال هذا الکلام من حیث دلالة ظاهره علی القیاس علی الروایة ، ولا وجه له ، ولا یبعد أنّ یکون مقصوده أنّ ثبوت قول الواحد لیس من حیث الشهادة بل من حیث الإخبار ، فیدخل فی مفهوم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فاسِقٌ </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 xml:space="preserve">وعلی هذا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کونه خبراً لا 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یخلو من وجه ، غیر أنّ فی البین إجمالاً بالنسبة إلی الفرق بین الإخبار والشهادة </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فینبغی التأمّل فی جمیع ما ذکرناه فإنّه حریّ بالتأمّل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الخبر إذا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یسلم سنده </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من موجبات الردّ لا فائدة فیما یتفرع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الجواب عنه بأنّ الصدوق قد روی هذا الخبر مرسلاً عن علی علیه السلام </w:t>
      </w:r>
      <w:r>
        <w:rPr>
          <w:rStyle w:val="FootnoteAnchor"/>
          <w:rtl w:val="true"/>
        </w:rPr>
        <w:footnoteReference w:id="849"/>
      </w:r>
      <w:r>
        <w:rPr>
          <w:rFonts w:ascii="IRNazanin" w:hAnsi="IRNazanin" w:eastAsia="IRNazanin"/>
          <w:color w:val="111111"/>
          <w:sz w:val="28"/>
          <w:sz w:val="28"/>
          <w:szCs w:val="28"/>
          <w:rtl w:val="true"/>
          <w:lang w:bidi="fa-IR"/>
        </w:rPr>
        <w:t xml:space="preserve">، وروی مضمونه من الدلالة علی العلم بالنجاسة مرسلاً عن الصادق علیه السلام </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حال مراسیله </w:t>
      </w:r>
      <w:r>
        <w:rPr>
          <w:rStyle w:val="FootnoteAnchor"/>
          <w:rtl w:val="true"/>
        </w:rPr>
        <w:footnoteReference w:id="851"/>
      </w:r>
      <w:r>
        <w:rPr>
          <w:rFonts w:ascii="Amiri" w:hAnsi="Amiri" w:eastAsia="Amiri" w:cs="Amiri"/>
          <w:color w:val="111111"/>
          <w:sz w:val="28"/>
          <w:sz w:val="28"/>
          <w:szCs w:val="28"/>
          <w:rtl w:val="true"/>
          <w:lang w:bidi="ar-SA"/>
        </w:rPr>
        <w:t>، مضافاً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2" w:name="__RefHeading___Toc146890_2142443653"/>
      <w:bookmarkStart w:id="593" w:name="_Toc223"/>
      <w:bookmarkEnd w:id="592"/>
      <w:r>
        <w:rPr>
          <w:rtl w:val="true"/>
        </w:rPr>
        <w:t>هل تثبت النجاسة بشهادة العدل الواحد؟</w:t>
      </w:r>
      <w:bookmarkStart w:id="594" w:name="pg15025_160359"/>
      <w:bookmarkEnd w:id="593"/>
    </w:p>
    <w:p>
      <w:pPr>
        <w:pStyle w:val="BookText"/>
        <w:rPr/>
      </w:pPr>
      <w:bookmarkEnd w:id="594"/>
      <w:r>
        <w:rPr>
          <w:rFonts w:ascii="IRNazanin" w:hAnsi="IRNazanin" w:eastAsia="IRNazanin"/>
          <w:color w:val="111111"/>
          <w:sz w:val="28"/>
          <w:sz w:val="28"/>
          <w:szCs w:val="28"/>
          <w:rtl w:val="true"/>
          <w:lang w:bidi="fa-IR"/>
        </w:rPr>
        <w:t>الی بعض الاعتبارات المذکورة فی محل آخر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علی أنّ من لم یعلم بالنجاسة لا إعادة علیه ، أمّا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مراداً به ما یشمل عدم العلم بالحکم فمحل کلام ، والحاصل أنّ عدم العلم بالنجاسة إمّا أنّ یراد به عدم العلم بحصول النجاسة فی الثوب مع علمه بالنجاسة ما هی ، وإمّا أنّ یراد عدم العلم بأنّ المذکورات نجسة مع علمه بالنجاسة إجمالاً ، وإمّا أنّ یراد عدم العلم بالنجاسة أصلاً ، وتبادر الأوّل ممکن ، وإنّ ظهر من بعض الأخبار ما تسمعه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العلم المذکور کما یحتمل ما ذکرناه یحتمل أنّ یراد به ما قابل الظن ، ویتناول الأقسام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من الأخبار علی أنّ الجاهل فی الجملة معذور ما رواه الشیخ فی باب النکاح بطریق صحیح عن عبد الرحمن بن الحجاج ، عن أبی إبراهیم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یتزوّج المرأة فی عدّتها بجهالة أهی ممّن لا تحل له أبداً؟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أمّا إذا کان بجهالة فلیتزوجها بعد ما تنقضی عدّتها وقد یعذر الناس فی الجهالة بما هو أعظم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الجهالتین أعذر ، الجهالة بأنّ ذلک حرام علیه ، أم بجهالته أنّها فی عدّة؟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إحدی الجهالتین أهون من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الجهالة بأنّ الله تعالی حرّم ذلک علیه ، وذلک أنّه لا یقدر علی الاحتیاط معها </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5" w:name="__RefHeading___Toc146892_2142443653"/>
      <w:bookmarkStart w:id="596" w:name="_Toc224"/>
      <w:bookmarkEnd w:id="595"/>
      <w:r>
        <w:rPr>
          <w:rtl w:val="true"/>
        </w:rPr>
        <w:t>هل الجاهل معذور؟</w:t>
      </w:r>
      <w:bookmarkEnd w:id="596"/>
    </w:p>
    <w:p>
      <w:pPr>
        <w:pStyle w:val="BookText"/>
        <w:rPr/>
      </w:pPr>
      <w:r>
        <w:rPr>
          <w:rFonts w:ascii="IRNazanin" w:hAnsi="IRNazanin" w:eastAsia="IRNazanin"/>
          <w:color w:val="111111"/>
          <w:sz w:val="28"/>
          <w:sz w:val="28"/>
          <w:szCs w:val="28"/>
          <w:rtl w:val="true"/>
          <w:lang w:bidi="fa-IR"/>
        </w:rPr>
        <w:t xml:space="preserve">وروی الصدوق فی کتاب الصلاة من الفقیه حدیثاً </w:t>
      </w:r>
      <w:r>
        <w:rPr>
          <w:rStyle w:val="FootnoteAnchor"/>
          <w:rtl w:val="true"/>
        </w:rPr>
        <w:footnoteReference w:id="854"/>
      </w:r>
      <w:r>
        <w:rPr>
          <w:rFonts w:ascii="IRNazanin" w:hAnsi="IRNazanin" w:eastAsia="IRNazanin"/>
          <w:color w:val="111111"/>
          <w:sz w:val="28"/>
          <w:sz w:val="28"/>
          <w:szCs w:val="28"/>
          <w:rtl w:val="true"/>
          <w:lang w:bidi="fa-IR"/>
        </w:rPr>
        <w:t xml:space="preserve">عن زرارة ومحمد بن مسلم وفیه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صلّی فی السفر أربعاً أیعید أم لا؟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قد </w:t>
      </w:r>
      <w:r>
        <w:rPr>
          <w:rStyle w:val="FootnoteAnchor"/>
          <w:rtl w:val="true"/>
        </w:rPr>
        <w:footnoteReference w:id="855"/>
      </w:r>
      <w:r>
        <w:rPr>
          <w:rFonts w:ascii="IRNazanin" w:hAnsi="IRNazanin" w:eastAsia="IRNazanin"/>
          <w:color w:val="111111"/>
          <w:sz w:val="28"/>
          <w:sz w:val="28"/>
          <w:szCs w:val="28"/>
          <w:rtl w:val="true"/>
          <w:lang w:bidi="fa-IR"/>
        </w:rPr>
        <w:t xml:space="preserve">قرئت علیه آیة التقصیر وفسّرت له أعاد ، وإنّ لم یکن قرئت علیه ولم یعلمها فلا إعادة </w:t>
      </w:r>
      <w:r>
        <w:rPr>
          <w:rFonts w:eastAsia="IRNazanin" w:cs="IRNazanin"/>
          <w:color w:val="111111"/>
          <w:sz w:val="28"/>
          <w:szCs w:val="28"/>
          <w:rtl w:val="true"/>
          <w:lang w:bidi="fa-IR"/>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یقتضیه النظر فی هذین الخبرین أنّ عدم العلم بالمنع من الشارع یوجب العذر ، أمّا لو علم المنع وجهل ما یتعلق به فلا عذر ، وما تضمنه الخبر المبحوث عنه علی تقدیر حمل العلم علی ما قابل الجهل یحتمل أنّ یخصّ بعدم العلم بمنع الشارع ، وقد اتفق للمتأخرین نوع إجمال فی الفرق بین جاهل الأصل وجاهل الحکم </w:t>
      </w:r>
      <w:r>
        <w:rPr>
          <w:rStyle w:val="FootnoteAnchor"/>
          <w:rtl w:val="true"/>
        </w:rPr>
        <w:footnoteReference w:id="857"/>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یستفاد من الخبر الذی ذکره الشیخ فی النکاح </w:t>
      </w:r>
      <w:r>
        <w:rPr>
          <w:rStyle w:val="FootnoteAnchor"/>
          <w:rtl w:val="true"/>
        </w:rPr>
        <w:footnoteReference w:id="859"/>
      </w:r>
      <w:r>
        <w:rPr>
          <w:rFonts w:ascii="IRNazanin" w:hAnsi="IRNazanin" w:eastAsia="IRNazanin"/>
          <w:color w:val="111111"/>
          <w:sz w:val="28"/>
          <w:sz w:val="28"/>
          <w:szCs w:val="28"/>
          <w:rtl w:val="true"/>
          <w:lang w:bidi="fa-IR"/>
        </w:rPr>
        <w:t xml:space="preserve">أنّ ما یمکن معه الاحتیاط لا یعذر صاحبه ، لکنّ الحال فی هذا لا یخلو من إجمال ، فإن الاحتیاط لمن لا یعلم </w:t>
      </w:r>
      <w:r>
        <w:rPr>
          <w:rStyle w:val="FootnoteAnchor"/>
          <w:rtl w:val="true"/>
        </w:rPr>
        <w:footnoteReference w:id="860"/>
      </w:r>
      <w:r>
        <w:rPr>
          <w:rFonts w:ascii="IRNazanin" w:hAnsi="IRNazanin" w:eastAsia="IRNazanin"/>
          <w:color w:val="111111"/>
          <w:sz w:val="28"/>
          <w:sz w:val="28"/>
          <w:szCs w:val="28"/>
          <w:rtl w:val="true"/>
          <w:lang w:bidi="fa-IR"/>
        </w:rPr>
        <w:t xml:space="preserve">التحریم فی خصوص ما ذکر فی الروایة ممکن لمن علم إجمالاً بأنّ الله قد حلّل وحرّم ، فالسؤال عن الحلال والحرام قبل الفعل علی سبیل الاحتیاط ممکن ، غایة الأمر أنّ الاحتیاط یتفاوت بالقرب والبعد ، ولعلّ هذا هو المراد فی الروایة ، فیراد بما یمکن فیه الاحتیاط علی </w:t>
      </w:r>
    </w:p>
    <w:p>
      <w:pPr>
        <w:pStyle w:val="BookText"/>
        <w:rPr/>
      </w:pPr>
      <w:r>
        <w:rPr>
          <w:rFonts w:ascii="IRNazanin" w:hAnsi="IRNazanin" w:eastAsia="IRNazanin"/>
          <w:color w:val="111111"/>
          <w:sz w:val="28"/>
          <w:sz w:val="28"/>
          <w:szCs w:val="28"/>
          <w:rtl w:val="true"/>
          <w:lang w:bidi="fa-IR"/>
        </w:rPr>
        <w:t>وجه قریب ، ولو لا هذا لم یکن أحد من الجهّال معذوراً بعد أن علم أنّه مکلّف والحال أنّ الروایة تفید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 بعض الأصحاب الذین رأینا کلامهم تارة یعطی عدم عذر الجاهل بالحکم الشرعی إذا علم الأصل ، کالمکان المغصوب إذا علم غصبه وجهل حکمه ، وتارةً یعطی ما یخالف هذا کما یعلمه من تتبّع کلامهم </w:t>
      </w:r>
      <w:r>
        <w:rPr>
          <w:rStyle w:val="FootnoteAnchor"/>
          <w:rtl w:val="true"/>
        </w:rPr>
        <w:footnoteReference w:id="861"/>
      </w:r>
      <w:r>
        <w:rPr>
          <w:rFonts w:ascii="IRNazanin" w:hAnsi="IRNazanin" w:eastAsia="IRNazanin"/>
          <w:color w:val="111111"/>
          <w:sz w:val="28"/>
          <w:sz w:val="28"/>
          <w:szCs w:val="28"/>
          <w:rtl w:val="true"/>
          <w:lang w:bidi="fa-IR"/>
        </w:rPr>
        <w:t>، والخبران اللذان ذکرناهما ربما یفیدان عذر الجاهل بنوع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المنقول عن الفقیه قد تکلّمنا فیه فی موضعه من حیث دلالته </w:t>
      </w:r>
      <w:r>
        <w:rPr>
          <w:rStyle w:val="FootnoteAnchor"/>
          <w:rtl w:val="true"/>
        </w:rPr>
        <w:footnoteReference w:id="862"/>
      </w:r>
      <w:r>
        <w:rPr>
          <w:rFonts w:ascii="IRNazanin" w:hAnsi="IRNazanin" w:eastAsia="IRNazanin"/>
          <w:color w:val="111111"/>
          <w:sz w:val="28"/>
          <w:sz w:val="28"/>
          <w:szCs w:val="28"/>
          <w:rtl w:val="true"/>
          <w:lang w:bidi="fa-IR"/>
        </w:rPr>
        <w:t xml:space="preserve">علی أنّ الآیة إذا لم تفسّر له لا إعادة علیه ، والظاهر من هذا الترکیب 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أنّ جاهل الحکم معذور کجاهل الأصل ، علی أنّ یراد بالأصل أصل الوجوب ، والتفسیر یراد به ما یلزم الوجوب من البطلان ، ولو لا خوف الخروج عمّا نحن بصدده لذکرت جمیع الاحتمالات ، والمقصود هنا التنبیه علی أنّ الأصحاب </w:t>
      </w:r>
      <w:r>
        <w:rPr>
          <w:rStyle w:val="FootnoteAnchor"/>
          <w:rtl w:val="true"/>
        </w:rPr>
        <w:footnoteReference w:id="863"/>
      </w:r>
      <w:r>
        <w:rPr>
          <w:rFonts w:ascii="IRNazanin" w:hAnsi="IRNazanin" w:eastAsia="IRNazanin"/>
          <w:color w:val="111111"/>
          <w:sz w:val="28"/>
          <w:sz w:val="28"/>
          <w:szCs w:val="28"/>
          <w:rtl w:val="true"/>
          <w:lang w:bidi="fa-IR"/>
        </w:rPr>
        <w:t>یقنعون فی أمثال هذه المباحث بالقلیل ویکتفون فی المطالب المهمة اتّکالاً علی قول بعض المتقدّمین بأیسر دلیل ، والله سبحانه الهادی إلی سواء السبیل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کلّه فاعلم أنّ المحقّق فی المعتبر صرّح فیما حکاه شیخنا قدس سره بأنّ من علم بالنجاسة وصلّی ذاکراً لها وجب علیه الإعادة فی الوقت وخارجه ، 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إجماع من جعل طهارة الثوب والبدن شرطاً </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کلام جماعة یقتضی عدم الفرق فی العالم بالنجاسة بین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بالحکم الشرعی والجاهل به ، والعلاّمة فی المنتهی صرح بأنّ جاهل الحکم عامد ؛ لأنّ العلم لیس شرطاً للتکلیف </w:t>
      </w:r>
      <w:r>
        <w:rPr>
          <w:rStyle w:val="FootnoteAnchor"/>
          <w:rtl w:val="true"/>
        </w:rPr>
        <w:footnoteReference w:id="866"/>
      </w:r>
      <w:r>
        <w:rPr>
          <w:rFonts w:ascii="IRNazanin" w:hAnsi="IRNazanin" w:eastAsia="IRNazanin"/>
          <w:color w:val="111111"/>
          <w:sz w:val="28"/>
          <w:sz w:val="28"/>
          <w:szCs w:val="28"/>
          <w:rtl w:val="true"/>
          <w:lang w:bidi="fa-IR"/>
        </w:rPr>
        <w:t>، واعترض علیه بقبح تکلیف الغافل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یعرف ممّا قدّمناه من أنّ قبح تکلیف الغافل مطلقاً یدفعه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الحق أنّهم إن أرادوا بکون الجاهل عامداً أنّه مثله فی وجوب الإعادة فی الوقت مع الإخلال بالعبادة فهو حقّ ؛ لعدم حصول الامتثال المقتضی لبقاء المکلّف تحت العهدة ، وإن أرادوا أنّه کالعامد فی الإعادة فی الوقت وخارجه فهو مشکل ؛ لأنّ القضاء فرض مستأنف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w:t>
      </w:r>
      <w:r>
        <w:rPr>
          <w:rStyle w:val="FootnoteAnchor"/>
          <w:rtl w:val="true"/>
        </w:rPr>
        <w:footnoteReference w:id="868"/>
      </w:r>
      <w:r>
        <w:rPr>
          <w:rFonts w:ascii="IRNazanin" w:hAnsi="IRNazanin" w:eastAsia="IRNazanin"/>
          <w:color w:val="111111"/>
          <w:sz w:val="28"/>
          <w:sz w:val="28"/>
          <w:szCs w:val="28"/>
          <w:rtl w:val="true"/>
          <w:lang w:bidi="fa-IR"/>
        </w:rPr>
        <w:t xml:space="preserve">نظری القاصر أنّه محلّ 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وجوب الإعادة فی الوقت بسبب عدم الامتثال موضع نظر ؛ لما قرره هو وغیره من قبح تکلیف الغافل ، وإذا لم یکن مکلّفاً بما جهله </w:t>
      </w:r>
      <w:r>
        <w:rPr>
          <w:rStyle w:val="FootnoteAnchor"/>
          <w:rtl w:val="true"/>
        </w:rPr>
        <w:footnoteReference w:id="869"/>
      </w:r>
      <w:r>
        <w:rPr>
          <w:rFonts w:ascii="IRNazanin" w:hAnsi="IRNazanin" w:eastAsia="IRNazanin"/>
          <w:color w:val="111111"/>
          <w:sz w:val="28"/>
          <w:sz w:val="28"/>
          <w:szCs w:val="28"/>
          <w:rtl w:val="true"/>
          <w:lang w:bidi="fa-IR"/>
        </w:rPr>
        <w:t xml:space="preserve">فالمکلّف فیه </w:t>
      </w:r>
      <w:r>
        <w:rPr>
          <w:rStyle w:val="FootnoteAnchor"/>
          <w:rtl w:val="true"/>
        </w:rPr>
        <w:footnoteReference w:id="870"/>
      </w:r>
      <w:r>
        <w:rPr>
          <w:rFonts w:ascii="IRNazanin" w:hAnsi="IRNazanin" w:eastAsia="IRNazanin"/>
          <w:color w:val="111111"/>
          <w:sz w:val="28"/>
          <w:sz w:val="28"/>
          <w:szCs w:val="28"/>
          <w:rtl w:val="true"/>
          <w:lang w:bidi="fa-IR"/>
        </w:rPr>
        <w:t xml:space="preserve">قد فعله ، ولو اعتبرنا المأمور به غیره أشکل بجاهل أصل النجاسة علی المعروف ، وبما تضمّنه الخبران اللذان نقلناهما فی الجاهل </w:t>
      </w:r>
      <w:r>
        <w:rPr>
          <w:rStyle w:val="FootnoteAnchor"/>
          <w:rtl w:val="true"/>
        </w:rPr>
        <w:footnoteReference w:id="871"/>
      </w:r>
      <w:r>
        <w:rPr>
          <w:rFonts w:ascii="IRNazanin" w:hAnsi="IRNazanin" w:eastAsia="IRNazanin"/>
          <w:color w:val="111111"/>
          <w:sz w:val="28"/>
          <w:sz w:val="28"/>
          <w:szCs w:val="28"/>
          <w:rtl w:val="true"/>
          <w:lang w:bidi="fa-IR"/>
        </w:rPr>
        <w:t>، وحینئذ یمکن القول بأنّه أتی بالمأمور به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حکی شیخنا الشهید رحمه الله عن السیّد الرضی قدس سره أنّه سأل </w:t>
      </w:r>
      <w:bookmarkStart w:id="597" w:name="pg15025_160363"/>
    </w:p>
    <w:p>
      <w:pPr>
        <w:pStyle w:val="BookText"/>
        <w:rPr/>
      </w:pPr>
      <w:bookmarkEnd w:id="597"/>
      <w:r>
        <w:rPr>
          <w:rFonts w:ascii="IRNazanin" w:hAnsi="IRNazanin" w:eastAsia="IRNazanin"/>
          <w:color w:val="111111"/>
          <w:sz w:val="28"/>
          <w:sz w:val="28"/>
          <w:szCs w:val="28"/>
          <w:rtl w:val="true"/>
          <w:lang w:bidi="fa-IR"/>
        </w:rPr>
        <w:t xml:space="preserve">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المرتضی رضی الله عنه عن مسألة من کان جاهلاً بالتقصیر </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فصلّی أربعاً حیث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یعید مطلقاً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الإجماع منعقد علی أنّ من صلّی صلاة لا یعلم أحکامها فهی غیر مجزئة ، والجهل بأعداد الرکعات جهل بأحکامها ، فأجابه السیّد المرتضی بجواز تغیّر الحکم الشرعی بسبب الجهل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مراده بالجواب احتمال کون الجاهل مکلّفاً بالأربع ، وما قاله السیّد بعد ما نقلناه من أنّه وإن کان الجاهل غیر معذور لا یخلو من خفاء ، ولعل مراده أنّه مقصّر فی عدم التعلّم ، وهذا أمر آخر ، وبالجملة فالحکم بعدم الامتثال موضع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القضاء فرض 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لکن الإجماع المدّعی یتناوله بسبب الإطلاق ، وکذلک إطلاق بعض الأخبار </w:t>
      </w:r>
      <w:r>
        <w:rPr>
          <w:rStyle w:val="FootnoteAnchor"/>
          <w:rtl w:val="true"/>
        </w:rPr>
        <w:footnoteReference w:id="874"/>
      </w:r>
      <w:r>
        <w:rPr>
          <w:rFonts w:ascii="IRNazanin" w:hAnsi="IRNazanin" w:eastAsia="IRNazanin"/>
          <w:color w:val="111111"/>
          <w:sz w:val="28"/>
          <w:sz w:val="28"/>
          <w:szCs w:val="28"/>
          <w:rtl w:val="true"/>
          <w:lang w:bidi="fa-IR"/>
        </w:rPr>
        <w:t xml:space="preserve">،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الإجماع مقیّد والأخبار متعارضة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کان علیه بیان هذا کلّه لأنّه مهم ، فلیتدبّر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کما تری دلالة علی إطلاق العذرة علی غیر فضلة الإنسان ، فما ورد فی نجاسة العذرة یتناول غیر الإنسان کما ذکره بعض الأصحاب </w:t>
      </w:r>
      <w:r>
        <w:rPr>
          <w:rStyle w:val="FootnoteAnchor"/>
          <w:rtl w:val="true"/>
        </w:rPr>
        <w:footnoteReference w:id="875"/>
      </w:r>
      <w:r>
        <w:rPr>
          <w:rFonts w:ascii="IRNazanin" w:hAnsi="IRNazanin" w:eastAsia="IRNazanin"/>
          <w:color w:val="111111"/>
          <w:sz w:val="28"/>
          <w:sz w:val="28"/>
          <w:szCs w:val="28"/>
          <w:rtl w:val="true"/>
          <w:lang w:bidi="fa-IR"/>
        </w:rPr>
        <w:t xml:space="preserve">، والوالد قدس سره له کلام فی هذا </w:t>
      </w:r>
      <w:r>
        <w:rPr>
          <w:rStyle w:val="FootnoteAnchor"/>
          <w:rtl w:val="true"/>
        </w:rPr>
        <w:footnoteReference w:id="876"/>
      </w:r>
      <w:r>
        <w:rPr>
          <w:rFonts w:ascii="IRNazanin" w:hAnsi="IRNazanin" w:eastAsia="IRNazanin"/>
          <w:color w:val="111111"/>
          <w:sz w:val="28"/>
          <w:sz w:val="28"/>
          <w:szCs w:val="28"/>
          <w:rtl w:val="true"/>
          <w:lang w:bidi="fa-IR"/>
        </w:rPr>
        <w:t xml:space="preserve">وقد ذکرنا ما فیه فی حاشیة الروضة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لا یدل علی إطلاق العذرة من دون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الخبر بإطلاقه یتناول عدم الإعادة فی الوقت وخارجه إنّ لم تحمل الإعادة علی الوقت کما هو المعروف من معناها العرفی للأُصولیین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8" w:name="__RefHeading___Toc146894_2142443653"/>
      <w:bookmarkStart w:id="599" w:name="_Toc225"/>
      <w:bookmarkEnd w:id="598"/>
      <w:r>
        <w:rPr>
          <w:rtl w:val="true"/>
        </w:rPr>
        <w:t>إطلاق العذرة علی فضلة غیر الإنسان</w:t>
      </w:r>
      <w:bookmarkStart w:id="600" w:name="pg15025_160364"/>
      <w:bookmarkEnd w:id="599"/>
    </w:p>
    <w:p>
      <w:pPr>
        <w:pStyle w:val="BookText"/>
        <w:rPr/>
      </w:pPr>
      <w:bookmarkEnd w:id="600"/>
      <w:r>
        <w:rPr>
          <w:rFonts w:ascii="IRNazanin" w:hAnsi="IRNazanin" w:eastAsia="IRNazanin"/>
          <w:color w:val="111111"/>
          <w:sz w:val="28"/>
          <w:sz w:val="28"/>
          <w:szCs w:val="28"/>
          <w:rtl w:val="true"/>
          <w:lang w:bidi="fa-IR"/>
        </w:rPr>
        <w:t>إلاّ أنّ المستفاد من الأخبار غیر ذلک ، کما یعلم بالتتبّع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علی عدم الإعادة وإنّ أخبر صاحب الثوب ، والوجه فی عدم الإعادة محتمل 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العلم </w:t>
      </w:r>
      <w:r>
        <w:rPr>
          <w:rStyle w:val="FootnoteAnchor"/>
          <w:rtl w:val="true"/>
        </w:rPr>
        <w:footnoteReference w:id="877"/>
      </w:r>
      <w:r>
        <w:rPr>
          <w:rFonts w:ascii="IRNazanin" w:hAnsi="IRNazanin" w:eastAsia="IRNazanin"/>
          <w:color w:val="111111"/>
          <w:sz w:val="28"/>
          <w:sz w:val="28"/>
          <w:szCs w:val="28"/>
          <w:rtl w:val="true"/>
          <w:lang w:bidi="fa-IR"/>
        </w:rPr>
        <w:t>أوّلاً کما یستفاد فی الجملة من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الوجه عدم ثبوت النجاسة من إخبار صاحب الثوب وبعض الأصحاب وإنّ فهم منه عدم </w:t>
      </w:r>
      <w:r>
        <w:rPr>
          <w:rStyle w:val="FootnoteAnchor"/>
          <w:rtl w:val="true"/>
        </w:rPr>
        <w:footnoteReference w:id="878"/>
      </w:r>
      <w:r>
        <w:rPr>
          <w:rFonts w:ascii="IRNazanin" w:hAnsi="IRNazanin" w:eastAsia="IRNazanin"/>
          <w:color w:val="111111"/>
          <w:sz w:val="28"/>
          <w:sz w:val="28"/>
          <w:szCs w:val="28"/>
          <w:rtl w:val="true"/>
          <w:lang w:bidi="fa-IR"/>
        </w:rPr>
        <w:t xml:space="preserve">قبول قول صاحب الید ، إلاّ أنّه محل تأمّل لأنّ الإخبار إنّما یفید الظن ، والاکتفاء به محل بحث ، والإقرار إنّما یفید فی حق نفسه ، وإخبار البائع بنجاسة الشی‌ء الذی باعه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یثمر الخیار للمشتری ، وحینئذ یدل علی قبول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عدم معلومیة ثبوت الخیار ، وبتقدیره یجوز أنّ یکون لحصول النفرة من المبیع ، مضافاً إلی ما قدمناه فی شهادة الشاهدین بالنجاسة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یشکل الحال هنا بأنّ المخبر إذا قبل قوله فی حق نفسه لزم الحکم بنجاسته لو باشره ، وحینئذ لا یجوز لنا مباشرة الرجل من غیر طهارة ، والحال أنّه راجع إلی قوله ، وهو غیر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الجواب بأنه لا مانع من الالتزام ، فینبغی التأمّل التامّ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العذرة فناء الدار وأرْدأ ما یخرج من الطعام </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منه أنّ الخُرء هو العذرة ، وسمعت ما أشرنا إلیه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146896_2142443653"/>
      <w:bookmarkStart w:id="602" w:name="_Toc226"/>
      <w:bookmarkEnd w:id="601"/>
      <w:r>
        <w:rPr>
          <w:rtl w:val="true"/>
        </w:rPr>
        <w:t>عدم وجوب إعادة الصلاة مع إخبار صاحب الثوب بنجاسته</w:t>
      </w:r>
      <w:bookmarkEnd w:id="60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3" w:name="__RefHeading___Toc146898_2142443653"/>
      <w:bookmarkStart w:id="604" w:name="_Toc227"/>
      <w:bookmarkEnd w:id="603"/>
      <w:r>
        <w:rPr>
          <w:rtl w:val="true"/>
        </w:rPr>
        <w:t>معنی العذرة</w:t>
      </w:r>
      <w:bookmarkEnd w:id="60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یعقوب ، عن علی بن محمد ، عن سهل بن زیاد ، عن أحمد بن محمد بن أبی نصر ، عن عبد الکریم بن عمرو ، عن الحسن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الرجل یبول فیصیب بعض فخذه نکتة من بوله فیصلّی ثم یذکر بعد </w:t>
      </w:r>
      <w:r>
        <w:rPr>
          <w:rStyle w:val="FootnoteAnchor"/>
          <w:rtl w:val="true"/>
        </w:rPr>
        <w:footnoteReference w:id="882"/>
      </w:r>
      <w:r>
        <w:rPr>
          <w:rFonts w:ascii="IRNazanin" w:hAnsi="IRNazanin" w:eastAsia="IRNazanin"/>
          <w:color w:val="111111"/>
          <w:sz w:val="28"/>
          <w:sz w:val="28"/>
          <w:szCs w:val="28"/>
          <w:rtl w:val="true"/>
          <w:lang w:bidi="fa-IR"/>
        </w:rPr>
        <w:t xml:space="preserve">أنّه لم یغسله؟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یغسله ویعید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أحمد بن محمد ، عن محمد بن سنان ، عن ابن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بمسألة </w:t>
      </w:r>
      <w:r>
        <w:rPr>
          <w:rStyle w:val="FootnoteAnchor"/>
          <w:rtl w:val="true"/>
        </w:rPr>
        <w:footnoteReference w:id="883"/>
      </w:r>
      <w:r>
        <w:rPr>
          <w:rFonts w:ascii="IRNazanin" w:hAnsi="IRNazanin" w:eastAsia="IRNazanin"/>
          <w:color w:val="111111"/>
          <w:sz w:val="28"/>
          <w:sz w:val="28"/>
          <w:szCs w:val="28"/>
          <w:rtl w:val="true"/>
          <w:lang w:bidi="fa-IR"/>
        </w:rPr>
        <w:t xml:space="preserve">إلی أبی عبد الله علیه السلام مع إبراهیم بن میمون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تسأله عن الرجل یبول فیصیب فخذه قدر نکتة من بوله فیصلّی ویذکر بعد ذلک أنّه لم یغسلها؟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یغسلها ویعید الصلاة </w:t>
      </w:r>
      <w:r>
        <w:rPr>
          <w:rFonts w:eastAsia="IRNazanin" w:cs="IRNazanin"/>
          <w:color w:val="111111"/>
          <w:sz w:val="28"/>
          <w:szCs w:val="28"/>
          <w:rtl w:val="true"/>
          <w:lang w:bidi="fa-IR"/>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 xml:space="preserve">، عن محمّد بن عیسی ، عن یونس بن عبد الرحمن ، عن ابن مسکان ، عن أبی بصیر ، عن أبی عبد الله علیه السلام فی رجل </w:t>
      </w:r>
      <w:r>
        <w:rPr>
          <w:rStyle w:val="FootnoteAnchor"/>
          <w:rtl w:val="true"/>
        </w:rPr>
        <w:footnoteReference w:id="886"/>
      </w:r>
      <w:r>
        <w:rPr>
          <w:rFonts w:ascii="IRNazanin" w:hAnsi="IRNazanin" w:eastAsia="IRNazanin"/>
          <w:color w:val="111111"/>
          <w:sz w:val="28"/>
          <w:sz w:val="28"/>
          <w:szCs w:val="28"/>
          <w:rtl w:val="true"/>
          <w:lang w:bidi="fa-IR"/>
        </w:rPr>
        <w:t xml:space="preserve">صلّی فی ثوب فیه نکتة جنابة رکعتین ثم 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أنّ یبتدئ بالصلاة </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یصلّی وفی ثوبه جنابة أو دم حتی فرغ من صلاته ثم علم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w:t>
      </w:r>
      <w:r>
        <w:rPr>
          <w:rStyle w:val="FootnoteAnchor"/>
          <w:rtl w:val="true"/>
        </w:rPr>
        <w:footnoteReference w:id="888"/>
      </w:r>
      <w:r>
        <w:rPr>
          <w:rFonts w:ascii="IRNazanin" w:hAnsi="IRNazanin" w:eastAsia="IRNazanin"/>
          <w:color w:val="111111"/>
          <w:sz w:val="28"/>
          <w:sz w:val="28"/>
          <w:szCs w:val="28"/>
          <w:rtl w:val="true"/>
          <w:lang w:bidi="fa-IR"/>
        </w:rPr>
        <w:t xml:space="preserve">مضت صلاته ولا شی‌ء علیه </w:t>
      </w:r>
      <w:r>
        <w:rPr>
          <w:rFonts w:eastAsia="IRNazanin" w:cs="IRNazanin"/>
          <w:color w:val="111111"/>
          <w:sz w:val="28"/>
          <w:szCs w:val="28"/>
          <w:rtl w:val="true"/>
          <w:lang w:bidi="fa-IR"/>
        </w:rPr>
        <w:t xml:space="preserve">». </w:t>
      </w:r>
      <w:bookmarkStart w:id="605" w:name="pg15025_160366"/>
    </w:p>
    <w:p>
      <w:pPr>
        <w:pStyle w:val="BookText"/>
        <w:rPr/>
      </w:pPr>
      <w:bookmarkEnd w:id="605"/>
      <w:r>
        <w:rPr>
          <w:rFonts w:ascii="IRNazanin" w:hAnsi="IRNazanin" w:eastAsia="IRNazanin"/>
          <w:color w:val="111111"/>
          <w:sz w:val="28"/>
          <w:sz w:val="28"/>
          <w:szCs w:val="28"/>
          <w:rtl w:val="true"/>
          <w:lang w:bidi="fa-IR"/>
        </w:rPr>
        <w:t xml:space="preserve">سعد بن عبد الله ، عن محمد بن الحسین ، عن ابن أبی عمیر ، عن وهب بن عبد ربه ، عن أبی عبد الله علیه السلام فی الجنابة تصیب الثوب ولا یعلم بها صاحبه فیصلی فیه ثم یعلم بعد </w:t>
      </w:r>
      <w:r>
        <w:rPr>
          <w:rStyle w:val="FootnoteAnchor"/>
          <w:rtl w:val="true"/>
        </w:rPr>
        <w:footnoteReference w:id="88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Style w:val="FootnoteAnchor"/>
          <w:rtl w:val="true"/>
        </w:rPr>
        <w:footnoteReference w:id="890"/>
      </w:r>
      <w:r>
        <w:rPr>
          <w:rFonts w:ascii="IRNazanin" w:hAnsi="IRNazanin" w:eastAsia="IRNazanin"/>
          <w:color w:val="111111"/>
          <w:sz w:val="28"/>
          <w:sz w:val="28"/>
          <w:szCs w:val="28"/>
          <w:rtl w:val="true"/>
          <w:lang w:bidi="fa-IR"/>
        </w:rPr>
        <w:t xml:space="preserve">إذا لم یکن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تنافی بین هذه الأخبار والأخبار الأوّلة ؛ لأنّ الوجه فی الجمع بینها </w:t>
      </w:r>
      <w:r>
        <w:rPr>
          <w:rStyle w:val="FootnoteAnchor"/>
          <w:rtl w:val="true"/>
        </w:rPr>
        <w:footnoteReference w:id="891"/>
      </w:r>
      <w:r>
        <w:rPr>
          <w:rFonts w:ascii="IRNazanin" w:hAnsi="IRNazanin" w:eastAsia="IRNazanin"/>
          <w:color w:val="111111"/>
          <w:sz w:val="28"/>
          <w:sz w:val="28"/>
          <w:szCs w:val="28"/>
          <w:rtl w:val="true"/>
          <w:lang w:bidi="fa-IR"/>
        </w:rPr>
        <w:t xml:space="preserve">أنّه إذا علم الإنسان حصول النجاسة فی الثوب ففرّط فی غَسله ثم نسی حتی صلّی وجب علیه الإعادة لتفریطه ، وإنّ لم یعلم أصلاً إلاّ بعد فراغه من الصلاة لم تلزمه الإعادة ، وعلی هذا دلّت أکثر الروایات التی ذکرناها فی الکتاب الکبیر ، وقد ذکرنا طرفاً منها فی باب أحکام الدماء بهذا التفصیل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مسلم وإسماعیل الجعفی وابن أبی یعفور وجمیل ، عن بعض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ضعیفاً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ذلک أحمد بن علی بن نوح وأحمد بن الحسین </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الفهرست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رجال الهادی علیه السلام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ذکر فی الخلاصة قول الشیخ بالتوثیق وقول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6" w:name="__RefHeading___Toc146900_2142443653"/>
      <w:bookmarkStart w:id="607" w:name="_Toc228"/>
      <w:bookmarkEnd w:id="606"/>
      <w:r>
        <w:rPr>
          <w:rtl w:val="true"/>
        </w:rPr>
        <w:t>بحث حول سهل بن زیاد</w:t>
      </w:r>
      <w:bookmarkEnd w:id="607"/>
    </w:p>
    <w:p>
      <w:pPr>
        <w:pStyle w:val="BookText"/>
        <w:rPr/>
      </w:pPr>
      <w:r>
        <w:rPr>
          <w:rFonts w:ascii="IRNazanin" w:hAnsi="IRNazanin" w:eastAsia="IRNazanin"/>
          <w:color w:val="111111"/>
          <w:sz w:val="28"/>
          <w:sz w:val="28"/>
          <w:szCs w:val="28"/>
          <w:rtl w:val="true"/>
          <w:lang w:bidi="fa-IR"/>
        </w:rPr>
        <w:t xml:space="preserve">النجاشی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الحسین ، وزاد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ضعیفاً جدّاً فاسد الروایة والمذهب </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من العلاّمة ربما یتوهم منه ان أحمد بن الحسین غیر ابن الغضائری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فی هذا الکتاب أنّه ابن الغضائری </w:t>
      </w:r>
      <w:r>
        <w:rPr>
          <w:rStyle w:val="FootnoteAnchor"/>
          <w:rtl w:val="true"/>
        </w:rPr>
        <w:footnoteReference w:id="896"/>
      </w:r>
      <w:r>
        <w:rPr>
          <w:rFonts w:ascii="IRNazanin" w:hAnsi="IRNazanin" w:eastAsia="IRNazanin"/>
          <w:color w:val="111111"/>
          <w:sz w:val="28"/>
          <w:sz w:val="28"/>
          <w:szCs w:val="28"/>
          <w:rtl w:val="true"/>
          <w:lang w:bidi="fa-IR"/>
        </w:rPr>
        <w:t>لوجوه ترفع الارتیاب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هذا الإبهام لا بد من دفعه ، والحاصل أنّ قول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علی المغایرة ؛ لأنّ ذکر أحمد بن الحسین من کلام النجاشی ذکره بتمامه ، ثم أراد العلاّمة بیان عبارة ابن الغضائری ؛ إذ النجاشی اختصرها ، فما ذکره جدّی قدس سره من أنّ ابن الغضائری هو الحسین بن عبید الله </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 ولیس فی هذا الکلام تأیید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یقتضیه کلام النجاشی من أنّه کان ضعیفاً فی الحدیث ، 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 قد یمکن الجمع بینهما بأنّ یکون المراد بضعفه فی الحدیث روایته عن الضعفاء کما ذکرناه عن مشایخنا فی البرقی حیث قال فیه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ضعیفاً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وثّقه ، أنّه لا تنافی بین قول الشیخ وقول النجاشی ؛ لاحتمال أنّ یرید بالضعف روایته عن الضعفاء </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هذا وإنّ کان محلّ تأمّل کما ذکرناه فی مواضع </w:t>
      </w:r>
      <w:r>
        <w:rPr>
          <w:rStyle w:val="FootnoteAnchor"/>
          <w:rtl w:val="true"/>
        </w:rPr>
        <w:footnoteReference w:id="899"/>
      </w:r>
      <w:r>
        <w:rPr>
          <w:rFonts w:ascii="IRNazanin" w:hAnsi="IRNazanin" w:eastAsia="IRNazanin"/>
          <w:color w:val="111111"/>
          <w:sz w:val="28"/>
          <w:sz w:val="28"/>
          <w:szCs w:val="28"/>
          <w:rtl w:val="true"/>
          <w:lang w:bidi="fa-IR"/>
        </w:rPr>
        <w:t>، إلاّ أنّه بعینه یأتی فی سهل ابن زیاد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الجواب بالفرق بین المقامین من حیث إنّ الشیخ قد صرّح </w:t>
      </w:r>
      <w:bookmarkStart w:id="608" w:name="pg15025_160368"/>
    </w:p>
    <w:p>
      <w:pPr>
        <w:pStyle w:val="BookText"/>
        <w:rPr/>
      </w:pPr>
      <w:bookmarkEnd w:id="608"/>
      <w:r>
        <w:rPr>
          <w:rFonts w:ascii="IRNazanin" w:hAnsi="IRNazanin" w:eastAsia="IRNazanin"/>
          <w:color w:val="111111"/>
          <w:sz w:val="28"/>
          <w:sz w:val="28"/>
          <w:szCs w:val="28"/>
          <w:rtl w:val="true"/>
          <w:lang w:bidi="fa-IR"/>
        </w:rPr>
        <w:t>بتضعیفه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تضعیف الشیخ من تصریحه بالتوثیق أولی بالحمل الذی قدّمناه ، فیراد بضعفه بالنسبة إلی من روی عنه ، لکن لا یخفی أنّ الشیخ مضطرب الرأی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کان فی عبارة النجاشی بعد ذکره أنّه کان ضعیفاً فی الحدیث دلالة علی غیر المعنی الذی احتملناه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معتمد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إمکان حمل هذا علی أنّ سهل بن زیاد غیر معتمد فی الحدیث عن الغیر ، لکنه بعید عن الظاهر ، وبالجملة فالرجل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عامی ، فی مواضع من المدارک </w:t>
      </w:r>
      <w:r>
        <w:rPr>
          <w:rStyle w:val="FootnoteAnchor"/>
          <w:rtl w:val="true"/>
        </w:rPr>
        <w:footnoteReference w:id="900"/>
      </w:r>
      <w:r>
        <w:rPr>
          <w:rFonts w:ascii="IRNazanin" w:hAnsi="IRNazanin" w:eastAsia="IRNazanin"/>
          <w:color w:val="111111"/>
          <w:sz w:val="28"/>
          <w:sz w:val="28"/>
          <w:szCs w:val="28"/>
          <w:rtl w:val="true"/>
          <w:lang w:bidi="fa-IR"/>
        </w:rPr>
        <w:t xml:space="preserve">فلم أقف علی وجهه ، هذا وقد قدّمنا کلاماً فی سهل </w:t>
      </w:r>
      <w:r>
        <w:rPr>
          <w:rStyle w:val="FootnoteAnchor"/>
          <w:rtl w:val="true"/>
        </w:rPr>
        <w:footnoteReference w:id="901"/>
      </w:r>
      <w:r>
        <w:rPr>
          <w:rFonts w:ascii="IRNazanin" w:hAnsi="IRNazanin" w:eastAsia="IRNazanin"/>
          <w:color w:val="111111"/>
          <w:sz w:val="28"/>
          <w:sz w:val="28"/>
          <w:szCs w:val="28"/>
          <w:rtl w:val="true"/>
          <w:lang w:bidi="fa-IR"/>
        </w:rPr>
        <w:t>، والإعادة هنا لزیادة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فیه </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 xml:space="preserve">الراوی عن سهل هو المعروف بعلاّن الثقة ، فی النجاشی </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الکریم فهو ابن عمر الملقّب کرّام ، وهو ثقة واقفی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بن زیاد مجهول الحال ، وفی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زیاد ، وفیه اشتراک فی الرجال </w:t>
      </w:r>
      <w:r>
        <w:rPr>
          <w:rStyle w:val="FootnoteAnchor"/>
          <w:rtl w:val="true"/>
        </w:rPr>
        <w:footnoteReference w:id="905"/>
      </w:r>
      <w:r>
        <w:rPr>
          <w:rFonts w:ascii="IRNazanin" w:hAnsi="IRNazanin" w:eastAsia="IRNazanin"/>
          <w:color w:val="111111"/>
          <w:sz w:val="28"/>
          <w:sz w:val="28"/>
          <w:szCs w:val="28"/>
          <w:rtl w:val="true"/>
          <w:lang w:bidi="fa-IR"/>
        </w:rPr>
        <w:t>علی وجه لا یعلم فیه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سنان وقد قدّمنا فیه ما یغنی عن البیان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146902_2142443653"/>
      <w:bookmarkStart w:id="610" w:name="_Toc229"/>
      <w:bookmarkEnd w:id="609"/>
      <w:r>
        <w:rPr>
          <w:rtl w:val="true"/>
        </w:rPr>
        <w:t>علی بن محمّد الروای عن سهل بن زیاد هو علّان الثقة</w:t>
      </w:r>
      <w:bookmarkEnd w:id="610"/>
    </w:p>
    <w:p>
      <w:pPr>
        <w:pStyle w:val="Heading4"/>
        <w:numPr>
          <w:ilvl w:val="3"/>
          <w:numId w:val="1"/>
        </w:numPr>
        <w:rPr/>
      </w:pPr>
      <w:bookmarkStart w:id="611" w:name="__RefHeading___Toc146904_2142443653"/>
      <w:bookmarkStart w:id="612" w:name="_Toc230"/>
      <w:bookmarkEnd w:id="611"/>
      <w:r>
        <w:rPr>
          <w:rtl w:val="true"/>
        </w:rPr>
        <w:t>عبد الکریم بن عمر ثقة واقفی</w:t>
      </w:r>
      <w:bookmarkEnd w:id="61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3" w:name="__RefHeading___Toc146906_2142443653"/>
      <w:bookmarkStart w:id="614" w:name="_Toc231"/>
      <w:bookmarkEnd w:id="613"/>
      <w:r>
        <w:rPr>
          <w:rtl w:val="true"/>
        </w:rPr>
        <w:t>الحسین بن زیاد مجهول الحال</w:t>
      </w:r>
      <w:bookmarkStart w:id="615" w:name="pg15025_160369"/>
      <w:bookmarkEnd w:id="614"/>
    </w:p>
    <w:p>
      <w:pPr>
        <w:pStyle w:val="BookText"/>
        <w:rPr/>
      </w:pPr>
      <w:bookmarkEnd w:id="615"/>
      <w:r>
        <w:rPr>
          <w:rFonts w:ascii="IRNazanin" w:hAnsi="IRNazanin" w:eastAsia="IRNazanin"/>
          <w:color w:val="111111"/>
          <w:sz w:val="28"/>
          <w:sz w:val="28"/>
          <w:szCs w:val="28"/>
          <w:rtl w:val="true"/>
          <w:lang w:bidi="fa-IR"/>
        </w:rPr>
        <w:t xml:space="preserve">وابن مسکان هو عبد الله ، لروایة ابن سنان عنه کما فی النجاشی </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وإبراهیم ابن میمون مجهول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عیسی ، عن یونس ، وقد سبق القول </w:t>
      </w:r>
      <w:r>
        <w:rPr>
          <w:rStyle w:val="FootnoteAnchor"/>
          <w:rtl w:val="true"/>
        </w:rPr>
        <w:footnoteReference w:id="908"/>
      </w:r>
      <w:r>
        <w:rPr>
          <w:rFonts w:ascii="IRNazanin" w:hAnsi="IRNazanin" w:eastAsia="IRNazanin"/>
          <w:color w:val="111111"/>
          <w:sz w:val="28"/>
          <w:sz w:val="28"/>
          <w:szCs w:val="28"/>
          <w:rtl w:val="true"/>
          <w:lang w:bidi="fa-IR"/>
        </w:rPr>
        <w:t xml:space="preserve">فی استثنائه من الموجب لردّ روایته إذا کانت بهذا الوجه عند المتأخّرین ، وإن کان فیه کلام تقدّم بیانه ، والفائدة هنا منتفیة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بصیر </w:t>
      </w:r>
      <w:r>
        <w:rPr>
          <w:rFonts w:eastAsia="IRNazanin" w:cs="IRNazanin"/>
          <w:color w:val="111111"/>
          <w:sz w:val="28"/>
          <w:szCs w:val="28"/>
          <w:rtl w:val="true"/>
          <w:lang w:bidi="fa-IR"/>
        </w:rPr>
        <w:t xml:space="preserve">) </w:t>
      </w:r>
      <w:r>
        <w:rPr>
          <w:rStyle w:val="FootnoteAnchor"/>
          <w:rtl w:val="true"/>
        </w:rPr>
        <w:footnoteReference w:id="909"/>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ارتیاب ، ووهب بن عبد ربه صرح النجاشی بتوثیقه مع إسماعیل بن عبد الخالق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صریح فی إعادة الصلاة ، والظاهر منه الشمول للوقت وخارجه ، کما أنّ الظاهر منه أیضاً النسیان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غیره بعید ، بل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کالأوّل فیما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دلالة علی أنّ من علم بنجاسة الجنابة فی أثناء الصلاة یقطع الصلاة ، سواء کان قبل الصلاة عالماً بها </w:t>
      </w:r>
      <w:r>
        <w:rPr>
          <w:rStyle w:val="FootnoteAnchor"/>
          <w:rtl w:val="true"/>
        </w:rPr>
        <w:footnoteReference w:id="912"/>
      </w:r>
      <w:r>
        <w:rPr>
          <w:rFonts w:ascii="IRNazanin" w:hAnsi="IRNazanin" w:eastAsia="IRNazanin"/>
          <w:color w:val="111111"/>
          <w:sz w:val="28"/>
          <w:sz w:val="28"/>
          <w:szCs w:val="28"/>
          <w:rtl w:val="true"/>
          <w:lang w:bidi="fa-IR"/>
        </w:rPr>
        <w:t>ونسی ، أو علم فی الأثناء ،</w:t>
      </w:r>
    </w:p>
    <w:p>
      <w:pPr>
        <w:pStyle w:val="Heading4"/>
        <w:numPr>
          <w:ilvl w:val="3"/>
          <w:numId w:val="1"/>
        </w:numPr>
        <w:rPr/>
      </w:pPr>
      <w:bookmarkStart w:id="616" w:name="__RefHeading___Toc146908_2142443653"/>
      <w:bookmarkStart w:id="617" w:name="_Toc232"/>
      <w:bookmarkEnd w:id="616"/>
      <w:r>
        <w:rPr>
          <w:rtl w:val="true"/>
        </w:rPr>
        <w:t>ابن مسکان الذی یروی عنه محمّد بن سنان هو عبدالله</w:t>
      </w:r>
      <w:bookmarkEnd w:id="617"/>
    </w:p>
    <w:p>
      <w:pPr>
        <w:pStyle w:val="Heading4"/>
        <w:numPr>
          <w:ilvl w:val="3"/>
          <w:numId w:val="1"/>
        </w:numPr>
        <w:rPr/>
      </w:pPr>
      <w:bookmarkStart w:id="618" w:name="__RefHeading___Toc146910_2142443653"/>
      <w:bookmarkStart w:id="619" w:name="_Toc233"/>
      <w:bookmarkEnd w:id="618"/>
      <w:r>
        <w:rPr>
          <w:rtl w:val="true"/>
        </w:rPr>
        <w:t>إبراهیم بن میمون مجهول الحال</w:t>
      </w:r>
      <w:bookmarkEnd w:id="619"/>
    </w:p>
    <w:p>
      <w:pPr>
        <w:pStyle w:val="Heading4"/>
        <w:numPr>
          <w:ilvl w:val="3"/>
          <w:numId w:val="1"/>
        </w:numPr>
        <w:rPr/>
      </w:pPr>
      <w:bookmarkStart w:id="620" w:name="__RefHeading___Toc146912_2142443653"/>
      <w:bookmarkStart w:id="621" w:name="_Toc234"/>
      <w:bookmarkEnd w:id="620"/>
      <w:r>
        <w:rPr>
          <w:rtl w:val="true"/>
        </w:rPr>
        <w:t>إشارة إلی حال روایة محمّد بن عیسی عن یونس</w:t>
      </w:r>
      <w:bookmarkEnd w:id="621"/>
    </w:p>
    <w:p>
      <w:pPr>
        <w:pStyle w:val="Heading4"/>
        <w:numPr>
          <w:ilvl w:val="3"/>
          <w:numId w:val="1"/>
        </w:numPr>
        <w:rPr/>
      </w:pPr>
      <w:bookmarkStart w:id="622" w:name="__RefHeading___Toc146914_2142443653"/>
      <w:bookmarkStart w:id="623" w:name="_Toc235"/>
      <w:bookmarkEnd w:id="622"/>
      <w:r>
        <w:rPr>
          <w:rtl w:val="true"/>
        </w:rPr>
        <w:t>وهب بن عبد ربّة ثقة</w:t>
      </w:r>
      <w:bookmarkEnd w:id="62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4" w:name="__RefHeading___Toc146916_2142443653"/>
      <w:bookmarkStart w:id="625" w:name="_Toc236"/>
      <w:bookmarkEnd w:id="624"/>
      <w:r>
        <w:rPr>
          <w:rtl w:val="true"/>
        </w:rPr>
        <w:t>بحث حول ما دلّ علی وحوب الإعادة علی من صلّی فی الثوب النجس جهلاً ووجه الجمع بینه وبین ما دلّ علی عدم الإعادة</w:t>
      </w:r>
      <w:bookmarkEnd w:id="625"/>
    </w:p>
    <w:p>
      <w:pPr>
        <w:pStyle w:val="BookText"/>
        <w:rPr/>
      </w:pPr>
      <w:r>
        <w:rPr>
          <w:rFonts w:ascii="IRNazanin" w:hAnsi="IRNazanin" w:eastAsia="IRNazanin"/>
          <w:color w:val="111111"/>
          <w:sz w:val="28"/>
          <w:sz w:val="28"/>
          <w:szCs w:val="28"/>
          <w:rtl w:val="true"/>
          <w:lang w:bidi="fa-IR"/>
        </w:rPr>
        <w:t>کما یدل علی أنّه لو علم بعد الفراغ بنجاسة الجنابة والدم مضت صلاته ، ولا یخفی أنّ ترک الاستفصال یفید عموم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دلالة </w:t>
      </w:r>
      <w:r>
        <w:rPr>
          <w:rStyle w:val="FootnoteAnchor"/>
          <w:rtl w:val="true"/>
        </w:rPr>
        <w:footnoteReference w:id="913"/>
      </w:r>
      <w:r>
        <w:rPr>
          <w:rFonts w:ascii="IRNazanin" w:hAnsi="IRNazanin" w:eastAsia="IRNazanin"/>
          <w:color w:val="111111"/>
          <w:sz w:val="28"/>
          <w:sz w:val="28"/>
          <w:szCs w:val="28"/>
          <w:rtl w:val="true"/>
          <w:lang w:bidi="fa-IR"/>
        </w:rPr>
        <w:t>الروایة علی الأثناء والحال أنّه یجوز أن یکون صلّی رکعتین صلاة تامّة؟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یبتدئ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 ولو تکلّف ذکر احتمال آخر کان آخرها مخالف لأولها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الإعادة مع عدم العلم السابق إذا علم بعد ، وربما یستبعد الحکم فی الروایة من حیث إنّ مفهومها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الإعادة إذا علم علماً سابقاً علی الصلاة والحال أنّ معتبر الأخبار دل علی </w:t>
      </w:r>
      <w:r>
        <w:rPr>
          <w:rStyle w:val="FootnoteAnchor"/>
          <w:rtl w:val="true"/>
        </w:rPr>
        <w:footnoteReference w:id="915"/>
      </w:r>
      <w:r>
        <w:rPr>
          <w:rFonts w:ascii="IRNazanin" w:hAnsi="IRNazanin" w:eastAsia="IRNazanin"/>
          <w:color w:val="111111"/>
          <w:sz w:val="28"/>
          <w:sz w:val="28"/>
          <w:szCs w:val="28"/>
          <w:rtl w:val="true"/>
          <w:lang w:bidi="fa-IR"/>
        </w:rPr>
        <w:t xml:space="preserve">الإعادة علی الناسی ، حتی أنّ شیخنا قدس سره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یکون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یعید ، فتوهّم الراوی وأسقط حرف النفی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نظری القاصر أنّه لا حاجة إلی ما ذکره ، لأنّ المفهوم إذا تحققت معارضة المنطوق له لا یعمل عمله ، وفائدة ذکر الشرط لا تنحصر فی النفی عما عداه کما لا یخفی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 ظاهر أوّل الأخبار الأُول أنّه لا یحکم بالنجاسة إلاّ مع العلم ، ومع عدم العلم لا یحکم بها ، وهذا لا ینافی شیئاً من الأخبار المبحوث عنها ؛ لأنّه قد فرض فیها العلم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الروایة أنّ العلم إذا حصل یحکم بالنجاسة ، وإذا ثبتت النجاسة لزمها بطلان الصلاة </w:t>
      </w:r>
    </w:p>
    <w:p>
      <w:pPr>
        <w:pStyle w:val="BookText"/>
        <w:rPr/>
      </w:pPr>
      <w:r>
        <w:rPr>
          <w:rFonts w:ascii="IRNazanin" w:hAnsi="IRNazanin" w:eastAsia="IRNazanin"/>
          <w:color w:val="111111"/>
          <w:sz w:val="28"/>
          <w:sz w:val="28"/>
          <w:szCs w:val="28"/>
          <w:rtl w:val="true"/>
          <w:lang w:bidi="fa-IR"/>
        </w:rPr>
        <w:t>لما ثبت من الأخبار الدالة علی اشتراط الطهارة ،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 الأخبار الأُول فیدل علی أنّه لا یعید إذا لم یعلم ، والظاهر منه أنّه إذا لم یعلم أصلاً ، فیفید مفهومه أنّه إذا انتفی العلم بالکلیة علیه الإعادة وانتفاء العلم بالکلیة یتحقق بالعلم فی الأثناء وقبل الصلاة وبعدها ، وعلی هذا یمکن فیه المنافاة ، ولذلک </w:t>
      </w:r>
      <w:r>
        <w:rPr>
          <w:rStyle w:val="FootnoteAnchor"/>
          <w:rtl w:val="true"/>
        </w:rPr>
        <w:footnoteReference w:id="917"/>
      </w:r>
      <w:r>
        <w:rPr>
          <w:rFonts w:ascii="IRNazanin" w:hAnsi="IRNazanin" w:eastAsia="IRNazanin"/>
          <w:color w:val="111111"/>
          <w:sz w:val="28"/>
          <w:sz w:val="28"/>
          <w:szCs w:val="28"/>
          <w:rtl w:val="true"/>
          <w:lang w:bidi="fa-IR"/>
        </w:rPr>
        <w:t xml:space="preserve">یتناول الوقت وخارجه ، ومن هنا یعلم أنّ إطلاق بعض محقّقی المعاصرین </w:t>
      </w:r>
      <w:r>
        <w:rPr>
          <w:rStyle w:val="FootnoteAnchor"/>
          <w:rtl w:val="true"/>
        </w:rPr>
        <w:footnoteReference w:id="918"/>
      </w:r>
      <w:r>
        <w:rPr>
          <w:rFonts w:ascii="IRNazanin" w:hAnsi="IRNazanin" w:eastAsia="IRNazanin"/>
          <w:color w:val="111111"/>
          <w:sz w:val="28"/>
          <w:sz w:val="28"/>
          <w:szCs w:val="28"/>
          <w:rtl w:val="true"/>
          <w:lang w:bidi="fa-IR"/>
        </w:rPr>
        <w:t xml:space="preserve">سلّمه الله دلالة هذا الخبر علی الجاهل </w:t>
      </w:r>
      <w:r>
        <w:rPr>
          <w:rStyle w:val="FootnoteAnchor"/>
          <w:rtl w:val="true"/>
        </w:rPr>
        <w:footnoteReference w:id="919"/>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استفادة انتفاء العلم بالکلّیة؟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 الجملة الفعلیة فی حکم النکرة ، والنفی موجود ، وإن کان فی هذا نوع بحث ، إلاّ أنّ ظاهر من رأینا کلامه فی مثله الجزم بالعموم ، وقد صرّحوا به فی بحث البئر حیث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البئر واسع لا یفسده شی‌ء </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هذا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أوّل هذه الأخبار یفید الإعادة مع العلم السابق إذا نسی وذکر بعد ، والبعدیّة تتناول بعد الصلاة بتمامها أو بعد أنّ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شیئاً </w:t>
      </w:r>
      <w:r>
        <w:rPr>
          <w:rFonts w:eastAsia="IRNazanin" w:cs="IRNazanin"/>
          <w:color w:val="111111"/>
          <w:sz w:val="28"/>
          <w:szCs w:val="28"/>
          <w:rtl w:val="true"/>
          <w:lang w:bidi="fa-IR"/>
        </w:rPr>
        <w:t xml:space="preserve">) </w:t>
      </w:r>
      <w:r>
        <w:rPr>
          <w:rStyle w:val="FootnoteAnchor"/>
          <w:rtl w:val="true"/>
        </w:rPr>
        <w:footnoteReference w:id="922"/>
      </w:r>
      <w:r>
        <w:rPr>
          <w:rFonts w:ascii="Amiri" w:hAnsi="Amiri" w:eastAsia="Amiri" w:cs="Amiri"/>
          <w:color w:val="111111"/>
          <w:sz w:val="28"/>
          <w:sz w:val="28"/>
          <w:szCs w:val="28"/>
          <w:rtl w:val="true"/>
          <w:lang w:bidi="ar-SA"/>
        </w:rPr>
        <w:t>فالمنافاة من هذا الوجه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 الأُول دلالته مجملة کما قدّمناه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والثانی من الأخبار المنافیة عند الشیخ یدل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النسیان کما قدمناه </w:t>
      </w:r>
      <w:r>
        <w:rPr>
          <w:rStyle w:val="FootnoteAnchor"/>
          <w:rtl w:val="true"/>
        </w:rPr>
        <w:footnoteReference w:id="924"/>
      </w:r>
      <w:r>
        <w:rPr>
          <w:rFonts w:ascii="IRNazanin" w:hAnsi="IRNazanin" w:eastAsia="IRNazanin"/>
          <w:color w:val="111111"/>
          <w:sz w:val="28"/>
          <w:sz w:val="28"/>
          <w:szCs w:val="28"/>
          <w:rtl w:val="true"/>
          <w:lang w:bidi="fa-IR"/>
        </w:rPr>
        <w:t xml:space="preserve">أیضاً ، ففیه المنافاة لثانی الأُول من حیث إطلاق عدم الإعادة علی </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 xml:space="preserve">من لم یعلم ، وفیه أنّ المتبادر من عدم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الجهالة ، لا النسیان ، وإن کان باب الاحتمال واسعاً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من الأخبار المنافیة یدل علی أنّ العلم فی الأثناء یقتضی الإعادة ، وثانی الأُول یدل علی عدم الإعادة مع عدم العلم ، فهو قابل للتخصیص بغیر الأثناء غایة الأمر أنّ فیه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ناسیاً ثم علم فی الأثناء ، وهذا لا ینافی ثانی الأول ، لجواز التخصیص أیضاً </w:t>
      </w:r>
      <w:r>
        <w:rPr>
          <w:rFonts w:eastAsia="IRNazanin" w:cs="IRNazanin"/>
          <w:color w:val="111111"/>
          <w:sz w:val="28"/>
          <w:szCs w:val="28"/>
          <w:rtl w:val="true"/>
          <w:lang w:bidi="fa-IR"/>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ورابع الأخبار المنافیة واضح المنافاة ، والحمل علی الاستحباب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الشیخ رحمه الله من الحمل علی ما إذا علم الإنسان وفرّط ، وإنّ لم یعلم أصلاً إلاّ بعد فراغه لم تلزمه الإعادة </w:t>
      </w:r>
      <w:r>
        <w:rPr>
          <w:rStyle w:val="FootnoteAnchor"/>
          <w:rtl w:val="true"/>
        </w:rPr>
        <w:footnoteReference w:id="927"/>
      </w:r>
      <w:r>
        <w:rPr>
          <w:rFonts w:ascii="IRNazanin" w:hAnsi="IRNazanin" w:eastAsia="IRNazanin"/>
          <w:color w:val="111111"/>
          <w:sz w:val="28"/>
          <w:sz w:val="28"/>
          <w:szCs w:val="28"/>
          <w:rtl w:val="true"/>
          <w:lang w:bidi="fa-IR"/>
        </w:rPr>
        <w:t>، ففیه أوّلاً أنّه لا یدفع تنافی الجمیع ؛ إذ بعضها فیه ذکر الأثناء ، وبعضها تضمّن النسیان ، وبعضها شامل للجهل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المذکورة فی باب أحکام الدماء یدل علی التفصیل </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 فإنّ روایة محمد بن مسلم فی الجملة تدل علی أن الناسی یعید مع تضییع </w:t>
      </w:r>
      <w:r>
        <w:rPr>
          <w:rStyle w:val="FootnoteAnchor"/>
          <w:rtl w:val="true"/>
        </w:rPr>
        <w:footnoteReference w:id="929"/>
      </w:r>
      <w:r>
        <w:rPr>
          <w:rFonts w:ascii="IRNazanin" w:hAnsi="IRNazanin" w:eastAsia="IRNazanin"/>
          <w:color w:val="111111"/>
          <w:sz w:val="28"/>
          <w:sz w:val="28"/>
          <w:szCs w:val="28"/>
          <w:rtl w:val="true"/>
          <w:lang w:bidi="fa-IR"/>
        </w:rPr>
        <w:t xml:space="preserve">الغَسل ، لکن مفهومها شامل لما إذا لم یره ولما إذا رآه ولم یضیّع غَسله ، بل تعذّر علیه ، ومقتضی تفصیله هنا أنّه إذا لم یعلم </w:t>
      </w:r>
      <w:bookmarkStart w:id="626" w:name="pg15025_160373"/>
    </w:p>
    <w:p>
      <w:pPr>
        <w:pStyle w:val="BookText"/>
        <w:rPr/>
      </w:pPr>
      <w:bookmarkEnd w:id="626"/>
      <w:r>
        <w:rPr>
          <w:rFonts w:ascii="IRNazanin" w:hAnsi="IRNazanin" w:eastAsia="IRNazanin"/>
          <w:color w:val="111111"/>
          <w:sz w:val="28"/>
          <w:sz w:val="28"/>
          <w:szCs w:val="28"/>
          <w:rtl w:val="true"/>
          <w:lang w:bidi="fa-IR"/>
        </w:rPr>
        <w:t>أصلاً لا إعادة علیه فالتفصیل مخلّ ببعض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 إسماعیل الجعفی یدل علی أنّه إذا لم یکن رآه لا یعید ، وإنّ رآه یعید ، فإطلاق الإعادة فیه قابل للتقیید بخبر ابن مسلم الدال علی التضییع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خبر ابن أبی یعفور فله نوع إطلاق أیضاً ، وهو قابل للتقیید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خبر جمیل فهو من حیّز الإجمال وإنّ أمکن بیانه ، إلاّ أنّه لا یصلح للدلالة علی تفصیل الشیخ رحمه الله تعالی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النکتة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النقطة ،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ویزید ذلک بیاناً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علی بن إبراهیم ، عن أبیه ، عن عبد الله بن المغیرة ،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w:t>
      </w:r>
      <w:r>
        <w:rPr>
          <w:rStyle w:val="FootnoteAnchor"/>
          <w:rtl w:val="true"/>
        </w:rPr>
        <w:footnoteReference w:id="933"/>
      </w:r>
      <w:r>
        <w:rPr>
          <w:rFonts w:ascii="IRNazanin" w:hAnsi="IRNazanin" w:eastAsia="IRNazanin"/>
          <w:color w:val="111111"/>
          <w:sz w:val="28"/>
          <w:sz w:val="28"/>
          <w:szCs w:val="28"/>
          <w:rtl w:val="true"/>
          <w:lang w:bidi="fa-IR"/>
        </w:rPr>
        <w:t xml:space="preserve">أصاب ثوبه جنابة أو دم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علم أنّه أصاب ثوبه جنابة </w:t>
      </w:r>
      <w:r>
        <w:rPr>
          <w:rStyle w:val="FootnoteAnchor"/>
          <w:rtl w:val="true"/>
        </w:rPr>
        <w:footnoteReference w:id="934"/>
      </w:r>
      <w:r>
        <w:rPr>
          <w:rFonts w:ascii="IRNazanin" w:hAnsi="IRNazanin" w:eastAsia="IRNazanin"/>
          <w:color w:val="111111"/>
          <w:sz w:val="28"/>
          <w:sz w:val="28"/>
          <w:szCs w:val="28"/>
          <w:rtl w:val="true"/>
          <w:lang w:bidi="fa-IR"/>
        </w:rPr>
        <w:t xml:space="preserve">قبل أنّ یصلّی ثم صلّی فیه ولم یغسله فعلیه أنّ یعید ما صلّی ، وإن کان یری أنّه أصابه شی‌ء فنظر فلم یر شیئاً أجزأه أنّ ینضحه بالماء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الحسین بن سعید ، عن ابن سنان ، عن أبی بصیر ، عن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7" w:name="__RefHeading___Toc146918_2142443653"/>
      <w:bookmarkStart w:id="628" w:name="_Toc237"/>
      <w:bookmarkEnd w:id="627"/>
      <w:r>
        <w:rPr>
          <w:rtl w:val="true"/>
        </w:rPr>
        <w:t>معنی النکتة</w:t>
      </w:r>
      <w:bookmarkStart w:id="629" w:name="pg15025_160374"/>
      <w:bookmarkEnd w:id="628"/>
    </w:p>
    <w:p>
      <w:pPr>
        <w:pStyle w:val="BookText"/>
        <w:rPr/>
      </w:pPr>
      <w:bookmarkEnd w:id="629"/>
      <w:r>
        <w:rPr>
          <w:rFonts w:ascii="IRNazanin" w:hAnsi="IRNazanin" w:eastAsia="IRNazanin"/>
          <w:color w:val="111111"/>
          <w:sz w:val="28"/>
          <w:sz w:val="28"/>
          <w:szCs w:val="28"/>
          <w:rtl w:val="true"/>
          <w:lang w:bidi="fa-IR"/>
        </w:rPr>
        <w:t xml:space="preserve">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أصاب ثوب الرجل الدم فصلّی </w:t>
      </w:r>
      <w:r>
        <w:rPr>
          <w:rStyle w:val="FootnoteAnchor"/>
          <w:rtl w:val="true"/>
        </w:rPr>
        <w:footnoteReference w:id="935"/>
      </w:r>
      <w:r>
        <w:rPr>
          <w:rFonts w:ascii="IRNazanin" w:hAnsi="IRNazanin" w:eastAsia="IRNazanin"/>
          <w:color w:val="111111"/>
          <w:sz w:val="28"/>
          <w:sz w:val="28"/>
          <w:szCs w:val="28"/>
          <w:rtl w:val="true"/>
          <w:lang w:bidi="fa-IR"/>
        </w:rPr>
        <w:t xml:space="preserve">فیه وهو لا یعلم فلا إعادة علیه ، وإن هو </w:t>
      </w:r>
      <w:r>
        <w:rPr>
          <w:rStyle w:val="FootnoteAnchor"/>
          <w:rtl w:val="true"/>
        </w:rPr>
        <w:footnoteReference w:id="936"/>
      </w:r>
      <w:r>
        <w:rPr>
          <w:rFonts w:ascii="IRNazanin" w:hAnsi="IRNazanin" w:eastAsia="IRNazanin"/>
          <w:color w:val="111111"/>
          <w:sz w:val="28"/>
          <w:sz w:val="28"/>
          <w:szCs w:val="28"/>
          <w:rtl w:val="true"/>
          <w:lang w:bidi="fa-IR"/>
        </w:rPr>
        <w:t xml:space="preserve">علم قبل أنّ یصلّی فنسی وصلّی فیه فعلیه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یری بثوبه الدم فینسی أنّ یغسله حتی یصلّی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صلاته کی یهتمّ بالشی‌ء إذا کان فی ثوبه ، عقوبة لنسیانه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الظاهر کما تقدّم الوجه فیه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ابن سنان ، وهو محمد علی ما یظهر من التتبع ، وقد أسلفنا الکلام فی دفع ما وقع للمحقق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واعتراض الشهید رحمه الله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9"/>
      </w:r>
      <w:r>
        <w:rPr>
          <w:rFonts w:ascii="IRNazanin" w:hAnsi="IRNazanin" w:eastAsia="IRNazanin"/>
          <w:color w:val="111111"/>
          <w:sz w:val="28"/>
          <w:sz w:val="28"/>
          <w:szCs w:val="28"/>
          <w:rtl w:val="true"/>
          <w:lang w:bidi="fa-IR"/>
        </w:rPr>
        <w:t>وبالجملة فالسند ضعیف بالاحتمال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أبی بصیر ، فإنّه لا یخلو من إشکال </w:t>
      </w:r>
      <w:r>
        <w:rPr>
          <w:rStyle w:val="FootnoteAnchor"/>
          <w:rtl w:val="true"/>
        </w:rPr>
        <w:footnoteReference w:id="940"/>
      </w:r>
      <w:r>
        <w:rPr>
          <w:rFonts w:ascii="IRNazanin" w:hAnsi="IRNazanin" w:eastAsia="IRNazanin"/>
          <w:color w:val="111111"/>
          <w:sz w:val="28"/>
          <w:sz w:val="28"/>
          <w:szCs w:val="28"/>
          <w:rtl w:val="true"/>
          <w:lang w:bidi="fa-IR"/>
        </w:rPr>
        <w:t xml:space="preserve">وإنّ کان فی الظن أنّ مثل هذا السند الراوی فیه أبو بصیر عن أبی عبد الله لا یحتمل المجهول ، بل إمّا الإمامی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Style w:val="FootnoteAnchor"/>
          <w:rtl w:val="true"/>
        </w:rPr>
        <w:footnoteReference w:id="941"/>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المخلط الوارد فیه الذم فی معتبر الأخبار کما</w:t>
      </w:r>
    </w:p>
    <w:p>
      <w:pPr>
        <w:pStyle w:val="Heading4"/>
        <w:numPr>
          <w:ilvl w:val="3"/>
          <w:numId w:val="1"/>
        </w:numPr>
        <w:rPr/>
      </w:pPr>
      <w:bookmarkStart w:id="630" w:name="__RefHeading___Toc146920_2142443653"/>
      <w:bookmarkStart w:id="631" w:name="_Toc238"/>
      <w:bookmarkEnd w:id="630"/>
      <w:r>
        <w:rPr>
          <w:rtl w:val="true"/>
        </w:rPr>
        <w:t>ابن سنان الروای عن أبی بصیر هو محمّد</w:t>
      </w:r>
      <w:bookmarkEnd w:id="63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2" w:name="__RefHeading___Toc146922_2142443653"/>
      <w:bookmarkStart w:id="633" w:name="_Toc239"/>
      <w:bookmarkEnd w:id="632"/>
      <w:r>
        <w:rPr>
          <w:rtl w:val="true"/>
        </w:rPr>
        <w:t>کلمة حول أبی بصیر</w:t>
      </w:r>
      <w:bookmarkStart w:id="634" w:name="pg15025_160375"/>
      <w:bookmarkEnd w:id="633"/>
    </w:p>
    <w:p>
      <w:pPr>
        <w:pStyle w:val="BookText"/>
        <w:rPr/>
      </w:pPr>
      <w:bookmarkEnd w:id="634"/>
      <w:r>
        <w:rPr>
          <w:rFonts w:ascii="Amiri" w:hAnsi="Amiri" w:eastAsia="Amiri" w:cs="Amiri"/>
          <w:color w:val="111111"/>
          <w:sz w:val="28"/>
          <w:sz w:val="28"/>
          <w:szCs w:val="28"/>
          <w:rtl w:val="true"/>
          <w:lang w:bidi="ar-SA"/>
        </w:rPr>
        <w:t xml:space="preserve">قدّمناه </w:t>
      </w:r>
      <w:r>
        <w:rPr>
          <w:rStyle w:val="FootnoteAnchor"/>
          <w:rtl w:val="true"/>
        </w:rPr>
        <w:footnoteReference w:id="943"/>
      </w:r>
      <w:r>
        <w:rPr>
          <w:rFonts w:ascii="IRNazanin" w:hAnsi="IRNazanin" w:eastAsia="IRNazanin"/>
          <w:color w:val="111111"/>
          <w:sz w:val="28"/>
          <w:sz w:val="28"/>
          <w:szCs w:val="28"/>
          <w:rtl w:val="true"/>
          <w:lang w:bidi="fa-IR"/>
        </w:rPr>
        <w:t>، وسیأتی إنّ شاء الله فی هذا الکتاب أیضاً فی باب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عثمان بن عیسی ، وقد کرّرنا القول فیه بأنّه ضعیف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 لا دلالة فیه علی تفصیل الشیخ ، بل إنّما یدلّ علی أنّ الناسی علیه الإعادة ، ومع ظن إصابة النجاسة أو توهّمها ولم یر بعد النظر ینضح الثوب ، وهذا أمر خارج عن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الناسی من غیر فرق بین من قصّر فی غسله أم </w:t>
      </w:r>
      <w:r>
        <w:rPr>
          <w:rStyle w:val="FootnoteAnchor"/>
          <w:rtl w:val="true"/>
        </w:rPr>
        <w:footnoteReference w:id="945"/>
      </w:r>
      <w:r>
        <w:rPr>
          <w:rFonts w:ascii="IRNazanin" w:hAnsi="IRNazanin" w:eastAsia="IRNazanin"/>
          <w:color w:val="111111"/>
          <w:sz w:val="28"/>
          <w:sz w:val="28"/>
          <w:szCs w:val="28"/>
          <w:rtl w:val="true"/>
          <w:lang w:bidi="fa-IR"/>
        </w:rPr>
        <w:t xml:space="preserve">لا ، وتقییده بما إذا قصّر لما یستفاد من بعض الأخبار </w:t>
      </w:r>
      <w:r>
        <w:rPr>
          <w:rStyle w:val="FootnoteAnchor"/>
          <w:rtl w:val="true"/>
        </w:rPr>
        <w:footnoteReference w:id="946"/>
      </w:r>
      <w:r>
        <w:rPr>
          <w:rFonts w:ascii="IRNazanin" w:hAnsi="IRNazanin" w:eastAsia="IRNazanin"/>
          <w:color w:val="111111"/>
          <w:sz w:val="28"/>
          <w:sz w:val="28"/>
          <w:szCs w:val="28"/>
          <w:rtl w:val="true"/>
          <w:lang w:bidi="fa-IR"/>
        </w:rPr>
        <w:t xml:space="preserve">لیس بأولی من الحمل علی الاستحباب ، لما یأتی فی الخبر الصحیح عن العلاء من عدم إعادة الناسی </w:t>
      </w:r>
      <w:r>
        <w:rPr>
          <w:rStyle w:val="FootnoteAnchor"/>
          <w:rtl w:val="true"/>
        </w:rPr>
        <w:footnoteReference w:id="947"/>
      </w:r>
      <w:r>
        <w:rPr>
          <w:rFonts w:ascii="IRNazanin" w:hAnsi="IRNazanin" w:eastAsia="IRNazanin"/>
          <w:color w:val="111111"/>
          <w:sz w:val="28"/>
          <w:sz w:val="28"/>
          <w:szCs w:val="28"/>
          <w:rtl w:val="true"/>
          <w:lang w:bidi="fa-IR"/>
        </w:rPr>
        <w:t xml:space="preserve">، وغیره أیضاً من الأخبار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واحتمال الحمل علی عدم إعادة الناسی خارج الوقت ، فیبقی ما دل علی الإعادة وارداً فی الوقت ، یشکل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تفصیل الشیخ لم یتناول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توجیهه من غیر نظر إلی مقالة الشیخ ،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بهذا التفصیل یتوقف علی ما یدل علیه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الجمع لا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تعدّد الاحتمالات یحتاج الترجیح إلی الدلیل ، فالاعتراض علی الشیخ متوجه ، علی أنّه یمکن من التعلیل فی</w:t>
      </w:r>
    </w:p>
    <w:p>
      <w:pPr>
        <w:pStyle w:val="Heading4"/>
        <w:numPr>
          <w:ilvl w:val="3"/>
          <w:numId w:val="1"/>
        </w:numPr>
        <w:rPr/>
      </w:pPr>
      <w:bookmarkStart w:id="635" w:name="__RefHeading___Toc146924_2142443653"/>
      <w:bookmarkStart w:id="636" w:name="_Toc240"/>
      <w:bookmarkEnd w:id="635"/>
      <w:r>
        <w:rPr>
          <w:rtl w:val="true"/>
        </w:rPr>
        <w:t>عثمان بن عیسی ضعیف</w:t>
      </w:r>
      <w:bookmarkEnd w:id="63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7" w:name="__RefHeading___Toc146926_2142443653"/>
      <w:bookmarkStart w:id="638" w:name="_Toc241"/>
      <w:bookmarkEnd w:id="637"/>
      <w:r>
        <w:rPr>
          <w:rtl w:val="true"/>
        </w:rPr>
        <w:t>بحث حول ما دلّ علی إعادة الناسی وحمله علی الاستحباب</w:t>
      </w:r>
      <w:bookmarkStart w:id="639" w:name="pg15025_160376"/>
      <w:bookmarkEnd w:id="638"/>
    </w:p>
    <w:p>
      <w:pPr>
        <w:pStyle w:val="BookText"/>
        <w:rPr/>
      </w:pPr>
      <w:bookmarkEnd w:id="639"/>
      <w:r>
        <w:rPr>
          <w:rFonts w:ascii="IRNazanin" w:hAnsi="IRNazanin" w:eastAsia="IRNazanin"/>
          <w:color w:val="111111"/>
          <w:sz w:val="28"/>
          <w:sz w:val="28"/>
          <w:szCs w:val="28"/>
          <w:rtl w:val="true"/>
          <w:lang w:bidi="fa-IR"/>
        </w:rPr>
        <w:t>خبر العلاء استفادة ما یتناول الوقت وخارجه ، ویؤید الاستحباب ، وما یأتی منه فی خبر العلاء ستسمعه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التعلیل فیه وإن أفاد بعض ما فصّله الشیخ ، إلاّ أنّه لا ینافی الاستحباب مع تحقق المعارض ، وذکر العقوبة لا یدل علی الوجوب ؛ لأنّ العقوبة منتفیة عن الناسی ببعض الأخبار المعتبرة </w:t>
      </w:r>
      <w:r>
        <w:rPr>
          <w:rStyle w:val="FootnoteAnchor"/>
          <w:rtl w:val="true"/>
        </w:rPr>
        <w:footnoteReference w:id="949"/>
      </w:r>
      <w:r>
        <w:rPr>
          <w:rFonts w:ascii="IRNazanin" w:hAnsi="IRNazanin" w:eastAsia="IRNazanin"/>
          <w:color w:val="111111"/>
          <w:sz w:val="28"/>
          <w:sz w:val="28"/>
          <w:szCs w:val="28"/>
          <w:rtl w:val="true"/>
          <w:lang w:bidi="fa-IR"/>
        </w:rPr>
        <w:t>، والاعتبار العقلی المؤید له ، فلا بد من حمل العقوبة علی ما یقتضی الاستحباب ، فیؤیّد الحمل علیه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الأمر همّاً حزنه کأهمّه فاهتَمّ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والهَمّة بالفتح ما هُمّ به من أمر لیفعل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ما رواه محمد بن الحسن الصفار ، عن محمد بن الحسین ، عن وهب </w:t>
      </w:r>
      <w:r>
        <w:rPr>
          <w:rStyle w:val="FootnoteAnchor"/>
          <w:rtl w:val="true"/>
        </w:rPr>
        <w:footnoteReference w:id="952"/>
      </w:r>
      <w:r>
        <w:rPr>
          <w:rFonts w:ascii="IRNazanin" w:hAnsi="IRNazanin" w:eastAsia="IRNazanin"/>
          <w:color w:val="111111"/>
          <w:sz w:val="28"/>
          <w:sz w:val="28"/>
          <w:szCs w:val="28"/>
          <w:rtl w:val="true"/>
          <w:lang w:bidi="fa-IR"/>
        </w:rPr>
        <w:t xml:space="preserve">بن حفص ، عن أبی بصیر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صلّی وفی ثوبه بول أو جنابة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به أو لم یعلم فعلیه الإعادة إعادة الصلاة إذا علم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0" w:name="__RefHeading___Toc146928_2142443653"/>
      <w:bookmarkStart w:id="641" w:name="_Toc242"/>
      <w:bookmarkEnd w:id="640"/>
      <w:r>
        <w:rPr>
          <w:rtl w:val="true"/>
        </w:rPr>
        <w:t xml:space="preserve">معنی </w:t>
      </w:r>
      <w:r>
        <w:rPr>
          <w:rtl w:val="true"/>
        </w:rPr>
        <w:t xml:space="preserve">« </w:t>
      </w:r>
      <w:r>
        <w:rPr>
          <w:rtl w:val="true"/>
        </w:rPr>
        <w:t xml:space="preserve">یهتّم </w:t>
      </w:r>
      <w:r>
        <w:rPr>
          <w:rtl w:val="true"/>
        </w:rPr>
        <w:t>»</w:t>
      </w:r>
      <w:bookmarkEnd w:id="641"/>
    </w:p>
    <w:p>
      <w:pPr>
        <w:pStyle w:val="BookText"/>
        <w:rPr/>
      </w:pPr>
      <w:r>
        <w:rPr>
          <w:rFonts w:ascii="IRNazanin" w:hAnsi="IRNazanin" w:eastAsia="IRNazanin"/>
          <w:color w:val="111111"/>
          <w:sz w:val="28"/>
          <w:sz w:val="28"/>
          <w:szCs w:val="28"/>
          <w:rtl w:val="true"/>
          <w:lang w:bidi="fa-IR"/>
        </w:rPr>
        <w:t xml:space="preserve">فالوجه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به أو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به </w:t>
      </w:r>
      <w:r>
        <w:rPr>
          <w:rStyle w:val="FootnoteAnchor"/>
          <w:rtl w:val="true"/>
        </w:rPr>
        <w:footnoteReference w:id="953"/>
      </w:r>
      <w:r>
        <w:rPr>
          <w:rFonts w:ascii="IRNazanin" w:hAnsi="IRNazanin" w:eastAsia="IRNazanin"/>
          <w:color w:val="111111"/>
          <w:sz w:val="28"/>
          <w:sz w:val="28"/>
          <w:szCs w:val="28"/>
          <w:rtl w:val="true"/>
          <w:lang w:bidi="fa-IR"/>
        </w:rPr>
        <w:t>فی حال قیامه إلی الصلاة بعد أنّ یکون سبقه العلم ؛ لأنّه متی تقدّم العلم بحصول النجاسة ثمّ نسی کان علیه الإعادة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 ذلک بیاناً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یعقوب ، عن محمد بن یحیی ، عن الحسن بن علی بن عبد الله </w:t>
      </w:r>
      <w:r>
        <w:rPr>
          <w:rStyle w:val="FootnoteAnchor"/>
          <w:rtl w:val="true"/>
        </w:rPr>
        <w:footnoteReference w:id="954"/>
      </w:r>
      <w:r>
        <w:rPr>
          <w:rFonts w:ascii="Amiri" w:hAnsi="Amiri" w:eastAsia="Amiri" w:cs="Amiri"/>
          <w:color w:val="111111"/>
          <w:sz w:val="28"/>
          <w:sz w:val="28"/>
          <w:szCs w:val="28"/>
          <w:rtl w:val="true"/>
          <w:lang w:bidi="ar-SA"/>
        </w:rPr>
        <w:t xml:space="preserve">، عن عبد الله بن جبلة ، عن سعد </w:t>
      </w:r>
      <w:r>
        <w:rPr>
          <w:rStyle w:val="FootnoteAnchor"/>
          <w:rtl w:val="true"/>
        </w:rPr>
        <w:footnoteReference w:id="955"/>
      </w:r>
      <w:r>
        <w:rPr>
          <w:rFonts w:ascii="IRNazanin" w:hAnsi="IRNazanin" w:eastAsia="IRNazanin"/>
          <w:color w:val="111111"/>
          <w:sz w:val="28"/>
          <w:sz w:val="28"/>
          <w:szCs w:val="28"/>
          <w:rtl w:val="true"/>
          <w:lang w:bidi="fa-IR"/>
        </w:rPr>
        <w:t xml:space="preserve">، عن میمون </w:t>
      </w:r>
      <w:r>
        <w:rPr>
          <w:rStyle w:val="FootnoteAnchor"/>
          <w:rtl w:val="true"/>
        </w:rPr>
        <w:footnoteReference w:id="956"/>
      </w:r>
      <w:r>
        <w:rPr>
          <w:rFonts w:ascii="IRNazanin" w:hAnsi="IRNazanin" w:eastAsia="IRNazanin"/>
          <w:color w:val="111111"/>
          <w:sz w:val="28"/>
          <w:sz w:val="28"/>
          <w:szCs w:val="28"/>
          <w:rtl w:val="true"/>
          <w:lang w:bidi="fa-IR"/>
        </w:rPr>
        <w:t xml:space="preserve">الصقیل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رجل أصابته جنابة باللیل فاغتسل فلمّا أصبح نظر فإذا فی ثوبه جنابة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لم یدع شیئاً إلاّ وله حدّ ، إنّ کان حین قام نظر فلم یر شیئاً فلا إعادة علیه ، وإن کان حین قام لم ینظر فعلیه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حمّاد ، عن حریز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أصاب ثوبی دم رعاف أو شی‌ء من منی فعلّمت أثره إلی أنّ أُصیب له الماء فأصبت وحضرت الصلاة ونسیت أنّ بثوبی شیئاً وصلّیت ثم إنّی ذکرت بعد ذلک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تعید الصلاة وتغسله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أکن رأیت موضعه وعلمت أنّه قد أصابه فطلبته فلم أقدر علیه فلمّا صلّیت وجدته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تغسله وتعید الصلاة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ظننت أنّه قد أصابه ولم أتیقن ذلک فنظرت فلم أر شیئاً ثم صلّیت فرأیت فیه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تغسله ولا تعید الصلاة </w:t>
      </w:r>
      <w:r>
        <w:rPr>
          <w:rFonts w:eastAsia="IRNazanin" w:cs="IRNazanin"/>
          <w:color w:val="111111"/>
          <w:sz w:val="28"/>
          <w:szCs w:val="28"/>
          <w:rtl w:val="true"/>
          <w:lang w:bidi="fa-IR"/>
        </w:rPr>
        <w:t xml:space="preserve">». </w:t>
      </w:r>
      <w:bookmarkStart w:id="642" w:name="pg15025_160378"/>
    </w:p>
    <w:p>
      <w:pPr>
        <w:pStyle w:val="BookText"/>
        <w:rPr/>
      </w:pPr>
      <w:bookmarkEnd w:id="642"/>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ذاک؟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لأنّک کنت علی یقین من طهارتک ثم شککت فلیس ینبغی لک أنّ تنقض الیقین بالشک أبداً </w:t>
      </w:r>
      <w:r>
        <w:rPr>
          <w:rFonts w:eastAsia="IRNazanin" w:cs="IRNazanin"/>
          <w:color w:val="111111"/>
          <w:sz w:val="28"/>
          <w:szCs w:val="28"/>
          <w:rtl w:val="true"/>
          <w:lang w:bidi="fa-IR"/>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قد علمت أنّه أصابه ولم أدر أین هو فأغسله؟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 من ثوبک الناحیة التی تری أنّه قد أصابها حتی تکون علی یقین من طهارته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علیّ إنّ شککت فی أنّه أصابه شی‌ء أن أنظر فیه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Style w:val="FootnoteAnchor"/>
          <w:rtl w:val="true"/>
        </w:rPr>
        <w:footnoteReference w:id="958"/>
      </w:r>
      <w:r>
        <w:rPr>
          <w:rFonts w:ascii="Amiri" w:hAnsi="Amiri" w:eastAsia="Amiri" w:cs="Amiri"/>
          <w:color w:val="111111"/>
          <w:sz w:val="28"/>
          <w:sz w:val="28"/>
          <w:szCs w:val="28"/>
          <w:rtl w:val="true"/>
          <w:lang w:bidi="ar-SA"/>
        </w:rPr>
        <w:t xml:space="preserve">ولکنّک إنّما ترید أنّ تُذهب الشک الذی وقع فی نفسک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Style w:val="FootnoteAnchor"/>
          <w:rtl w:val="true"/>
        </w:rPr>
        <w:footnoteReference w:id="959"/>
      </w:r>
      <w:r>
        <w:rPr>
          <w:rFonts w:ascii="IRNazanin" w:hAnsi="IRNazanin" w:eastAsia="IRNazanin"/>
          <w:color w:val="111111"/>
          <w:sz w:val="28"/>
          <w:sz w:val="28"/>
          <w:szCs w:val="28"/>
          <w:rtl w:val="true"/>
          <w:lang w:bidi="fa-IR"/>
        </w:rPr>
        <w:t xml:space="preserve">رأیته فی ثوبی وأنا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تنقض الصلاة وتعید إذا شککت فی موضع فیه ثم رأیته ، وإنّ لم تشک ثم رأیته رطباً قطعت وغسلته ثم بنیت علی الصلاة ، لأنّک لا تدری لعله شی‌ء أُوقع علیک فلیس ینبغی أنّ تنقض الیقین بالشک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وهب بن حفص علی ما وجدته ، والذی فی الرجال وهیب مصغّراً </w:t>
      </w:r>
      <w:r>
        <w:rPr>
          <w:rStyle w:val="FootnoteAnchor"/>
          <w:rtl w:val="true"/>
        </w:rPr>
        <w:footnoteReference w:id="960"/>
      </w:r>
      <w:r>
        <w:rPr>
          <w:rFonts w:ascii="IRNazanin" w:hAnsi="IRNazanin" w:eastAsia="IRNazanin"/>
          <w:color w:val="111111"/>
          <w:sz w:val="28"/>
          <w:sz w:val="28"/>
          <w:szCs w:val="28"/>
          <w:rtl w:val="true"/>
          <w:lang w:bidi="fa-IR"/>
        </w:rPr>
        <w:t xml:space="preserve">، والشیخ فی الفهرست ذکر أنّ الراوی عنه محمد بن الحسین </w:t>
      </w:r>
      <w:r>
        <w:rPr>
          <w:rStyle w:val="FootnoteAnchor"/>
          <w:rtl w:val="true"/>
        </w:rPr>
        <w:footnoteReference w:id="961"/>
      </w:r>
      <w:r>
        <w:rPr>
          <w:rFonts w:ascii="IRNazanin" w:hAnsi="IRNazanin" w:eastAsia="IRNazanin"/>
          <w:color w:val="111111"/>
          <w:sz w:val="28"/>
          <w:sz w:val="28"/>
          <w:szCs w:val="28"/>
          <w:rtl w:val="true"/>
          <w:lang w:bidi="fa-IR"/>
        </w:rPr>
        <w:t xml:space="preserve">، والرجل واقفی ثقة </w:t>
      </w:r>
      <w:r>
        <w:rPr>
          <w:rStyle w:val="FootnoteAnchor"/>
          <w:rtl w:val="true"/>
        </w:rPr>
        <w:footnoteReference w:id="962"/>
      </w:r>
      <w:r>
        <w:rPr>
          <w:rFonts w:ascii="IRNazanin" w:hAnsi="IRNazanin" w:eastAsia="IRNazanin"/>
          <w:color w:val="111111"/>
          <w:sz w:val="28"/>
          <w:sz w:val="28"/>
          <w:szCs w:val="28"/>
          <w:rtl w:val="true"/>
          <w:lang w:bidi="fa-IR"/>
        </w:rPr>
        <w:t xml:space="preserve">، وأبو بصیر تکرر القول فیه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3" w:name="__RefHeading___Toc146930_2142443653"/>
      <w:bookmarkStart w:id="644" w:name="_Toc243"/>
      <w:bookmarkEnd w:id="643"/>
      <w:r>
        <w:rPr>
          <w:rtl w:val="true"/>
        </w:rPr>
        <w:t xml:space="preserve">بحث حول وهب </w:t>
      </w:r>
      <w:r>
        <w:rPr>
          <w:rtl w:val="true"/>
        </w:rPr>
        <w:t xml:space="preserve">( </w:t>
      </w:r>
      <w:r>
        <w:rPr>
          <w:rtl w:val="true"/>
        </w:rPr>
        <w:t xml:space="preserve">وهیب </w:t>
      </w:r>
      <w:r>
        <w:rPr>
          <w:rtl w:val="true"/>
        </w:rPr>
        <w:t xml:space="preserve">) </w:t>
      </w:r>
      <w:r>
        <w:rPr>
          <w:rtl w:val="true"/>
        </w:rPr>
        <w:t>بن حفص</w:t>
      </w:r>
      <w:bookmarkStart w:id="645" w:name="pg15025_160379"/>
      <w:bookmarkEnd w:id="644"/>
    </w:p>
    <w:p>
      <w:pPr>
        <w:pStyle w:val="BookText"/>
        <w:rPr/>
      </w:pPr>
      <w:bookmarkEnd w:id="645"/>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الله بن جبلة وهو واقفی ثقة </w:t>
      </w:r>
      <w:r>
        <w:rPr>
          <w:rStyle w:val="FootnoteAnchor"/>
          <w:rtl w:val="true"/>
        </w:rPr>
        <w:footnoteReference w:id="964"/>
      </w:r>
      <w:r>
        <w:rPr>
          <w:rFonts w:ascii="IRNazanin" w:hAnsi="IRNazanin" w:eastAsia="IRNazanin"/>
          <w:color w:val="111111"/>
          <w:sz w:val="28"/>
          <w:sz w:val="28"/>
          <w:szCs w:val="28"/>
          <w:rtl w:val="true"/>
          <w:lang w:bidi="fa-IR"/>
        </w:rPr>
        <w:t>، ومیمون الصیقل مجهول الحال إذ لم أجده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الحسن بن علی بن عبد الله فهو ابن المغیرة الثقة </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سعد فهو مشترک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شأن رجاله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لا یخلو من إجمال ، فالشیخ حمله علی أنّ المراد علم به حین القیام للصلاة أو لم یعلم مع سبق العلم علی ذلک لیکون الرجل ناسیاً ، أمّا لو حمل علی أنّ المراد علم سابقاً أو لم یعلم لیدخل فیه الجاهل لنا فی ما دلّ علی عدم إعادة الجاهل ، ولا یخفی أنّه یتوجه علی الشیخ أنّ الجاهل وإنّ سبق منه عدم الإعادة علیه إلاّ أنّه قائل فی المبسوط علی ما نقل بإعادة الجاهل فی الوقت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وهب بن عبد ربه السابقة تدل بإطلاقها علی الإعادة إذا علم ، سواء کان ناسیاً أو جاهلاً ، وحمله فی التهذیب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إذا لم یعلم فی حال الصلاة ولکن سبقه العلم لیکون ناسیاً </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 xml:space="preserve">فی غایة البعد ، والحمل علی الاستحباب ممکن فی روایة وهب ، فلیکن فی هذه الروایة علی الاستحباب ، ولا یشکل الحال بتضمنها الناسی أیضاً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أو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القول بالاستحباب فی الناسی أیضاً کما سبقت إلیه</w:t>
      </w:r>
    </w:p>
    <w:p>
      <w:pPr>
        <w:pStyle w:val="Heading4"/>
        <w:numPr>
          <w:ilvl w:val="3"/>
          <w:numId w:val="1"/>
        </w:numPr>
        <w:rPr/>
      </w:pPr>
      <w:bookmarkStart w:id="646" w:name="__RefHeading___Toc146932_2142443653"/>
      <w:bookmarkStart w:id="647" w:name="_Toc244"/>
      <w:bookmarkEnd w:id="646"/>
      <w:r>
        <w:rPr>
          <w:rtl w:val="true"/>
        </w:rPr>
        <w:t>عبدالله بن جبلة واقفی ثقة</w:t>
      </w:r>
      <w:bookmarkEnd w:id="647"/>
    </w:p>
    <w:p>
      <w:pPr>
        <w:pStyle w:val="Heading4"/>
        <w:numPr>
          <w:ilvl w:val="3"/>
          <w:numId w:val="1"/>
        </w:numPr>
        <w:rPr/>
      </w:pPr>
      <w:bookmarkStart w:id="648" w:name="__RefHeading___Toc146934_2142443653"/>
      <w:bookmarkStart w:id="649" w:name="_Toc245"/>
      <w:bookmarkEnd w:id="648"/>
      <w:r>
        <w:rPr>
          <w:rtl w:val="true"/>
        </w:rPr>
        <w:t>میمون الصیقل مجهول الحال</w:t>
      </w:r>
      <w:bookmarkEnd w:id="649"/>
    </w:p>
    <w:p>
      <w:pPr>
        <w:pStyle w:val="Heading4"/>
        <w:numPr>
          <w:ilvl w:val="3"/>
          <w:numId w:val="1"/>
        </w:numPr>
        <w:rPr/>
      </w:pPr>
      <w:bookmarkStart w:id="650" w:name="__RefHeading___Toc146936_2142443653"/>
      <w:bookmarkStart w:id="651" w:name="_Toc246"/>
      <w:bookmarkEnd w:id="650"/>
      <w:r>
        <w:rPr>
          <w:rtl w:val="true"/>
        </w:rPr>
        <w:t>الحسن بن علی بن عبدالله هو ابن المغیرة الثقة</w:t>
      </w:r>
      <w:bookmarkEnd w:id="651"/>
    </w:p>
    <w:p>
      <w:pPr>
        <w:pStyle w:val="Heading4"/>
        <w:numPr>
          <w:ilvl w:val="3"/>
          <w:numId w:val="1"/>
        </w:numPr>
        <w:rPr/>
      </w:pPr>
      <w:bookmarkStart w:id="652" w:name="__RefHeading___Toc146938_2142443653"/>
      <w:bookmarkStart w:id="653" w:name="_Toc247"/>
      <w:bookmarkEnd w:id="652"/>
      <w:r>
        <w:rPr>
          <w:rtl w:val="true"/>
        </w:rPr>
        <w:t>سعد مشترک</w:t>
      </w:r>
      <w:bookmarkEnd w:id="65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4" w:name="__RefHeading___Toc146940_2142443653"/>
      <w:bookmarkStart w:id="655" w:name="_Toc248"/>
      <w:bookmarkEnd w:id="654"/>
      <w:r>
        <w:rPr>
          <w:rtl w:val="true"/>
        </w:rPr>
        <w:t>توجیه الشیخ لروایة أبی بصیر الدالّة علی الإعادة مع العلم بالنجاسة وعدمه والمناقشة فیه</w:t>
      </w:r>
      <w:bookmarkStart w:id="656" w:name="pg15025_160380"/>
      <w:bookmarkEnd w:id="655"/>
    </w:p>
    <w:p>
      <w:pPr>
        <w:pStyle w:val="BookText"/>
        <w:rPr/>
      </w:pPr>
      <w:bookmarkEnd w:id="656"/>
      <w:r>
        <w:rPr>
          <w:rFonts w:ascii="Amiri" w:hAnsi="Amiri" w:eastAsia="Amiri" w:cs="Amiri"/>
          <w:color w:val="111111"/>
          <w:sz w:val="28"/>
          <w:sz w:val="28"/>
          <w:szCs w:val="28"/>
          <w:rtl w:val="true"/>
          <w:lang w:bidi="ar-SA"/>
        </w:rPr>
        <w:t xml:space="preserve">الإشارة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العلاّمة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الجاهل یعید فی الوقت فقط مستدلاًّ بروایة حفص بن غیاث المذکورة أول الباب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أُبالی أبول أصابنی أو </w:t>
      </w:r>
      <w:r>
        <w:rPr>
          <w:rStyle w:val="FootnoteAnchor"/>
          <w:rtl w:val="true"/>
        </w:rPr>
        <w:footnoteReference w:id="970"/>
      </w:r>
      <w:r>
        <w:rPr>
          <w:rFonts w:ascii="IRNazanin" w:hAnsi="IRNazanin" w:eastAsia="IRNazanin"/>
          <w:color w:val="111111"/>
          <w:sz w:val="28"/>
          <w:sz w:val="28"/>
          <w:szCs w:val="28"/>
          <w:rtl w:val="true"/>
          <w:lang w:bidi="fa-IR"/>
        </w:rPr>
        <w:t xml:space="preserve">ماء إذا لم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معلّلاً بأنّ المساواة تنفی الإعادة خارج الوقت کما فی الماء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غرابة فی نظری القاصر ؛ لأنّ مقتضی الروایة عدم العلم ، فإن حمل علی الجهل بالنجاسة بمعنی عدم العلم بکون الشی‌ء نجساً کما هو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الغرض بیان الطهارة ، فإعادة الصلاة وعدمها إذا علم بعدُ لا دخل لها فی الروایة ، وإنّ حمل علی أنّ المراد بیان حال الصلاة لزم أنّ یکون المراد بعدم المبالاة عدم الإعادة مطلقاً کالماء ، والحال أنّ العلاّمة قائل بالإعادة فی الوقت ، والتشبیه بالماء فی شی‌ء دون شی‌ء لا یخفی ما فیه ، علی أنّ الظاهر من الروایة أنّ المراد إذا لم أعلم أصلاً ، أما لو علم بعد الوقت فالنجاسة لا ریب فیها ، وحینئذ فذکر الماء غیر لائق علی الإطلاق ، وبالجملة فالاستدلال بالحدیث مبنی علی ما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 ذلک استدلاله أیضاً بروایة عبد الرحمن بن أبی عبد الله السابقة حیث قال فیها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لم یعلم فلا یعید </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 ووجّه الاستدلال بأنّا إنّما حملناها علی عدم الإعادة مع خروج الوقت لما رواه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7" w:name="__RefHeading___Toc146942_2142443653"/>
      <w:bookmarkStart w:id="658" w:name="_Toc249"/>
      <w:bookmarkEnd w:id="657"/>
      <w:r>
        <w:rPr>
          <w:rtl w:val="true"/>
        </w:rPr>
        <w:t>قول العلّامة بأنّ الجاهل یعید فی الوقت فقط والجواب عنه</w:t>
      </w:r>
      <w:bookmarkEnd w:id="658"/>
    </w:p>
    <w:p>
      <w:pPr>
        <w:pStyle w:val="BookText"/>
        <w:rPr/>
      </w:pPr>
      <w:r>
        <w:rPr>
          <w:rFonts w:ascii="IRNazanin" w:hAnsi="IRNazanin" w:eastAsia="IRNazanin"/>
          <w:color w:val="111111"/>
          <w:sz w:val="28"/>
          <w:sz w:val="28"/>
          <w:szCs w:val="28"/>
          <w:rtl w:val="true"/>
          <w:lang w:bidi="fa-IR"/>
        </w:rPr>
        <w:t xml:space="preserve">أبو بصیر ، وذکر الروایة السابقة المتضمنة لأنّه إذا علم بالنجاسة فی الأثناء یبتدئ الصلاة </w:t>
      </w:r>
      <w:r>
        <w:rPr>
          <w:rStyle w:val="FootnoteAnchor"/>
          <w:rtl w:val="true"/>
        </w:rPr>
        <w:footnoteReference w:id="973"/>
      </w:r>
      <w:r>
        <w:rPr>
          <w:rFonts w:ascii="IRNazanin" w:hAnsi="IRNazanin" w:eastAsia="IRNazanin"/>
          <w:color w:val="111111"/>
          <w:sz w:val="28"/>
          <w:sz w:val="28"/>
          <w:szCs w:val="28"/>
          <w:rtl w:val="true"/>
          <w:lang w:bidi="fa-IR"/>
        </w:rPr>
        <w:t xml:space="preserve">، ثم ذکر روایة وهب بن عبد ربه السابقة أیضاً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إذا لم یکن علم </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 xml:space="preserve">قال رحمه الله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الحدیثان ولا علی الإعادة ، والأوّلان علی عدمها ، والتنافی محال فلا بدّ من حمل أحدهما علی عین والآخر علی أخری ، وإیجاب الإعادة مع خروج الوقت وعدمها مع بقائه غیر معقول ، فتعیّن العکس ، ولأنّه فی الوقت لم یأت بالمأمور به وهو الصلاة فی ثوب طاهر ، فیبقی فی عهدة التکلیف ، وبعد الوقت خرج عن العهدة ، لأنّ القضاء شرع جدید </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بما یتوجّه علی هذا الکلام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روایة أبی بصیر تضمنت الإعادة لو علم فی الأثناء ، وأیّ ملازمة بین هذا والعلم بعده؟ وأظن أنّ الذی حداه علی ما ذکره ما ینقل عن الشیخ فی المبسوط </w:t>
      </w:r>
      <w:r>
        <w:rPr>
          <w:rStyle w:val="FootnoteAnchor"/>
          <w:rtl w:val="true"/>
        </w:rPr>
        <w:footnoteReference w:id="976"/>
      </w:r>
      <w:r>
        <w:rPr>
          <w:rFonts w:ascii="IRNazanin" w:hAnsi="IRNazanin" w:eastAsia="IRNazanin"/>
          <w:color w:val="111111"/>
          <w:sz w:val="28"/>
          <w:sz w:val="28"/>
          <w:szCs w:val="28"/>
          <w:rtl w:val="true"/>
          <w:lang w:bidi="fa-IR"/>
        </w:rPr>
        <w:t xml:space="preserve">أنّه احتجّ للإعادة فی الوقت علی الجاهل بأنه لو علم فی أثناء الصلاة وجب علیه الإعادة فکذا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الشیخ أیضاً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من أنّ التنافی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 ولکن لا </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ینحصر دفعه فیما قاله بل الاستحباب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یأت بالمأمور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 لأنّ الامتثال ظاهراً یقتضی الإجزاء</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الذمّة مشغولة بیقین ولم یعلم خلوصها إلاّ بالإعادة</w:t>
      </w:r>
      <w:r>
        <w:rPr>
          <w:rFonts w:eastAsia="IRNazanin" w:cs="IRNazanin"/>
          <w:color w:val="111111"/>
          <w:sz w:val="28"/>
          <w:szCs w:val="28"/>
          <w:rtl w:val="true"/>
          <w:lang w:bidi="fa-IR"/>
        </w:rPr>
        <w:t xml:space="preserve">. </w:t>
      </w:r>
      <w:bookmarkStart w:id="659" w:name="pg15025_160382"/>
    </w:p>
    <w:p>
      <w:pPr>
        <w:pStyle w:val="BookText"/>
        <w:rPr/>
      </w:pPr>
      <w:bookmarkEnd w:id="659"/>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اشتغال الذمّة إنّ أُرید به قبل هذه الصلاة الواقعة فمسلّم ، والمدّعی بعد وقوعها ، والمنع من یقین اشتغال الذمّة لا یمکن دفعه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العلاّمة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القضاء بأمر جدید مسلّم ، لکن لیت شعری کیف غفل عن وروده علیه فی الناسی ، فإنّه ذهب فی الکتاب إلی وجوب الإعادة علیه فی الوقت وخارجه ، واستدلاله علی إعادة الناسی بالأخبار ، فیه أنّها متعارضة ، مع أنّه ذکر فی جملة الاحتجاج عدم الإتیان بالمأمور به ، وبالجملة فالمقام واسع الباب والله الموفق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التفصیل بالنظر وعدمه ، والشیخ لا یعتبر هذا فی التفصیل السابق ، وعلی تقدیر الحمل علی الاستحباب یسهل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کأنّه یرید به الشکر علی علمه بحدود الأشیاء ، ویحتمل أنّ یرید الشکر علی بیان الحدود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فدلالته علی مطلوب الشیخ لا یتم إلاّ بذکر ما اشتمل علیه الخبر من الأحکام وهی ستة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تضمنه صدره من أنّه علّم الأثر إلی أنّ یصیب الماء ، یدل علی أنّ الماء غیر موجود فلا تقصیر ، والجواب تضمن الإعادة ، والشیخ فیما تقدم قیّد إعادة الناسی بالتفریط ، فلا دلالة علی مطلوبه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الخبر أنّه إذا لم یکن رأی موضع المنی مع علم الإصابة علیه الإعادة ، وهذا مع عدم النسیان واضح الوجه ، أمّا مع النسیان ففیه إطلاق الإعادة سواء کان قصّر فی غَسله أم لا ، والشیخ قد مضی تقییده </w:t>
      </w:r>
      <w:r>
        <w:rPr>
          <w:rStyle w:val="FootnoteAnchor"/>
          <w:rtl w:val="true"/>
        </w:rPr>
        <w:footnoteReference w:id="978"/>
      </w:r>
      <w:r>
        <w:rPr>
          <w:rFonts w:ascii="IRNazanin" w:hAnsi="IRNazanin" w:eastAsia="IRNazanin"/>
          <w:color w:val="111111"/>
          <w:sz w:val="28"/>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0" w:name="__RefHeading___Toc146944_2142443653"/>
      <w:bookmarkStart w:id="661" w:name="_Toc250"/>
      <w:bookmarkEnd w:id="660"/>
      <w:r>
        <w:rPr>
          <w:rtl w:val="true"/>
        </w:rPr>
        <w:t xml:space="preserve">ما یستفاد من حدیث زرارة </w:t>
      </w:r>
      <w:r>
        <w:rPr>
          <w:rtl w:val="true"/>
        </w:rPr>
        <w:t xml:space="preserve">: </w:t>
      </w:r>
      <w:r>
        <w:rPr>
          <w:rtl w:val="true"/>
        </w:rPr>
        <w:t xml:space="preserve">أصاب ثوبی دم رعاف </w:t>
      </w:r>
      <w:r>
        <w:rPr>
          <w:rtl w:val="true"/>
        </w:rPr>
        <w:t xml:space="preserve">... </w:t>
      </w:r>
      <w:r>
        <w:rPr>
          <w:rtl w:val="true"/>
        </w:rPr>
        <w:t>من الأحکام</w:t>
      </w:r>
      <w:bookmarkEnd w:id="661"/>
    </w:p>
    <w:p>
      <w:pPr>
        <w:pStyle w:val="BookText"/>
        <w:rPr/>
      </w:pPr>
      <w:r>
        <w:rPr>
          <w:rFonts w:ascii="IRNazanin" w:hAnsi="IRNazanin" w:eastAsia="IRNazanin"/>
          <w:color w:val="111111"/>
          <w:sz w:val="28"/>
          <w:sz w:val="28"/>
          <w:szCs w:val="28"/>
          <w:rtl w:val="true"/>
          <w:lang w:bidi="fa-IR"/>
        </w:rPr>
        <w:t xml:space="preserve">فلا یدل علی مطلوبه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تضمنه أوّل الخبر ملحوظ فی ثانیه وهو اعتبار النسیان وعدم الماء ، وهذا وإن بَعُد إلاّ أنّ اعتبار النسیان لا بدّ منه فی الخبر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الخبر أنّه لو ظنّ الإصابة ونظر فلم یر شیئاً ثم صلّی ورآی عدم الإعادة ؛ لأنّ الشک لا یرفع الیقین ، وهذا کما تری یدل علی عدم الاعتداد بالظنّ فی النجاسة ، ولا ینافی ما قدّمناه ؛ لأنّا بیّنا أنّ مطلق الظن غیر کافٍ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الخبر دلالة علی أنّ عدم اعتبار الظن لسبق الیقین ، وهو لا ینفی الاعتداد به مع سبق ظنّ الطهارة علی تقدیر إقامة الدلیل علی ظنّ النجاسة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فی نظری القاصر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الیقین السابق یصیر ظنا الآن ؛ إذ مرجعه إلی الاستصحاب وهو ظنی ، وإذا تعارض الظنان </w:t>
      </w:r>
      <w:r>
        <w:rPr>
          <w:rStyle w:val="FootnoteAnchor"/>
          <w:rtl w:val="true"/>
        </w:rPr>
        <w:footnoteReference w:id="980"/>
      </w:r>
      <w:r>
        <w:rPr>
          <w:rFonts w:ascii="IRNazanin" w:hAnsi="IRNazanin" w:eastAsia="IRNazanin"/>
          <w:color w:val="111111"/>
          <w:sz w:val="28"/>
          <w:sz w:val="28"/>
          <w:szCs w:val="28"/>
          <w:rtl w:val="true"/>
          <w:lang w:bidi="fa-IR"/>
        </w:rPr>
        <w:t>خفی الوجه فی ترجیح الأوّل علی الثانی وإطلاق الیقین علی الأوّل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الیقین وإنّ صار ظنا الآن ، إلاّ أنّ سبق الیقین لا ریب فیه ، والظنّ الآن للطهارة مع ظن النجاسة یصیر شکّاً ، إذ هو مع تساوی الظنین ، وإذا صار شکاً لا یعارض الیقین السابق ، وهذا هو السرّ فی الظاهر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شککت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ما قلناه لم یکن الشک حاصلاً ، بل الظنّ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أنّ ظن النجاسة أرجح من ظن البقاء علی الطهارة ینبغی علی ما ذکرت تقدیمه علی ظن الطهارة لأنّ الشک إنّما هو </w:t>
      </w:r>
    </w:p>
    <w:p>
      <w:pPr>
        <w:pStyle w:val="BookText"/>
        <w:rPr/>
      </w:pPr>
      <w:r>
        <w:rPr>
          <w:rFonts w:ascii="IRNazanin" w:hAnsi="IRNazanin" w:eastAsia="IRNazanin"/>
          <w:color w:val="111111"/>
          <w:sz w:val="28"/>
          <w:sz w:val="28"/>
          <w:szCs w:val="28"/>
          <w:rtl w:val="true"/>
          <w:lang w:bidi="fa-IR"/>
        </w:rPr>
        <w:t xml:space="preserve">مع </w:t>
      </w:r>
      <w:r>
        <w:rPr>
          <w:rStyle w:val="FootnoteAnchor"/>
          <w:rtl w:val="true"/>
        </w:rPr>
        <w:footnoteReference w:id="981"/>
      </w:r>
      <w:r>
        <w:rPr>
          <w:rFonts w:ascii="IRNazanin" w:hAnsi="IRNazanin" w:eastAsia="IRNazanin"/>
          <w:color w:val="111111"/>
          <w:sz w:val="28"/>
          <w:sz w:val="28"/>
          <w:szCs w:val="28"/>
          <w:rtl w:val="true"/>
          <w:lang w:bidi="fa-IR"/>
        </w:rPr>
        <w:t>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کما ذکرت إلاّ أنّه علیه السلام لما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شککت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علم من زرارة تساوی الظنین ، وحینئذ یمکن القول بترجیح النجاسة إذا رجح ظنّها ودل علیه دلیل کما أسلفناه </w:t>
      </w:r>
      <w:r>
        <w:rPr>
          <w:rStyle w:val="FootnoteAnchor"/>
          <w:rtl w:val="true"/>
        </w:rPr>
        <w:footnoteReference w:id="982"/>
      </w:r>
      <w:r>
        <w:rPr>
          <w:rFonts w:ascii="IRNazanin" w:hAnsi="IRNazanin" w:eastAsia="IRNazanin"/>
          <w:color w:val="111111"/>
          <w:sz w:val="28"/>
          <w:sz w:val="28"/>
          <w:szCs w:val="28"/>
          <w:rtl w:val="true"/>
          <w:lang w:bidi="fa-IR"/>
        </w:rPr>
        <w:t>، والخبر حینئذ لا ینافیه بهذا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أیضاً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الیقین إذا لم یعارضه یقین مثله لا یلتفت إلی المعارض ، وتسمیته شکّاً لا مانع منه ؛ لأنّ اصطلاح المتأخّرین لا یقتضی المشارکة لزمن الأئمة علیهم السلام ، فینبغی التأمّل فی هذا ، فإنّی لم أجد من فصّل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عدم ذکر الوالد قدس سره الروایة فی حجة عدم الاکتفاء بالظنّ فی النجاسة ، ولکن </w:t>
      </w:r>
      <w:r>
        <w:rPr>
          <w:rStyle w:val="FootnoteAnchor"/>
          <w:rtl w:val="true"/>
        </w:rPr>
        <w:footnoteReference w:id="983"/>
      </w:r>
      <w:r>
        <w:rPr>
          <w:rFonts w:ascii="IRNazanin" w:hAnsi="IRNazanin" w:eastAsia="IRNazanin"/>
          <w:color w:val="111111"/>
          <w:sz w:val="28"/>
          <w:sz w:val="28"/>
          <w:szCs w:val="28"/>
          <w:rtl w:val="true"/>
          <w:lang w:bidi="fa-IR"/>
        </w:rPr>
        <w:t>الاحتمال الذی قدّمناه من الاختصاص فی الروایة یصلح لدفع التعجب ، لکن لم یذکره قدس سره علی ما رأیت ولا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فی الحبل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ربما استفید من الحدیث أنّ ظن النجاسة لا یقوم مقام العلم ، وأنّ الظن قد یطلق علیه اسم الشک ، ولیس بشی‌ء ؛ لأنّ قول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تغیر ذلک الظن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شککت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ینبئ عن انقلاب ذلک الظن شکاً </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بحث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مفاد الروایة أنّ زرارة نظر فلم یرَ شیئاً ، وهذا کما یجوز أنّ یکون حصل منه الشک فی النجاسة أو ظنّ عدمها ، ومع الاحتمال </w:t>
      </w:r>
    </w:p>
    <w:p>
      <w:pPr>
        <w:pStyle w:val="BookText"/>
        <w:rPr/>
      </w:pPr>
      <w:r>
        <w:rPr>
          <w:rFonts w:ascii="IRNazanin" w:hAnsi="IRNazanin" w:eastAsia="IRNazanin"/>
          <w:color w:val="111111"/>
          <w:sz w:val="28"/>
          <w:sz w:val="28"/>
          <w:szCs w:val="28"/>
          <w:rtl w:val="true"/>
          <w:lang w:bidi="fa-IR"/>
        </w:rPr>
        <w:t>فحمل الشک من الإمام علی ما ذکره موقوف علی العلم بانقلاب ظن زرارة شکّاً ، وهو مشکل ، علی أنّ الظاهر من عدم الرؤیة انتفاء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شککت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شکّ زرارة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أنّه یدل علی شکّه ، أمّا کونه بأیّ نوع فلا ، والمعارضة بأنّ دلالته علی کون الظنّ شکاً موقوف علی العلم بذلک ، ومع قیام احتمال غیره وهو ما ذکره المُورد من انقلاب ظنه لا یحصل العلم ، یمکن الجواب عنها بأنّ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لأنک کنت علی یقین ثم شککت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أنّه لم یتعقب الیقین إلاّ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وإنّ تعقّب إلاّ أنّ الشک لما تعقّبه صدق تعقب الشک للیقین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ما ذکرت یبقی حکم الظن خارجاً عن الروایة لو خلا من الشک ، والظاهر من الروایة بیان أنّ الیقین لا یرفعه إلاّ الیقین ، ولو کان یرفعه الظن لذکر فی مقام جواب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إنّما تضمن الشک ، والجواب وقع مطابقاً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الظاهر من السؤال هو الظن ، وإنّما أتی علیه السلام بالشک ، فالظاهر مطابقة السؤال فیصیر الظنّ ممّا یطلق علیه الشک علی الوجه الذی قررناه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باب الاحتمال واسع ، والجزم بکل من الطرفین مشکل ، إلاّ أنّا ندعی الظهور ، فتأمّل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الجواب یقتضی الاعتراف بقول المعترض فی قیام الظن مقام العلم علی الإطلاق ، والحال أنّ الخبر بتقدیر تسلیم الدلالة یدل </w:t>
      </w:r>
    </w:p>
    <w:p>
      <w:pPr>
        <w:pStyle w:val="BookText"/>
        <w:rPr/>
      </w:pPr>
      <w:r>
        <w:rPr>
          <w:rFonts w:ascii="IRNazanin" w:hAnsi="IRNazanin" w:eastAsia="IRNazanin"/>
          <w:color w:val="111111"/>
          <w:sz w:val="28"/>
          <w:sz w:val="28"/>
          <w:szCs w:val="28"/>
          <w:rtl w:val="true"/>
          <w:lang w:bidi="fa-IR"/>
        </w:rPr>
        <w:t>علی عدم قیام الظن مقام العلم إذا سبقه العلم ، لا مطلقاً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الروایة الاکتفاء بغَسل الناحیة التی أصابها المنی ، وقد تقدّم من الأخبار هنا ما یدل علی غَسل الثوب کلّه مع الاشتباه </w:t>
      </w:r>
      <w:r>
        <w:rPr>
          <w:rStyle w:val="FootnoteAnchor"/>
          <w:rtl w:val="true"/>
        </w:rPr>
        <w:footnoteReference w:id="985"/>
      </w:r>
      <w:r>
        <w:rPr>
          <w:rFonts w:ascii="IRNazanin" w:hAnsi="IRNazanin" w:eastAsia="IRNazanin"/>
          <w:color w:val="111111"/>
          <w:sz w:val="28"/>
          <w:sz w:val="28"/>
          <w:szCs w:val="28"/>
          <w:rtl w:val="true"/>
          <w:lang w:bidi="fa-IR"/>
        </w:rPr>
        <w:t xml:space="preserve">، وفی التهذیب روی الشیخ أیضاً ما یدل علی ذلک </w:t>
      </w:r>
      <w:r>
        <w:rPr>
          <w:rStyle w:val="FootnoteAnchor"/>
          <w:rtl w:val="true"/>
        </w:rPr>
        <w:footnoteReference w:id="986"/>
      </w:r>
      <w:r>
        <w:rPr>
          <w:rFonts w:ascii="IRNazanin" w:hAnsi="IRNazanin" w:eastAsia="IRNazanin"/>
          <w:color w:val="111111"/>
          <w:sz w:val="28"/>
          <w:sz w:val="28"/>
          <w:szCs w:val="28"/>
          <w:rtl w:val="true"/>
          <w:lang w:bidi="fa-IR"/>
        </w:rPr>
        <w:t>، ولعلّ الجمع ممکن بحمل غَسل الثوب علی الاشتباه فیه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یتوجه علینا أنّ هذا الخبر مناف لما أسلفناه من دفع کلام البعض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غَسل البعض من المشتبه یزیل یقین النجاسة ، فأجبنا عنه بأنّ یقین النجاسة لا یزول بعد أمر الشارع بغَسل کل المشتبه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لا ینافی ما قلناه لأنّه علیه السلام أوجب غَسل الناحیة ، ومعلوم أنّ قدر المنی قد یکون أقلّ ممّا غسل ، غایة الأمر أنّ الناحیة فی هذا الخبر مجملة وبیانها من غیره الدال علی غَسل موضع الاشتباه ، وحینئذ ما تیقن خلوّه لا یغسل ، والمشتبه یغسل ، وهو المعبَّر عنه فی هذا الخبر بالناحیة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تکون علی یقین من طهارتک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نظری القاصر یدل علی أنّ النجاسة إذا تحققت لا بد فی رفعها من الیقین ، وکثیراً ما یعترض علی الشیخ حیث یستدل بالاحتیاط موجّهاً له بأنّ الیقین یحصل به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الیقین یحصل بما أعدّه الشارع ، وأنت خبیر بأنّ ما أعدّه الشارع قد عارضه هذا الحدیث ، ویمکن الجواب بأنّ المراد بالیقین هنا ما یتناول الظن ، کما یدل علیه التأمّل فی الأحکام الشرعیة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أُرید بالخبر ما یعم الظن لم یتم الحکم ؛ لأنّه علیه السلام </w:t>
      </w:r>
    </w:p>
    <w:p>
      <w:pPr>
        <w:pStyle w:val="BookText"/>
        <w:rPr/>
      </w:pPr>
      <w:r>
        <w:rPr>
          <w:rFonts w:ascii="IRNazanin" w:hAnsi="IRNazanin" w:eastAsia="IRNazanin"/>
          <w:color w:val="111111"/>
          <w:sz w:val="28"/>
          <w:sz w:val="28"/>
          <w:szCs w:val="28"/>
          <w:rtl w:val="true"/>
          <w:lang w:bidi="fa-IR"/>
        </w:rPr>
        <w:t>جعل غَسل الناحیة موجب الیقین ، فلو کان أعم من الظن لما وجب غَسل جمیع الناحیة ، بل لو غسل البعض قد یحصل الظن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تحقق الظن ، بل یزول یقین النجاسة ، وهو أعم من ظن الطهارة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 الیقین هنا علی ما یشمل الظن ففی الأوّل کذلک ، ویشکل الحال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أشکل الأمر إلاّ أنّه قابل للتوجیه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تضمنه الحدیث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رأیته فی ثوبی وأنا فی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تنقض الصلاة وتعید إذا شککت فی موضع فیه ثم رأیته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احتمالان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الکلام مرتبطاً بما تضمنه أوّل الخبر من نسیان النجاسة ، وحینئذ یدلّ علی أنّ الناسی إذا ذکر فی الأثناء یقطع الصلاة ، لکن لا یخفی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شککت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من إتمام الکلام یشکل بأنّه علی تقدیر النسیان لا وجه للشک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یظهر هذا </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 xml:space="preserve">من شیخنا قدس سره حیث استدل علی أنّ الناسی إذا ذکر فی الأثناء یقطع الصلاة بالخبر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لکنه </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 xml:space="preserve">أجمل العبارة فإنّه ذکر أول الروایة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ولحدیث طویل إلی أنّ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تنقض الصلاة </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 xml:space="preserve">وهذا کما تری قد یظن منه أنّه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مستأنفاً ، وستسمع الکلام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منقطعاً عن الأول لکنه یراد به مع العلم والشک فی الموضع ، إذ لو أُرید مجرّد الشک من دون علم الإصابة أشکل الفرق فی الروایة بین ما ذکر فی آخرها وبین هذه المسألة کما تنبّه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یوجه إرادة الشک مع عدم العلم بالإصابة ، ولا یضر خفاء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یستدل به علی أنّه مع العلم بالإصابة والنسیان یجب القطع بطریق أولی ، ویکون هو مقصود شیخنا قدس سره وإنّ أوهمت العبارة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الموافقة محلّ بحث کما قدّمناه ، وبتقدیر تمامه فهو موقوف علی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المفهوم من الروایة علی هذا الاحتمال یدل علی أنّه لو لم یشکّ أوّلاً ثم رآه لا ینقض الصلاة ، وعدم الشک متحقق </w:t>
      </w:r>
      <w:r>
        <w:rPr>
          <w:rStyle w:val="FootnoteAnchor"/>
          <w:rtl w:val="true"/>
        </w:rPr>
        <w:footnoteReference w:id="991"/>
      </w:r>
      <w:r>
        <w:rPr>
          <w:rFonts w:ascii="Amiri" w:hAnsi="Amiri" w:eastAsia="Amiri" w:cs="Amiri"/>
          <w:color w:val="111111"/>
          <w:sz w:val="28"/>
          <w:sz w:val="28"/>
          <w:szCs w:val="28"/>
          <w:rtl w:val="true"/>
          <w:lang w:bidi="ar-SA"/>
        </w:rPr>
        <w:t>بظن العدم والجهل بالنجاسة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 أنّ احتمال التجدّد کاف فی الحکم المذکور مطلقاً ، والحال أنّه قد یعلم الانتفاء کذلک ، ولعل المراد إذا تحقق الاحتمال ولم یعارضه أرجح منه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الحکم کما تری صریح فی الانقطاع عن السابق أعنی حکم اللباس الموجود فیه النجاسة مع الشک فی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وإبداء احتمال </w:t>
      </w:r>
      <w:r>
        <w:rPr>
          <w:rStyle w:val="FootnoteAnchor"/>
          <w:rtl w:val="true"/>
        </w:rPr>
        <w:footnoteReference w:id="992"/>
      </w:r>
      <w:r>
        <w:rPr>
          <w:rFonts w:ascii="IRNazanin" w:hAnsi="IRNazanin" w:eastAsia="IRNazanin"/>
          <w:color w:val="111111"/>
          <w:sz w:val="28"/>
          <w:sz w:val="28"/>
          <w:szCs w:val="28"/>
          <w:rtl w:val="true"/>
          <w:lang w:bidi="fa-IR"/>
        </w:rPr>
        <w:t xml:space="preserve">فی المقام لا وجه له ، نعم قد یستفاد من الحدیث أنّ المنی لو وجد رطباً واحتمل التجدد من غیر الواجد یحکم بکونه منیّاً ، وحینئذ فیه دلالة علی اعتبار الأوصاف الخارجة </w:t>
      </w:r>
      <w:r>
        <w:rPr>
          <w:rStyle w:val="FootnoteAnchor"/>
          <w:rtl w:val="true"/>
        </w:rPr>
        <w:footnoteReference w:id="993"/>
      </w:r>
      <w:r>
        <w:rPr>
          <w:rFonts w:ascii="IRNazanin" w:hAnsi="IRNazanin" w:eastAsia="IRNazanin"/>
          <w:color w:val="111111"/>
          <w:sz w:val="28"/>
          <w:sz w:val="28"/>
          <w:szCs w:val="28"/>
          <w:rtl w:val="true"/>
          <w:lang w:bidi="fa-IR"/>
        </w:rPr>
        <w:t xml:space="preserve">للمنیّ کما ذکره الأصحاب الذین رأینا کلامهم ، </w:t>
      </w:r>
      <w:bookmarkStart w:id="662" w:name="pg15025_160389"/>
    </w:p>
    <w:p>
      <w:pPr>
        <w:pStyle w:val="BookText"/>
        <w:rPr/>
      </w:pPr>
      <w:bookmarkEnd w:id="662"/>
      <w:r>
        <w:rPr>
          <w:rFonts w:ascii="Amiri" w:hAnsi="Amiri" w:eastAsia="Amiri" w:cs="Amiri"/>
          <w:color w:val="111111"/>
          <w:sz w:val="28"/>
          <w:sz w:val="28"/>
          <w:szCs w:val="28"/>
          <w:rtl w:val="true"/>
          <w:lang w:bidi="ar-SA"/>
        </w:rPr>
        <w:t xml:space="preserve">وقد قدّمنا فی أوّل الکتاب کلاماً فی هذا واسعاً </w:t>
      </w:r>
      <w:r>
        <w:rPr>
          <w:rStyle w:val="FootnoteAnchor"/>
          <w:rtl w:val="true"/>
        </w:rPr>
        <w:footnoteReference w:id="994"/>
      </w:r>
      <w:r>
        <w:rPr>
          <w:rFonts w:ascii="IRNazanin" w:hAnsi="IRNazanin" w:eastAsia="IRNazanin"/>
          <w:color w:val="111111"/>
          <w:sz w:val="28"/>
          <w:sz w:val="28"/>
          <w:szCs w:val="28"/>
          <w:rtl w:val="true"/>
          <w:lang w:bidi="fa-IR"/>
        </w:rPr>
        <w:t xml:space="preserve">، لکن ینبغی أنّ یعلم أن لیس فی هذا الخبر حینئذ منافاة لما تقدّم فی أول الباب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أُبالی أبول أصابنی أو ماء إذا لم أعلم </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لأنّ الظاهر من الخبر حصول العلم ، وبالجملة فالظاهر أنّ هذا الحکم لا یخلو من إشکال ، والله تعالی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فی المقام وهو أنّ فی الحبل المتین ما هذا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بعض الأصحاب جعل ما تضمنه الحدیث من قول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رأیته فی ثوبی وأنا فی الصلاة ، وقوله علیه السلام فی جوابه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تنقض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 علی أنّ من علم النجاسة فی ثوبه ثم نسیها ورآها فی أثناء الصلاة فإنّه یقطع الصلاة ، وهو مبنی علی أنّ هذا القول من زرارة مندرج تحت قوله فی أول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ثوبی دم رعاف أو غیره ،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ونسیت ، وأنّ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تنقض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عن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وتعید إذا شککت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 وهو کما تری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أنّ </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 xml:space="preserve">هذا القول من زرارة غیر مندرج تحت کلامه ذاک ولا منخرط فی سلکه ، و </w:t>
      </w:r>
      <w:r>
        <w:rPr>
          <w:rStyle w:val="FootnoteAnchor"/>
          <w:rtl w:val="true"/>
        </w:rPr>
        <w:footnoteReference w:id="997"/>
      </w:r>
      <w:r>
        <w:rPr>
          <w:rFonts w:ascii="IRNazanin" w:hAnsi="IRNazanin" w:eastAsia="IRNazanin"/>
          <w:color w:val="111111"/>
          <w:sz w:val="28"/>
          <w:sz w:val="28"/>
          <w:szCs w:val="28"/>
          <w:rtl w:val="true"/>
          <w:lang w:bidi="fa-IR"/>
        </w:rPr>
        <w:t xml:space="preserve">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تنقض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منقطع عن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وتعید إذا شککت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مرتبط به ، وظنّی أنّ هذا القول من زرارة إنّ جعل مرتبطاً بما قبله فلیجعل مرتبطاً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إنّ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قبل الصلاة فی إصابته ثوبی ثم رأیته فیه وأنا فی الصلاة فما الحکم؟ فأجابه علیه السلام بأنّه إذا سبق شکک فی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3" w:name="__RefHeading___Toc146946_2142443653"/>
      <w:bookmarkStart w:id="664" w:name="_Toc251"/>
      <w:bookmarkEnd w:id="663"/>
      <w:r>
        <w:rPr>
          <w:rtl w:val="true"/>
        </w:rPr>
        <w:t>کلام الشیخ البهائی حول حدیث زرارة والمناقشة فیه</w:t>
      </w:r>
      <w:bookmarkEnd w:id="664"/>
    </w:p>
    <w:p>
      <w:pPr>
        <w:pStyle w:val="BookText"/>
        <w:rPr/>
      </w:pPr>
      <w:r>
        <w:rPr>
          <w:rFonts w:ascii="IRNazanin" w:hAnsi="IRNazanin" w:eastAsia="IRNazanin"/>
          <w:color w:val="111111"/>
          <w:sz w:val="28"/>
          <w:sz w:val="28"/>
          <w:szCs w:val="28"/>
          <w:rtl w:val="true"/>
          <w:lang w:bidi="fa-IR"/>
        </w:rPr>
        <w:t xml:space="preserve">موضع من الثوب أنّه أصابه نجاسة ثم رأیتها وأنت فی الصلاة فانقض الصلاة وأعدها ، وإنّ لم یکن سبق منک شک فی إصابة النجاسة </w:t>
      </w:r>
      <w:r>
        <w:rPr>
          <w:rStyle w:val="FootnoteAnchor"/>
          <w:rtl w:val="true"/>
        </w:rPr>
        <w:footnoteReference w:id="998"/>
      </w:r>
      <w:r>
        <w:rPr>
          <w:rFonts w:ascii="IRNazanin" w:hAnsi="IRNazanin" w:eastAsia="IRNazanin"/>
          <w:color w:val="111111"/>
          <w:sz w:val="28"/>
          <w:sz w:val="28"/>
          <w:szCs w:val="28"/>
          <w:rtl w:val="true"/>
          <w:lang w:bidi="fa-IR"/>
        </w:rPr>
        <w:t xml:space="preserve">ثم رأیتها علی وجه یحتمل تجدده قطعت الصلاة وغسلته ثم بنیت </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المراد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نظری القاصر أنّه محلّ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ذکر </w:t>
      </w:r>
      <w:r>
        <w:rPr>
          <w:rStyle w:val="FootnoteAnchor"/>
          <w:rtl w:val="true"/>
        </w:rPr>
        <w:footnoteReference w:id="1000"/>
      </w:r>
      <w:r>
        <w:rPr>
          <w:rFonts w:ascii="IRNazanin" w:hAnsi="IRNazanin" w:eastAsia="IRNazanin"/>
          <w:color w:val="111111"/>
          <w:sz w:val="28"/>
          <w:sz w:val="28"/>
          <w:szCs w:val="28"/>
          <w:rtl w:val="true"/>
          <w:lang w:bidi="fa-IR"/>
        </w:rPr>
        <w:t xml:space="preserve">من أنّه مبنی علی الانتظام فی سلک أوّل الکلام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ملازمة ، وإنّما وقع ما قاله فی عبارة القائل وهو شیخنا قدس سره اختصاراً </w:t>
      </w:r>
      <w:r>
        <w:rPr>
          <w:rStyle w:val="FootnoteAnchor"/>
          <w:rtl w:val="true"/>
        </w:rPr>
        <w:footnoteReference w:id="1001"/>
      </w:r>
      <w:r>
        <w:rPr>
          <w:rFonts w:ascii="IRNazanin" w:hAnsi="IRNazanin" w:eastAsia="IRNazanin"/>
          <w:color w:val="111111"/>
          <w:sz w:val="28"/>
          <w:sz w:val="28"/>
          <w:szCs w:val="28"/>
          <w:rtl w:val="true"/>
          <w:lang w:bidi="fa-IR"/>
        </w:rPr>
        <w:t xml:space="preserve">، وقد یمکن القول بما نقل من دون الارتباط ؛ لأنّ الظاهر من الروایة عدم انقطاع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تنقض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فالشک فی موضعه ینبئ عن العلم بالنجاسة والشک فی الموضع ثم الصلاة ناسیاً ، إذ العمد معلوم الانتفاء ، ولو کان المراد الشک فی الإصابة وعدمها لنا فی قوله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إنّ شککت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الجواب حینئذ ینبغی أن یکون ببیان لزوم قطع الصلاة إذا رأیته فی الأثناء ، لا إطلاق النفی فی الجواب ، وحینئذ فالظاهر الدلالة علی النسیان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ذکر </w:t>
      </w:r>
      <w:r>
        <w:rPr>
          <w:rStyle w:val="FootnoteAnchor"/>
          <w:rtl w:val="true"/>
        </w:rPr>
        <w:footnoteReference w:id="1002"/>
      </w:r>
      <w:r>
        <w:rPr>
          <w:rFonts w:ascii="IRNazanin" w:hAnsi="IRNazanin" w:eastAsia="IRNazanin"/>
          <w:color w:val="111111"/>
          <w:sz w:val="28"/>
          <w:sz w:val="28"/>
          <w:szCs w:val="28"/>
          <w:rtl w:val="true"/>
          <w:lang w:bidi="fa-IR"/>
        </w:rPr>
        <w:t xml:space="preserve">من أنّ الارتباط بما قبله یقتضی الارتباط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أُرید به أنّ الارتباط بالأمرین معاً کان حاصل السؤال أنّی لو نسیت بعد أنّ علمت إصابته ثوبی وشککت فی موضعه ، والحال أن تتمّة الکلام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شککت قبل الصلاة فی </w:t>
      </w:r>
    </w:p>
    <w:p>
      <w:pPr>
        <w:pStyle w:val="BookText"/>
        <w:rPr/>
      </w:pPr>
      <w:r>
        <w:rPr>
          <w:rFonts w:ascii="IRNazanin" w:hAnsi="IRNazanin" w:eastAsia="IRNazanin"/>
          <w:color w:val="111111"/>
          <w:sz w:val="28"/>
          <w:sz w:val="28"/>
          <w:szCs w:val="28"/>
          <w:rtl w:val="true"/>
          <w:lang w:bidi="fa-IR"/>
        </w:rPr>
        <w:t>إصابته ثوبی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الصورة لا تعین فیها کما لا یخفی ، وإنّ جعل الارتباط بالأول مجرّد ذکر الثوب فغیر مرتبط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تشک ثم رأیته رطباً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عاد إلی ما سبق لما کان فرق بین الرطوبة وعدمها ؛ لاحتمال التجدّد فی الجمیع ، ولعلّ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 ، والمراد نفی الشکّ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الاستدلال بالخبر غیر تامّ مع قیام الاحتمال بل الاحتمالات ، والله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أحمد بن محمد ، عن الحسن بن محبوب ، عن العلاء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یصیب ثوبه الشی‌ء ینجّسه فینسی أنّ یغسله فیصلّی فیه ثم یذکر أنّه لم یکن غسله أیعید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 ، قد مضت الصلاة وکتبت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ینافی فی التفصیل الذی ذکرناه ؛ لأنّ الوجه فی هذا الخبر أن نحمله علی أنّ یکون قد مضی وقت الصلاة ، لأنّه متی نسی غَسل النجاسة عن الثوب إنّما یلزمه إعادتها ما دام فی الوقت ، فإذا مضی الوقت فلا إعادة علیه ، وقد مضی ذلک فی روایة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التفصیل الذی ذکرناه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أخبرنی به الشیخ رحمه الله عن أحمد بن محمد ، عن أبیه ، عن </w:t>
      </w:r>
      <w:bookmarkStart w:id="665" w:name="pg15025_160392"/>
    </w:p>
    <w:p>
      <w:pPr>
        <w:pStyle w:val="BookText"/>
        <w:rPr/>
      </w:pPr>
      <w:bookmarkEnd w:id="665"/>
      <w:r>
        <w:rPr>
          <w:rFonts w:ascii="IRNazanin" w:hAnsi="IRNazanin" w:eastAsia="IRNazanin"/>
          <w:color w:val="111111"/>
          <w:sz w:val="28"/>
          <w:sz w:val="28"/>
          <w:szCs w:val="28"/>
          <w:rtl w:val="true"/>
          <w:lang w:bidi="fa-IR"/>
        </w:rPr>
        <w:t xml:space="preserve">الصفار ، عن أحمد بن محمد وعبد الله بن محمد ، عن 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سلیمان </w:t>
      </w:r>
      <w:r>
        <w:rPr>
          <w:rStyle w:val="FootnoteAnchor"/>
          <w:rtl w:val="true"/>
        </w:rPr>
        <w:footnoteReference w:id="1004"/>
      </w:r>
      <w:r>
        <w:rPr>
          <w:rFonts w:ascii="IRNazanin" w:hAnsi="IRNazanin" w:eastAsia="IRNazanin"/>
          <w:color w:val="111111"/>
          <w:sz w:val="28"/>
          <w:sz w:val="28"/>
          <w:szCs w:val="28"/>
          <w:rtl w:val="true"/>
          <w:lang w:bidi="fa-IR"/>
        </w:rPr>
        <w:t xml:space="preserve">بن رشید یخبره أنّه بال فی ظلمة اللیل وأنّه أصاب کفه بَرد نقطة من البول لم یشک أنّه أصابه ولم یره وأنّه مسحه بخرقة ثم نسی أنّ یغسله وتمسّح بدهن فمسح به کفّیه ووجهه ورأسه ثم توضّأ وضوء الصلاة وصلّی </w:t>
      </w:r>
      <w:r>
        <w:rPr>
          <w:rStyle w:val="FootnoteAnchor"/>
          <w:rtl w:val="true"/>
        </w:rPr>
        <w:footnoteReference w:id="1005"/>
      </w:r>
      <w:r>
        <w:rPr>
          <w:rFonts w:ascii="IRNazanin" w:hAnsi="IRNazanin" w:eastAsia="IRNazanin"/>
          <w:color w:val="111111"/>
          <w:sz w:val="28"/>
          <w:sz w:val="28"/>
          <w:szCs w:val="28"/>
          <w:rtl w:val="true"/>
          <w:lang w:bidi="fa-IR"/>
        </w:rPr>
        <w:t xml:space="preserve">؟ فأجابه </w:t>
      </w:r>
      <w:r>
        <w:rPr>
          <w:rStyle w:val="FootnoteAnchor"/>
          <w:rtl w:val="true"/>
        </w:rPr>
        <w:footnoteReference w:id="1006"/>
      </w:r>
      <w:r>
        <w:rPr>
          <w:rFonts w:ascii="IRNazanin" w:hAnsi="IRNazanin" w:eastAsia="IRNazanin"/>
          <w:color w:val="111111"/>
          <w:sz w:val="28"/>
          <w:sz w:val="28"/>
          <w:szCs w:val="28"/>
          <w:rtl w:val="true"/>
          <w:lang w:bidi="fa-IR"/>
        </w:rPr>
        <w:t xml:space="preserve">بجواب قرأته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توهّمت ممّا أصاب یدک فلیس بشی‌ء إلاّ ما تحقق </w:t>
      </w:r>
      <w:r>
        <w:rPr>
          <w:rStyle w:val="FootnoteAnchor"/>
          <w:rtl w:val="true"/>
        </w:rPr>
        <w:footnoteReference w:id="1007"/>
      </w:r>
      <w:r>
        <w:rPr>
          <w:rFonts w:ascii="IRNazanin" w:hAnsi="IRNazanin" w:eastAsia="IRNazanin"/>
          <w:color w:val="111111"/>
          <w:sz w:val="28"/>
          <w:sz w:val="28"/>
          <w:szCs w:val="28"/>
          <w:rtl w:val="true"/>
          <w:lang w:bidi="fa-IR"/>
        </w:rPr>
        <w:t xml:space="preserve">، فإنّ تحقّقت ذلک کنت حقیقاً أن تعید الصلوات التی کنت </w:t>
      </w:r>
      <w:r>
        <w:rPr>
          <w:rStyle w:val="FootnoteAnchor"/>
          <w:rtl w:val="true"/>
        </w:rPr>
        <w:footnoteReference w:id="1008"/>
      </w:r>
      <w:r>
        <w:rPr>
          <w:rFonts w:ascii="IRNazanin" w:hAnsi="IRNazanin" w:eastAsia="IRNazanin"/>
          <w:color w:val="111111"/>
          <w:sz w:val="28"/>
          <w:sz w:val="28"/>
          <w:szCs w:val="28"/>
          <w:rtl w:val="true"/>
          <w:lang w:bidi="fa-IR"/>
        </w:rPr>
        <w:t xml:space="preserve">صلّیتهن بذلک الوضوء بعینه ما کان منهن فی وقتها ، وما فات وقتها فلا إعادة علیک لها ، من قِبَلِ أنّ الرجل إذا کان ثوبه نجساً لم یعد الصلاة إلاّ ما کان فی وقت ، فإذا کان جنباً أو صلّی علی غیر وضوء فعلیه إعادة الصلوات المکتوبات اللواتی فاتته فإنّ </w:t>
      </w:r>
      <w:r>
        <w:rPr>
          <w:rStyle w:val="FootnoteAnchor"/>
          <w:rtl w:val="true"/>
        </w:rPr>
        <w:footnoteReference w:id="1009"/>
      </w:r>
      <w:r>
        <w:rPr>
          <w:rFonts w:ascii="IRNazanin" w:hAnsi="IRNazanin" w:eastAsia="IRNazanin"/>
          <w:color w:val="111111"/>
          <w:sz w:val="28"/>
          <w:sz w:val="28"/>
          <w:szCs w:val="28"/>
          <w:rtl w:val="true"/>
          <w:lang w:bidi="fa-IR"/>
        </w:rPr>
        <w:t xml:space="preserve">الثوب خلاف الجسد ، فاعمل علی ذلک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 صحّته ، وما قاله المحقق فی المعتبر من أنّها حسنة </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غیر المعنی المصطلح علیه ، لما ذکرناه من عدم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6" w:name="__RefHeading___Toc146948_2142443653"/>
      <w:bookmarkStart w:id="667" w:name="_Toc252"/>
      <w:bookmarkEnd w:id="666"/>
      <w:r>
        <w:rPr>
          <w:rtl w:val="true"/>
        </w:rPr>
        <w:t>صحة سند حدیث العلاء وتوجیه عدّ المحقق إیّاه حسناً</w:t>
      </w:r>
      <w:bookmarkStart w:id="668" w:name="pg15025_160393"/>
      <w:bookmarkEnd w:id="667"/>
    </w:p>
    <w:p>
      <w:pPr>
        <w:pStyle w:val="BookText"/>
        <w:rPr/>
      </w:pPr>
      <w:bookmarkEnd w:id="668"/>
      <w:r>
        <w:rPr>
          <w:rFonts w:ascii="IRNazanin" w:hAnsi="IRNazanin" w:eastAsia="IRNazanin"/>
          <w:color w:val="111111"/>
          <w:sz w:val="28"/>
          <w:sz w:val="28"/>
          <w:szCs w:val="28"/>
          <w:rtl w:val="true"/>
          <w:lang w:bidi="fa-IR"/>
        </w:rPr>
        <w:t xml:space="preserve">الارتیاب ، ظنّی أنّ غرضه بالحسن مطابقتها للأُصول ، وإنّ أتی بعد العبارة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والأُصول تطابقها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أنّ یکون </w:t>
      </w:r>
      <w:r>
        <w:rPr>
          <w:rStyle w:val="FootnoteAnchor"/>
          <w:rtl w:val="true"/>
        </w:rPr>
        <w:footnoteReference w:id="1011"/>
      </w:r>
      <w:r>
        <w:rPr>
          <w:rFonts w:ascii="IRNazanin" w:hAnsi="IRNazanin" w:eastAsia="IRNazanin"/>
          <w:color w:val="111111"/>
          <w:sz w:val="28"/>
          <w:sz w:val="28"/>
          <w:szCs w:val="28"/>
          <w:rtl w:val="true"/>
          <w:lang w:bidi="fa-IR"/>
        </w:rPr>
        <w:t xml:space="preserve">لبیان الحسن ، ومن هنا یظهر أنّ ما قاله بعض الأصحاب من أنّ هذه الروایة حسنة لا تعارض الصحیح </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 ومنشأ ذلک عدم مراجعة أُصول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السند فی التهذیب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محبوب وسعد ابن عبد الله ، عن أحمد بن محمد ، عن الحسن بن محبوب ، والأمر سهل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لا ریب فی سنده ، وعبد الله بن محمد الواقع فیه لا یبعد أنّ یکون أخا أحمد بن محمد بن عیسی الملقّب ببنان علی ما فی الکشی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محمد بن عیسی الملقّب ببنان أخو أحمد ابن محمد بن عیسی </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والرجل مجهول الحال ، لکن لا یضرّ فی الروایة ، وفی التهذیب فی آخر زکاة الفطرة حدیث فی سنده عن بنان بن محمد عن أخیه عبد الله بن محمد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احتمال القدح بالإضمار فلا شی‌ء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 بل ولو لم یقل ذلک أیضاً ، وکونها مکاتبة لا أعلم وجه التوقف فیها ، وجهالة سلیمان لا ضرر فیها</w:t>
      </w:r>
      <w:r>
        <w:rPr>
          <w:rFonts w:eastAsia="IRNazanin" w:cs="IRNazanin"/>
          <w:color w:val="111111"/>
          <w:sz w:val="28"/>
          <w:szCs w:val="28"/>
          <w:rtl w:val="true"/>
          <w:lang w:bidi="fa-IR"/>
        </w:rPr>
        <w:t>.</w:t>
      </w:r>
    </w:p>
    <w:p>
      <w:pPr>
        <w:pStyle w:val="Heading4"/>
        <w:numPr>
          <w:ilvl w:val="3"/>
          <w:numId w:val="1"/>
        </w:numPr>
        <w:rPr/>
      </w:pPr>
      <w:bookmarkStart w:id="669" w:name="__RefHeading___Toc146950_2142443653"/>
      <w:bookmarkStart w:id="670" w:name="_Toc253"/>
      <w:bookmarkEnd w:id="669"/>
      <w:r>
        <w:rPr>
          <w:rtl w:val="true"/>
        </w:rPr>
        <w:t>بحث حول عبدالله بن محمّد</w:t>
      </w:r>
      <w:bookmarkEnd w:id="67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1" w:name="__RefHeading___Toc146952_2142443653"/>
      <w:bookmarkStart w:id="672" w:name="_Toc254"/>
      <w:bookmarkEnd w:id="671"/>
      <w:r>
        <w:rPr>
          <w:rtl w:val="true"/>
        </w:rPr>
        <w:t>إشارة إلی جهالة سلیمان بن رشید</w:t>
      </w:r>
      <w:bookmarkStart w:id="673" w:name="pg15025_160394"/>
      <w:bookmarkEnd w:id="672"/>
    </w:p>
    <w:p>
      <w:pPr>
        <w:pStyle w:val="BookText"/>
        <w:rPr/>
      </w:pPr>
      <w:bookmarkEnd w:id="673"/>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کما تری یدل بإطلاقه علی عدم إعادة الناسی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یستفاد من التعلیل أیضاً العموم للوقت وخارجه </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ویظهر من المحقّق المیل إلی العمل بها ، فإنّه قال بعد ما سبق نقله عنه کما حکاه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والأُصول تطابقها ؛ لأنّه صلّی صلاة مشروعة مأموراً بها فیسقط الفرض بها ، ویؤیّد ذلک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غفر لأُمّتی الخطاء والنسیان </w:t>
      </w:r>
      <w:r>
        <w:rPr>
          <w:rFonts w:eastAsia="IRNazanin" w:cs="IRNazanin"/>
          <w:color w:val="111111"/>
          <w:sz w:val="28"/>
          <w:szCs w:val="28"/>
          <w:rtl w:val="true"/>
          <w:lang w:bidi="fa-IR"/>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علیک دلالة کلام المحقق علی أنّ الصلاة المأتیّ بها مشروعة ، ولا معنی للمشروع إلاّ ما وافق الشارع ، وهذا بعینه یأتی فی الجاهل ، فقول شیخنا قدس سره فی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یأت بالمأمور به </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نقله ، محل بحث ، ولو لا تأیید المحقق بالروایة المتضمّنة للناسی فی الغفران لأمکن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کونها مشروعة بسبب الخبر ، وإنّ کان فی نظری القاصر أنّ الخبر لا یدل علی عدم الإعادة ، بل الظاهر منه عدم المؤاخذة ، وعلی تقدیر منع الظهور فلا أقلّ من الاحتمال ، وهو کاف فی دفع الاستدلال ، والأخبار الدالة </w:t>
      </w:r>
      <w:r>
        <w:rPr>
          <w:rStyle w:val="FootnoteAnchor"/>
          <w:rtl w:val="true"/>
        </w:rPr>
        <w:footnoteReference w:id="1019"/>
      </w:r>
      <w:r>
        <w:rPr>
          <w:rFonts w:ascii="IRNazanin" w:hAnsi="IRNazanin" w:eastAsia="IRNazanin"/>
          <w:color w:val="111111"/>
          <w:sz w:val="28"/>
          <w:sz w:val="28"/>
          <w:szCs w:val="28"/>
          <w:rtl w:val="true"/>
          <w:lang w:bidi="fa-IR"/>
        </w:rPr>
        <w:t>علی الإعادة یحتمل فیها الحمل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حمل الشیخ فموقوف علی أمرین </w:t>
      </w:r>
      <w:r>
        <w:rPr>
          <w:rFonts w:eastAsia="IRNazanin" w:cs="IRNazanin"/>
          <w:color w:val="111111"/>
          <w:sz w:val="28"/>
          <w:szCs w:val="28"/>
          <w:rtl w:val="true"/>
          <w:lang w:bidi="fa-IR"/>
        </w:rPr>
        <w:t>:</w:t>
      </w:r>
    </w:p>
    <w:p>
      <w:pPr>
        <w:pStyle w:val="Heading4"/>
        <w:numPr>
          <w:ilvl w:val="3"/>
          <w:numId w:val="1"/>
        </w:numPr>
        <w:rPr/>
      </w:pPr>
      <w:bookmarkStart w:id="674" w:name="__RefHeading___Toc146954_2142443653"/>
      <w:bookmarkStart w:id="675" w:name="_Toc255"/>
      <w:bookmarkEnd w:id="674"/>
      <w:r>
        <w:rPr>
          <w:rtl w:val="true"/>
        </w:rPr>
        <w:t>کلام حول دلالة روایة العلاء علی عدم إعادة الناسی</w:t>
      </w:r>
      <w:bookmarkEnd w:id="67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6" w:name="__RefHeading___Toc146956_2142443653"/>
      <w:bookmarkStart w:id="677" w:name="_Toc256"/>
      <w:bookmarkEnd w:id="676"/>
      <w:r>
        <w:rPr>
          <w:rtl w:val="true"/>
        </w:rPr>
        <w:t>حمل الشیخ لروایة العلاء والمناقشة فیه</w:t>
      </w:r>
      <w:bookmarkStart w:id="678" w:name="pg15025_160395"/>
      <w:bookmarkEnd w:id="677"/>
    </w:p>
    <w:p>
      <w:pPr>
        <w:pStyle w:val="BookText"/>
        <w:rPr/>
      </w:pPr>
      <w:bookmarkEnd w:id="678"/>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دلالة الروایتین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عدم دلالة الروایتین ترجیح الحمل المذکور مع احتمال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والأمران مشکلان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روایة أبی بصیر إنّ عَنی بها روایته المتضمنة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أو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غیر صریحة فی المطلوب ، وتوجیه الشیخ لها لا ینفی احتمال غیره ، وقد ذکر شیخنا المحقّق </w:t>
      </w:r>
      <w:r>
        <w:rPr>
          <w:rStyle w:val="FootnoteAnchor"/>
          <w:rtl w:val="true"/>
        </w:rPr>
        <w:footnoteReference w:id="1020"/>
      </w:r>
      <w:r>
        <w:rPr>
          <w:rFonts w:ascii="IRNazanin" w:hAnsi="IRNazanin" w:eastAsia="IRNazanin"/>
          <w:color w:val="111111"/>
          <w:sz w:val="28"/>
          <w:sz w:val="28"/>
          <w:szCs w:val="28"/>
          <w:rtl w:val="true"/>
          <w:lang w:bidi="fa-IR"/>
        </w:rPr>
        <w:t xml:space="preserve">میرزا محمد أیّده الله تعالی احتمال أنّ یکون المراد بقوله علیه السلام أخیراً فی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فی أثناء الصلاة کما یدل علیه روایة أبی بصیر السابقة ، ومع الاحتمال لا یتم المطلوب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الشیخ له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 ، علی أنّ اللازم من الروایة إذا قیّد الناسی بالإعادة فی الوقت أنّ یبقی الجاهل الذی تضمّنته أیضاً علیه الإعادة مطلقاً لإطلاقها فی الجاهل ، والحال أنّه قد تقدّم منه أنّ الجاهل لا یعید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ترجیحه ظاهر ؛ إذ هو من غیر مرجّح ، بل الظاهر رجحان الاستحباب کما یستفاد ممّا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عنی الشیخ روایة أبی بصیر السابقة من حیث إطلاقها المتناول للناسی </w:t>
      </w:r>
      <w:r>
        <w:rPr>
          <w:rStyle w:val="FootnoteAnchor"/>
          <w:rtl w:val="true"/>
        </w:rPr>
        <w:footnoteReference w:id="1021"/>
      </w:r>
      <w:r>
        <w:rPr>
          <w:rFonts w:ascii="IRNazanin" w:hAnsi="IRNazanin" w:eastAsia="IRNazanin"/>
          <w:color w:val="111111"/>
          <w:sz w:val="28"/>
          <w:sz w:val="28"/>
          <w:szCs w:val="28"/>
          <w:rtl w:val="true"/>
          <w:lang w:bidi="fa-IR"/>
        </w:rPr>
        <w:t xml:space="preserve">وغیره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موردها العلم فی الأثناء ، ولا ملازمة للإعادة بعد الإتمام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الروایة الثانیة الذی ادعی الشیخ دلالتها علی التفصیل فالکلام فیها یتوقف علی بیان ما ذکره المتأخّرون </w:t>
      </w:r>
      <w:r>
        <w:rPr>
          <w:rStyle w:val="FootnoteAnchor"/>
          <w:rtl w:val="true"/>
        </w:rPr>
        <w:footnoteReference w:id="1022"/>
      </w:r>
      <w:r>
        <w:rPr>
          <w:rFonts w:ascii="IRNazanin" w:hAnsi="IRNazanin" w:eastAsia="IRNazanin"/>
          <w:color w:val="111111"/>
          <w:sz w:val="28"/>
          <w:sz w:val="28"/>
          <w:szCs w:val="28"/>
          <w:rtl w:val="true"/>
          <w:lang w:bidi="fa-IR"/>
        </w:rPr>
        <w:t xml:space="preserve">من الإشکالات فیها وهی ثلاثة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9" w:name="__RefHeading___Toc146958_2142443653"/>
      <w:bookmarkStart w:id="680" w:name="_Toc257"/>
      <w:bookmarkEnd w:id="679"/>
      <w:r>
        <w:rPr>
          <w:rtl w:val="true"/>
        </w:rPr>
        <w:t>بیان الإشکالات الواردة علی روایة علی بن مهزیار والجواب عنها</w:t>
      </w:r>
      <w:bookmarkEnd w:id="680"/>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حکمه علیه السلام بعدم قضاء ما فات وقته من الصلوات التی صلاّهنّ بذلک الوضوء یقتضی صحته ، وهو یقتضی عدم اشتراط طهارة أعضاء الوضوء ، وما قاله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احتمال التزام ذلک فی إزالة الخبث ورفع الحدث بورود ماء واحد ، فإنّ الاستدلال علی بطلان الوضوء محل کلام </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تأمّل ؛ لأنّ التزام هذا یقتضی صحة الوضوء وتکون الإعادة إنّما هی من جهة </w:t>
      </w:r>
      <w:r>
        <w:rPr>
          <w:rStyle w:val="FootnoteAnchor"/>
          <w:rtl w:val="true"/>
        </w:rPr>
        <w:footnoteReference w:id="1024"/>
      </w:r>
      <w:r>
        <w:rPr>
          <w:rFonts w:ascii="IRNazanin" w:hAnsi="IRNazanin" w:eastAsia="IRNazanin"/>
          <w:color w:val="111111"/>
          <w:sz w:val="28"/>
          <w:sz w:val="28"/>
          <w:szCs w:val="28"/>
          <w:rtl w:val="true"/>
          <w:lang w:bidi="fa-IR"/>
        </w:rPr>
        <w:t>نجاسة الثوب ، وهذا مشترک بین الوضوءات ، فکیف یقال بالتخصیص بذاک الوضوء بعینه ، ولو أُرید إبطال الأوّل وصحة الباقی لما ذکر فالفرق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الدلیل علی عدم التداخل إذا اعتبر من حیث إنّ الأصل عدم تداخل الأسباب لم یکن فیه شوب الریب ، وجواز التداخل فی بعض الأفراد بدلیل لا یقتضی التداخل مطلقاً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الجواب عن الإشکال بأنّ المراد بالوضوء بعینه الوضوء بالماء النجس سواء کان الأوّل أو غیره ، وتکون الإعادة مختصة بالوقت من حیث الثوب ، کما ذکره مشایخنا فی توجیه الروایة </w:t>
      </w:r>
      <w:r>
        <w:rPr>
          <w:rStyle w:val="FootnoteAnchor"/>
          <w:rtl w:val="true"/>
        </w:rPr>
        <w:footnoteReference w:id="1025"/>
      </w:r>
      <w:r>
        <w:rPr>
          <w:rFonts w:ascii="IRNazanin" w:hAnsi="IRNazanin" w:eastAsia="IRNazanin"/>
          <w:color w:val="111111"/>
          <w:sz w:val="28"/>
          <w:sz w:val="28"/>
          <w:szCs w:val="28"/>
          <w:rtl w:val="true"/>
          <w:lang w:bidi="fa-IR"/>
        </w:rPr>
        <w:t>وإنّ لم یتوجهوا إلی الإشکالات ، وقد یحصل الإشکال فی قولهم هذا أعنی کون الإعادة من حیث الثوب فإنّ اللازم التعمیة فی الجواب الموجبة للإخلال بالحکمة ، ولعل الجواب باحتمال علم السائل من جهة أُخری ولو ممّا تضمنته آخر الروایة علی احتمال سنبیّنه 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الید الماسحة للرأس تنجس بنجاسة </w:t>
      </w:r>
      <w:r>
        <w:rPr>
          <w:rStyle w:val="FootnoteAnchor"/>
          <w:rtl w:val="true"/>
        </w:rPr>
        <w:footnoteReference w:id="1026"/>
      </w:r>
      <w:r>
        <w:rPr>
          <w:rFonts w:ascii="IRNazanin" w:hAnsi="IRNazanin" w:eastAsia="IRNazanin"/>
          <w:color w:val="111111"/>
          <w:sz w:val="28"/>
          <w:sz w:val="28"/>
          <w:szCs w:val="28"/>
          <w:rtl w:val="true"/>
          <w:lang w:bidi="fa-IR"/>
        </w:rPr>
        <w:t>الرأس ؛ إذ الفرض کونه نجساً ، وإذا کانت نجسة فکیف یصح المسح بالنجس من البلل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 هذا باحتمال عدم استیعاب الدهن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تعمیة الجواب المنافی للحکمة ، إلاّ أنّ یکون علیه السلام أطّلع علی ذلک کما قیل </w:t>
      </w:r>
      <w:r>
        <w:rPr>
          <w:rStyle w:val="FootnoteAnchor"/>
          <w:rtl w:val="true"/>
        </w:rPr>
        <w:footnoteReference w:id="1027"/>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الوضوء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یقتضی أنّ الوضوء لو تعدد لا تقضی الصلاة ، والحال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بما قدّمناه من إرادة الوضوء بالماء النجس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قول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ضعیفة من حیث السند بجهالة الکاتب </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علی بن مهزیار أخبر عن خطّ الإمام علیه السلام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الضمیر فی خطه راجع إلی سلیمان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قدس سره من احتمال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تحققت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 علی وصول الماء لغیر موضع الوضوء ، فلا ینبغی أنّ یذکر فی الروایة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نظری القاصر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قِبَل أنّ الرجل إذا کان ثوبه نجساً لم یعد الصلاة إلاّ ما کان فی وقت ؛ وإذا کان جنباً أو صلّی علی غیر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 محتمل لأنّ یکون علیه السلام بیّن حکمین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الثوب وحکم الوضوء علی سبیل الإجمال ، فإنّ تطرّقت النجاسة إلی الثوب کان </w:t>
      </w:r>
    </w:p>
    <w:p>
      <w:pPr>
        <w:pStyle w:val="BookText"/>
        <w:rPr/>
      </w:pPr>
      <w:r>
        <w:rPr>
          <w:rFonts w:ascii="IRNazanin" w:hAnsi="IRNazanin" w:eastAsia="IRNazanin"/>
          <w:color w:val="111111"/>
          <w:sz w:val="28"/>
          <w:sz w:val="28"/>
          <w:szCs w:val="28"/>
          <w:rtl w:val="true"/>
          <w:lang w:bidi="fa-IR"/>
        </w:rPr>
        <w:t xml:space="preserve">حکمه ما ذکر ، وإنّ </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 xml:space="preserve">تطرّقت إلی الوضوء کان الحکم ما ذکر ، وحینئذٍ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حیث نجاسة الثوب کذا ومن الجنابة کذا ، غایة الأمر أنّه یبقی تخصیص الوضوء غیر ظاهر الوجه ، واحتمال إرادة الوضوء بالماء النجس لا مانع منه ، وعلی هذا یمکن توجیه الروایة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علی بُعدٍ أنّ یراد بالوضوء الاستنجاء ، واستعماله فی الأخبار موجود ، ویراد بعینه ما دام أثره موجوداً من دون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الثوب خلاف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أنّ یراد به أنّ نجاسة الثوب العینیة بخلاف نجاسة البدن الحکمیة ، ولو أُرید بالبدن نجاسته العینیة لم یکن له مناسبة لما تقدم من ذکر الفرق بین الثوب النجس والوضوء والغَسل ، غایة الأمر أنّه تبقی نجاسة الجسد مسکوتاً عنها ، وغیر بعید استفادتها من الروایة حیث جعل قسیم </w:t>
      </w:r>
      <w:r>
        <w:rPr>
          <w:rStyle w:val="FootnoteAnchor"/>
          <w:rtl w:val="true"/>
        </w:rPr>
        <w:footnoteReference w:id="1030"/>
      </w:r>
      <w:r>
        <w:rPr>
          <w:rFonts w:ascii="IRNazanin" w:hAnsi="IRNazanin" w:eastAsia="IRNazanin"/>
          <w:color w:val="111111"/>
          <w:sz w:val="28"/>
          <w:sz w:val="28"/>
          <w:szCs w:val="28"/>
          <w:rtl w:val="true"/>
          <w:lang w:bidi="fa-IR"/>
        </w:rPr>
        <w:t>الثوب النجس النجاسة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عرفت هذا کلّه فاعلم أنّ استدلال الشیخ رحمه الله بالروایة علی ما ذکره من التفصیل بعد هذا الإجمال وعدم سلامتها من تطرّق الإشکال لا یخلو من غرابة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تقدم من الشیخ فی حکم الجاهل جعله مفروضاً فی الثوب </w:t>
      </w:r>
      <w:r>
        <w:rPr>
          <w:rStyle w:val="FootnoteAnchor"/>
          <w:rtl w:val="true"/>
        </w:rPr>
        <w:footnoteReference w:id="1031"/>
      </w:r>
      <w:r>
        <w:rPr>
          <w:rFonts w:ascii="IRNazanin" w:hAnsi="IRNazanin" w:eastAsia="IRNazanin"/>
          <w:color w:val="111111"/>
          <w:sz w:val="28"/>
          <w:sz w:val="28"/>
          <w:szCs w:val="28"/>
          <w:rtl w:val="true"/>
          <w:lang w:bidi="fa-IR"/>
        </w:rPr>
        <w:t xml:space="preserve">، والأخبار المذکورة أکثرها فی الثوب </w:t>
      </w:r>
      <w:r>
        <w:rPr>
          <w:rStyle w:val="FootnoteAnchor"/>
          <w:rtl w:val="true"/>
        </w:rPr>
        <w:footnoteReference w:id="1032"/>
      </w:r>
      <w:r>
        <w:rPr>
          <w:rFonts w:ascii="IRNazanin" w:hAnsi="IRNazanin" w:eastAsia="IRNazanin"/>
          <w:color w:val="111111"/>
          <w:sz w:val="28"/>
          <w:sz w:val="28"/>
          <w:szCs w:val="28"/>
          <w:rtl w:val="true"/>
          <w:lang w:bidi="fa-IR"/>
        </w:rPr>
        <w:t xml:space="preserve">، وإنّما ورد فی الجسد روایة إبراهیم بن میمون السابقة ، والأخبار الواردة فی باب الدم کذلک </w:t>
      </w:r>
      <w:r>
        <w:rPr>
          <w:rStyle w:val="FootnoteAnchor"/>
          <w:rtl w:val="true"/>
        </w:rPr>
        <w:footnoteReference w:id="1033"/>
      </w:r>
      <w:r>
        <w:rPr>
          <w:rFonts w:ascii="IRNazanin" w:hAnsi="IRNazanin" w:eastAsia="IRNazanin"/>
          <w:color w:val="111111"/>
          <w:sz w:val="28"/>
          <w:sz w:val="28"/>
          <w:szCs w:val="28"/>
          <w:rtl w:val="true"/>
          <w:lang w:bidi="fa-IR"/>
        </w:rPr>
        <w:t xml:space="preserve">، </w:t>
      </w:r>
      <w:bookmarkStart w:id="681" w:name="pg15025_160399"/>
    </w:p>
    <w:p>
      <w:pPr>
        <w:pStyle w:val="BookText"/>
        <w:rPr/>
      </w:pPr>
      <w:bookmarkEnd w:id="681"/>
      <w:r>
        <w:rPr>
          <w:rFonts w:ascii="IRNazanin" w:hAnsi="IRNazanin" w:eastAsia="IRNazanin"/>
          <w:color w:val="111111"/>
          <w:sz w:val="28"/>
          <w:sz w:val="28"/>
          <w:szCs w:val="28"/>
          <w:rtl w:val="true"/>
          <w:lang w:bidi="fa-IR"/>
        </w:rPr>
        <w:t xml:space="preserve">والوالد قدس سره نقل فی الدم باعتبار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مدعی علی عدم الفرق بین الثوب والبدن </w:t>
      </w:r>
      <w:r>
        <w:rPr>
          <w:rStyle w:val="FootnoteAnchor"/>
          <w:rtl w:val="true"/>
        </w:rPr>
        <w:footnoteReference w:id="1034"/>
      </w:r>
      <w:r>
        <w:rPr>
          <w:rFonts w:ascii="Amiri" w:hAnsi="Amiri" w:eastAsia="Amiri" w:cs="Amiri"/>
          <w:color w:val="111111"/>
          <w:sz w:val="28"/>
          <w:sz w:val="28"/>
          <w:szCs w:val="28"/>
          <w:rtl w:val="true"/>
          <w:lang w:bidi="ar-SA"/>
        </w:rPr>
        <w:t>، أمّا من جهة إعادة الصلاة فالإجماع لم نعلمه الآن ، والخبر المبحوث عنه مجمل الدلالة ، والله سبحانه أعلم بحقائق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عرق الجنب والحائض یصیب الثوب</w:t>
      </w:r>
    </w:p>
    <w:p>
      <w:pPr>
        <w:pStyle w:val="BookText"/>
        <w:rPr/>
      </w:pPr>
      <w:r>
        <w:rPr>
          <w:rFonts w:ascii="IRNazanin" w:hAnsi="IRNazanin" w:eastAsia="IRNazanin"/>
          <w:color w:val="111111"/>
          <w:sz w:val="28"/>
          <w:sz w:val="28"/>
          <w:szCs w:val="28"/>
          <w:rtl w:val="true"/>
          <w:lang w:bidi="fa-IR"/>
        </w:rPr>
        <w:t xml:space="preserve">أخبرنی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القاسم جعفر بن محمد ، عن محمد بن یعقوب ، عن علی بن إبراهیم ، عن أبیه ، عن ابن أبی عمیر ، عن ابن أُذینة ، عن أبی أُسامة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الجنب یعرق فی ثوبه أو یغتسل ، فیعانق امرأته ویضاجعها وهی حائض أو جنب فیصیب جسده من عرقها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کلّه لیس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 عن محمد بن یعقوب ، عن عدة من أصحابنا ، عن أحمد بن محمد ، عن الحسین بن سعید ، عن القاسم بن محمد ، عن علی بن أبی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وأنا حاضر عن رجل أجنب فی ثوبه ، فیعرق فیه؟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أری به بأساً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یعرق ، حتی أنّه لو شاء أنّ یعصره لعصره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فقطّب أبو عبد الله علیه السلام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أبیتم فشی‌ء من ماء فانضحه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 عن محمد بن یعقوب ، عن محمد بن یحیی ، عن أحمد بن محمد ، عن ابن فضال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بکیر </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 xml:space="preserve">، عن حمزة بن حمران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یجنب الثوب الرجل</w:t>
      </w:r>
    </w:p>
    <w:p>
      <w:pPr>
        <w:pStyle w:val="Heading3"/>
        <w:numPr>
          <w:ilvl w:val="2"/>
          <w:numId w:val="1"/>
        </w:numPr>
        <w:rPr/>
      </w:pPr>
      <w:bookmarkStart w:id="682" w:name="__RefHeading___Toc146960_2142443653"/>
      <w:bookmarkStart w:id="683" w:name="_Toc258"/>
      <w:bookmarkEnd w:id="682"/>
      <w:r>
        <w:rPr>
          <w:rtl w:val="true"/>
        </w:rPr>
        <w:t>عرق الجنب والحائض یصیب الثوب</w:t>
      </w:r>
      <w:bookmarkEnd w:id="68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4" w:name="__RefHeading___Toc146962_2142443653"/>
      <w:bookmarkStart w:id="685" w:name="_Toc259"/>
      <w:bookmarkEnd w:id="684"/>
      <w:r>
        <w:rPr>
          <w:rtl w:val="true"/>
        </w:rPr>
        <w:t>اشارة</w:t>
      </w:r>
      <w:bookmarkStart w:id="686" w:name="pg15025_160400"/>
      <w:bookmarkEnd w:id="685"/>
    </w:p>
    <w:p>
      <w:pPr>
        <w:pStyle w:val="BookText"/>
        <w:rPr/>
      </w:pPr>
      <w:bookmarkEnd w:id="686"/>
      <w:r>
        <w:rPr>
          <w:rFonts w:ascii="IRNazanin" w:hAnsi="IRNazanin" w:eastAsia="IRNazanin"/>
          <w:color w:val="111111"/>
          <w:sz w:val="28"/>
          <w:sz w:val="28"/>
          <w:szCs w:val="28"/>
          <w:rtl w:val="true"/>
          <w:lang w:bidi="fa-IR"/>
        </w:rPr>
        <w:t xml:space="preserve">ولا یجنب الرجل الثوب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عن أحمد بن محمد ، عن أبیه ، عن الحسین بن الحسن بن أبان ، عن الحسین بن سعید ، عن حمّاد ، عن شعیب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القمیص یعرق فیه الرجل وهو جنب ، حتی یبتلّ </w:t>
      </w:r>
      <w:r>
        <w:rPr>
          <w:rStyle w:val="FootnoteAnchor"/>
          <w:rtl w:val="true"/>
        </w:rPr>
        <w:footnoteReference w:id="1036"/>
      </w:r>
      <w:r>
        <w:rPr>
          <w:rFonts w:ascii="Amiri" w:hAnsi="Amiri" w:eastAsia="Amiri" w:cs="Amiri"/>
          <w:color w:val="111111"/>
          <w:sz w:val="28"/>
          <w:sz w:val="28"/>
          <w:szCs w:val="28"/>
          <w:rtl w:val="true"/>
          <w:lang w:bidi="ar-SA"/>
        </w:rPr>
        <w:t xml:space="preserve">القمیص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وإنّ أحبَّ أنّ یرشّه بالماء فلیفعل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عنه ، عن أبی القاسم جعفر بن محمد ، عن أبیه ، عن سعد بن عبد الله ، عن المنبه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علوان الکلبی ، عن عمرو بن خالد ، عن زید بن علی ، عن أبیه ، عن جده ، عن علی علیهم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رسول الله صلی الله علیه و آله عن الجنب والحائض یعرقان فی الثوب حتی یلصق علیهما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الحیض والجنابة حیث جعلهما الله عزّ وجلّ لیس من العرق ، فلا یغسلان ثوبهما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 عن سعد ، عن أحمد بن محمد ، عن العباس بن معروف ، عن علی بن مهزیار ، عن حماد بن عیسی وفضالة بن أیوب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الحائض تعرق فی ثیابها ، أتصلّی فیها قبل أنّ تغسلها؟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حسن ، وابن أُذینة فیه هو عمر بن أُذینة ، وقد وثّقه الشیخ </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ذکر عمر بن محمد بن عبد الرحمن بن أُذینة ، وقال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7" w:name="__RefHeading___Toc146964_2142443653"/>
      <w:bookmarkStart w:id="688" w:name="_Toc260"/>
      <w:bookmarkEnd w:id="687"/>
      <w:r>
        <w:rPr>
          <w:rtl w:val="true"/>
        </w:rPr>
        <w:t>بحث حول عمر بن أذینة</w:t>
      </w:r>
      <w:bookmarkStart w:id="689" w:name="pg15025_160401"/>
      <w:bookmarkEnd w:id="688"/>
    </w:p>
    <w:p>
      <w:pPr>
        <w:pStyle w:val="BookText"/>
        <w:rPr/>
      </w:pPr>
      <w:bookmarkEnd w:id="689"/>
      <w:r>
        <w:rPr>
          <w:rFonts w:ascii="IRNazanin" w:hAnsi="IRNazanin" w:eastAsia="IRNazanin"/>
          <w:color w:val="111111"/>
          <w:sz w:val="28"/>
          <w:sz w:val="28"/>
          <w:szCs w:val="28"/>
          <w:rtl w:val="true"/>
          <w:lang w:bidi="fa-IR"/>
        </w:rPr>
        <w:t xml:space="preserve">إنّه شیخ أصحابنا البصریین ووجههم </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تخیل ابن داود أنّ ما ذکر النجاشی غیر ما ذکره الشیخ </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غریب ؛ لأنّ النجاشی ذکر فی الطریق إلیه بلفظ عمر بن أُذینة </w:t>
      </w:r>
      <w:r>
        <w:rPr>
          <w:rStyle w:val="FootnoteAnchor"/>
          <w:rtl w:val="true"/>
        </w:rPr>
        <w:footnoteReference w:id="1041"/>
      </w:r>
      <w:r>
        <w:rPr>
          <w:rFonts w:ascii="IRNazanin" w:hAnsi="IRNazanin" w:eastAsia="IRNazanin"/>
          <w:color w:val="111111"/>
          <w:sz w:val="28"/>
          <w:sz w:val="28"/>
          <w:szCs w:val="28"/>
          <w:rtl w:val="true"/>
          <w:lang w:bidi="fa-IR"/>
        </w:rPr>
        <w:t>، فدل علی أنّه ینسب إلی الجدّ تارة وإلی الأب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أُسامة هو زید الشحام بن یونس ، أو ابن موسی علی ما ذکره النجاشی ولم یوثقه </w:t>
      </w:r>
      <w:r>
        <w:rPr>
          <w:rStyle w:val="FootnoteAnchor"/>
          <w:rtl w:val="true"/>
        </w:rPr>
        <w:footnoteReference w:id="1042"/>
      </w:r>
      <w:r>
        <w:rPr>
          <w:rFonts w:ascii="IRNazanin" w:hAnsi="IRNazanin" w:eastAsia="IRNazanin"/>
          <w:color w:val="111111"/>
          <w:sz w:val="28"/>
          <w:sz w:val="28"/>
          <w:szCs w:val="28"/>
          <w:rtl w:val="true"/>
          <w:lang w:bidi="fa-IR"/>
        </w:rPr>
        <w:t xml:space="preserve">، لکن الشیخ وثقه فی الفهرست </w:t>
      </w:r>
      <w:r>
        <w:rPr>
          <w:rStyle w:val="FootnoteAnchor"/>
          <w:rtl w:val="true"/>
        </w:rPr>
        <w:footnoteReference w:id="1043"/>
      </w:r>
      <w:r>
        <w:rPr>
          <w:rFonts w:ascii="IRNazanin" w:hAnsi="IRNazanin" w:eastAsia="IRNazanin"/>
          <w:color w:val="111111"/>
          <w:sz w:val="28"/>
          <w:sz w:val="28"/>
          <w:szCs w:val="28"/>
          <w:rtl w:val="true"/>
          <w:lang w:bidi="fa-IR"/>
        </w:rPr>
        <w:t xml:space="preserve">؛ والعلاّمة فی الخلاصة ذکر نحو ما قاله النجاشی فی الأب ووثقه </w:t>
      </w:r>
      <w:r>
        <w:rPr>
          <w:rStyle w:val="FootnoteAnchor"/>
          <w:rtl w:val="true"/>
        </w:rPr>
        <w:footnoteReference w:id="1044"/>
      </w:r>
      <w:r>
        <w:rPr>
          <w:rFonts w:ascii="IRNazanin" w:hAnsi="IRNazanin" w:eastAsia="IRNazanin"/>
          <w:color w:val="111111"/>
          <w:sz w:val="28"/>
          <w:sz w:val="28"/>
          <w:szCs w:val="28"/>
          <w:rtl w:val="true"/>
          <w:lang w:bidi="fa-IR"/>
        </w:rPr>
        <w:t xml:space="preserve">، وفی قسم الضعفاء ذکر زید بن موسی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أنّ هذا غیره ، وقد ذکره الشیخ فی رجال الکاظم علیه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القاسم بن محمد الجوهری ، وهو واقفی غیر موثّق فیما رأیناه من کتب المتقدّمین </w:t>
      </w:r>
      <w:r>
        <w:rPr>
          <w:rStyle w:val="FootnoteAnchor"/>
          <w:rtl w:val="true"/>
        </w:rPr>
        <w:footnoteReference w:id="1047"/>
      </w:r>
      <w:r>
        <w:rPr>
          <w:rFonts w:ascii="IRNazanin" w:hAnsi="IRNazanin" w:eastAsia="IRNazanin"/>
          <w:color w:val="111111"/>
          <w:sz w:val="28"/>
          <w:sz w:val="28"/>
          <w:szCs w:val="28"/>
          <w:rtl w:val="true"/>
          <w:lang w:bidi="fa-IR"/>
        </w:rPr>
        <w:t xml:space="preserve">، وابن داود نقل عن الشیخ أنّه ذکر القاسم بن محمد فی رجال الکاظم علیه السلام وأنّه واقفی ، وذکر القاسم بن محمد فی من لم یرو عن الأئمة علیهم السلام والراوی عنه الحسین بن سعید </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کما قال فی کتاب الشیخ </w:t>
      </w:r>
      <w:r>
        <w:rPr>
          <w:rStyle w:val="FootnoteAnchor"/>
          <w:rtl w:val="true"/>
        </w:rPr>
        <w:footnoteReference w:id="1049"/>
      </w:r>
      <w:r>
        <w:rPr>
          <w:rFonts w:ascii="IRNazanin" w:hAnsi="IRNazanin" w:eastAsia="IRNazanin"/>
          <w:color w:val="111111"/>
          <w:sz w:val="28"/>
          <w:sz w:val="28"/>
          <w:szCs w:val="28"/>
          <w:rtl w:val="true"/>
          <w:lang w:bidi="fa-IR"/>
        </w:rPr>
        <w:t>، إلاّ أنّ الظاهر الاتّحاد ، وما فعله الشیخ له نظائر فی کتابه</w:t>
      </w:r>
      <w:r>
        <w:rPr>
          <w:rFonts w:eastAsia="IRNazanin" w:cs="IRNazanin"/>
          <w:color w:val="111111"/>
          <w:sz w:val="28"/>
          <w:szCs w:val="28"/>
          <w:rtl w:val="true"/>
          <w:lang w:bidi="fa-IR"/>
        </w:rPr>
        <w:t>.</w:t>
      </w:r>
    </w:p>
    <w:p>
      <w:pPr>
        <w:pStyle w:val="Heading4"/>
        <w:numPr>
          <w:ilvl w:val="3"/>
          <w:numId w:val="1"/>
        </w:numPr>
        <w:rPr/>
      </w:pPr>
      <w:bookmarkStart w:id="690" w:name="__RefHeading___Toc146966_2142443653"/>
      <w:bookmarkStart w:id="691" w:name="_Toc261"/>
      <w:bookmarkEnd w:id="690"/>
      <w:r>
        <w:rPr>
          <w:rtl w:val="true"/>
        </w:rPr>
        <w:t>بحث حول أبی أسامة زید الشحام</w:t>
      </w:r>
      <w:bookmarkEnd w:id="69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2" w:name="__RefHeading___Toc146968_2142443653"/>
      <w:bookmarkStart w:id="693" w:name="_Toc262"/>
      <w:bookmarkEnd w:id="692"/>
      <w:r>
        <w:rPr>
          <w:rtl w:val="true"/>
        </w:rPr>
        <w:t>بحث حول القاسم بن محمّد الجوهری</w:t>
      </w:r>
      <w:bookmarkStart w:id="694" w:name="pg15025_160402"/>
      <w:bookmarkEnd w:id="693"/>
    </w:p>
    <w:p>
      <w:pPr>
        <w:pStyle w:val="BookText"/>
        <w:rPr/>
      </w:pPr>
      <w:bookmarkEnd w:id="694"/>
      <w:r>
        <w:rPr>
          <w:rFonts w:ascii="IRNazanin" w:hAnsi="IRNazanin" w:eastAsia="IRNazanin"/>
          <w:color w:val="111111"/>
          <w:sz w:val="28"/>
          <w:sz w:val="28"/>
          <w:szCs w:val="28"/>
          <w:rtl w:val="true"/>
          <w:lang w:bidi="fa-IR"/>
        </w:rPr>
        <w:t xml:space="preserve">أمّا قول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کونه غیره ، والأخیر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ندری مأخذ التوثیق ، واحتمل شیخنا المحقق مئزرا محمد أیّده الله أنّ یکون مأخذه روایة الحسین بن سعید عنه </w:t>
      </w:r>
      <w:r>
        <w:rPr>
          <w:rStyle w:val="FootnoteAnchor"/>
          <w:rtl w:val="true"/>
        </w:rPr>
        <w:footnoteReference w:id="1050"/>
      </w:r>
      <w:r>
        <w:rPr>
          <w:rFonts w:ascii="IRNazanin" w:hAnsi="IRNazanin" w:eastAsia="IRNazanin"/>
          <w:color w:val="111111"/>
          <w:sz w:val="28"/>
          <w:sz w:val="28"/>
          <w:szCs w:val="28"/>
          <w:rtl w:val="true"/>
          <w:lang w:bidi="fa-IR"/>
        </w:rPr>
        <w:t>، وهو محتمل علی تخیل ابن داود ، لا فی اعتقاد شیخنا أیّده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بن أبی حمزة هو البطائنی الواقفی ، للتصریح فی الفهرست بروایة القاسم بن محمد الجوهری عنه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حمزة بن حمران ، وهو مهمل فی الرجال </w:t>
      </w:r>
      <w:r>
        <w:rPr>
          <w:rStyle w:val="FootnoteAnchor"/>
          <w:rtl w:val="true"/>
        </w:rPr>
        <w:footnoteReference w:id="1052"/>
      </w:r>
      <w:r>
        <w:rPr>
          <w:rFonts w:ascii="IRNazanin" w:hAnsi="IRNazanin" w:eastAsia="IRNazanin"/>
          <w:color w:val="111111"/>
          <w:sz w:val="28"/>
          <w:sz w:val="28"/>
          <w:szCs w:val="28"/>
          <w:rtl w:val="true"/>
          <w:lang w:bidi="fa-IR"/>
        </w:rPr>
        <w:t>، وباقی رجاله غیر مشتبه الحال لما کرّرنا القول فیه ، وما ذکرناه وإنّ شارک هذا فی التقدّم إلاّ أنّ بُعد العهد یوجب ذلک فیما هو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أبو بصیر وهو الضریر الوارد فیه الذم بقرینة روایة شعیب عنه الثقة ، وهو ابن أُخت أبی بصیر یحیی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المنبه ، وهو ابن عبد الله المکنّی أبا الجوزاء ، وقد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صحیح الحدیث </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صرّح به جدّی قدس سره فی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دال علی التوثیق </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نظری القاصر أنّه محل نظر ؛ لأن هذا معناه فی کلام المتقدّمین غیر ما اصطلح علیه المتأخّرون فی تعریف الصحیح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اتصل إلی المعصوم بنقل الإمامی الثقة ، لیکون وصفه بأنّه</w:t>
      </w:r>
    </w:p>
    <w:p>
      <w:pPr>
        <w:pStyle w:val="Heading4"/>
        <w:numPr>
          <w:ilvl w:val="3"/>
          <w:numId w:val="1"/>
        </w:numPr>
        <w:rPr/>
      </w:pPr>
      <w:bookmarkStart w:id="695" w:name="__RefHeading___Toc146970_2142443653"/>
      <w:bookmarkStart w:id="696" w:name="_Toc263"/>
      <w:bookmarkEnd w:id="695"/>
      <w:r>
        <w:rPr>
          <w:rtl w:val="true"/>
        </w:rPr>
        <w:t>علی بن أبی حمزة الذی یروی عنه القاسم بن محمّد هو البطائنی الواقفی</w:t>
      </w:r>
      <w:bookmarkEnd w:id="696"/>
    </w:p>
    <w:p>
      <w:pPr>
        <w:pStyle w:val="Heading4"/>
        <w:numPr>
          <w:ilvl w:val="3"/>
          <w:numId w:val="1"/>
        </w:numPr>
        <w:rPr/>
      </w:pPr>
      <w:bookmarkStart w:id="697" w:name="__RefHeading___Toc146972_2142443653"/>
      <w:bookmarkStart w:id="698" w:name="_Toc264"/>
      <w:bookmarkEnd w:id="697"/>
      <w:r>
        <w:rPr>
          <w:rtl w:val="true"/>
        </w:rPr>
        <w:t>حمزة بن حمران مهمل</w:t>
      </w:r>
      <w:bookmarkEnd w:id="698"/>
    </w:p>
    <w:p>
      <w:pPr>
        <w:pStyle w:val="Heading4"/>
        <w:numPr>
          <w:ilvl w:val="3"/>
          <w:numId w:val="1"/>
        </w:numPr>
        <w:rPr/>
      </w:pPr>
      <w:bookmarkStart w:id="699" w:name="__RefHeading___Toc146974_2142443653"/>
      <w:bookmarkStart w:id="700" w:name="_Toc265"/>
      <w:bookmarkEnd w:id="699"/>
      <w:r>
        <w:rPr>
          <w:rtl w:val="true"/>
        </w:rPr>
        <w:t>أبو بصیر الذی یروی عنه شعیب هو الضریر المذموم</w:t>
      </w:r>
      <w:bookmarkEnd w:id="70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1" w:name="__RefHeading___Toc146976_2142443653"/>
      <w:bookmarkStart w:id="702" w:name="_Toc266"/>
      <w:bookmarkEnd w:id="701"/>
      <w:r>
        <w:rPr>
          <w:rtl w:val="true"/>
        </w:rPr>
        <w:t xml:space="preserve">بحث حول المنبّه بن عبدالله ومعنی قولهم </w:t>
      </w:r>
      <w:r>
        <w:rPr>
          <w:rtl w:val="true"/>
        </w:rPr>
        <w:t xml:space="preserve">: </w:t>
      </w:r>
      <w:r>
        <w:rPr>
          <w:rtl w:val="true"/>
        </w:rPr>
        <w:t>صحیح الحدیث</w:t>
      </w:r>
      <w:bookmarkEnd w:id="702"/>
    </w:p>
    <w:p>
      <w:pPr>
        <w:pStyle w:val="BookText"/>
        <w:rPr/>
      </w:pPr>
      <w:r>
        <w:rPr>
          <w:rFonts w:ascii="IRNazanin" w:hAnsi="IRNazanin" w:eastAsia="IRNazanin"/>
          <w:color w:val="111111"/>
          <w:sz w:val="28"/>
          <w:sz w:val="28"/>
          <w:szCs w:val="28"/>
          <w:rtl w:val="true"/>
          <w:lang w:bidi="fa-IR"/>
        </w:rPr>
        <w:t xml:space="preserve">صحیح الحدیث دالاًّ علی ثقته </w:t>
      </w:r>
      <w:r>
        <w:rPr>
          <w:rStyle w:val="FootnoteAnchor"/>
          <w:rtl w:val="true"/>
        </w:rPr>
        <w:footnoteReference w:id="1055"/>
      </w:r>
      <w:r>
        <w:rPr>
          <w:rFonts w:ascii="IRNazanin" w:hAnsi="IRNazanin" w:eastAsia="IRNazanin"/>
          <w:color w:val="111111"/>
          <w:sz w:val="28"/>
          <w:sz w:val="28"/>
          <w:szCs w:val="28"/>
          <w:rtl w:val="true"/>
          <w:lang w:bidi="fa-IR"/>
        </w:rPr>
        <w:t xml:space="preserve">، ویعرف هذا بملاحظة کتب الرجال ، والعجب منه قدس سره أنّه فی عبد السلام بن صالح الهروی جوّز کونه عامیّاً ثقة ، مع أنّه موصوف فی النجاشی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صحیح الحدیث </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من صحة الحدیث کونه إمامیّاً ؛ لأنّ تعریف الصحیح یقتضی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فدلالة </w:t>
      </w:r>
      <w:r>
        <w:rPr>
          <w:rStyle w:val="FootnoteAnchor"/>
          <w:rtl w:val="true"/>
        </w:rPr>
        <w:footnoteReference w:id="1057"/>
      </w:r>
      <w:r>
        <w:rPr>
          <w:rFonts w:ascii="IRNazanin" w:hAnsi="IRNazanin" w:eastAsia="IRNazanin"/>
          <w:color w:val="111111"/>
          <w:sz w:val="28"/>
          <w:sz w:val="28"/>
          <w:szCs w:val="28"/>
          <w:rtl w:val="true"/>
          <w:lang w:bidi="fa-IR"/>
        </w:rPr>
        <w:t>اللفظ علی التوثیق فضلاً عن کونه إمامیّاً محل تأمل ، غایة الأمر أنّ معناه فی کلام المتقدّمین مجمل ، فإنّ إرادة کون حدیثه صحیحاً بمعنی أنّه معتمد لظهور قرائن علی ذلک وإنّ کان فی نفسه لیس بثقة ممکنة ، إلاّ أنّ الجمع بین کون الرجل ثقة صحیح الحدیث قد یخفی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یقتضیه النظر أنّ الصحّة عند المتقدّمین لا یکفی فیها مجرّد کون الرجل ثقة ، بل لا بدّ من انضمام القرائن إلی قوله ، کما یعلم من الشیخ </w:t>
      </w:r>
      <w:r>
        <w:rPr>
          <w:rStyle w:val="FootnoteAnchor"/>
          <w:rtl w:val="true"/>
        </w:rPr>
        <w:footnoteReference w:id="1058"/>
      </w:r>
      <w:r>
        <w:rPr>
          <w:rFonts w:ascii="IRNazanin" w:hAnsi="IRNazanin" w:eastAsia="IRNazanin"/>
          <w:color w:val="111111"/>
          <w:sz w:val="28"/>
          <w:sz w:val="28"/>
          <w:szCs w:val="28"/>
          <w:rtl w:val="true"/>
          <w:lang w:bidi="fa-IR"/>
        </w:rPr>
        <w:t xml:space="preserve">وغیره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یبقی الإشکال فی الفرق بین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معتمد أو أصل معتمد ؛ وبین صحیح الحدیث وغیر بعید أنّ یکون وجه الفرق اختصاص کتابه أو أصله بالاعتماد ، دون کل ما یرویه حتی فی غیر الکتاب ، بخلاف صحیح الحدیث فإنّه یدل علی الاطّراد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بأنّ هذا یرجع إلی التوثیق ، فأیّ فائدة فی الجمع بینه وبین صحیح الحدیث؟ واحتمال التأکید ینافی ما قدّمناه من الفرق</w:t>
      </w:r>
      <w:r>
        <w:rPr>
          <w:rFonts w:eastAsia="IRNazanin" w:cs="IRNazanin"/>
          <w:color w:val="111111"/>
          <w:sz w:val="28"/>
          <w:szCs w:val="28"/>
          <w:rtl w:val="true"/>
          <w:lang w:bidi="fa-IR"/>
        </w:rPr>
        <w:t xml:space="preserve">. </w:t>
      </w:r>
      <w:bookmarkStart w:id="703" w:name="pg15025_160404"/>
    </w:p>
    <w:p>
      <w:pPr>
        <w:pStyle w:val="BookText"/>
        <w:rPr/>
      </w:pPr>
      <w:bookmarkEnd w:id="703"/>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صحیح الحدیث وإنّ دلّ علی صحّة حدیثه ، لکنه أعم من التوثیق ، إذ یجوز کونه ضعیفاً مع أنّ حدیثه صحیح ، أو ثقةً عامیّاً مع صحّة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یوجب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الحق أنّه لا یضر بالحال إلاّ عند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فالاعتماد علی کون الرجل ثقة إمامیّاً بسبب هذا الوصف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یظن من کلام الصدوق فی الفقیه فی صلاة الغدیر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راوی الروایة لم یوثّقه شیخه محمد بن الحسن بن الولید فلا تکون صحیحة </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دال علی موافقة المتأخرین فقد ذکرنا ما فیه فی حواشیه ، فمن أراده وقف علیه ، وذکرنا أیضاً فی أوّل هذا الکتاب نوعاً من الجواب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الحسین بن علوان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عامی غیر موثق ، والکشی نقل عن البعض أنّه کان مستوراً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وعمرو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الکشی أنّه عامی </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اقتصر علی أنه روی عن زید </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بتری فی أصحاب الباقر علیه السلام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ارتیاب</w:t>
      </w:r>
      <w:r>
        <w:rPr>
          <w:rFonts w:eastAsia="IRNazanin" w:cs="IRNazanin"/>
          <w:color w:val="111111"/>
          <w:sz w:val="28"/>
          <w:szCs w:val="28"/>
          <w:rtl w:val="true"/>
          <w:lang w:bidi="fa-IR"/>
        </w:rPr>
        <w:t>.</w:t>
      </w:r>
    </w:p>
    <w:p>
      <w:pPr>
        <w:pStyle w:val="Heading4"/>
        <w:numPr>
          <w:ilvl w:val="3"/>
          <w:numId w:val="1"/>
        </w:numPr>
        <w:rPr/>
      </w:pPr>
      <w:bookmarkStart w:id="704" w:name="__RefHeading___Toc146978_2142443653"/>
      <w:bookmarkStart w:id="705" w:name="_Toc267"/>
      <w:bookmarkEnd w:id="704"/>
      <w:r>
        <w:rPr>
          <w:rtl w:val="true"/>
        </w:rPr>
        <w:t>الحسین بن علوان عامی غیر موثق</w:t>
      </w:r>
      <w:bookmarkEnd w:id="70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6" w:name="__RefHeading___Toc146980_2142443653"/>
      <w:bookmarkStart w:id="707" w:name="_Toc268"/>
      <w:bookmarkEnd w:id="706"/>
      <w:r>
        <w:rPr>
          <w:rtl w:val="true"/>
        </w:rPr>
        <w:t>بحث حول عمرو بن خالد</w:t>
      </w:r>
      <w:bookmarkStart w:id="708" w:name="pg15025_160405"/>
      <w:bookmarkEnd w:id="707"/>
    </w:p>
    <w:p>
      <w:pPr>
        <w:pStyle w:val="BookText"/>
        <w:rPr/>
      </w:pPr>
      <w:bookmarkEnd w:id="708"/>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لا یخلو من تشویش فی العبارة ، لأنّ الظاهر منه طهارة عرق الجنب والحائض ؛ وفی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الحائض والنفساء والمستحاضة والجنب من حلال إذا خلا الثوب من عین النجاسة فلا بأس بعرقهم إجماعاً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دلالة أیضاً ، والأمر بالنضح کأنّه لزوال النفرة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معناه من إجمال ، والذی یظهر منه أنّ الجنب إذا لم یصب ثوبه منی لا یلزمه غَسله ، کما أنّ الثوب لو أصابه منی من خارج لا یلزم الرجل الغُسل إذا 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ظاهر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یجنب الرجل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الثوب لا یغسل وإن وصل إلیه المنی ، وهو واضح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المراد عدم غَسل جمیع الثوب کما فی غُسل الرجل ، بل موضع النجاسة ، کما أنّ الثوب لو کان نجساً وأصاب الرجل لا یغسل جمیع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إذا کان الحدیث وارداً بهذا المعنی لا یتمّ الاستدلال به من جهة العرق ، لأنّ المتبادر منه علی تقدیر العرق أن یکون من حیث کون الرجل جنباً بمعنی النجاسة الحدثیة لا یؤثّر فی الثوب ، والحال أنّ من جهة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یجنب الثوب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الحکم من جهة العرق کما لا یخفی ، لکن الشیخ ذکره فی مقام عرق الجنب کما تری ، ولعلّه استفاد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9" w:name="__RefHeading___Toc146982_2142443653"/>
      <w:bookmarkStart w:id="710" w:name="_Toc269"/>
      <w:bookmarkEnd w:id="709"/>
      <w:r>
        <w:rPr>
          <w:rtl w:val="true"/>
        </w:rPr>
        <w:t>بیان الأخبار الدالّة علی طهارة عرق الجنب والحائض</w:t>
      </w:r>
      <w:bookmarkStart w:id="711" w:name="pg15025_160406"/>
      <w:bookmarkEnd w:id="710"/>
    </w:p>
    <w:p>
      <w:pPr>
        <w:pStyle w:val="BookText"/>
        <w:rPr/>
      </w:pPr>
      <w:bookmarkEnd w:id="711"/>
      <w:r>
        <w:rPr>
          <w:rFonts w:ascii="IRNazanin" w:hAnsi="IRNazanin" w:eastAsia="IRNazanin"/>
          <w:color w:val="111111"/>
          <w:sz w:val="28"/>
          <w:sz w:val="28"/>
          <w:szCs w:val="28"/>
          <w:rtl w:val="true"/>
          <w:lang w:bidi="fa-IR"/>
        </w:rPr>
        <w:t>ذلک من بعضه نظراً إلی الإطلاق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الطهارة أیضاً فی عرق الرجل </w:t>
      </w:r>
      <w:r>
        <w:rPr>
          <w:rStyle w:val="FootnoteAnchor"/>
          <w:rtl w:val="true"/>
        </w:rPr>
        <w:footnoteReference w:id="1067"/>
      </w:r>
      <w:r>
        <w:rPr>
          <w:rFonts w:ascii="IRNazanin" w:hAnsi="IRNazanin" w:eastAsia="IRNazanin"/>
          <w:color w:val="111111"/>
          <w:sz w:val="28"/>
          <w:sz w:val="28"/>
          <w:szCs w:val="28"/>
          <w:rtl w:val="true"/>
          <w:lang w:bidi="fa-IR"/>
        </w:rPr>
        <w:t xml:space="preserve">، واستحباب الرش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الحدیث الدال علی النضح وهذا الحدیث اتحادهما ، وقد سبق النقل عن العلاّمة ما یفید المغایرة ، والأمر سهل فی مقام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علی الطهارة ،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یغسلان ثوبهما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جعلهما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فمحتمل لأنّ یکون المراد به أنّه سبحانه جعلهما سببین للغسل ، وغسل الثوب منهما لیس من جهة العرق ، بل من جهة أُخری وهی الدم المعلوم والمنی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دم الحیض والمنی حیث خلقهما الله لیس من العرق لیکون خروجه متصلاً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ویدفع هذا الاحتمال عدم تمامیته فی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المطلوب من العبارة وإنّ کان مجملاً إلاّ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یغسلان ثوبهما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وجهه تقطیباً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یَقْطِبُ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زَوَی ما بین عینیه وکَلَحَ ، کقَطَّبَ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2" w:name="__RefHeading___Toc146984_2142443653"/>
      <w:bookmarkStart w:id="713" w:name="_Toc270"/>
      <w:bookmarkEnd w:id="712"/>
      <w:r>
        <w:rPr>
          <w:rtl w:val="true"/>
        </w:rPr>
        <w:t>معنی قطّب</w:t>
      </w:r>
      <w:bookmarkEnd w:id="713"/>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صفوان ، 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الحائض تعرق فی ثوبها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Style w:val="FootnoteAnchor"/>
          <w:rtl w:val="true"/>
        </w:rPr>
        <w:footnoteReference w:id="1071"/>
      </w:r>
      <w:r>
        <w:rPr>
          <w:rFonts w:ascii="IRNazanin" w:hAnsi="IRNazanin" w:eastAsia="IRNazanin"/>
          <w:color w:val="111111"/>
          <w:sz w:val="28"/>
          <w:sz w:val="28"/>
          <w:szCs w:val="28"/>
          <w:rtl w:val="true"/>
          <w:lang w:bidi="fa-IR"/>
        </w:rPr>
        <w:t xml:space="preserve">کان دون الدِّرع إزار ، فإنّما یصیب العرق ما دون الإزار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تغسله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هذا الخبر أن نحمله علی أنّه إذا کان هناک شی‌ء من النجاسة ، لأنّ </w:t>
      </w:r>
      <w:r>
        <w:rPr>
          <w:rStyle w:val="FootnoteAnchor"/>
          <w:rtl w:val="true"/>
        </w:rPr>
        <w:footnoteReference w:id="1072"/>
      </w:r>
      <w:r>
        <w:rPr>
          <w:rFonts w:ascii="IRNazanin" w:hAnsi="IRNazanin" w:eastAsia="IRNazanin"/>
          <w:color w:val="111111"/>
          <w:sz w:val="28"/>
          <w:sz w:val="28"/>
          <w:szCs w:val="28"/>
          <w:rtl w:val="true"/>
          <w:lang w:bidi="fa-IR"/>
        </w:rPr>
        <w:t>الغالب من الحائض أن یکون فیما دون المئزر لا یخلو من نجاسة ، فلأجل ذلک وجب علیها غَسل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سعد ، عن أحمد بن الحسن ، عن عمرو بن سعید ، عن مصدق بن صدقة ، عن عمار بن موسی الساباطی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الحائض تعرق فی ثوب تلبسه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علیها شی‌ء إلاّ أن یصیب شی‌ء من مائها أو غیر ذلک من القذر ، فتغسل ذلک الموضع الذی أصابه بعینه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علی بن الحسن بن فضال ، عن محمد بن علی ، عن الحسن ابن محبوب ، عن هشام بن سالم ، عن سَورة بن کلیب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الحائض ، أتغسل ثیابها التی لبستها فی طمثها؟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 ما أصاب ثیابها من الدم ، وتدع ما سوی </w:t>
      </w:r>
      <w:bookmarkStart w:id="714" w:name="pg15025_160408"/>
    </w:p>
    <w:p>
      <w:pPr>
        <w:pStyle w:val="BookText"/>
        <w:rPr/>
      </w:pPr>
      <w:bookmarkEnd w:id="714"/>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عرقت فیها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العرق لیس من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بإسحاق علی ما قاله الأصحاب ، وقد تقدّم القول فیه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أیضاً ، وربما یشکل الحال فی بعض الرجال ، وبیان مجمل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أحمد بن الحسن علی ما وجدته فی کتب الرجال من المتقدمین ، ما قاله الشیخ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فطحیاً ، غیر أنّه ثقة </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النضر محمد بن مسعود عن جماعة هو منهم ، فذکر أنّ أحمد بن الحسن کان فطحیاً </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فطحیاً وکان ثقة فی الحدیث </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خبیر بعد ما قدّمناه من ترجیح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کلامه یعطی عدم کونه فطحیاً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کلام الشیخ قول الکشی عن محمد بن مسعود ، والنجاشی صرّح بأنّ محمد بن مسعود کان فی الأصل عامیّ المذهب ثم تبصّر </w:t>
      </w:r>
      <w:r>
        <w:rPr>
          <w:rStyle w:val="FootnoteAnchor"/>
          <w:rtl w:val="true"/>
        </w:rPr>
        <w:footnoteReference w:id="1077"/>
      </w:r>
      <w:r>
        <w:rPr>
          <w:rFonts w:ascii="IRNazanin" w:hAnsi="IRNazanin" w:eastAsia="IRNazanin"/>
          <w:color w:val="111111"/>
          <w:sz w:val="28"/>
          <w:sz w:val="28"/>
          <w:szCs w:val="28"/>
          <w:rtl w:val="true"/>
          <w:lang w:bidi="fa-IR"/>
        </w:rPr>
        <w:t>، والقول المذکور عنه لا یعلم قبل رجوعه أو بعده ، وکون محمد بن مسعود ثقة غیر معلوم التقدّم علی الرجوع لیقبل قوله مطلقاً</w:t>
      </w:r>
      <w:r>
        <w:rPr>
          <w:rFonts w:eastAsia="IRNazanin" w:cs="IRNazanin"/>
          <w:color w:val="111111"/>
          <w:sz w:val="28"/>
          <w:szCs w:val="28"/>
          <w:rtl w:val="true"/>
          <w:lang w:bidi="fa-IR"/>
        </w:rPr>
        <w:t>.</w:t>
      </w:r>
    </w:p>
    <w:p>
      <w:pPr>
        <w:pStyle w:val="Heading4"/>
        <w:numPr>
          <w:ilvl w:val="3"/>
          <w:numId w:val="1"/>
        </w:numPr>
        <w:rPr/>
      </w:pPr>
      <w:bookmarkStart w:id="715" w:name="__RefHeading___Toc146986_2142443653"/>
      <w:bookmarkStart w:id="716" w:name="_Toc271"/>
      <w:bookmarkEnd w:id="715"/>
      <w:r>
        <w:rPr>
          <w:rtl w:val="true"/>
        </w:rPr>
        <w:t>إشارة إلی حال إسحاق بن عمار</w:t>
      </w:r>
      <w:bookmarkEnd w:id="71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7" w:name="__RefHeading___Toc146988_2142443653"/>
      <w:bookmarkStart w:id="718" w:name="_Toc272"/>
      <w:bookmarkEnd w:id="717"/>
      <w:r>
        <w:rPr>
          <w:rtl w:val="true"/>
        </w:rPr>
        <w:t>بحث حول أحمد بن الحسن</w:t>
      </w:r>
      <w:bookmarkStart w:id="719" w:name="pg15025_160409"/>
      <w:bookmarkEnd w:id="718"/>
    </w:p>
    <w:p>
      <w:pPr>
        <w:pStyle w:val="BookText"/>
        <w:rPr/>
      </w:pPr>
      <w:bookmarkEnd w:id="719"/>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اعتمد علی ما قاله من غیر الکشی ، أو أنه علم أنّ ذلک بعد رجوعه ، علی أنّ قول النجاشی محتمل لأنّ یکون التوثیق من مقول القول ، وکونه خلاف الظاهر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عمار 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فالنجاشی لم یذکر أنّه فطحی </w:t>
      </w:r>
      <w:r>
        <w:rPr>
          <w:rStyle w:val="FootnoteAnchor"/>
          <w:rtl w:val="true"/>
        </w:rPr>
        <w:footnoteReference w:id="1078"/>
      </w:r>
      <w:r>
        <w:rPr>
          <w:rFonts w:ascii="IRNazanin" w:hAnsi="IRNazanin" w:eastAsia="IRNazanin"/>
          <w:color w:val="111111"/>
          <w:sz w:val="28"/>
          <w:sz w:val="28"/>
          <w:szCs w:val="28"/>
          <w:rtl w:val="true"/>
          <w:lang w:bidi="fa-IR"/>
        </w:rPr>
        <w:t xml:space="preserve">، والشیخ قال ذلک </w:t>
      </w:r>
      <w:r>
        <w:rPr>
          <w:rStyle w:val="FootnoteAnchor"/>
          <w:rtl w:val="true"/>
        </w:rPr>
        <w:footnoteReference w:id="1079"/>
      </w:r>
      <w:r>
        <w:rPr>
          <w:rFonts w:ascii="IRNazanin" w:hAnsi="IRNazanin" w:eastAsia="IRNazanin"/>
          <w:color w:val="111111"/>
          <w:sz w:val="28"/>
          <w:sz w:val="28"/>
          <w:szCs w:val="28"/>
          <w:rtl w:val="true"/>
          <w:lang w:bidi="fa-IR"/>
        </w:rPr>
        <w:t xml:space="preserve">؛ وقد سمعت الکلام فی مثله </w:t>
      </w:r>
      <w:r>
        <w:rPr>
          <w:rStyle w:val="FootnoteAnchor"/>
          <w:rtl w:val="true"/>
        </w:rPr>
        <w:footnoteReference w:id="1080"/>
      </w:r>
      <w:r>
        <w:rPr>
          <w:rFonts w:ascii="IRNazanin" w:hAnsi="IRNazanin" w:eastAsia="IRNazanin"/>
          <w:color w:val="111111"/>
          <w:sz w:val="28"/>
          <w:sz w:val="28"/>
          <w:szCs w:val="28"/>
          <w:rtl w:val="true"/>
          <w:lang w:bidi="fa-IR"/>
        </w:rPr>
        <w:t>، وبالجملة فالمقام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الطریق إلی علی بن الحسن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الزبیر وأحمد بن عبدون ، وقد تقدم أنّ فی علی بن محمد کلاماً </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أحمد بن عبدون فهو من الشیوخ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بن الحسن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وسورة بن کلیب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بین مهمل مذکور فی رجال الصادق علیه السلام ، وآخر فی الحکم کالأوّل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ابن محبوب ، لروایته عن الحسن بن محبوب کما یعرفه المتتبّع ، إلاّ أنّ غیره فی حیّز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خفیّ احتمال ما ذکره الشیخ ، لکن عبارته فی التوجیه کعبارة الحدیث فی الإجمال ، بل ربما یظنّ فی البین الاختلال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دون الدِّرع 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المئزر کما ذکره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والدرع</w:t>
      </w:r>
    </w:p>
    <w:p>
      <w:pPr>
        <w:pStyle w:val="Heading4"/>
        <w:numPr>
          <w:ilvl w:val="3"/>
          <w:numId w:val="1"/>
        </w:numPr>
        <w:rPr/>
      </w:pPr>
      <w:bookmarkStart w:id="720" w:name="__RefHeading___Toc146990_2142443653"/>
      <w:bookmarkStart w:id="721" w:name="_Toc273"/>
      <w:bookmarkEnd w:id="720"/>
      <w:r>
        <w:rPr>
          <w:rtl w:val="true"/>
        </w:rPr>
        <w:t>بحث حول عمّار الساباطی</w:t>
      </w:r>
      <w:bookmarkEnd w:id="721"/>
    </w:p>
    <w:p>
      <w:pPr>
        <w:pStyle w:val="Heading4"/>
        <w:numPr>
          <w:ilvl w:val="3"/>
          <w:numId w:val="1"/>
        </w:numPr>
        <w:rPr/>
      </w:pPr>
      <w:bookmarkStart w:id="722" w:name="__RefHeading___Toc146992_2142443653"/>
      <w:bookmarkStart w:id="723" w:name="_Toc274"/>
      <w:bookmarkEnd w:id="722"/>
      <w:r>
        <w:rPr>
          <w:rtl w:val="true"/>
        </w:rPr>
        <w:t>علی بن محمّد بن الزبیر فیه کلام</w:t>
      </w:r>
      <w:bookmarkEnd w:id="723"/>
    </w:p>
    <w:p>
      <w:pPr>
        <w:pStyle w:val="Heading4"/>
        <w:numPr>
          <w:ilvl w:val="3"/>
          <w:numId w:val="1"/>
        </w:numPr>
        <w:rPr/>
      </w:pPr>
      <w:bookmarkStart w:id="724" w:name="__RefHeading___Toc146994_2142443653"/>
      <w:bookmarkStart w:id="725" w:name="_Toc275"/>
      <w:bookmarkEnd w:id="724"/>
      <w:r>
        <w:rPr>
          <w:rtl w:val="true"/>
        </w:rPr>
        <w:t>إشارة إلی حال أحمد بن عبدون</w:t>
      </w:r>
      <w:bookmarkEnd w:id="725"/>
    </w:p>
    <w:p>
      <w:pPr>
        <w:pStyle w:val="Heading4"/>
        <w:numPr>
          <w:ilvl w:val="3"/>
          <w:numId w:val="1"/>
        </w:numPr>
        <w:rPr/>
      </w:pPr>
      <w:bookmarkStart w:id="726" w:name="__RefHeading___Toc146996_2142443653"/>
      <w:bookmarkStart w:id="727" w:name="_Toc276"/>
      <w:bookmarkEnd w:id="726"/>
      <w:r>
        <w:rPr>
          <w:rtl w:val="true"/>
        </w:rPr>
        <w:t>سورة بن کلیب مشترک</w:t>
      </w:r>
      <w:bookmarkEnd w:id="72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8" w:name="__RefHeading___Toc146998_2142443653"/>
      <w:bookmarkStart w:id="729" w:name="_Toc277"/>
      <w:bookmarkEnd w:id="728"/>
      <w:r>
        <w:rPr>
          <w:rtl w:val="true"/>
        </w:rPr>
        <w:t>توجیه ما دلّ علی أنّ الحائض تغسل الثوب الذی عرقت فیه</w:t>
      </w:r>
      <w:bookmarkEnd w:id="729"/>
    </w:p>
    <w:p>
      <w:pPr>
        <w:pStyle w:val="BookText"/>
        <w:rPr/>
      </w:pPr>
      <w:r>
        <w:rPr>
          <w:rFonts w:ascii="IRNazanin" w:hAnsi="IRNazanin" w:eastAsia="IRNazanin"/>
          <w:color w:val="111111"/>
          <w:sz w:val="28"/>
          <w:sz w:val="28"/>
          <w:szCs w:val="28"/>
          <w:rtl w:val="true"/>
          <w:lang w:bidi="fa-IR"/>
        </w:rPr>
        <w:t xml:space="preserve">علی ما یفهم من القاموس القمیص </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یصیب العرق ما دون 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قلناه یقتضی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العرق یصیب ما دون الإزار ، فعدم إصابته للدرع حینئذ أظهر ، ویراد بما دون الإزار من الخرق ، والأمر سهل بعد وضوح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کالثالث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w:t>
      </w:r>
      <w:r>
        <w:rPr>
          <w:rStyle w:val="FootnoteAnchor"/>
          <w:rtl w:val="true"/>
        </w:rPr>
        <w:footnoteReference w:id="1085"/>
      </w:r>
      <w:r>
        <w:rPr>
          <w:rFonts w:ascii="IRNazanin" w:hAnsi="IRNazanin" w:eastAsia="IRNazanin"/>
          <w:color w:val="111111"/>
          <w:sz w:val="28"/>
          <w:sz w:val="28"/>
          <w:szCs w:val="28"/>
          <w:rtl w:val="true"/>
          <w:lang w:bidi="fa-IR"/>
        </w:rPr>
        <w:t xml:space="preserve">ما رواه علی بن الحسن ، عن محمد بن عبد الحمید ، عن أبی جمیلة المفضل بن صالح الأسدی النخاس </w:t>
      </w:r>
      <w:r>
        <w:rPr>
          <w:rStyle w:val="FootnoteAnchor"/>
          <w:rtl w:val="true"/>
        </w:rPr>
        <w:footnoteReference w:id="1086"/>
      </w:r>
      <w:r>
        <w:rPr>
          <w:rFonts w:ascii="IRNazanin" w:hAnsi="IRNazanin" w:eastAsia="IRNazanin"/>
          <w:color w:val="111111"/>
          <w:sz w:val="28"/>
          <w:sz w:val="28"/>
          <w:szCs w:val="28"/>
          <w:rtl w:val="true"/>
          <w:lang w:bidi="fa-IR"/>
        </w:rPr>
        <w:t xml:space="preserve">، عن زید الشحام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لبست المرأة الطامث ثوباً فکان علیها حتی تطهر فلا تصلی فیه حتی تغسله ، فإنّ کان </w:t>
      </w:r>
      <w:r>
        <w:rPr>
          <w:rStyle w:val="FootnoteAnchor"/>
          <w:rtl w:val="true"/>
        </w:rPr>
        <w:footnoteReference w:id="1087"/>
      </w:r>
      <w:r>
        <w:rPr>
          <w:rFonts w:ascii="IRNazanin" w:hAnsi="IRNazanin" w:eastAsia="IRNazanin"/>
          <w:color w:val="111111"/>
          <w:sz w:val="28"/>
          <w:sz w:val="28"/>
          <w:szCs w:val="28"/>
          <w:rtl w:val="true"/>
          <w:lang w:bidi="fa-IR"/>
        </w:rPr>
        <w:t xml:space="preserve">یکون علیها ثوبان صلّت فی الأعلی منهما ؛ وإنّ لم یکن لها غیر ثوب فلتغتسل </w:t>
      </w:r>
      <w:r>
        <w:rPr>
          <w:rStyle w:val="FootnoteAnchor"/>
          <w:rtl w:val="true"/>
        </w:rPr>
        <w:footnoteReference w:id="1088"/>
      </w:r>
      <w:r>
        <w:rPr>
          <w:rFonts w:ascii="IRNazanin" w:hAnsi="IRNazanin" w:eastAsia="IRNazanin"/>
          <w:color w:val="111111"/>
          <w:sz w:val="28"/>
          <w:sz w:val="28"/>
          <w:szCs w:val="28"/>
          <w:rtl w:val="true"/>
          <w:lang w:bidi="fa-IR"/>
        </w:rPr>
        <w:t xml:space="preserve">حین تطمث ثم تلبسه ، فإذا طهرت صلّت فیه وإنّ لم تغسله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فیحتمل هذا الخبر ما قلناه فی الخبر الأوّل ، ویحتمل أیضاً أنّ یکون محمولاً علی الاستحباب ، وما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تغتسل حین </w:t>
      </w:r>
      <w:bookmarkStart w:id="730" w:name="pg15025_160411"/>
    </w:p>
    <w:p>
      <w:pPr>
        <w:pStyle w:val="BookText"/>
        <w:rPr/>
      </w:pPr>
      <w:bookmarkEnd w:id="730"/>
      <w:r>
        <w:rPr>
          <w:rFonts w:ascii="IRNazanin" w:hAnsi="IRNazanin" w:eastAsia="IRNazanin"/>
          <w:color w:val="111111"/>
          <w:sz w:val="28"/>
          <w:sz w:val="28"/>
          <w:szCs w:val="28"/>
          <w:rtl w:val="true"/>
          <w:lang w:bidi="fa-IR"/>
        </w:rPr>
        <w:t xml:space="preserve">تطمث ثم تلبسه ، فإذا طهرت صلّت فیه وإنّ لم تغسله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نفس الحیض لا ینجّس العرق ، لأنّه لو کان کذلک لما اختلف الحال بالاغتسال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أنّ هذا محمول علی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أخبرنی به أحمد بن عبدون ، عن علی بن محمد بن الزبیر ، عن علی بن الحسن بن فضال ، عن أیوب بن نوح ، عن محمد بن أبی حمزة ، عن علی بن یقطین ،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الحائض تعرق فی ثوبها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ثوباً تلزمه فلا أُحبّ أنّ تصلّی فیه حتی تغسله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ما تقدّمت إلیه الإشارة من الطریق إلی علی بن الحسن وإلیه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ومحمّد بن عبد الحمید هو ابن سالم العطّار ، وتقدم فیه القول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حصل الجزم بکون محمد بن عبد الحمید هو العطار ، وفی الرجال غیره أیضاً؟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رجال من لم یرو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الحمید روی عنه ابن الولید </w:t>
      </w:r>
      <w:r>
        <w:rPr>
          <w:rStyle w:val="FootnoteAnchor"/>
          <w:rtl w:val="true"/>
        </w:rPr>
        <w:footnoteReference w:id="1091"/>
      </w:r>
      <w:r>
        <w:rPr>
          <w:rFonts w:ascii="IRNazanin" w:hAnsi="IRNazanin" w:eastAsia="IRNazanin"/>
          <w:color w:val="111111"/>
          <w:sz w:val="28"/>
          <w:sz w:val="28"/>
          <w:szCs w:val="28"/>
          <w:rtl w:val="true"/>
          <w:lang w:bidi="fa-IR"/>
        </w:rPr>
        <w:t>، وهذا متأخّر ؛ بخلاف العطار فإن الراوی عنه عبد الله بن جعفر وهو الحمیری ، وغیر خفیّ أنّ مرتبته مرتبة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1" w:name="__RefHeading___Toc147000_2142443653"/>
      <w:bookmarkStart w:id="732" w:name="_Toc278"/>
      <w:bookmarkEnd w:id="731"/>
      <w:r>
        <w:rPr>
          <w:rtl w:val="true"/>
        </w:rPr>
        <w:t>بحث حول محمّد بن عبدالحمید</w:t>
      </w:r>
      <w:bookmarkStart w:id="733" w:name="pg15025_160412"/>
      <w:bookmarkEnd w:id="732"/>
    </w:p>
    <w:p>
      <w:pPr>
        <w:pStyle w:val="BookText"/>
        <w:rPr/>
      </w:pPr>
      <w:bookmarkEnd w:id="733"/>
      <w:r>
        <w:rPr>
          <w:rFonts w:ascii="IRNazanin" w:hAnsi="IRNazanin" w:eastAsia="IRNazanin"/>
          <w:color w:val="111111"/>
          <w:sz w:val="28"/>
          <w:sz w:val="28"/>
          <w:szCs w:val="28"/>
          <w:rtl w:val="true"/>
          <w:lang w:bidi="fa-IR"/>
        </w:rPr>
        <w:t>أیوب بن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جمیلة مذکور مهملاً فی الفهرست </w:t>
      </w:r>
      <w:r>
        <w:rPr>
          <w:rStyle w:val="FootnoteAnchor"/>
          <w:rtl w:val="true"/>
        </w:rPr>
        <w:footnoteReference w:id="1092"/>
      </w:r>
      <w:r>
        <w:rPr>
          <w:rFonts w:ascii="IRNazanin" w:hAnsi="IRNazanin" w:eastAsia="IRNazanin"/>
          <w:color w:val="111111"/>
          <w:sz w:val="28"/>
          <w:sz w:val="28"/>
          <w:szCs w:val="28"/>
          <w:rtl w:val="true"/>
          <w:lang w:bidi="fa-IR"/>
        </w:rPr>
        <w:t xml:space="preserve">، ورجال الصادق علیه السلام من کتاب الشیخ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ضعیف کذّاب </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أعلم بالمأخذ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أحوال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أبی حمزة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الثمالی علی الظاهر ، واحتمال غیره المذکور فی رجال الصادق علیه السلام من کتاب الشیخ مهملاً </w:t>
      </w:r>
      <w:r>
        <w:rPr>
          <w:rStyle w:val="FootnoteAnchor"/>
          <w:rtl w:val="true"/>
        </w:rPr>
        <w:footnoteReference w:id="1095"/>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الراوی عن الثقة ابن أبی عمیر کما صرّح به النجاشی </w:t>
      </w:r>
      <w:r>
        <w:rPr>
          <w:rStyle w:val="FootnoteAnchor"/>
          <w:rtl w:val="true"/>
        </w:rPr>
        <w:footnoteReference w:id="1096"/>
      </w:r>
      <w:r>
        <w:rPr>
          <w:rFonts w:ascii="IRNazanin" w:hAnsi="IRNazanin" w:eastAsia="IRNazanin"/>
          <w:color w:val="111111"/>
          <w:sz w:val="28"/>
          <w:sz w:val="28"/>
          <w:szCs w:val="28"/>
          <w:rtl w:val="true"/>
          <w:lang w:bidi="fa-IR"/>
        </w:rPr>
        <w:t xml:space="preserve">والشیخ </w:t>
      </w:r>
      <w:r>
        <w:rPr>
          <w:rStyle w:val="FootnoteAnchor"/>
          <w:rtl w:val="true"/>
        </w:rPr>
        <w:footnoteReference w:id="1097"/>
      </w:r>
      <w:r>
        <w:rPr>
          <w:rFonts w:ascii="IRNazanin" w:hAnsi="IRNazanin" w:eastAsia="IRNazanin"/>
          <w:color w:val="111111"/>
          <w:sz w:val="28"/>
          <w:sz w:val="28"/>
          <w:szCs w:val="28"/>
          <w:rtl w:val="true"/>
          <w:lang w:bidi="fa-IR"/>
        </w:rPr>
        <w:t xml:space="preserve">، والراوی هنا أیوب بن نوح وهو متأخّر ، لأنّه من أصحاب الهادی علیه السلام والعسکری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النجاشی ذکر أنّ أیوب روی عن أصحاب أبی عبد الله علیه السلام </w:t>
      </w:r>
      <w:r>
        <w:rPr>
          <w:rStyle w:val="FootnoteAnchor"/>
          <w:rtl w:val="true"/>
        </w:rPr>
        <w:footnoteReference w:id="1098"/>
      </w:r>
      <w:r>
        <w:rPr>
          <w:rFonts w:ascii="IRNazanin" w:hAnsi="IRNazanin" w:eastAsia="IRNazanin"/>
          <w:color w:val="111111"/>
          <w:sz w:val="28"/>
          <w:sz w:val="28"/>
          <w:szCs w:val="28"/>
          <w:rtl w:val="true"/>
          <w:lang w:bidi="fa-IR"/>
        </w:rPr>
        <w:t xml:space="preserve">، ومحمد بن أبی حمزة من أصحابه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أنّی متأمّل فی مثل هذا الأمر ؛ لأنّ اللازم منه أنّ یکون محمد بن أبی حمزة أدرک الهادی علیه السلام ، فیکون أدرک أربعة من الأئمة علیهم السلام ، ولم یذکر ذلک فی الرجال ، بل فی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أصحاب الصادق علیه السلام لا غیره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4" w:name="__RefHeading___Toc147002_2142443653"/>
      <w:bookmarkStart w:id="735" w:name="_Toc279"/>
      <w:bookmarkEnd w:id="734"/>
      <w:r>
        <w:rPr>
          <w:rtl w:val="true"/>
        </w:rPr>
        <w:t>بحث حول أبی جمیلة</w:t>
      </w:r>
      <w:bookmarkEnd w:id="73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6" w:name="__RefHeading___Toc147004_2142443653"/>
      <w:bookmarkStart w:id="737" w:name="_Toc280"/>
      <w:bookmarkEnd w:id="736"/>
      <w:r>
        <w:rPr>
          <w:rtl w:val="true"/>
        </w:rPr>
        <w:t>بحث حول محمّد بن أبی حمزة</w:t>
      </w:r>
      <w:bookmarkEnd w:id="737"/>
    </w:p>
    <w:p>
      <w:pPr>
        <w:pStyle w:val="BookText"/>
        <w:rPr/>
      </w:pPr>
      <w:r>
        <w:rPr>
          <w:rFonts w:ascii="IRNazanin" w:hAnsi="IRNazanin" w:eastAsia="IRNazanin"/>
          <w:color w:val="111111"/>
          <w:sz w:val="28"/>
          <w:sz w:val="28"/>
          <w:szCs w:val="28"/>
          <w:rtl w:val="true"/>
          <w:lang w:bidi="fa-IR"/>
        </w:rPr>
        <w:t xml:space="preserve">ثم إنّ توثیقه لیس إلاّ من الکشی بهذه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حمدویه بن نصیر ، عن علی بن أبی حمزة الثمالی والحسین بن أبی حمزة ومحمد أخویه </w:t>
      </w:r>
      <w:r>
        <w:rPr>
          <w:rStyle w:val="FootnoteAnchor"/>
          <w:rtl w:val="true"/>
        </w:rPr>
        <w:footnoteReference w:id="1100"/>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ثقات فاضلون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وحمدویه متأخّر عن هؤلاء ، لکنه ثقة مقبول القول ، غیر أنّه وقع فی البین بالنسبة إلی أنّ المخبَر عنه من حمدویه هو الثمالی نوع إشکال ، وهو أنّ النجاشی قال نقلاً عن محمد بن عمر الجعابیّ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أسماء </w:t>
      </w:r>
      <w:r>
        <w:rPr>
          <w:rStyle w:val="FootnoteAnchor"/>
          <w:rtl w:val="true"/>
        </w:rPr>
        <w:footnoteReference w:id="1102"/>
      </w:r>
      <w:r>
        <w:rPr>
          <w:rFonts w:ascii="IRNazanin" w:hAnsi="IRNazanin" w:eastAsia="IRNazanin"/>
          <w:color w:val="111111"/>
          <w:sz w:val="28"/>
          <w:sz w:val="28"/>
          <w:szCs w:val="28"/>
          <w:rtl w:val="true"/>
          <w:lang w:bidi="fa-IR"/>
        </w:rPr>
        <w:t xml:space="preserve">ولد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ومنصور وحمزة ، قتلوا مع زید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بظاهره یدل علی أنّ محمداً والحسین وعلیاً لیسوا من ولد أبی حمزة الثمالی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یظهر من عبارة النجاشی کما تری أنّها حکایة عن الغیر ، ویحتمل أنّ لا یکون راضیاً بها ؛ وما قاله فی الخلاصة نقلاً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ولد أبی حمزة </w:t>
      </w:r>
      <w:r>
        <w:rPr>
          <w:rStyle w:val="FootnoteAnchor"/>
          <w:rtl w:val="true"/>
        </w:rPr>
        <w:footnoteReference w:id="1105"/>
      </w:r>
      <w:r>
        <w:rPr>
          <w:rFonts w:ascii="IRNazanin" w:hAnsi="IRNazanin" w:eastAsia="IRNazanin"/>
          <w:color w:val="111111"/>
          <w:sz w:val="28"/>
          <w:sz w:val="28"/>
          <w:szCs w:val="28"/>
          <w:rtl w:val="true"/>
          <w:lang w:bidi="fa-IR"/>
        </w:rPr>
        <w:t>، غریب علی أنّ قول الجعابی فی الأولاد الذین قتلوا مع زید لا جمیع الأولاد ، وفی هذا تأمّل ، إذ هو خلاف الظاهر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النجاشی غیر قائل بالمنقول ؛ لأنّه قال فی الحسین بن حمزة اللیثی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حمزة اللیثی </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 xml:space="preserve">ابن بنت أبی حمزة الثمالی ثقة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وخاله محمد بن أبی حمزة ذکره أصحاب کتب </w:t>
      </w:r>
    </w:p>
    <w:p>
      <w:pPr>
        <w:pStyle w:val="BookText"/>
        <w:rPr/>
      </w:pPr>
      <w:r>
        <w:rPr>
          <w:rFonts w:ascii="IRNazanin" w:hAnsi="IRNazanin" w:eastAsia="IRNazanin"/>
          <w:color w:val="111111"/>
          <w:sz w:val="28"/>
          <w:sz w:val="28"/>
          <w:szCs w:val="28"/>
          <w:rtl w:val="true"/>
          <w:lang w:bidi="fa-IR"/>
        </w:rPr>
        <w:t xml:space="preserve">الرجال </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صریح فی أنّ محمد بن أبی حمزة موجود ، غایة الأمر أنّ اللبس فی الحسین وعلی ابنی أبی حمزة ، فإنّ النجاشی لم یذکر إلاّ الحسین ابن حمزة اللیثی ، وعلی بن أبی حمزة لم یذکره ؛ وغیر بعید أن یکون الحسین بن حمزة اللیثی نسب إلی جدّه لأُمه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وقع فی الخلاصة فهو غریب ، لأنّه قال بعد نقل کلام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أشرنا إلی أنّه موهوم ؛ لأنّه أسنده إلیه ، وإنّما هو نقل عن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من عداد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بنت أبی حمزة الثمالی خال محمد بن أبی حمزة ، وأن الحسین ابن أبی حمزة ابن ابنة الحسین بن أبی حمزة الثمالی ، وأن الحسین بن حمزة اللیثی الکوفی هو ابن بنت 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النجاشی أیضاً الحسین بن حمزة اللیثی ؛ وذکر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الحسین وحمزة ، وبالجملة هذا الرجل عندی مقبول الروایة ، ویجوز أنّ یکون ابن ابنة </w:t>
      </w:r>
      <w:r>
        <w:rPr>
          <w:rStyle w:val="FootnoteAnchor"/>
          <w:rtl w:val="true"/>
        </w:rPr>
        <w:footnoteReference w:id="1108"/>
      </w:r>
      <w:r>
        <w:rPr>
          <w:rFonts w:ascii="IRNazanin" w:hAnsi="IRNazanin" w:eastAsia="IRNazanin"/>
          <w:color w:val="111111"/>
          <w:sz w:val="28"/>
          <w:sz w:val="28"/>
          <w:szCs w:val="28"/>
          <w:rtl w:val="true"/>
          <w:lang w:bidi="fa-IR"/>
        </w:rPr>
        <w:t xml:space="preserve">أبی حمزة ، وغلب علیه النسب إلی أبی حمزة </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 کلام ابن عقدة مخلوط ، وأنّ قوله خال محمد غلط ، بل خاله محمد کما فی النجاشی </w:t>
      </w:r>
      <w:r>
        <w:rPr>
          <w:rStyle w:val="FootnoteAnchor"/>
          <w:rtl w:val="true"/>
        </w:rPr>
        <w:footnoteReference w:id="1110"/>
      </w:r>
      <w:r>
        <w:rPr>
          <w:rFonts w:ascii="IRNazanin" w:hAnsi="IRNazanin" w:eastAsia="IRNazanin"/>
          <w:color w:val="111111"/>
          <w:sz w:val="28"/>
          <w:sz w:val="28"/>
          <w:szCs w:val="28"/>
          <w:rtl w:val="true"/>
          <w:lang w:bidi="fa-IR"/>
        </w:rPr>
        <w:t xml:space="preserve">، ولفظ الحسین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ابنة الحسین ؛ غلط أیضاً ، والمراد أنّ الحسین بن </w:t>
      </w:r>
      <w:r>
        <w:rPr>
          <w:rStyle w:val="FootnoteAnchor"/>
          <w:rtl w:val="true"/>
        </w:rPr>
        <w:footnoteReference w:id="1111"/>
      </w:r>
      <w:r>
        <w:rPr>
          <w:rFonts w:ascii="IRNazanin" w:hAnsi="IRNazanin" w:eastAsia="IRNazanin"/>
          <w:color w:val="111111"/>
          <w:sz w:val="28"/>
          <w:sz w:val="28"/>
          <w:szCs w:val="28"/>
          <w:rtl w:val="true"/>
          <w:lang w:bidi="fa-IR"/>
        </w:rPr>
        <w:t xml:space="preserve">حمزة هو ابن بنت أبی حمزة الثمالی ، ومحمد خاله ؛ والحسین الذی یقال له ابن أبی حمزة </w:t>
      </w:r>
    </w:p>
    <w:p>
      <w:pPr>
        <w:pStyle w:val="BookText"/>
        <w:rPr/>
      </w:pPr>
      <w:r>
        <w:rPr>
          <w:rFonts w:ascii="IRNazanin" w:hAnsi="IRNazanin" w:eastAsia="IRNazanin"/>
          <w:color w:val="111111"/>
          <w:sz w:val="28"/>
          <w:sz w:val="28"/>
          <w:szCs w:val="28"/>
          <w:rtl w:val="true"/>
          <w:lang w:bidi="fa-IR"/>
        </w:rPr>
        <w:t>هو ابن حمزة ، لکن لما کان ابن ابنة أبی حمزة نسب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قول جدّی قدس سره فی فوائد الخلاصة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کلام ابن عقدة یدل علی وجود الحسین بن أبی حمزة الثمالی وإن شارکه غیره فی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بن حمزة اللیثی هو ابن بنت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کون أبی حمزة له ولد اسمه الحسین ، فظهر أنّ جمیع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یظهر له فائدة ولا منافاة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بحث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کلام النجاشی فی الحسین بن حمزة صریح فی أنّ خاله محمد بن أبی حمزة </w:t>
      </w:r>
      <w:r>
        <w:rPr>
          <w:rStyle w:val="FootnoteAnchor"/>
          <w:rtl w:val="true"/>
        </w:rPr>
        <w:footnoteReference w:id="1112"/>
      </w:r>
      <w:r>
        <w:rPr>
          <w:rFonts w:ascii="IRNazanin" w:hAnsi="IRNazanin" w:eastAsia="IRNazanin"/>
          <w:color w:val="111111"/>
          <w:sz w:val="28"/>
          <w:sz w:val="28"/>
          <w:szCs w:val="28"/>
          <w:rtl w:val="true"/>
          <w:lang w:bidi="fa-IR"/>
        </w:rPr>
        <w:t>، ولو کان له خال یقال له الحسین لکان أحق بالذکر ، لکونه موثقاً فی کلام حمدویه ، فلا أقل من ذکره مع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کلام ابن عقدة لا یفید التعدّد ، بل إنّما وقع الوهم من الزیادة والنقصان اللذین ذکرناهما </w:t>
      </w:r>
      <w:r>
        <w:rPr>
          <w:rStyle w:val="FootnoteAnchor"/>
          <w:rtl w:val="true"/>
        </w:rPr>
        <w:footnoteReference w:id="1113"/>
      </w:r>
      <w:r>
        <w:rPr>
          <w:rFonts w:ascii="IRNazanin" w:hAnsi="IRNazanin" w:eastAsia="IRNazanin"/>
          <w:color w:val="111111"/>
          <w:sz w:val="28"/>
          <w:sz w:val="28"/>
          <w:szCs w:val="28"/>
          <w:rtl w:val="true"/>
          <w:lang w:bidi="fa-IR"/>
        </w:rPr>
        <w:t xml:space="preserve">مع زیادة ذکر الحسین مرّة ثالثة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حمزة اللیثی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بنت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حمزة اللیثی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والکل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لُامّه ، 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لجدّه لُامّه ، وفی الثالث لأبیه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الکلام فی علی بن أبی حمزة الثمالی ، فإنّ عدم ذکر النجاشی له یشعر بعدم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Style w:val="FootnoteAnchor"/>
          <w:rtl w:val="true"/>
        </w:rPr>
        <w:footnoteReference w:id="1114"/>
      </w:r>
      <w:r>
        <w:rPr>
          <w:rFonts w:ascii="IRNazanin" w:hAnsi="IRNazanin" w:eastAsia="IRNazanin"/>
          <w:color w:val="111111"/>
          <w:sz w:val="28"/>
          <w:sz w:val="28"/>
          <w:szCs w:val="28"/>
          <w:rtl w:val="true"/>
          <w:lang w:bidi="fa-IR"/>
        </w:rPr>
        <w:t xml:space="preserve">لا یخلو من تشویش ، والحاصل من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bookmarkStart w:id="738" w:name="pg15025_160416"/>
    </w:p>
    <w:p>
      <w:pPr>
        <w:pStyle w:val="BookText"/>
        <w:rPr/>
      </w:pPr>
      <w:bookmarkEnd w:id="738"/>
      <w:r>
        <w:rPr>
          <w:rFonts w:ascii="IRNazanin" w:hAnsi="IRNazanin" w:eastAsia="IRNazanin"/>
          <w:color w:val="111111"/>
          <w:sz w:val="28"/>
          <w:sz w:val="28"/>
          <w:szCs w:val="28"/>
          <w:rtl w:val="true"/>
          <w:lang w:bidi="fa-IR"/>
        </w:rPr>
        <w:t>الحائض إذا لبست ثوباً واحداً إلی حین تطهر ، وکان لها أثواب فلا تصلّی فیه حتی تغسله ، لأنّ الغالب عدم خلوّه من إصابة النجاسة ، وإن تعدّد علیها صلّت فی الأعلی ، لبُعده عن النجاسة ، وإنّ لم یکن لها إلاّ ثوب واحد فإنّه یکفیها أنّ تغسل بدنها حین الطمث ثم تلبسه ، فإذا طهرت صلّت فیه وإنّ لم تغسله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ما قلناه فی 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أنّ الأمر بغَسل الثوب فی أوّل الروایة لعدم خلوّها من النجاسة ، لا من جهة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محمول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 إلاّ أنّه لا وجه لعدم ذکره فی الأوّل أیضاً ، بل الأوّل أولی ؛ لأنّ الاستحباب فی هذا یقتضی الغَسل فی الصورة الأخیرة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الاستحباب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ثوباً تلزمه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المراد به ما ذکر فی الخبر الأوّل ، أعنی الثوب المستمر علیها إلی حین الطهر ، ویحتمل أنّ یراد الثوب الملاصق للجسم ، وهو المراد فی الأوّل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صلّت فی الأعلی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فالحکم قد عرفت أنّ علیه الإجماع مدعی بالنسبة إلی العرق ، وأمّا غیره فبحسب النجاسات ، وأحکام إزالتها تابعة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طمثت کنصر وسمِع حاضت ، والطمث المسّ والدنَسَ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9" w:name="__RefHeading___Toc147006_2142443653"/>
      <w:bookmarkStart w:id="740" w:name="_Toc281"/>
      <w:bookmarkEnd w:id="739"/>
      <w:r>
        <w:rPr>
          <w:rtl w:val="true"/>
        </w:rPr>
        <w:t>توجیه ما دلّ علی أنّ الحائض لاتصلّی فی الثوب المستمرّ علیها إلی حین الطهر حتی تغسله</w:t>
      </w:r>
      <w:bookmarkEnd w:id="74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1" w:name="__RefHeading___Toc147008_2142443653"/>
      <w:bookmarkStart w:id="742" w:name="_Toc282"/>
      <w:bookmarkEnd w:id="741"/>
      <w:r>
        <w:rPr>
          <w:rtl w:val="true"/>
        </w:rPr>
        <w:t>معنی الطمث</w:t>
      </w:r>
      <w:bookmarkEnd w:id="742"/>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محمد ، عن الحسن ابن محبوب ، عن أبان بن عثمان ، عن محمد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أجنب فی ثوبه ولم یکن معه ثوب غیره؟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فیه ، وإذا وجد الماء </w:t>
      </w:r>
      <w:r>
        <w:rPr>
          <w:rStyle w:val="FootnoteAnchor"/>
          <w:rtl w:val="true"/>
        </w:rPr>
        <w:footnoteReference w:id="1117"/>
      </w:r>
      <w:r>
        <w:rPr>
          <w:rFonts w:ascii="IRNazanin" w:hAnsi="IRNazanin" w:eastAsia="IRNazanin"/>
          <w:color w:val="111111"/>
          <w:sz w:val="28"/>
          <w:sz w:val="28"/>
          <w:szCs w:val="28"/>
          <w:rtl w:val="true"/>
          <w:lang w:bidi="fa-IR"/>
        </w:rPr>
        <w:t xml:space="preserve">غسله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الخبر یحتمل شیئین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الأشبه أن یکون أصاب الثوب نجاسة من المنی ، فحینئذ یصلّی فیه إذا لم یجد غیره ولا یمکنه نزعه ، وکان علیه الإعادة علی ما بیّنّاه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المراد إذا أصابته الجنابة من حرام وعرق فیه ، فإنّه یصلّی فیه ، فإذا وجد الماء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النضر ، عن عاصم بن حمید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الثوب یجنب فیه الرجل ویعرق فیه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أنا فلا أُحب أن أنام فیه ، وإن کان الشتاء فلا بأس به </w:t>
      </w:r>
      <w:r>
        <w:rPr>
          <w:rStyle w:val="FootnoteAnchor"/>
          <w:rtl w:val="true"/>
        </w:rPr>
        <w:footnoteReference w:id="1118"/>
      </w:r>
      <w:r>
        <w:rPr>
          <w:rFonts w:ascii="IRNazanin" w:hAnsi="IRNazanin" w:eastAsia="IRNazanin"/>
          <w:color w:val="111111"/>
          <w:sz w:val="28"/>
          <w:sz w:val="28"/>
          <w:szCs w:val="28"/>
          <w:rtl w:val="true"/>
          <w:lang w:bidi="fa-IR"/>
        </w:rPr>
        <w:t xml:space="preserve">ما لم یعرق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ضرب من الکراهیة وهو صریح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محمولاً علی أنّه إذا کانت الجنابة من حرام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الحسین بن سعید ، عن حماد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یجنب فی ثوبه ، أیتجفف فیه من غسله؟ </w:t>
      </w:r>
      <w:bookmarkStart w:id="743" w:name="pg15025_160418"/>
    </w:p>
    <w:p>
      <w:pPr>
        <w:pStyle w:val="BookText"/>
        <w:rPr/>
      </w:pPr>
      <w:bookmarkEnd w:id="743"/>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لا بأس به ، إلاّ أنّ تکون النطفة فیه رطبة ، فإنّ کانت جافّة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فیما تضمنه هذا الخبر من جواز التنشف بالثوب إذا کان المنی یابساً محمول علی أنّه إذا لم یتنشف بالموضع الذی یکون فیه المنی ، لأنّه لو تنشف بذلک الموضع ، لتعدی النجاسة إلیه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ارتیاب فی صحته ، لأنّ الطریق إلی سعد صحیح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 عن محمد بن علی بن بابویه ، عن أبیه ،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طریق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قولویه ،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الأب کلام قد تقدم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جعفر أحمد بن محمد بن عیسی علی ما ذکره العلاّمة فی فوائد الخلاصة </w:t>
      </w:r>
      <w:r>
        <w:rPr>
          <w:rStyle w:val="FootnoteAnchor"/>
          <w:rtl w:val="true"/>
        </w:rPr>
        <w:footnoteReference w:id="1121"/>
      </w:r>
      <w:r>
        <w:rPr>
          <w:rFonts w:ascii="IRNazanin" w:hAnsi="IRNazanin" w:eastAsia="IRNazanin"/>
          <w:color w:val="111111"/>
          <w:sz w:val="28"/>
          <w:sz w:val="28"/>
          <w:szCs w:val="28"/>
          <w:rtl w:val="true"/>
          <w:lang w:bidi="fa-IR"/>
        </w:rPr>
        <w:t xml:space="preserve">، والاعتبار یساعد علیه لولا شی‌ء ما قدّمناه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بن الحکم هو الثقة بقرینة روایة أحمد بن محمد بن عیسی عنه </w:t>
      </w:r>
      <w:r>
        <w:rPr>
          <w:rStyle w:val="FootnoteAnchor"/>
          <w:rtl w:val="true"/>
        </w:rPr>
        <w:footnoteReference w:id="1123"/>
      </w:r>
      <w:r>
        <w:rPr>
          <w:rFonts w:ascii="IRNazanin" w:hAnsi="IRNazanin" w:eastAsia="IRNazanin"/>
          <w:color w:val="111111"/>
          <w:sz w:val="28"/>
          <w:sz w:val="28"/>
          <w:szCs w:val="28"/>
          <w:rtl w:val="true"/>
          <w:lang w:bidi="fa-IR"/>
        </w:rPr>
        <w:t xml:space="preserve">علی تقدیره ، والإضمار فیه غیر مضر کما کرّرنا القول فیه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النضر ، وهو علی الظاهر ابن سوید ، لما یستفاد من الرجال والأخبار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 w:name="__RefHeading___Toc147010_2142443653"/>
      <w:bookmarkStart w:id="745" w:name="_Toc283"/>
      <w:bookmarkEnd w:id="744"/>
      <w:r>
        <w:rPr>
          <w:rtl w:val="true"/>
        </w:rPr>
        <w:t>طرق الشیخ إلی سعد</w:t>
      </w:r>
      <w:bookmarkEnd w:id="745"/>
    </w:p>
    <w:p>
      <w:pPr>
        <w:pStyle w:val="Heading4"/>
        <w:numPr>
          <w:ilvl w:val="3"/>
          <w:numId w:val="1"/>
        </w:numPr>
        <w:rPr/>
      </w:pPr>
      <w:bookmarkStart w:id="746" w:name="__RefHeading___Toc147012_2142443653"/>
      <w:bookmarkStart w:id="747" w:name="_Toc284"/>
      <w:bookmarkEnd w:id="746"/>
      <w:r>
        <w:rPr>
          <w:rtl w:val="true"/>
        </w:rPr>
        <w:t>أبو جعفر هو أحمد بن محمّد بن عیسی</w:t>
      </w:r>
      <w:bookmarkEnd w:id="74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8" w:name="__RefHeading___Toc147014_2142443653"/>
      <w:bookmarkStart w:id="749" w:name="_Toc285"/>
      <w:bookmarkEnd w:id="748"/>
      <w:r>
        <w:rPr>
          <w:rtl w:val="true"/>
        </w:rPr>
        <w:t>علی بن الحکم الذی یروی عنه أحمد بن محمّد بن عیسی هو الثقة</w:t>
      </w:r>
      <w:bookmarkStart w:id="750" w:name="pg15025_160419"/>
      <w:bookmarkEnd w:id="749"/>
    </w:p>
    <w:p>
      <w:pPr>
        <w:pStyle w:val="BookText"/>
        <w:rPr/>
      </w:pPr>
      <w:bookmarkEnd w:id="750"/>
      <w:r>
        <w:rPr>
          <w:rFonts w:ascii="IRNazanin" w:hAnsi="IRNazanin" w:eastAsia="IRNazanin"/>
          <w:color w:val="111111"/>
          <w:sz w:val="28"/>
          <w:sz w:val="28"/>
          <w:szCs w:val="28"/>
          <w:rtl w:val="true"/>
          <w:lang w:bidi="fa-IR"/>
        </w:rPr>
        <w:t xml:space="preserve">وأبو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کرّرنا ذکره </w:t>
      </w:r>
      <w:r>
        <w:rPr>
          <w:rStyle w:val="FootnoteAnchor"/>
          <w:rtl w:val="true"/>
        </w:rPr>
        <w:footnoteReference w:id="1126"/>
      </w:r>
      <w:r>
        <w:rPr>
          <w:rFonts w:ascii="IRNazanin" w:hAnsi="IRNazanin" w:eastAsia="IRNazanin"/>
          <w:color w:val="111111"/>
          <w:sz w:val="28"/>
          <w:sz w:val="28"/>
          <w:szCs w:val="28"/>
          <w:rtl w:val="true"/>
          <w:lang w:bidi="fa-IR"/>
        </w:rPr>
        <w:t>، غیر أنّ شیخنا قدس سره کان یرجّح کون عاصم بن حمید إذا روی عن أبی بصیر فهو لیث المرادی ، والوالد قدس سره کان یتوقف فی ذلک ، لوجدانه روایة عاصم عن یحیی فیما أظن منه سماعاً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 صحته ، والإضمار غیر قادح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 بل صریح فی أنّ المنی إذا أصاب الثوب ولم یکن مع الإنسان غیره ولم یقدر علی الغَسل یصلّی فیه ، غایة الأمر أنّ التقیید بالضرورة مذکور فی کلام بعض الأصحاب </w:t>
      </w:r>
      <w:r>
        <w:rPr>
          <w:rStyle w:val="FootnoteAnchor"/>
          <w:rtl w:val="true"/>
        </w:rPr>
        <w:footnoteReference w:id="1127"/>
      </w:r>
      <w:r>
        <w:rPr>
          <w:rFonts w:ascii="IRNazanin" w:hAnsi="IRNazanin" w:eastAsia="IRNazanin"/>
          <w:color w:val="111111"/>
          <w:sz w:val="28"/>
          <w:sz w:val="28"/>
          <w:szCs w:val="28"/>
          <w:rtl w:val="true"/>
          <w:lang w:bidi="fa-IR"/>
        </w:rPr>
        <w:t xml:space="preserve">، وعلیه یدل بعض الأخبار ، کما تقدم ذلک کلّه مفصلاً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أنّ الشیخ ذکره سابقاً فی باب الرجل یصیب ثوبه الجنابة </w:t>
      </w:r>
      <w:r>
        <w:rPr>
          <w:rStyle w:val="FootnoteAnchor"/>
          <w:rtl w:val="true"/>
        </w:rPr>
        <w:footnoteReference w:id="1129"/>
      </w:r>
      <w:r>
        <w:rPr>
          <w:rFonts w:ascii="IRNazanin" w:hAnsi="IRNazanin" w:eastAsia="IRNazanin"/>
          <w:color w:val="111111"/>
          <w:sz w:val="28"/>
          <w:sz w:val="28"/>
          <w:szCs w:val="28"/>
          <w:rtl w:val="true"/>
          <w:lang w:bidi="fa-IR"/>
        </w:rPr>
        <w:t>، وهنا ذکر احتمال الجنابة من حرام وعرق فیه ، والخبر عن هذا الاحتمال بمراحل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التهذیب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یکون المراد بهذا الخبر إلاّ من عرق فی الثوب من جنابة إذا کانت 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رحمه الله لأنّا قد بیّنا أنّ نفس الجنابة لا تتعدی إلی الثوب ، وذکرنا أیضاً أنّ عرق الجنب لا ینجس الثوب ، فلم یبق معنیً یحمل علیه الخبر إلاّ عرق الجنابة من حرام </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751" w:name="__RefHeading___Toc147016_2142443653"/>
      <w:bookmarkStart w:id="752" w:name="_Toc286"/>
      <w:bookmarkEnd w:id="751"/>
      <w:r>
        <w:rPr>
          <w:rtl w:val="true"/>
        </w:rPr>
        <w:t>کلمة الحول أبی بصیر إذا روی عنه عاصم بن حمید</w:t>
      </w:r>
      <w:bookmarkEnd w:id="75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3" w:name="__RefHeading___Toc147018_2142443653"/>
      <w:bookmarkStart w:id="754" w:name="_Toc287"/>
      <w:bookmarkEnd w:id="753"/>
      <w:r>
        <w:rPr>
          <w:rtl w:val="true"/>
        </w:rPr>
        <w:t>توجیه خبری الحلبی وأبی بصیر</w:t>
      </w:r>
      <w:bookmarkStart w:id="755" w:name="pg15025_160420"/>
      <w:bookmarkEnd w:id="754"/>
    </w:p>
    <w:p>
      <w:pPr>
        <w:pStyle w:val="BookText"/>
        <w:rPr/>
      </w:pPr>
      <w:bookmarkEnd w:id="755"/>
      <w:r>
        <w:rPr>
          <w:rFonts w:ascii="IRNazanin" w:hAnsi="IRNazanin" w:eastAsia="IRNazanin"/>
          <w:color w:val="111111"/>
          <w:sz w:val="28"/>
          <w:sz w:val="28"/>
          <w:szCs w:val="28"/>
          <w:rtl w:val="true"/>
          <w:lang w:bidi="fa-IR"/>
        </w:rPr>
        <w:t>ولا یخفی علیک أنّ الاستدلال بمثل هذا الخبر موضع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کذلک ، بل هو بمعزل عن احتمال الجنابة من حرام ؛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أنا فلا أُحبّ أنّ أنام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ذلک ، إلاّ علی احتمال متکلّف ، وهو أنّ یراد کون غیره لو أجنب من حرام لا ینام فیه علیه السلام بتقدیر 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رحمه الله من صراحته فی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یعتریه شوب الارتیاب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وجه الکراهة بُعد خلوّ الثوب من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یعلم أنّ القول بنجاسة عرق المجنب من حرام محکی فی المختلف عن الشیخین وابن البراج </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رسالة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یعنی الجنابة من حرام فحرام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جهة العرق ؛ لتقدم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عبارة ولده فی الفقیه </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الظن أن العبارتین لا صراحة فیهما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عبارة المفید فی المقنعة ربما کانت ظاهرة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غَسل الثوب من عرق الجنب إلاّ أنّ تکون الجنابة من حرام </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منها ذلک ؛ لاحتمال القول بوجوب الغَسل لإزالة العرق لأجل الصلاة ، حیث لا تصح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الجنید فی المختصر الأحمدی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الحائض لا ینجّس الثوب ، وکذلک عرق الجنب من حلال ، فإنّ کان أجنب من حرام غَسَل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6" w:name="__RefHeading___Toc147020_2142443653"/>
      <w:bookmarkStart w:id="757" w:name="_Toc288"/>
      <w:bookmarkEnd w:id="756"/>
      <w:r>
        <w:rPr>
          <w:rtl w:val="true"/>
        </w:rPr>
        <w:t>حکم عرق المجنب من حرام</w:t>
      </w:r>
      <w:bookmarkEnd w:id="757"/>
    </w:p>
    <w:p>
      <w:pPr>
        <w:pStyle w:val="BookText"/>
        <w:rPr/>
      </w:pPr>
      <w:r>
        <w:rPr>
          <w:rFonts w:ascii="IRNazanin" w:hAnsi="IRNazanin" w:eastAsia="IRNazanin"/>
          <w:color w:val="111111"/>
          <w:sz w:val="28"/>
          <w:sz w:val="28"/>
          <w:szCs w:val="28"/>
          <w:rtl w:val="true"/>
          <w:lang w:bidi="fa-IR"/>
        </w:rPr>
        <w:t>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ربما یقال بصراحته فی النجاسة ، إلاّ أنّ فیه نوع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فی الخلاف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الجنب من حرام حرام الصلاة فیه </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تکون الجنابة من حرام ، فإنّه یجب غَسل الثوب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واحتج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والاحتیاط والأخبار </w:t>
      </w:r>
      <w:r>
        <w:rPr>
          <w:rStyle w:val="FootnoteAnchor"/>
          <w:rtl w:val="true"/>
        </w:rPr>
        <w:footnoteReference w:id="1136"/>
      </w:r>
      <w:r>
        <w:rPr>
          <w:rFonts w:ascii="IRNazanin" w:hAnsi="IRNazanin" w:eastAsia="IRNazanin"/>
          <w:color w:val="111111"/>
          <w:sz w:val="28"/>
          <w:sz w:val="28"/>
          <w:szCs w:val="28"/>
          <w:rtl w:val="true"/>
          <w:lang w:bidi="fa-IR"/>
        </w:rPr>
        <w:t>، محیلاً لها علی کتابی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ما تری من جهة الأخبار ، فإنّ فی الکتابین مستنده هذین الحدیثین </w:t>
      </w:r>
      <w:r>
        <w:rPr>
          <w:rStyle w:val="FootnoteAnchor"/>
          <w:rtl w:val="true"/>
        </w:rPr>
        <w:footnoteReference w:id="1137"/>
      </w:r>
      <w:r>
        <w:rPr>
          <w:rFonts w:ascii="IRNazanin" w:hAnsi="IRNazanin" w:eastAsia="IRNazanin"/>
          <w:color w:val="111111"/>
          <w:sz w:val="28"/>
          <w:sz w:val="28"/>
          <w:szCs w:val="28"/>
          <w:rtl w:val="true"/>
          <w:lang w:bidi="fa-IR"/>
        </w:rPr>
        <w:t xml:space="preserve">، وکلام الشیخ فی التهذیب قد سمعته مع قوله هنا ، وقد ذکر احتمال إصابة الثوب النجاسة فی التهذیب </w:t>
      </w:r>
      <w:r>
        <w:rPr>
          <w:rStyle w:val="FootnoteAnchor"/>
          <w:rtl w:val="true"/>
        </w:rPr>
        <w:footnoteReference w:id="1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 فالأمر لا یخلو من غرابة بالنسبة إلی الشیخ ، حیث تعرض للاستدلال بالأخبار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الإجماع فلا یمکن الاطّلاع فیه علی الحقیقة بعد ما یوجد خلاف نفسه فیه ، کما یعلم من مراجعة ما ذکره جدّی قدس سره فی بعض فوائده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هذه المسألة لم نقف للمتقدمین علی قول بالطهارة ، نعم ابن إدریس وسلاّر نقل عنهما </w:t>
      </w:r>
      <w:r>
        <w:rPr>
          <w:rStyle w:val="FootnoteAnchor"/>
          <w:rtl w:val="true"/>
        </w:rPr>
        <w:footnoteReference w:id="1139"/>
      </w:r>
      <w:r>
        <w:rPr>
          <w:rFonts w:ascii="IRNazanin" w:hAnsi="IRNazanin" w:eastAsia="IRNazanin"/>
          <w:color w:val="111111"/>
          <w:sz w:val="28"/>
          <w:sz w:val="28"/>
          <w:szCs w:val="28"/>
          <w:rtl w:val="true"/>
          <w:lang w:bidi="fa-IR"/>
        </w:rPr>
        <w:t xml:space="preserve">ذلک ، وجمهور المتأخرین علی الطهارة </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غریب منهم مع معهودیّة اتباع الشیخ غالباً ، وعدم نقل مخالف من </w:t>
      </w:r>
    </w:p>
    <w:p>
      <w:pPr>
        <w:pStyle w:val="BookText"/>
        <w:rPr/>
      </w:pPr>
      <w:r>
        <w:rPr>
          <w:rFonts w:ascii="IRNazanin" w:hAnsi="IRNazanin" w:eastAsia="IRNazanin"/>
          <w:color w:val="111111"/>
          <w:sz w:val="28"/>
          <w:sz w:val="28"/>
          <w:szCs w:val="28"/>
          <w:rtl w:val="true"/>
          <w:lang w:bidi="fa-IR"/>
        </w:rPr>
        <w:t xml:space="preserve">المتقدّمین علی الشیخ لیکون القدح فی الإجماع حاصلاً علی احتمال ، بل العلاّمة فی المختلف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الطهارة اختیار سلاّر وابن إدریس وهو المعتمد ، واحتج بالأصل والأخبار الدالة علی طهارة عرق الجنب من غیر تفصیل ، وبأنّ المجنب من حرام لیس بنجس ، فلا یکون عرقه نجسا ، ثم ذکر حجّة الشیخین بالأخبار ولم یتعرض للإجماع المذکور فی الخلاف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الذکری قال الشهید رحمه الله بعد حکایته عن المبسوط أنّه نسب الحکم إلی روایة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ما رواه محمّد بن همام بإسناده إلی إدریس بن همام </w:t>
      </w:r>
      <w:r>
        <w:rPr>
          <w:rStyle w:val="FootnoteAnchor"/>
          <w:rtl w:val="true"/>
        </w:rPr>
        <w:footnoteReference w:id="1142"/>
      </w:r>
      <w:r>
        <w:rPr>
          <w:rFonts w:ascii="IRNazanin" w:hAnsi="IRNazanin" w:eastAsia="IRNazanin"/>
          <w:color w:val="111111"/>
          <w:sz w:val="28"/>
          <w:sz w:val="28"/>
          <w:szCs w:val="28"/>
          <w:rtl w:val="true"/>
          <w:lang w:bidi="fa-IR"/>
        </w:rPr>
        <w:t xml:space="preserve">الکفرثوثی إنّه کان یقول بالوقف فدخل إلی سرّ من رأی فی عهد أبی الحسن علیه السلام وأراد أن یسأله عن الثوب الذی یعرق فیه الجنب ، أیصلّی فیه؟ فبینما هو قائم فی طاق باب لانتظاره علیه السلام حرّکه أبو الحسن علیه السلام بمقرعته ، وقال مبتدئاً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من حلال فصَلِّ ، وإن کان من حرام فلا تصلِّ فیه </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 xml:space="preserve">ثم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الکلینی بإسناده إلی الرضا علیه السلام فی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فیه الجنب من الحرام </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 xml:space="preserve">وعن أبی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یغتسل من غسالته ، فإنّه یغتسل فیه من الزنا </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 xml:space="preserve">انتهی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bookmarkStart w:id="758" w:name="pg15025_160423"/>
    </w:p>
    <w:p>
      <w:pPr>
        <w:pStyle w:val="BookText"/>
        <w:rPr/>
      </w:pPr>
      <w:bookmarkEnd w:id="758"/>
      <w:r>
        <w:rPr>
          <w:rFonts w:ascii="IRNazanin" w:hAnsi="IRNazanin" w:eastAsia="IRNazanin"/>
          <w:color w:val="111111"/>
          <w:sz w:val="28"/>
          <w:sz w:val="28"/>
          <w:szCs w:val="28"/>
          <w:rtl w:val="true"/>
          <w:lang w:bidi="fa-IR"/>
        </w:rPr>
        <w:t xml:space="preserve">وهذه الروایات کما تری ربما دلت فی الجملة سیّما الاولی ، لکن الطرق فی الأخیرتین غیر سلیمة ، والأولی لم نقف علی أصلها ، والاحتمال الذی أسلفناه من إمکان تحریم الصلاة من دون النجاسة </w:t>
      </w:r>
      <w:r>
        <w:rPr>
          <w:rStyle w:val="FootnoteAnchor"/>
          <w:rtl w:val="true"/>
        </w:rPr>
        <w:footnoteReference w:id="1147"/>
      </w:r>
      <w:r>
        <w:rPr>
          <w:rFonts w:ascii="IRNazanin" w:hAnsi="IRNazanin" w:eastAsia="IRNazanin"/>
          <w:color w:val="111111"/>
          <w:sz w:val="28"/>
          <w:sz w:val="28"/>
          <w:szCs w:val="28"/>
          <w:rtl w:val="true"/>
          <w:lang w:bidi="fa-IR"/>
        </w:rPr>
        <w:t>قائم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یوجه عند القائل بالموثق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دلالة روایة ابن بکیر الموثقة الدالة علی أنّ ما لا یؤکل لحمه لا یصلّی فی شی‌ء منه تتناول عرق الإنسان </w:t>
      </w:r>
      <w:r>
        <w:rPr>
          <w:rStyle w:val="FootnoteAnchor"/>
          <w:rtl w:val="true"/>
        </w:rPr>
        <w:footnoteReference w:id="1148"/>
      </w:r>
      <w:r>
        <w:rPr>
          <w:rFonts w:ascii="IRNazanin" w:hAnsi="IRNazanin" w:eastAsia="IRNazanin"/>
          <w:color w:val="111111"/>
          <w:sz w:val="28"/>
          <w:sz w:val="28"/>
          <w:szCs w:val="28"/>
          <w:rtl w:val="true"/>
          <w:lang w:bidi="fa-IR"/>
        </w:rPr>
        <w:t>، ولمّا خرج عرق الإنسان بالإجماع ، ینبغی الاقتصار علی مورده ، وهو غیر المجنب من حرام ؛ لوقوع الخلاف فیه ، فیعمل الخبر عمله فیما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الإجماع إنّما خرجنا عنه فی المجنب من حرام إذا کان نجساً لا مع الطهارة ، إذ </w:t>
      </w:r>
      <w:r>
        <w:rPr>
          <w:rStyle w:val="FootnoteAnchor"/>
          <w:rtl w:val="true"/>
        </w:rPr>
        <w:footnoteReference w:id="1149"/>
      </w:r>
      <w:r>
        <w:rPr>
          <w:rFonts w:ascii="IRNazanin" w:hAnsi="IRNazanin" w:eastAsia="IRNazanin"/>
          <w:color w:val="111111"/>
          <w:sz w:val="28"/>
          <w:sz w:val="28"/>
          <w:szCs w:val="28"/>
          <w:rtl w:val="true"/>
          <w:lang w:bidi="fa-IR"/>
        </w:rPr>
        <w:t>لم یعلم فیه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صراحة القول بالنجاسة فی کلام بعض من تقدم </w:t>
      </w:r>
      <w:r>
        <w:rPr>
          <w:rStyle w:val="FootnoteAnchor"/>
          <w:rtl w:val="true"/>
        </w:rPr>
        <w:footnoteReference w:id="1150"/>
      </w:r>
      <w:r>
        <w:rPr>
          <w:rFonts w:ascii="IRNazanin" w:hAnsi="IRNazanin" w:eastAsia="IRNazanin"/>
          <w:color w:val="111111"/>
          <w:sz w:val="28"/>
          <w:sz w:val="28"/>
          <w:szCs w:val="28"/>
          <w:rtl w:val="true"/>
          <w:lang w:bidi="fa-IR"/>
        </w:rPr>
        <w:t>، فینبغی تأمّل هذا ، فإنّی لم أقف علی من نبّه علیه من العاملین بالموثق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الثالث من الأخبار کما تری یدل بظاهره علی التجفف بالثوب إذا لم تکن النطفة رطبة ، والحال فیه لا یخلو من خفاء ؛ لأنّ ما ذکره الشیخ فی توجیهه له وجه فی الجملة ، إلاّ أنّ الإجمال باق من حیث إنّ موضع المنی إذا لم ینشف به فلا فرق بین الرطب والیابس</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9" w:name="__RefHeading___Toc147022_2142443653"/>
      <w:bookmarkStart w:id="760" w:name="_Toc289"/>
      <w:bookmarkEnd w:id="759"/>
      <w:r>
        <w:rPr>
          <w:rtl w:val="true"/>
        </w:rPr>
        <w:t>توجیه ما دلّ علی جواز التنشّف بالثوب الذی فیه منی یابس</w:t>
      </w:r>
      <w:bookmarkStart w:id="761" w:name="pg15025_160424"/>
      <w:bookmarkEnd w:id="760"/>
    </w:p>
    <w:p>
      <w:pPr>
        <w:pStyle w:val="BookText"/>
        <w:rPr/>
      </w:pPr>
      <w:bookmarkEnd w:id="761"/>
      <w:r>
        <w:rPr>
          <w:rFonts w:ascii="IRNazanin" w:hAnsi="IRNazanin" w:eastAsia="IRNazanin"/>
          <w:color w:val="111111"/>
          <w:sz w:val="28"/>
          <w:sz w:val="28"/>
          <w:szCs w:val="28"/>
          <w:rtl w:val="true"/>
          <w:lang w:bidi="fa-IR"/>
        </w:rPr>
        <w:t>واحتمال أنّ یراد أنّ التنشف بالثوب إذا لم یعلم بإصابة الجنابة له لا بأس به إذا کانت یابسة ، بمعنی عدم العلم بها لکونها یابسة ، والیبس حینئذ هو سبب عدم العلم ، بخلاف ما إذا کانت رطبة ، فإنّها تتحقق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تام ؛ لأنّ عدم العلم بإصابة النجاسة یقتضی جواز التنشف به ، والرطوبة المذکورة إنّ کانت تعلم قبل التنشف فلا فرق ، وإنّ کانت بعد فکذلک ، إلاّ أنّ یحصل العلم بإصابتها ، ومع الیبوسة علی تقدیر علمها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الیبوسة إذا وقع التنشف بالثوب وبقیت الیبوسة فالعلم حاصل بعدم الإصابة ، بخلافه مع الرطوبة ؛ لاحتمال الإصابة من حیث الاشتراک فی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 أنّ هذا الوجه لا یخلو من وجاهة ، غیر أنّه یقتضی حمل الخبر علی الاستحباب ، من حیث إن مجرّد الاحتمال لا یحکم بالتنجیس به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بول الخشاف</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بن یحیی ، عن أبیه ، عن محمد بن أحمد بن یحیی ، عن موسی بن عمر ، عن یحیی بن عمر ، عن داود الرقّی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بول الخشاف </w:t>
      </w:r>
      <w:r>
        <w:rPr>
          <w:rStyle w:val="FootnoteAnchor"/>
          <w:rtl w:val="true"/>
        </w:rPr>
        <w:footnoteReference w:id="1151"/>
      </w:r>
      <w:r>
        <w:rPr>
          <w:rFonts w:ascii="IRNazanin" w:hAnsi="IRNazanin" w:eastAsia="IRNazanin"/>
          <w:color w:val="111111"/>
          <w:sz w:val="28"/>
          <w:sz w:val="28"/>
          <w:szCs w:val="28"/>
          <w:rtl w:val="true"/>
          <w:lang w:bidi="fa-IR"/>
        </w:rPr>
        <w:t xml:space="preserve">، یصیب ثوبی فأطلبه ولا أجده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ثوبک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أحمد بن محمد ، عن محمد بن یحیی ، عن غیاث ،</w:t>
      </w:r>
    </w:p>
    <w:p>
      <w:pPr>
        <w:pStyle w:val="Heading3"/>
        <w:numPr>
          <w:ilvl w:val="2"/>
          <w:numId w:val="1"/>
        </w:numPr>
        <w:rPr/>
      </w:pPr>
      <w:bookmarkStart w:id="762" w:name="__RefHeading___Toc147024_2142443653"/>
      <w:bookmarkStart w:id="763" w:name="_Toc290"/>
      <w:bookmarkEnd w:id="762"/>
      <w:r>
        <w:rPr>
          <w:rtl w:val="true"/>
        </w:rPr>
        <w:t>بول الخشاف</w:t>
      </w:r>
      <w:bookmarkEnd w:id="76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4" w:name="__RefHeading___Toc147026_2142443653"/>
      <w:bookmarkStart w:id="765" w:name="_Toc291"/>
      <w:bookmarkEnd w:id="764"/>
      <w:r>
        <w:rPr>
          <w:rtl w:val="true"/>
        </w:rPr>
        <w:t>اشارة</w:t>
      </w:r>
      <w:bookmarkStart w:id="766" w:name="pg15025_160425"/>
      <w:bookmarkEnd w:id="765"/>
    </w:p>
    <w:p>
      <w:pPr>
        <w:pStyle w:val="BookText"/>
        <w:rPr/>
      </w:pPr>
      <w:bookmarkEnd w:id="766"/>
      <w:r>
        <w:rPr>
          <w:rFonts w:ascii="IRNazanin" w:hAnsi="IRNazanin" w:eastAsia="IRNazanin"/>
          <w:color w:val="111111"/>
          <w:sz w:val="28"/>
          <w:sz w:val="28"/>
          <w:szCs w:val="28"/>
          <w:rtl w:val="true"/>
          <w:lang w:bidi="fa-IR"/>
        </w:rPr>
        <w:t xml:space="preserve">عن جعفر ، عن أبیه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بدم البراغیث والبقّ ، وبول الخشاشیف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هذه الروایة أنّ نحملها علی ضرب من التقیة ؛ لأنّها مخالفة لأُصول المذهب ، لأنّا قد بیّنا أنّ کل ما لا یؤکل لحمه لا تجوز الصلاة فی بوله ، والخشّاف ممّا لا یؤکل لحمه ، فلا تجوز الصلاة فی 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الاولی تؤکّد هذه الأُصول بصریحها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موسی بن عمر ، وهو مشترک </w:t>
      </w:r>
      <w:r>
        <w:rPr>
          <w:rStyle w:val="FootnoteAnchor"/>
          <w:rtl w:val="true"/>
        </w:rPr>
        <w:footnoteReference w:id="1152"/>
      </w:r>
      <w:r>
        <w:rPr>
          <w:rFonts w:ascii="IRNazanin" w:hAnsi="IRNazanin" w:eastAsia="IRNazanin"/>
          <w:color w:val="111111"/>
          <w:sz w:val="28"/>
          <w:sz w:val="28"/>
          <w:szCs w:val="28"/>
          <w:rtl w:val="true"/>
          <w:lang w:bidi="fa-IR"/>
        </w:rPr>
        <w:t>بین ثقة ومهملین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ویحیی بن عمر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داود الرقّی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ففیه کلام ؛ لأنّ النجاشی ضعّفه </w:t>
      </w:r>
      <w:r>
        <w:rPr>
          <w:rStyle w:val="FootnoteAnchor"/>
          <w:rtl w:val="true"/>
        </w:rPr>
        <w:footnoteReference w:id="1153"/>
      </w:r>
      <w:r>
        <w:rPr>
          <w:rFonts w:ascii="IRNazanin" w:hAnsi="IRNazanin" w:eastAsia="IRNazanin"/>
          <w:color w:val="111111"/>
          <w:sz w:val="28"/>
          <w:sz w:val="28"/>
          <w:szCs w:val="28"/>
          <w:rtl w:val="true"/>
          <w:lang w:bidi="fa-IR"/>
        </w:rPr>
        <w:t xml:space="preserve">، والشیخ وثّقه </w:t>
      </w:r>
      <w:r>
        <w:rPr>
          <w:rStyle w:val="FootnoteAnchor"/>
          <w:rtl w:val="true"/>
        </w:rPr>
        <w:footnoteReference w:id="1154"/>
      </w:r>
      <w:r>
        <w:rPr>
          <w:rFonts w:ascii="IRNazanin" w:hAnsi="IRNazanin" w:eastAsia="IRNazanin"/>
          <w:color w:val="111111"/>
          <w:sz w:val="28"/>
          <w:sz w:val="28"/>
          <w:szCs w:val="28"/>
          <w:rtl w:val="true"/>
          <w:lang w:bidi="fa-IR"/>
        </w:rPr>
        <w:t xml:space="preserve">، لکن لا یخفی بعد ما کرّرنا القول فیه حقیقة الحال ، غیر أنّ فی إرشاد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خاصة أبی الحسن موسی علیه السلام وثقاته </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فی طریق الفقیه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انزلوا داود الرقی منّی بمنزلة المقداد من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 xml:space="preserve">إلاّ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 بعدم الثبوت ،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الصدوق یستعمل هذه اللفظة فی کتابه مع ضمانة صحة ما فیه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فی الطرق خارج عن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یعلم أنّ ما اعترض به جدّی قدس سره علی العلاّمة فی قوله</w:t>
      </w:r>
    </w:p>
    <w:p>
      <w:pPr>
        <w:pStyle w:val="Heading4"/>
        <w:numPr>
          <w:ilvl w:val="3"/>
          <w:numId w:val="1"/>
        </w:numPr>
        <w:rPr/>
      </w:pPr>
      <w:bookmarkStart w:id="767" w:name="__RefHeading___Toc147028_2142443653"/>
      <w:bookmarkStart w:id="768" w:name="_Toc292"/>
      <w:bookmarkEnd w:id="767"/>
      <w:r>
        <w:rPr>
          <w:rtl w:val="true"/>
        </w:rPr>
        <w:t>موسی بن عمر مشترک</w:t>
      </w:r>
      <w:bookmarkEnd w:id="768"/>
    </w:p>
    <w:p>
      <w:pPr>
        <w:pStyle w:val="Heading4"/>
        <w:numPr>
          <w:ilvl w:val="3"/>
          <w:numId w:val="1"/>
        </w:numPr>
        <w:rPr/>
      </w:pPr>
      <w:bookmarkStart w:id="769" w:name="__RefHeading___Toc147030_2142443653"/>
      <w:bookmarkStart w:id="770" w:name="_Toc293"/>
      <w:bookmarkEnd w:id="769"/>
      <w:r>
        <w:rPr>
          <w:rtl w:val="true"/>
        </w:rPr>
        <w:t>یحیی بن عمر مجهول</w:t>
      </w:r>
      <w:bookmarkEnd w:id="77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1" w:name="__RefHeading___Toc147032_2142443653"/>
      <w:bookmarkStart w:id="772" w:name="_Toc294"/>
      <w:bookmarkEnd w:id="771"/>
      <w:r>
        <w:rPr>
          <w:rtl w:val="true"/>
        </w:rPr>
        <w:t>بحث حول داود الرقّی</w:t>
      </w:r>
      <w:bookmarkStart w:id="773" w:name="pg15025_160426"/>
      <w:bookmarkEnd w:id="772"/>
    </w:p>
    <w:p>
      <w:pPr>
        <w:pStyle w:val="BookText"/>
        <w:rPr/>
      </w:pPr>
      <w:bookmarkEnd w:id="773"/>
      <w:r>
        <w:rPr>
          <w:rFonts w:ascii="IRNazanin" w:hAnsi="IRNazanin" w:eastAsia="IRNazanin"/>
          <w:color w:val="111111"/>
          <w:sz w:val="28"/>
          <w:sz w:val="28"/>
          <w:szCs w:val="28"/>
          <w:rtl w:val="true"/>
          <w:lang w:bidi="fa-IR"/>
        </w:rPr>
        <w:t xml:space="preserve">بعد ما نقل کلام النجاشی بأنّه ضعیف جدّاً ، وقول الشیخ إنّه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قبول قوله ، لقول الشیخ </w:t>
      </w:r>
      <w:r>
        <w:rPr>
          <w:rStyle w:val="FootnoteAnchor"/>
          <w:rtl w:val="true"/>
        </w:rPr>
        <w:footnoteReference w:id="1157"/>
      </w:r>
      <w:r>
        <w:rPr>
          <w:rFonts w:ascii="IRNazanin" w:hAnsi="IRNazanin" w:eastAsia="IRNazanin"/>
          <w:color w:val="111111"/>
          <w:sz w:val="28"/>
          <w:sz w:val="28"/>
          <w:szCs w:val="28"/>
          <w:rtl w:val="true"/>
          <w:lang w:bidi="fa-IR"/>
        </w:rPr>
        <w:t xml:space="preserve">من أنّ الجرح مقدَّم ، فکیف یرجح قول الشیخ </w:t>
      </w:r>
      <w:r>
        <w:rPr>
          <w:rStyle w:val="FootnoteAnchor"/>
          <w:rtl w:val="true"/>
        </w:rPr>
        <w:footnoteReference w:id="1158"/>
      </w:r>
      <w:r>
        <w:rPr>
          <w:rFonts w:ascii="IRNazanin" w:hAnsi="IRNazanin" w:eastAsia="IRNazanin"/>
          <w:color w:val="111111"/>
          <w:sz w:val="28"/>
          <w:sz w:val="28"/>
          <w:szCs w:val="28"/>
          <w:rtl w:val="true"/>
          <w:lang w:bidi="fa-IR"/>
        </w:rPr>
        <w:t>؟ لا یخلو من وجاهة من حیث لم یتعرض العلاّمة لما نقلناه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للنجاشی الرجحان ، لوجود الاحتمال فی عبارة الصدوق ، وکلام المفید غیر معلوم المراد من عبارته ، فإنّه کثیراً ما یوثّق من لیس له أهلیّة التوثیق ،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توثیقه متقدّم علی الضعف کما فی محمد بن سنان ، وفی هذا شی‌ء قدمناه </w:t>
      </w:r>
      <w:r>
        <w:rPr>
          <w:rStyle w:val="FootnoteAnchor"/>
          <w:rtl w:val="true"/>
        </w:rPr>
        <w:footnoteReference w:id="1159"/>
      </w:r>
      <w:r>
        <w:rPr>
          <w:rFonts w:ascii="IRNazanin" w:hAnsi="IRNazanin" w:eastAsia="IRNazanin"/>
          <w:color w:val="111111"/>
          <w:sz w:val="28"/>
          <w:sz w:val="28"/>
          <w:szCs w:val="28"/>
          <w:rtl w:val="true"/>
          <w:lang w:bidi="fa-IR"/>
        </w:rPr>
        <w:t>فی محمد بن سنان من جهة بُعد عدم وقوف المفید علی الضعف وإطلاق التوثیق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یحیی ، وهو إمّا الخثعمی ، وقد صرح الشیخ بأنّه عامی فی هذا الکتاب ، وکونه ثقة صرّح به النجاشی </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الخزّاز ، وهو ثقة ، 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کثرة الروایة عن غیاث من الخثعمی تؤیّد تعیّنه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 إذ الکثرة غیر معلومة ، فإنّ التصریح بالخثعمی فی الأکثر عَسِر الإثبات ، والإطلاق لا یفید ما ذکر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الشیخ فی رجال من لم یرو عن الأئمّة علیهم السلام غیاث بن إبراهیم روی عنه محمد بن یحیی الخزّاز </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هذا الکلام الاختصاص بالخزاز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غیر معلوم ، کما یعرف من عبارة </w:t>
      </w:r>
      <w:r>
        <w:rPr>
          <w:rStyle w:val="FootnoteAnchor"/>
          <w:rtl w:val="true"/>
        </w:rPr>
        <w:footnoteReference w:id="1162"/>
      </w:r>
      <w:r>
        <w:rPr>
          <w:rFonts w:ascii="IRNazanin" w:hAnsi="IRNazanin" w:eastAsia="IRNazanin"/>
          <w:color w:val="111111"/>
          <w:sz w:val="28"/>
          <w:sz w:val="28"/>
          <w:szCs w:val="28"/>
          <w:rtl w:val="true"/>
          <w:lang w:bidi="fa-IR"/>
        </w:rPr>
        <w:t>الشیخ فی</w:t>
      </w:r>
    </w:p>
    <w:p>
      <w:pPr>
        <w:pStyle w:val="Heading4"/>
        <w:numPr>
          <w:ilvl w:val="3"/>
          <w:numId w:val="1"/>
        </w:numPr>
        <w:rPr/>
      </w:pPr>
      <w:bookmarkStart w:id="774" w:name="__RefHeading___Toc147034_2142443653"/>
      <w:bookmarkStart w:id="775" w:name="_Toc295"/>
      <w:bookmarkEnd w:id="774"/>
      <w:r>
        <w:rPr>
          <w:rtl w:val="true"/>
        </w:rPr>
        <w:t>بحث حول محمّد بن یحیی</w:t>
      </w:r>
      <w:bookmarkEnd w:id="77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6" w:name="__RefHeading___Toc147036_2142443653"/>
      <w:bookmarkStart w:id="777" w:name="_Toc296"/>
      <w:bookmarkEnd w:id="776"/>
      <w:r>
        <w:rPr>
          <w:rtl w:val="true"/>
        </w:rPr>
        <w:t>بحث حول غیاث بن إبراهیم الأسدی</w:t>
      </w:r>
      <w:bookmarkEnd w:id="777"/>
    </w:p>
    <w:p>
      <w:pPr>
        <w:pStyle w:val="BookText"/>
        <w:rPr/>
      </w:pPr>
      <w:r>
        <w:rPr>
          <w:rFonts w:ascii="IRNazanin" w:hAnsi="IRNazanin" w:eastAsia="IRNazanin"/>
          <w:color w:val="111111"/>
          <w:sz w:val="28"/>
          <w:sz w:val="28"/>
          <w:szCs w:val="28"/>
          <w:rtl w:val="true"/>
          <w:lang w:bidi="fa-IR"/>
        </w:rPr>
        <w:t xml:space="preserve">کثیر من الرجال ، ووجود الخثعمی راویاً عن غیاث لا شبهة فیه فی الأخبار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یعلم أنّ ما ذکره شیخنا قدس سره فی بعض فوائده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الروایة معتبرة الإسناد ؛ لأنّ محمد بن یحیی الذی یروی عن غیاث هو الخثمعی ، کما وقع التصریح به فی عدّة روایات ، أو الخزّاز کما ورد فی بعض آخر ، وکلاهما ثقة ، وأمّا غیاث فهو ابن إبراهیم الأسدی ، وقد وثّقه النجاشی والعلاّمة ، لکن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بُتریاً ، والظاهر أنّ الأصل فی ذلک ما نقله الکشی ، عن حمدویه ، عن بعض أشیاخه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الجارح مجهول ، فلا یعتدّ بجرحه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بحث ؛ لأنّ الشیخ قد صرّح بکونه بتریاً کما نقلناه عنه </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أن یکون قول الشیخ مستنداً إلی ما قاله الکشی أیضاً ، إلاّ أنّ الجزم به غیر معلوم ، ولم أقف الآن علی ما نقله شیخنا قدس سره عن الکشی ، فإنّ شیخنا أیّده الله فی کتاب الرجال لم ینقل عن الکشی ذلک </w:t>
      </w:r>
      <w:r>
        <w:rPr>
          <w:rStyle w:val="FootnoteAnchor"/>
          <w:rtl w:val="true"/>
        </w:rPr>
        <w:footnoteReference w:id="1165"/>
      </w:r>
      <w:r>
        <w:rPr>
          <w:rFonts w:ascii="IRNazanin" w:hAnsi="IRNazanin" w:eastAsia="IRNazanin"/>
          <w:color w:val="111111"/>
          <w:sz w:val="28"/>
          <w:sz w:val="28"/>
          <w:szCs w:val="28"/>
          <w:rtl w:val="true"/>
          <w:lang w:bidi="fa-IR"/>
        </w:rPr>
        <w:t xml:space="preserve">، وفی فوائده علی الکتاب ما یقتضی عدم وقوفه علی ذلک ، فإنّه قال بعد ما اعترض به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الشیخ فی رجاله حکم بکونه بُتریا ، وروایة الکشی علی ما نقله یعنی شیخنا إنّ لم تؤیّد ذلک وتقوّیه فلا تقدح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778" w:name="pg15025_160428"/>
    </w:p>
    <w:p>
      <w:pPr>
        <w:pStyle w:val="BookText"/>
        <w:rPr/>
      </w:pPr>
      <w:bookmarkEnd w:id="778"/>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غَسل الثوب من بول الخشاشیف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نفی البأس ، فالحمل علی الاستحباب ممکن فی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قد بیّن أنّ کل ما لا یؤکل لحمه لا تجوز الصلاة فی 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کلام ، فإنّه إنّ استند فی هذه الکلیة إلی ما رواه فی الحسن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ثوبک من أبوال ما لا یؤکل لحمه </w:t>
      </w:r>
      <w:r>
        <w:rPr>
          <w:rFonts w:eastAsia="IRNazanin" w:cs="IRNazanin"/>
          <w:color w:val="111111"/>
          <w:sz w:val="28"/>
          <w:szCs w:val="28"/>
          <w:rtl w:val="true"/>
          <w:lang w:bidi="fa-IR"/>
        </w:rPr>
        <w:t xml:space="preserve">» </w:t>
      </w:r>
      <w:r>
        <w:rPr>
          <w:rStyle w:val="FootnoteAnchor"/>
          <w:rtl w:val="true"/>
        </w:rPr>
        <w:footnoteReference w:id="1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معارضة بما رواه فی التهذیب عن علی بن إبراهیم ، عن أبیه ، عن عبد الله بن المغیرة ، عن جمیل بن دراج ، عن أبی بصیر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یطیر فلا بأس بخرئه وبوله </w:t>
      </w:r>
      <w:r>
        <w:rPr>
          <w:rFonts w:eastAsia="IRNazanin" w:cs="IRNazanin"/>
          <w:color w:val="111111"/>
          <w:sz w:val="28"/>
          <w:szCs w:val="28"/>
          <w:rtl w:val="true"/>
          <w:lang w:bidi="fa-IR"/>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استند إلی موثقة ابن بکیر الدالة علی أنّ کل شی‌ء لا یؤکل لحمه فلا یصلّی فی شی‌ء منه </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الصلاة فیه أعم من النجاسة ، علی أنّ المنقول عن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أبوال الطیور کلّها طاهرة ، أُکِل لحمها أم لم یُؤکل ، إلاّ الخشّاف </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فالکلیّة المذکورة غیر سلیمة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الکلیة إذا ثبتت یخرج منها ما خرج بالدلیل ، فیبقی الباقی ومنه الخشاف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تعارض الأخبار فی الخشاف لا یتحقق</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9" w:name="__RefHeading___Toc147038_2142443653"/>
      <w:bookmarkStart w:id="780" w:name="_Toc297"/>
      <w:bookmarkEnd w:id="779"/>
      <w:r>
        <w:rPr>
          <w:rtl w:val="true"/>
        </w:rPr>
        <w:t>حکم بول الخشاف والمناقشة فی نجاسته</w:t>
      </w:r>
      <w:bookmarkEnd w:id="780"/>
    </w:p>
    <w:p>
      <w:pPr>
        <w:pStyle w:val="BookText"/>
        <w:rPr/>
      </w:pPr>
      <w:r>
        <w:rPr>
          <w:rFonts w:ascii="IRNazanin" w:hAnsi="IRNazanin" w:eastAsia="IRNazanin"/>
          <w:color w:val="111111"/>
          <w:sz w:val="28"/>
          <w:sz w:val="28"/>
          <w:szCs w:val="28"/>
          <w:rtl w:val="true"/>
          <w:lang w:bidi="fa-IR"/>
        </w:rPr>
        <w:t>الحکم بخروجه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والعجب من ادعاء العلاّمة </w:t>
      </w:r>
      <w:r>
        <w:rPr>
          <w:rStyle w:val="FootnoteAnchor"/>
          <w:rtl w:val="true"/>
        </w:rPr>
        <w:footnoteReference w:id="1170"/>
      </w:r>
      <w:r>
        <w:rPr>
          <w:rFonts w:ascii="IRNazanin" w:hAnsi="IRNazanin" w:eastAsia="IRNazanin"/>
          <w:color w:val="111111"/>
          <w:sz w:val="28"/>
          <w:sz w:val="28"/>
          <w:szCs w:val="28"/>
          <w:rtl w:val="true"/>
          <w:lang w:bidi="fa-IR"/>
        </w:rPr>
        <w:t xml:space="preserve">والمحقّق إجماع علماء الإسلام علی نجاسة بول وروث ما لا یؤکل لحمه </w:t>
      </w:r>
      <w:r>
        <w:rPr>
          <w:rStyle w:val="FootnoteAnchor"/>
          <w:rtl w:val="true"/>
        </w:rPr>
        <w:footnoteReference w:id="1171"/>
      </w:r>
      <w:r>
        <w:rPr>
          <w:rFonts w:ascii="IRNazanin" w:hAnsi="IRNazanin" w:eastAsia="IRNazanin"/>
          <w:color w:val="111111"/>
          <w:sz w:val="28"/>
          <w:sz w:val="28"/>
          <w:szCs w:val="28"/>
          <w:rtl w:val="true"/>
          <w:lang w:bidi="fa-IR"/>
        </w:rPr>
        <w:t>، مع أنّ فضلة الطیر الخلاف فیها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الوجه فی عدم استثناء الطیر أنّ مرادهما فی غیره ، بقرینة ذکر خلاف بعض العامة بعد نقل الإجماع فی طهارة أبوال البهائم ، ونقل قول الشیخ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والصدوق فی الفقیه ظاهره القول بالطهارة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بخرء ما طار وبوله </w:t>
      </w:r>
      <w:r>
        <w:rPr>
          <w:rStyle w:val="FootnoteAnchor"/>
          <w:rtl w:val="true"/>
        </w:rPr>
        <w:footnoteReference w:id="1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وینقل عن ابن أبی عقیل نحو ذلک </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الإجماع لا یضرّ فیه مثل هذا ، لمعلومیّة النسب کما احتمله الوالد قدس سره </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 البُعد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المحقق احتج علی مساواة الطیر لغیره مع الإجماع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نجاسة العذرة ممّا لا یؤکل لحمه یتناوله ، لأنّ الخرء والعذرة مترادفان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الاستناد إلی </w:t>
      </w:r>
      <w:r>
        <w:rPr>
          <w:rFonts w:eastAsia="IRNazanin" w:cs="IRNazanin"/>
          <w:color w:val="111111"/>
          <w:sz w:val="28"/>
          <w:szCs w:val="28"/>
          <w:rtl w:val="true"/>
          <w:lang w:bidi="fa-IR"/>
        </w:rPr>
        <w:t xml:space="preserve">) </w:t>
      </w:r>
      <w:r>
        <w:rPr>
          <w:rStyle w:val="FootnoteAnchor"/>
          <w:rtl w:val="true"/>
        </w:rPr>
        <w:footnoteReference w:id="1175"/>
      </w:r>
      <w:r>
        <w:rPr>
          <w:rFonts w:ascii="IRNazanin" w:hAnsi="IRNazanin" w:eastAsia="IRNazanin"/>
          <w:color w:val="111111"/>
          <w:sz w:val="28"/>
          <w:sz w:val="28"/>
          <w:szCs w:val="28"/>
          <w:rtl w:val="true"/>
          <w:lang w:bidi="fa-IR"/>
        </w:rPr>
        <w:t xml:space="preserve">روایة أبی بصیر وإنّ کانت حسنة إلاّ أنّ العامل بها من الأصحاب قلیل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الوالد قدس سره علی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الإجماع إنّ ثبت فهو الحجة علی الطیر وغیره ، وإنّ خصّ بغیر الطیر فأین الأدلّة العامة علی </w:t>
      </w:r>
    </w:p>
    <w:p>
      <w:pPr>
        <w:pStyle w:val="BookText"/>
        <w:rPr/>
      </w:pPr>
      <w:r>
        <w:rPr>
          <w:rFonts w:ascii="IRNazanin" w:hAnsi="IRNazanin" w:eastAsia="IRNazanin"/>
          <w:color w:val="111111"/>
          <w:sz w:val="28"/>
          <w:sz w:val="28"/>
          <w:szCs w:val="28"/>
          <w:rtl w:val="true"/>
          <w:lang w:bidi="fa-IR"/>
        </w:rPr>
        <w:t xml:space="preserve">نجاسة العذرة ممّا لا یؤکل لحمه؟ والحال أنّا لم نقف إلاّ علی حسنة ابن سنان ، وهی واردة فی البول ، ولم یذکرها هو یعنی المحقق فی بحثه ، بل اقتصر علی الإجماع ، فلا ندری لفظ العذرة أین وقع معلّقاً علیه الحکم ، لیضطر إلی بیان مرادفة الخرء له؟ ثم تعجّب من المحقق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 کلام الوالد قدس سره علی الإطلاق محل تعجّب ؛ فإنّ العذرة قد وقع الحکم معلقاً بها فی بعض الأخبار ، وقد نقله قدس سره قریب هذا المبحث ، وهو صحیح موسی بن القاسم ، عن علی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الفأرة والدجاجة والحمام وأشباهها ، تطأ العذرة ثم تطأ الثوب </w:t>
      </w:r>
      <w:r>
        <w:rPr>
          <w:rStyle w:val="FootnoteAnchor"/>
          <w:rtl w:val="true"/>
        </w:rPr>
        <w:footnoteReference w:id="1178"/>
      </w:r>
      <w:r>
        <w:rPr>
          <w:rStyle w:val="FootnoteAnchor"/>
          <w:rtl w:val="true"/>
        </w:rPr>
        <w:footnoteReference w:id="117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وغیر ذلک من أخبار ذکرتها فی حاشیة الروضة ، وإذا تحقق تعلیق الحکم علی العذرة وکانت مرادفة للخرء أمکن إثبات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إثبات المرادفة بما قدّمناه عن القاموس </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 xml:space="preserve">من أنّها أردأ ما یخرج من الطعام ، فإنّه شامل للطیر وغیره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قاله شیخنا قدس سره فی الاعتراض علی المحقق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العذرة لیست مرادفة للخرء ، بل الظاهر اختصاصها بفضلة الإنسان ، کما دل علیه العرف ونص أهل اللغة ، قال الجوهری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العذرة أصلها فناء الدار ، </w:t>
      </w:r>
    </w:p>
    <w:p>
      <w:pPr>
        <w:pStyle w:val="BookText"/>
        <w:rPr/>
      </w:pPr>
      <w:r>
        <w:rPr>
          <w:rFonts w:ascii="IRNazanin" w:hAnsi="IRNazanin" w:eastAsia="IRNazanin"/>
          <w:color w:val="111111"/>
          <w:sz w:val="28"/>
          <w:sz w:val="28"/>
          <w:szCs w:val="28"/>
          <w:rtl w:val="true"/>
          <w:lang w:bidi="fa-IR"/>
        </w:rPr>
        <w:t xml:space="preserve">وسمیت عذرة الناس بها لأنّها کانت تلقی فی الأفنیة </w:t>
      </w:r>
      <w:r>
        <w:rPr>
          <w:rStyle w:val="FootnoteAnchor"/>
          <w:rtl w:val="true"/>
        </w:rPr>
        <w:footnoteReference w:id="1183"/>
      </w:r>
      <w:r>
        <w:rPr>
          <w:rStyle w:val="FootnoteAnchor"/>
          <w:rtl w:val="true"/>
        </w:rPr>
        <w:footnoteReference w:id="1184"/>
      </w:r>
      <w:r>
        <w:rPr>
          <w:rFonts w:ascii="IRNazanin" w:hAnsi="IRNazanin" w:eastAsia="IRNazanin"/>
          <w:color w:val="111111"/>
          <w:sz w:val="28"/>
          <w:sz w:val="28"/>
          <w:szCs w:val="28"/>
          <w:rtl w:val="true"/>
          <w:lang w:bidi="fa-IR"/>
        </w:rPr>
        <w:t xml:space="preserve">ففی نظری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یخلو من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فلوجود بعض الأخبار الدالة علی إطلاقها علی غیر الإنسان ، ففی صحیح عبد الرحمن بن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یصلّی وفی ثوبه عذرة من إنسان أو سنّور أو کلب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العذرة هنا مقیّدة ، ویجوز التجوّز بقرینة ، والمدعی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الإطلاق الحقیقة ، إلاّ أنّ تسبق الحقیقة بشی‌ء ثم یستعمل اللفظ فی غیره ، فیکون أعم من الحقیقة والمجاز ، کما حققناه فی الأُصول ، وفیما نحن فیه لم نعلم أنّ الأصل هو عذرة الإنسان لیکون فی غیرها مجازاً ، لأنّه خیر من الاشتراک ،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کلام الجوهری </w:t>
      </w:r>
      <w:r>
        <w:rPr>
          <w:rStyle w:val="FootnoteAnchor"/>
          <w:rtl w:val="true"/>
        </w:rPr>
        <w:footnoteReference w:id="1186"/>
      </w:r>
      <w:r>
        <w:rPr>
          <w:rFonts w:ascii="IRNazanin" w:hAnsi="IRNazanin" w:eastAsia="IRNazanin"/>
          <w:color w:val="111111"/>
          <w:sz w:val="28"/>
          <w:sz w:val="28"/>
          <w:szCs w:val="28"/>
          <w:rtl w:val="true"/>
          <w:lang w:bidi="fa-IR"/>
        </w:rPr>
        <w:t>یعارضه کلام القاموس ، والجمع ممکن ، بأنّ یراد أصل استعمال العذرة فیما ذکر ، ثم صارت تطلق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العذرة فی الروایة قد استعملت فی عذرة الإنسان وهی حقیقة ، فلو کانت مجازاً فی غیره لکان استعمال اللفظ فی حقیقته ومجازه ، وهو غیر جائز</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اللفظ لم یستعمل فی حقیقته ومجازه ، بل هنا ألفاظ مقدّرة </w:t>
      </w:r>
    </w:p>
    <w:p>
      <w:pPr>
        <w:pStyle w:val="BookText"/>
        <w:rPr/>
      </w:pPr>
      <w:r>
        <w:rPr>
          <w:rFonts w:ascii="IRNazanin" w:hAnsi="IRNazanin" w:eastAsia="IRNazanin"/>
          <w:color w:val="111111"/>
          <w:sz w:val="28"/>
          <w:sz w:val="28"/>
          <w:szCs w:val="28"/>
          <w:rtl w:val="true"/>
          <w:lang w:bidi="fa-IR"/>
        </w:rPr>
        <w:t>یراد بکل واحد معنی ، فکان التقدیر عذرة من إنسان أو عذرة من سنّور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المعطوف فی قوة إعادة المعطوف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بحث ، إلاّ أنّ الأمر سهل ، علی أنّ استعمال اللفظ فی حقیقته ومجازه علی سبیل المجاز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علمت مجمل الأمر فالذی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أصالة الطهارة لا یخرج عنها إلاّ بالأدلّة الخالیة من المعارض ، والأخبار کما تری </w:t>
      </w:r>
      <w:r>
        <w:rPr>
          <w:rStyle w:val="FootnoteAnchor"/>
          <w:rtl w:val="true"/>
        </w:rPr>
        <w:footnoteReference w:id="1187"/>
      </w:r>
      <w:r>
        <w:rPr>
          <w:rFonts w:ascii="IRNazanin" w:hAnsi="IRNazanin" w:eastAsia="IRNazanin"/>
          <w:color w:val="111111"/>
          <w:sz w:val="28"/>
          <w:sz w:val="28"/>
          <w:szCs w:val="28"/>
          <w:rtl w:val="true"/>
          <w:lang w:bidi="fa-IR"/>
        </w:rPr>
        <w:t xml:space="preserve">، وکذلک کلام أهل اللغة </w:t>
      </w: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الأخبار فی العذرة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ینصرف إلی الفرد الشائع ، ومقیدها لیس فیه تصریح بالطیر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الروایتین فی الخشاف قد علمت حال إسنادیهما ، واختصاصهما بالبول ظاهر ، وعدم القائل بالفرق عَسِر التحقیق ، فالخروج عن الأصل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العلاّمة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عن الشیخ فی المبسوط طهارة ذرق الطیور وبولها إلاّ الخشّاف ، وعن ابن أبی عقیل الإطلاق فی الطهارة ، وکذلک عن ابن بابویه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والمشهور 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رجیع </w:t>
      </w: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یؤکل لحمه من الطیور وغیرها ، وهو المعتمد ، لنا ما رواه الشیخ فی الحسن عن عبد الله بن سنان </w:t>
      </w:r>
      <w:r>
        <w:rPr>
          <w:rStyle w:val="FootnoteAnchor"/>
          <w:rtl w:val="true"/>
        </w:rPr>
        <w:footnoteReference w:id="1190"/>
      </w:r>
      <w:r>
        <w:rPr>
          <w:rFonts w:ascii="IRNazanin" w:hAnsi="IRNazanin" w:eastAsia="IRNazanin"/>
          <w:color w:val="111111"/>
          <w:sz w:val="28"/>
          <w:sz w:val="28"/>
          <w:szCs w:val="28"/>
          <w:rtl w:val="true"/>
          <w:lang w:bidi="fa-IR"/>
        </w:rPr>
        <w:t xml:space="preserve">وذکر الروایة ولأنّ الذمّة مشغولة بالصلاة قطعاً ، ولا تبرأ بأدائها قطعاً مع ملاقاة الثوب والبدن لهذه الأبوال ، فتبقی فی عهدة التکلیف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ففی نظری القاصر أنّه محلّ تأمّل ؛ لأنّ شغل الذمّة بیقین لو توقّف </w:t>
      </w:r>
    </w:p>
    <w:p>
      <w:pPr>
        <w:pStyle w:val="BookText"/>
        <w:rPr/>
      </w:pPr>
      <w:r>
        <w:rPr>
          <w:rFonts w:ascii="IRNazanin" w:hAnsi="IRNazanin" w:eastAsia="IRNazanin"/>
          <w:color w:val="111111"/>
          <w:sz w:val="28"/>
          <w:sz w:val="28"/>
          <w:szCs w:val="28"/>
          <w:rtl w:val="true"/>
          <w:lang w:bidi="fa-IR"/>
        </w:rPr>
        <w:t xml:space="preserve">علی الیقین لم یمکن العمل بشی‌ء من الظنون الشرعیة ، والحال أنّه لا یقول به ، بل کثیراً ما یعترض علی الشیخ فی الکتاب حیث ینقل عنه الاستدلال بمثل 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الیقین یزول بما أعدّه الشارع ، فکیف هنا یستدلّ بضدّ ما أجاب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العبادة بعد وقوعها فی الثوب الذی حصل فیه شی‌ء من المذکورات </w:t>
      </w:r>
      <w:r>
        <w:rPr>
          <w:rStyle w:val="FootnoteAnchor"/>
          <w:rtl w:val="true"/>
        </w:rPr>
        <w:footnoteReference w:id="1192"/>
      </w:r>
      <w:r>
        <w:rPr>
          <w:rFonts w:ascii="IRNazanin" w:hAnsi="IRNazanin" w:eastAsia="IRNazanin"/>
          <w:color w:val="111111"/>
          <w:sz w:val="28"/>
          <w:sz w:val="28"/>
          <w:szCs w:val="28"/>
          <w:rtl w:val="true"/>
          <w:lang w:bidi="fa-IR"/>
        </w:rPr>
        <w:t xml:space="preserve">لا یعلم بقاؤها فی الذمّة بیقین ، کما یصرح به العلاّمة فی المختلف </w:t>
      </w:r>
      <w:r>
        <w:rPr>
          <w:rStyle w:val="FootnoteAnchor"/>
          <w:rtl w:val="true"/>
        </w:rPr>
        <w:footnoteReference w:id="1193"/>
      </w:r>
      <w:r>
        <w:rPr>
          <w:rFonts w:ascii="IRNazanin" w:hAnsi="IRNazanin" w:eastAsia="IRNazanin"/>
          <w:color w:val="111111"/>
          <w:sz w:val="28"/>
          <w:sz w:val="28"/>
          <w:szCs w:val="28"/>
          <w:rtl w:val="true"/>
          <w:lang w:bidi="fa-IR"/>
        </w:rPr>
        <w:t>، وسیأتی فی موضع من الکتاب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قبل الصلاة لا یسوغ له فعلها فی الثوب المتصل بشی‌ء من المذکور للدلیل ، فإذا فعلت لم تکن مجزئة ، فلا تتحقق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اعتبار الیقین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العلاّمة أیضاً بعد نقل احتجاج الشیخ فی المبسوط بروایة أبی بصیر السالفة من أنّها مخصوصة بغیر الخشاف إجماعاً ، فتختصّ بما شارکه فی العلّة وهو عدم کونه مأکولا </w:t>
      </w:r>
      <w:r>
        <w:rPr>
          <w:rStyle w:val="FootnoteAnchor"/>
          <w:rtl w:val="true"/>
        </w:rPr>
        <w:footnoteReference w:id="1194"/>
      </w:r>
      <w:r>
        <w:rPr>
          <w:rFonts w:ascii="IRNazanin" w:hAnsi="IRNazanin" w:eastAsia="IRNazanin"/>
          <w:color w:val="111111"/>
          <w:sz w:val="28"/>
          <w:sz w:val="28"/>
          <w:szCs w:val="28"/>
          <w:rtl w:val="true"/>
          <w:lang w:bidi="fa-IR"/>
        </w:rPr>
        <w:t>غریب ، فإنّ العلّة غیر منصوصة علی تقدیر ثبوت الإجماع ، والحال أنّ الخلاف أظهر من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وأغرب من ذلک جوابه عن استدلال الشیخ أیضاً بأصالة الطهارة بأن الأصل یعارض بالاحتیاط </w:t>
      </w:r>
      <w:r>
        <w:rPr>
          <w:rStyle w:val="FootnoteAnchor"/>
          <w:rtl w:val="true"/>
        </w:rPr>
        <w:footnoteReference w:id="1195"/>
      </w:r>
      <w:r>
        <w:rPr>
          <w:rFonts w:ascii="IRNazanin" w:hAnsi="IRNazanin" w:eastAsia="IRNazanin"/>
          <w:color w:val="111111"/>
          <w:sz w:val="28"/>
          <w:sz w:val="28"/>
          <w:szCs w:val="28"/>
          <w:rtl w:val="true"/>
          <w:lang w:bidi="fa-IR"/>
        </w:rPr>
        <w:t>، فإنّه قد تکلم فی الکتاب علی الشیخ فی دلیل الاحتیاط بما لا یحصی کثرة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فالاضطراب فی کلام العلاّمة فی هذا المقام وأشباهه یوجب زیادة التعجّب ، والله تعالی ولیّ التوفیق</w:t>
      </w:r>
      <w:r>
        <w:rPr>
          <w:rFonts w:eastAsia="IRNazanin" w:cs="IRNazanin"/>
          <w:color w:val="111111"/>
          <w:sz w:val="28"/>
          <w:szCs w:val="28"/>
          <w:rtl w:val="true"/>
          <w:lang w:bidi="fa-IR"/>
        </w:rPr>
        <w:t xml:space="preserve">. </w:t>
      </w:r>
      <w:bookmarkStart w:id="781" w:name="pg15025_160434"/>
    </w:p>
    <w:p>
      <w:pPr>
        <w:pStyle w:val="BookText"/>
        <w:rPr/>
      </w:pPr>
      <w:bookmarkEnd w:id="78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الخمر یصیب الثوب والنبیذ المسکر</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بن یحیی ، عن أبیه ، عن محمد بن أحمد بن یحیی ، عن أحمد بن الحسن بن علی ، عن عمرو بن سعید ، عن مصدق بن صدقة ، عن عمار الساباطی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فی بیت فیه خمر ولا </w:t>
      </w:r>
      <w:r>
        <w:rPr>
          <w:rStyle w:val="FootnoteAnchor"/>
          <w:rtl w:val="true"/>
        </w:rPr>
        <w:footnoteReference w:id="1196"/>
      </w:r>
      <w:r>
        <w:rPr>
          <w:rFonts w:ascii="IRNazanin" w:hAnsi="IRNazanin" w:eastAsia="IRNazanin"/>
          <w:color w:val="111111"/>
          <w:sz w:val="28"/>
          <w:sz w:val="28"/>
          <w:szCs w:val="28"/>
          <w:rtl w:val="true"/>
          <w:lang w:bidi="fa-IR"/>
        </w:rPr>
        <w:t xml:space="preserve">مسکر ، لأنّ الملائکة لا تدخله ، ولا تصلّ فی ثوب أصابه خمراً أو مسکر حتی تغسل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عن أبی القاسم جعفر بن محمد ، عن محمد ابن یعقوب ، عن علی بن إبراهیم ، عن محمد بن عیسی ، عن یونس ، عن بعض من رواه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ثوبک خمر أو نبیذ مسکر فاغسله إن عرفت موضعه ، وإن لم تعرف موضعه فاغسله کلّه ، فإنّ صلّیت فیه فأعد صلاتک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عن محمد بن یعقوب ، عن علی بن محمد ، عن سهل بن زیاد ، عن خیران الخادم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الرجل أسأله عن الثوب یصیبه الخمر ولحم الخنزیر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 xml:space="preserve">فیه أو لا؟ فإنّ أصحابنا قد اختلفوا فیه ،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w:t>
      </w:r>
      <w:r>
        <w:rPr>
          <w:rStyle w:val="FootnoteAnchor"/>
          <w:rtl w:val="true"/>
        </w:rPr>
        <w:footnoteReference w:id="1198"/>
      </w:r>
      <w:r>
        <w:rPr>
          <w:rFonts w:ascii="IRNazanin" w:hAnsi="IRNazanin" w:eastAsia="IRNazanin"/>
          <w:color w:val="111111"/>
          <w:sz w:val="28"/>
          <w:sz w:val="28"/>
          <w:szCs w:val="28"/>
          <w:rtl w:val="true"/>
          <w:lang w:bidi="fa-IR"/>
        </w:rPr>
        <w:t xml:space="preserve">فیه ، فإنّه رجس </w:t>
      </w:r>
      <w:r>
        <w:rPr>
          <w:rFonts w:eastAsia="IRNazanin" w:cs="IRNazanin"/>
          <w:color w:val="111111"/>
          <w:sz w:val="28"/>
          <w:szCs w:val="28"/>
          <w:rtl w:val="true"/>
          <w:lang w:bidi="fa-IR"/>
        </w:rPr>
        <w:t>».</w:t>
      </w:r>
    </w:p>
    <w:p>
      <w:pPr>
        <w:pStyle w:val="Heading3"/>
        <w:numPr>
          <w:ilvl w:val="2"/>
          <w:numId w:val="1"/>
        </w:numPr>
        <w:rPr/>
      </w:pPr>
      <w:bookmarkStart w:id="782" w:name="__RefHeading___Toc147040_2142443653"/>
      <w:bookmarkStart w:id="783" w:name="_Toc298"/>
      <w:bookmarkEnd w:id="782"/>
      <w:r>
        <w:rPr>
          <w:rtl w:val="true"/>
        </w:rPr>
        <w:t>الخمر یصیب الثوب والنبیذ المسکر</w:t>
      </w:r>
      <w:bookmarkEnd w:id="78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4" w:name="__RefHeading___Toc147042_2142443653"/>
      <w:bookmarkStart w:id="785" w:name="_Toc299"/>
      <w:bookmarkEnd w:id="784"/>
      <w:r>
        <w:rPr>
          <w:rtl w:val="true"/>
        </w:rPr>
        <w:t>اشارة</w:t>
      </w:r>
      <w:bookmarkStart w:id="786" w:name="pg15025_160435"/>
      <w:bookmarkEnd w:id="785"/>
    </w:p>
    <w:p>
      <w:pPr>
        <w:pStyle w:val="BookText"/>
        <w:rPr/>
      </w:pPr>
      <w:bookmarkEnd w:id="786"/>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علی ما تقدم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الإرسال روایة محمد بن عیسی عن یونس ، وقد قدمنا القول فیه مفصلاً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سهل بن زیاد ، أمّا خیران فقد وثّقه الشیخ فی رجال أبی الحسن الثالث علیه السلام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أنّه لا یصلّی فی ثوب أصابه الخمر والمسکر حتی یغسل ، وهو أعم من النجاسة ، بل ربما کان احتمال عدمها له ظهور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المسکر یتناول الطاهر منه ، کالحشیشة إذا عرض لها المیعان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بالمسکر النبیذ ، کما یدل علیه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ودلالة الثانی أیضاً کذلک ، فالدلالة منه غیر 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دل علی النجاسة ، لأنّ اقتران الخمر مع لحم الخنزیر فی السؤال لیس المراد به الاجتماع ، إذ لا معنی لاختلاف الأصحاب فی ذلک ، بل المراد کل واحد منهما ، وقوله علیه السلام فی الجواب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بالنجاسة ، وإنّ کان فیه ما فیه ، کما تعلمه فی معنی الرجس إنّ شاء الله تعالی</w:t>
      </w:r>
      <w:r>
        <w:rPr>
          <w:rFonts w:eastAsia="IRNazanin" w:cs="IRNazanin"/>
          <w:color w:val="111111"/>
          <w:sz w:val="28"/>
          <w:szCs w:val="28"/>
          <w:rtl w:val="true"/>
          <w:lang w:bidi="fa-IR"/>
        </w:rPr>
        <w:t>.</w:t>
      </w:r>
    </w:p>
    <w:p>
      <w:pPr>
        <w:pStyle w:val="Heading4"/>
        <w:numPr>
          <w:ilvl w:val="3"/>
          <w:numId w:val="1"/>
        </w:numPr>
        <w:rPr/>
      </w:pPr>
      <w:bookmarkStart w:id="787" w:name="__RefHeading___Toc147044_2142443653"/>
      <w:bookmarkStart w:id="788" w:name="_Toc300"/>
      <w:bookmarkEnd w:id="787"/>
      <w:r>
        <w:rPr>
          <w:rtl w:val="true"/>
        </w:rPr>
        <w:t>خیران الخادم ثقة</w:t>
      </w:r>
      <w:bookmarkEnd w:id="78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9" w:name="__RefHeading___Toc147046_2142443653"/>
      <w:bookmarkStart w:id="790" w:name="_Toc301"/>
      <w:bookmarkEnd w:id="789"/>
      <w:r>
        <w:rPr>
          <w:rtl w:val="true"/>
        </w:rPr>
        <w:t>بیان ما دلّ علی عدم جواز الصلاة فی ثوب أصابه خمر أو مسکر والأقوال فی نجاستهما وطهارتهما</w:t>
      </w:r>
      <w:bookmarkEnd w:id="790"/>
    </w:p>
    <w:p>
      <w:pPr>
        <w:pStyle w:val="BookText"/>
        <w:rPr/>
      </w:pPr>
      <w:r>
        <w:rPr>
          <w:rFonts w:ascii="IRNazanin" w:hAnsi="IRNazanin" w:eastAsia="IRNazanin"/>
          <w:color w:val="111111"/>
          <w:sz w:val="28"/>
          <w:sz w:val="28"/>
          <w:szCs w:val="28"/>
          <w:rtl w:val="true"/>
          <w:lang w:bidi="fa-IR"/>
        </w:rPr>
        <w:t xml:space="preserve">ویحکی عن السیّد المرتضی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المسلمین فی نجاسة الخمر إلاّ ما یحکی عن شذاذ لا اعتبار بقولهم </w:t>
      </w:r>
      <w:r>
        <w:rPr>
          <w:rStyle w:val="FootnoteAnchor"/>
          <w:rtl w:val="true"/>
        </w:rPr>
        <w:footnoteReference w:id="1202"/>
      </w:r>
      <w:r>
        <w:rPr>
          <w:rFonts w:ascii="IRNazanin" w:hAnsi="IRNazanin" w:eastAsia="IRNazanin"/>
          <w:color w:val="111111"/>
          <w:sz w:val="28"/>
          <w:sz w:val="28"/>
          <w:szCs w:val="28"/>
          <w:rtl w:val="true"/>
          <w:lang w:bidi="fa-IR"/>
        </w:rPr>
        <w:t xml:space="preserve">، وعن الشیخ أیضاً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نجسة بلا خلاف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وعبارة الصدوق فی المقنع والفقیه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بالصلاة فی ثوب أصابه خمر ، لأنّ الله حرّم شربها ، ولم یحرّم الصلاة فی ثوب أصابته </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العبارة الطهارة ، واحتمال إرادة جواز الصلاة مع النجاسة بعید ، لکنه فی حیّز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وعبارة ابن أبی عقیل علی ما یحکی عنه أصرح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 ثوبه أو جسده خمر أو مسکر لم یکن علیه غَسلهما ؛ لأنّ الله تعالی إنما حرّمهما تعبّداً ، لا لأنّهما نجسان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الذکری نسب إلی الجعفی مشارکة المذکورین ، واستدل أیضاً مع الأخبار المذکورة بأخبار تشارکها فی عدم سلامة السند أو عدم الصراحة </w:t>
      </w:r>
      <w:r>
        <w:rPr>
          <w:rStyle w:val="FootnoteAnchor"/>
          <w:rtl w:val="true"/>
        </w:rPr>
        <w:footnoteReference w:id="1206"/>
      </w:r>
      <w:r>
        <w:rPr>
          <w:rFonts w:ascii="IRNazanin" w:hAnsi="IRNazanin" w:eastAsia="IRNazanin"/>
          <w:color w:val="111111"/>
          <w:sz w:val="28"/>
          <w:sz w:val="28"/>
          <w:szCs w:val="28"/>
          <w:rtl w:val="true"/>
          <w:lang w:bidi="fa-IR"/>
        </w:rPr>
        <w:t>، کما سیأتی إنّ شاء الله تعالی ذکرها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قاله بعض محقّقی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الخبر الأوّل کالصریح فی النجاسة </w:t>
      </w:r>
      <w:r>
        <w:rPr>
          <w:rStyle w:val="FootnoteAnchor"/>
          <w:rtl w:val="true"/>
        </w:rPr>
        <w:footnoteReference w:id="1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جریان النهیین فیه علی وتیرة واحدة غیر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 لو ثبت نجاسة الخمر من خارج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الأوّل محمول علی التحریم عند الصدوق ، فعدم الجریان علی وتیرة واحدة حاصل علی قوله بجواز الصلاة فی ثوب أصابه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الصدوق یستعمل عدم الجواز فی الکراهة وغیرها ، فالجزم بأنه قائل بتحریم الصلاة فی بیت فیه الخمر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الخبر المذکور غیر معلوم أنّه یعمل به ، فلا یلزمه المحذور ، وقد صرّح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یجوز الصلاة فی بیت فیه خمر محصور فی آنیة </w:t>
      </w: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منه الاختصاص ، فالخبر لو عمل به له أنّ یحمله علی الکراهة فی مطلق وجود الخمر فی البیت ، ویکون قرینة علی الاستحباب فی غَسل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حمل علی المقید الذی استند إلیه ، فحمل کلامه علی ظاهره من التحریم غیر لازم ، بل یکون قوله فی الخمر قرینة علی إرادة الکراهة من عدم الجواز ، وذلک غیر عزیز فی کلامه کما یعرف بالمراجعة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علی بن الحکم ، عن سیف بن عمیرة ، عن أبی بکر الحضرمی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ثوبی نبیذ أُصلّی فیه؟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قطرة من نبیذ قطرت فی حبّ أشرب منه؟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 أصل النبیذ حلال ، وإنّ أصل الخمر حرام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 البرقی </w:t>
      </w:r>
      <w:r>
        <w:rPr>
          <w:rFonts w:eastAsia="IRNazanin" w:cs="IRNazanin"/>
          <w:color w:val="111111"/>
          <w:sz w:val="28"/>
          <w:szCs w:val="28"/>
          <w:rtl w:val="true"/>
          <w:lang w:bidi="fa-IR"/>
        </w:rPr>
        <w:t xml:space="preserve">) </w:t>
      </w:r>
      <w:r>
        <w:rPr>
          <w:rStyle w:val="FootnoteAnchor"/>
          <w:rtl w:val="true"/>
        </w:rPr>
        <w:footnoteReference w:id="1209"/>
      </w:r>
      <w:r>
        <w:rPr>
          <w:rFonts w:ascii="IRNazanin" w:hAnsi="IRNazanin" w:eastAsia="IRNazanin"/>
          <w:color w:val="111111"/>
          <w:sz w:val="28"/>
          <w:sz w:val="28"/>
          <w:szCs w:val="28"/>
          <w:rtl w:val="true"/>
          <w:lang w:bidi="fa-IR"/>
        </w:rPr>
        <w:t xml:space="preserve">، عن محمد بن أبی عمیر ، عن </w:t>
      </w:r>
    </w:p>
    <w:p>
      <w:pPr>
        <w:pStyle w:val="BookText"/>
        <w:rPr/>
      </w:pPr>
      <w:r>
        <w:rPr>
          <w:rFonts w:ascii="IRNazanin" w:hAnsi="IRNazanin" w:eastAsia="IRNazanin"/>
          <w:color w:val="111111"/>
          <w:sz w:val="28"/>
          <w:sz w:val="28"/>
          <w:szCs w:val="28"/>
          <w:rtl w:val="true"/>
          <w:lang w:bidi="fa-IR"/>
        </w:rPr>
        <w:t xml:space="preserve">الحسن بن أبی سارة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ثوبی شی‌ء من الخمر ، أُصلّی فیه قبل أنّ أغسله؟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إنّ الثوب لا یسکر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سعد ، عن أحمد بن محمد ، عن الحسن بن علی بن فضال ، عن عبد الله بن بکیر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علیه السلام وأنا عنده عن المسکر والنبیذ یصیب الثوب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عن عبد الله بن بکیر ، عن صالح بن سیابة ، عن الحسن بن أبی سارة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نخالط الیهود والنصاری والمجوس ، وندخل علیهم وهم یأکلون ویشربون ، فیمرّ ساقیهم فیصبّ علی ثیابی الخمر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إلاّ أنّ تشتهی تغسله </w:t>
      </w:r>
      <w:r>
        <w:rPr>
          <w:rFonts w:eastAsia="IRNazanin" w:cs="IRNazanin"/>
          <w:color w:val="111111"/>
          <w:sz w:val="28"/>
          <w:szCs w:val="28"/>
          <w:rtl w:val="true"/>
          <w:lang w:bidi="fa-IR"/>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عبد الله ، عن محمد بن الحسن </w:t>
      </w:r>
      <w:r>
        <w:rPr>
          <w:rStyle w:val="FootnoteAnchor"/>
          <w:rtl w:val="true"/>
        </w:rPr>
        <w:footnoteReference w:id="1211"/>
      </w:r>
      <w:r>
        <w:rPr>
          <w:rFonts w:ascii="IRNazanin" w:hAnsi="IRNazanin" w:eastAsia="IRNazanin"/>
          <w:color w:val="111111"/>
          <w:sz w:val="28"/>
          <w:sz w:val="28"/>
          <w:szCs w:val="28"/>
          <w:rtl w:val="true"/>
          <w:lang w:bidi="fa-IR"/>
        </w:rPr>
        <w:t xml:space="preserve">، عن أیوب بن نوح ، عن صفوان ، عن حماد بن عثمان ، قال حدّثنی الحسن </w:t>
      </w:r>
      <w:r>
        <w:rPr>
          <w:rStyle w:val="FootnoteAnchor"/>
          <w:rtl w:val="true"/>
        </w:rPr>
        <w:footnoteReference w:id="1212"/>
      </w:r>
      <w:r>
        <w:rPr>
          <w:rFonts w:ascii="IRNazanin" w:hAnsi="IRNazanin" w:eastAsia="IRNazanin"/>
          <w:color w:val="111111"/>
          <w:sz w:val="28"/>
          <w:sz w:val="28"/>
          <w:szCs w:val="28"/>
          <w:rtl w:val="true"/>
          <w:lang w:bidi="fa-IR"/>
        </w:rPr>
        <w:t xml:space="preserve">بن موسی الحنّاط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یشرب الخمر ، ثم یمجّه من فیه فیصیب ثوبی؟ قال </w:t>
      </w:r>
      <w:r>
        <w:rPr>
          <w:rStyle w:val="FootnoteAnchor"/>
          <w:rtl w:val="true"/>
        </w:rPr>
        <w:footnoteReference w:id="12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الأخبار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نحملها علی ضرب من التقیة ، لأنّها 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لمذهب کثیر </w:t>
      </w:r>
      <w:r>
        <w:rPr>
          <w:rFonts w:eastAsia="IRNazanin" w:cs="IRNazanin"/>
          <w:color w:val="111111"/>
          <w:sz w:val="28"/>
          <w:szCs w:val="28"/>
          <w:rtl w:val="true"/>
          <w:lang w:bidi="fa-IR"/>
        </w:rPr>
        <w:t xml:space="preserve">) </w:t>
      </w:r>
      <w:r>
        <w:rPr>
          <w:rStyle w:val="FootnoteAnchor"/>
          <w:rtl w:val="true"/>
        </w:rPr>
        <w:footnoteReference w:id="1214"/>
      </w: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قلنا ذلک لأنّ الأخبار الأوّلة مطابقة لظاهر القرآن ، قال الله </w:t>
      </w:r>
      <w:bookmarkStart w:id="791" w:name="pg15025_160439"/>
    </w:p>
    <w:p>
      <w:pPr>
        <w:pStyle w:val="BookText"/>
        <w:rPr/>
      </w:pPr>
      <w:bookmarkEnd w:id="791"/>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وَالْمَیْسِرُ وَالْأَنْصابُ وَالْأَزْلامُ رِجْسٌ </w:t>
      </w:r>
      <w:r>
        <w:rPr>
          <w:rFonts w:eastAsia="Amiri" w:cs="Amiri" w:ascii="Amiri" w:hAnsi="Amiri"/>
          <w:color w:val="111111"/>
          <w:sz w:val="28"/>
          <w:szCs w:val="28"/>
          <w:rtl w:val="true"/>
          <w:lang w:bidi="ar-SA"/>
        </w:rPr>
        <w:t xml:space="preserve">) </w:t>
      </w:r>
      <w:r>
        <w:rPr>
          <w:rStyle w:val="FootnoteAnchor"/>
          <w:rtl w:val="true"/>
        </w:rPr>
        <w:footnoteReference w:id="1215"/>
      </w:r>
      <w:r>
        <w:rPr>
          <w:rFonts w:ascii="IRNazanin" w:hAnsi="IRNazanin" w:eastAsia="IRNazanin"/>
          <w:color w:val="111111"/>
          <w:sz w:val="28"/>
          <w:sz w:val="28"/>
          <w:szCs w:val="28"/>
          <w:rtl w:val="true"/>
          <w:lang w:bidi="fa-IR"/>
        </w:rPr>
        <w:t xml:space="preserve">فحکم علی الخمر بالرجاسة ، وقد روی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جاءکم عنّا حدیثان فأعرضوهما علی کتاب الله ، فما وافق کتاب الله فخذوه ، وما خالفه فاطرحوه </w:t>
      </w:r>
      <w:r>
        <w:rPr>
          <w:rFonts w:eastAsia="IRNazanin" w:cs="IRNazanin"/>
          <w:color w:val="111111"/>
          <w:sz w:val="28"/>
          <w:szCs w:val="28"/>
          <w:rtl w:val="true"/>
          <w:lang w:bidi="fa-IR"/>
        </w:rPr>
        <w:t xml:space="preserve">» </w:t>
      </w:r>
      <w:r>
        <w:rPr>
          <w:rStyle w:val="FootnoteAnchor"/>
          <w:rtl w:val="true"/>
        </w:rPr>
        <w:footnoteReference w:id="1216"/>
      </w:r>
      <w:r>
        <w:rPr>
          <w:rFonts w:ascii="IRNazanin" w:hAnsi="IRNazanin" w:eastAsia="IRNazanin"/>
          <w:color w:val="111111"/>
          <w:sz w:val="28"/>
          <w:sz w:val="28"/>
          <w:szCs w:val="28"/>
          <w:rtl w:val="true"/>
          <w:lang w:bidi="fa-IR"/>
        </w:rPr>
        <w:t>وهذه الأخبار مخالفة لظاهر القرآن ، فینبغی أنّ یکون العمل 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أبو بکر الحضرمی ، وهو غیر معلوم الحال من توثیق أو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معلوم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فیه أحمد عن البرقی ، وفی التهذیب عنه عن البرقی </w:t>
      </w:r>
      <w:r>
        <w:rPr>
          <w:rStyle w:val="FootnoteAnchor"/>
          <w:rtl w:val="true"/>
        </w:rPr>
        <w:footnoteReference w:id="1217"/>
      </w:r>
      <w:r>
        <w:rPr>
          <w:rFonts w:ascii="IRNazanin" w:hAnsi="IRNazanin" w:eastAsia="IRNazanin"/>
          <w:color w:val="111111"/>
          <w:sz w:val="28"/>
          <w:sz w:val="28"/>
          <w:szCs w:val="28"/>
          <w:rtl w:val="true"/>
          <w:lang w:bidi="fa-IR"/>
        </w:rPr>
        <w:t>وهو الصواب ؛ لأنّ أحمد الراوی عن البرقی والراوی عنه أحمد بن محمد تبن عیسی مستغرب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کون أحمد هو ابن محمد البرقی ، والبرقی هو الأب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بعض النسخ عن أحمد البرقی ، وما فی التهذیب هو الأوضح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والحسن بن أبی سارة لم یوثقه سوی العلاّمة فی الخلاصة </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النجاشی فی ترجمة محمد بن الحسن بن أبی سارة ما قد یستفاد التوثیق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أبی سارة أبو جعفر مولی الأنصار ، یعرف بالرواسی ، أصله کوفی سکن هو وأبوه قَبله النیل ، روی هو وأبوه عن أبی</w:t>
      </w:r>
    </w:p>
    <w:p>
      <w:pPr>
        <w:pStyle w:val="Heading4"/>
        <w:numPr>
          <w:ilvl w:val="3"/>
          <w:numId w:val="1"/>
        </w:numPr>
        <w:rPr/>
      </w:pPr>
      <w:bookmarkStart w:id="792" w:name="__RefHeading___Toc147048_2142443653"/>
      <w:bookmarkStart w:id="793" w:name="_Toc302"/>
      <w:bookmarkEnd w:id="792"/>
      <w:r>
        <w:rPr>
          <w:rtl w:val="true"/>
        </w:rPr>
        <w:t>أبو بکر الحضرمی غیر معلوم الحال</w:t>
      </w:r>
      <w:bookmarkEnd w:id="793"/>
    </w:p>
    <w:p>
      <w:pPr>
        <w:pStyle w:val="Heading4"/>
        <w:numPr>
          <w:ilvl w:val="3"/>
          <w:numId w:val="1"/>
        </w:numPr>
        <w:rPr/>
      </w:pPr>
      <w:bookmarkStart w:id="794" w:name="__RefHeading___Toc147050_2142443653"/>
      <w:bookmarkStart w:id="795" w:name="_Toc303"/>
      <w:bookmarkEnd w:id="794"/>
      <w:r>
        <w:rPr>
          <w:rtl w:val="true"/>
        </w:rPr>
        <w:t xml:space="preserve">کلمة حول سند فیه </w:t>
      </w:r>
      <w:r>
        <w:rPr>
          <w:rtl w:val="true"/>
        </w:rPr>
        <w:t xml:space="preserve">: </w:t>
      </w:r>
      <w:r>
        <w:rPr>
          <w:rtl w:val="true"/>
        </w:rPr>
        <w:t>أحمد عن البرقی</w:t>
      </w:r>
      <w:bookmarkEnd w:id="79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6" w:name="__RefHeading___Toc147052_2142443653"/>
      <w:bookmarkStart w:id="797" w:name="_Toc304"/>
      <w:bookmarkEnd w:id="796"/>
      <w:r>
        <w:rPr>
          <w:rtl w:val="true"/>
        </w:rPr>
        <w:t>بحث حول الحسن بن أبی سارة</w:t>
      </w:r>
      <w:bookmarkEnd w:id="797"/>
    </w:p>
    <w:p>
      <w:pPr>
        <w:pStyle w:val="BookText"/>
        <w:rPr/>
      </w:pPr>
      <w:r>
        <w:rPr>
          <w:rFonts w:ascii="IRNazanin" w:hAnsi="IRNazanin" w:eastAsia="IRNazanin"/>
          <w:color w:val="111111"/>
          <w:sz w:val="28"/>
          <w:sz w:val="28"/>
          <w:szCs w:val="28"/>
          <w:rtl w:val="true"/>
          <w:lang w:bidi="fa-IR"/>
        </w:rPr>
        <w:t xml:space="preserve">جعفر وأبی عبد الله علیهماالسلام ، وابن عم محمد بن الحسن معاذ بن مسلم بن أبی سارة ، وهم أهل بیت فضل وأدب ، وعلی معاذ ومحمد فقِه الکسائی علم العرب ، والکسائی والفرّاء یحکون عنه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الرواسی ومحمد بن الحسن ، وهم ثقات لا یطعن علیهم بشی‌ء ، ولمحمّد هذا کتاب</w:t>
      </w:r>
      <w:r>
        <w:rPr>
          <w:rFonts w:eastAsia="IRNazanin" w:cs="IRNazanin"/>
          <w:color w:val="111111"/>
          <w:sz w:val="28"/>
          <w:szCs w:val="28"/>
          <w:rtl w:val="true"/>
          <w:lang w:bidi="fa-IR"/>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استفادة التوثیق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کونه من النجاشی ، ولا یبعد أنّ یستفاد منه توثیق معاذ بن مسلم أیضاً ، فالعلاّمة فی الخلاصة وثّقه </w:t>
      </w:r>
      <w:r>
        <w:rPr>
          <w:rStyle w:val="FootnoteAnchor"/>
          <w:rtl w:val="true"/>
        </w:rPr>
        <w:footnoteReference w:id="1220"/>
      </w:r>
      <w:r>
        <w:rPr>
          <w:rFonts w:ascii="IRNazanin" w:hAnsi="IRNazanin" w:eastAsia="IRNazanin"/>
          <w:color w:val="111111"/>
          <w:sz w:val="28"/>
          <w:sz w:val="28"/>
          <w:szCs w:val="28"/>
          <w:rtl w:val="true"/>
          <w:lang w:bidi="fa-IR"/>
        </w:rPr>
        <w:t>، والظاهر أنّ المأخذ هذا ، ولم یتعرض شیخنا أیّده الله فی کتاب الرجال لذلک ، وهو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الرواسی ومحمد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أفهمه أنّ المقصود به بیان کیفیة ما یحکون عنه أعنی الکسائی والفراء فی کتبهم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الرواسی تارةً ، وقال محمد بن الحسن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احتمال أنّ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عن بعض مصنّفی کتب الرجال ، ومقول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ثقات ، فلا یفید التوثیق ، لجهالة أبی جعفر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النجاشی صرّح بأنّ الرواسی محمد بن </w:t>
      </w:r>
      <w:r>
        <w:rPr>
          <w:rFonts w:eastAsia="Amiri" w:cs="Amiri" w:ascii="Amiri" w:hAnsi="Amiri"/>
          <w:color w:val="111111"/>
          <w:sz w:val="28"/>
          <w:szCs w:val="28"/>
          <w:rtl w:val="true"/>
          <w:lang w:bidi="ar-SA"/>
        </w:rPr>
        <w:t xml:space="preserve">) </w:t>
      </w:r>
      <w:r>
        <w:rPr>
          <w:rStyle w:val="FootnoteAnchor"/>
          <w:rtl w:val="true"/>
        </w:rPr>
        <w:footnoteReference w:id="1221"/>
      </w:r>
      <w:r>
        <w:rPr>
          <w:rFonts w:ascii="IRNazanin" w:hAnsi="IRNazanin" w:eastAsia="IRNazanin"/>
          <w:color w:val="111111"/>
          <w:sz w:val="28"/>
          <w:sz w:val="28"/>
          <w:szCs w:val="28"/>
          <w:rtl w:val="true"/>
          <w:lang w:bidi="fa-IR"/>
        </w:rPr>
        <w:t xml:space="preserve">الحسن ، فلو رجع الرواسی ، إلی أبی جعفر بقی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الحسن لا معنی له</w:t>
      </w:r>
      <w:r>
        <w:rPr>
          <w:rFonts w:eastAsia="IRNazanin" w:cs="IRNazanin"/>
          <w:color w:val="111111"/>
          <w:sz w:val="28"/>
          <w:szCs w:val="28"/>
          <w:rtl w:val="true"/>
          <w:lang w:bidi="fa-IR"/>
        </w:rPr>
        <w:t xml:space="preserve">. </w:t>
      </w:r>
      <w:bookmarkStart w:id="798" w:name="pg15025_160441"/>
    </w:p>
    <w:p>
      <w:pPr>
        <w:pStyle w:val="BookText"/>
        <w:rPr/>
      </w:pPr>
      <w:bookmarkEnd w:id="798"/>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المقصود ذکر ما قاله أبو جعفر الرواسی من ضمیمة محمد بن الحسن إلی الکسائی والفراء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الحسن یحکی فی کتابه أیضاً کالکسائی والفراء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وجه له عند التأمّل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کنه العبارة </w:t>
      </w:r>
      <w:r>
        <w:rPr>
          <w:rFonts w:eastAsia="IRNazanin" w:cs="IRNazanin"/>
          <w:color w:val="111111"/>
          <w:sz w:val="28"/>
          <w:szCs w:val="28"/>
          <w:rtl w:val="true"/>
          <w:lang w:bidi="fa-IR"/>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ثانیاً </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العبارة من النجاشی لا یحتمل هذا التعقید ، کما یعرف من ملاحظة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نسخ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الرواسی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واو ، وهذا ربما یدل ظاهراً علی أنّ أبا جعفر من مصنّفی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کونه ابن بابویه ، ومقول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الرواسی محمد بن الحسن علی معنی أنّ هذا لقبه ، وحینئذ یحتمل أنّ یکون التوثیق من مقولة ، وحیث لا یتعین کونه ابن بابویه لا یحکم بالتوثیق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النسخة بتقدیر صحتها لا تنافی ما ذکرناه ؛ لاحتمال أن یکون ما یحکی فی کتبهم بهذه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الرواسی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الرجال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Style w:val="FootnoteAnchor"/>
          <w:rtl w:val="true"/>
        </w:rPr>
        <w:footnoteReference w:id="1224"/>
      </w:r>
      <w:r>
        <w:rPr>
          <w:rFonts w:ascii="IRNazanin" w:hAnsi="IRNazanin" w:eastAsia="IRNazanin"/>
          <w:color w:val="111111"/>
          <w:sz w:val="28"/>
          <w:sz w:val="28"/>
          <w:szCs w:val="28"/>
          <w:rtl w:val="true"/>
          <w:lang w:bidi="fa-IR"/>
        </w:rPr>
        <w:t xml:space="preserve">أبو جعفر الرواسی </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ذکرته من احتمال کونه ابن بابویه فی غایة البعد ، کاحتمال غیره أیضاً ، فلیتأمّل جمیع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کما قدمناه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صالح بن سیابة ، وهو مجهول الحال ، لعدم ذکره فی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9" w:name="__RefHeading___Toc147054_2142443653"/>
      <w:bookmarkStart w:id="800" w:name="_Toc305"/>
      <w:bookmarkEnd w:id="799"/>
      <w:r>
        <w:rPr>
          <w:rtl w:val="true"/>
        </w:rPr>
        <w:t>صالح بن سیابة مجهول</w:t>
      </w:r>
      <w:bookmarkStart w:id="801" w:name="pg15025_160442"/>
      <w:bookmarkEnd w:id="800"/>
    </w:p>
    <w:p>
      <w:pPr>
        <w:pStyle w:val="BookText"/>
        <w:rPr/>
      </w:pPr>
      <w:bookmarkEnd w:id="801"/>
      <w:r>
        <w:rPr>
          <w:rFonts w:ascii="IRNazanin" w:hAnsi="IRNazanin" w:eastAsia="IRNazanin"/>
          <w:color w:val="111111"/>
          <w:sz w:val="28"/>
          <w:sz w:val="28"/>
          <w:szCs w:val="28"/>
          <w:rtl w:val="true"/>
          <w:lang w:bidi="fa-IR"/>
        </w:rPr>
        <w:t>الرجال علی ما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موسی الحناط </w:t>
      </w:r>
      <w:r>
        <w:rPr>
          <w:rStyle w:val="FootnoteAnchor"/>
          <w:rtl w:val="true"/>
        </w:rPr>
        <w:footnoteReference w:id="1227"/>
      </w:r>
      <w:r>
        <w:rPr>
          <w:rFonts w:ascii="IRNazanin" w:hAnsi="IRNazanin" w:eastAsia="IRNazanin"/>
          <w:color w:val="111111"/>
          <w:sz w:val="28"/>
          <w:sz w:val="28"/>
          <w:szCs w:val="28"/>
          <w:rtl w:val="true"/>
          <w:lang w:bidi="fa-IR"/>
        </w:rPr>
        <w:t xml:space="preserve">، وهو مذکور فی الرجال مهملاً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فی الخمر ، بل دلالته علی طهارة النبیذ لها ظهور ، أمّا ما تضمّنه من شرب الماء فی الحبّ إذا وقع فیه النبیذ فلا یخلو من إشکال ، 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تفرّق الأجزاء فی الماء یزیل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 ، وعدم صحة الحدیث یسهل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یحتمل أنّ یراد بالنبیذ الماء الذی یوضع فیه التمر ، کما مضی فی أوّل الکتاب </w:t>
      </w:r>
      <w:r>
        <w:rPr>
          <w:rStyle w:val="FootnoteAnchor"/>
          <w:rtl w:val="true"/>
        </w:rPr>
        <w:footnoteReference w:id="1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التعلیل فیه بعید الظهور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یظنّ أنّ المعنی فی التعلیل علی تقدیر إرادة النبیذ حقیقة یمکن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الوجه فی طهارة النبیذ أنّ أصله من التمر ، وعصیر التمر لیس مثل عصیر العنب ،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أصل الخمر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علی احتمال أنّ أصله من العصیر ، وهو حرام إذا غلا واشتدّ بخلاف النبیذ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أنّ الحکم بطهارة النبیذ الحقیقی ، وجواز شرب الماء الواقع فیه مثل الحُبّ واضح الإشکال ، إلاّ أنّ الخبر لو صحّ أمکن الالتزام ، مع عدم تحقق الإجماع المنافی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الوجه فی ذکر الشیخ له ظنّ المنافاة فی النبیذ ، وإلاّ فهو فی</w:t>
      </w:r>
    </w:p>
    <w:p>
      <w:pPr>
        <w:pStyle w:val="Heading4"/>
        <w:numPr>
          <w:ilvl w:val="3"/>
          <w:numId w:val="1"/>
        </w:numPr>
        <w:rPr/>
      </w:pPr>
      <w:bookmarkStart w:id="802" w:name="__RefHeading___Toc147056_2142443653"/>
      <w:bookmarkStart w:id="803" w:name="_Toc306"/>
      <w:bookmarkEnd w:id="802"/>
      <w:r>
        <w:rPr>
          <w:rtl w:val="true"/>
        </w:rPr>
        <w:t>الحسن بن موسی الحنّاط مهمل</w:t>
      </w:r>
      <w:bookmarkEnd w:id="80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4" w:name="__RefHeading___Toc147058_2142443653"/>
      <w:bookmarkStart w:id="805" w:name="_Toc307"/>
      <w:bookmarkEnd w:id="804"/>
      <w:r>
        <w:rPr>
          <w:rtl w:val="true"/>
        </w:rPr>
        <w:t>بیان الأخبار الدالّة علی طهارة النبیذ والخمر</w:t>
      </w:r>
      <w:bookmarkEnd w:id="805"/>
    </w:p>
    <w:p>
      <w:pPr>
        <w:pStyle w:val="BookText"/>
        <w:rPr/>
      </w:pPr>
      <w:r>
        <w:rPr>
          <w:rFonts w:ascii="IRNazanin" w:hAnsi="IRNazanin" w:eastAsia="IRNazanin"/>
          <w:color w:val="111111"/>
          <w:sz w:val="28"/>
          <w:sz w:val="28"/>
          <w:szCs w:val="28"/>
          <w:rtl w:val="true"/>
          <w:lang w:bidi="fa-IR"/>
        </w:rPr>
        <w:t>الخمر مجمل ، فیحتمل أنّ یکون التعلیل لعدم المنع من شرب الماء إذا وقع فیه نبیذ ، لا إذا وقع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والنجاسة حینئذٍ مسکوت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الحکم من جهة النجاسة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طهارة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الحکم فی إصابة الثوب ، إلاّ أنّه یستبعد السؤال عن ذلک ، فالظاهر أنّ السؤال من حیث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غرابة ؛ لأنّ الخمر بتقدیر طهارتها الذاتیة لا تنتفی نجاستها العارضیة ، والخبر کما تری ینفی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بطهارة أهل الکتاب حتی المجوس ، أو عدم العلم بالمباشرة کافٍ فی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یدل علی أنّه لا بأس بإصابة الخمر لا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کما قیل فی الرابع ، واحتمال کون الطهارة من حیث عدم العلم ببقائه فی الفم بعید ، فإنّ الظاهر </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من السؤال تحقق کونه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 فما قاله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الحمل علی التقیة من حیث موافقته لمذهب کثیر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فی الجمیع ، کما یعرف ممّا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ینقل عن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إجماع المسلمین ، إلاّ من شذّ من العامة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الأوّلة مطابقة لظاهر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یتوجه علیه أنّه مبنی </w:t>
      </w:r>
      <w:bookmarkStart w:id="806" w:name="pg15025_160444"/>
    </w:p>
    <w:p>
      <w:pPr>
        <w:pStyle w:val="BookText"/>
        <w:rPr/>
      </w:pPr>
      <w:bookmarkEnd w:id="806"/>
      <w:r>
        <w:rPr>
          <w:rFonts w:ascii="IRNazanin" w:hAnsi="IRNazanin" w:eastAsia="IRNazanin"/>
          <w:color w:val="111111"/>
          <w:sz w:val="28"/>
          <w:sz w:val="28"/>
          <w:szCs w:val="28"/>
          <w:rtl w:val="true"/>
          <w:lang w:bidi="fa-IR"/>
        </w:rPr>
        <w:t xml:space="preserve">علی أنّ الرجس هو النجس ، والمستفاد من اللغة أنّ له معانی غیر النجس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کلامه فی التهذیب أنّ الرجس هو النجس بالإجماع </w:t>
      </w: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وإنّ أمکن الدخل فیه فی نظری القاصر بأنّ الإجماع علی کون الرجس هو النجس إنّ أراد به الرجس فی الآیة فالخلاف الواقع فی الخمر ینافی ذلک ، وإنّ أُرید أنّ الرجس یستعمل بمعنی النجس إجماعاً فغیر نافع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لا یضرّ به مخالفة معلومی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یضرّ لا حاجة إلی تکلّف القول فی الآیة ، بل الإجماع علی نجاسة الخمر کافٍ ، والرجس إذا جاز استعماله فی النجس کفی أیضاً وإنّ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ذکره بعض محقّقی المعاصرین سلّمه الله من أن الرجس وإنّ کان </w:t>
      </w:r>
      <w:r>
        <w:rPr>
          <w:rFonts w:eastAsia="IRNazanin" w:cs="IRNazanin"/>
          <w:color w:val="111111"/>
          <w:sz w:val="28"/>
          <w:szCs w:val="28"/>
          <w:rtl w:val="true"/>
          <w:lang w:bidi="fa-IR"/>
        </w:rPr>
        <w:t xml:space="preserve">) </w:t>
      </w:r>
      <w:r>
        <w:rPr>
          <w:rStyle w:val="FootnoteAnchor"/>
          <w:rtl w:val="true"/>
        </w:rPr>
        <w:footnoteReference w:id="1234"/>
      </w:r>
      <w:r>
        <w:rPr>
          <w:rFonts w:ascii="IRNazanin" w:hAnsi="IRNazanin" w:eastAsia="IRNazanin"/>
          <w:color w:val="111111"/>
          <w:sz w:val="28"/>
          <w:sz w:val="28"/>
          <w:szCs w:val="28"/>
          <w:rtl w:val="true"/>
          <w:lang w:bidi="fa-IR"/>
        </w:rPr>
        <w:t xml:space="preserve">یطلق علی غیر النجس أیضاً ، إلاّ أنّ الشیخ فی التهذیب نقل الإجماع علی أنّه هنا بمعنی النجس ، ویؤیّده مکاتبة خیران الخادم ، وذکر الروایة السابقة المتضمنة لأنّه 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وحینئذ فإمّا أنّ یکون خبر بقیّة المتعاطفات فی الآیة محذوفاً ، أو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الخبر عن الکل من قبیل عموم المشترک أو عموم المجاز </w:t>
      </w:r>
      <w:r>
        <w:rPr>
          <w:rStyle w:val="FootnoteAnchor"/>
          <w:rtl w:val="true"/>
        </w:rPr>
        <w:footnoteReference w:id="1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تأمل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7" w:name="__RefHeading___Toc147060_2142443653"/>
      <w:bookmarkStart w:id="808" w:name="_Toc308"/>
      <w:bookmarkEnd w:id="807"/>
      <w:r>
        <w:rPr>
          <w:rtl w:val="true"/>
        </w:rPr>
        <w:t xml:space="preserve">ما معنی الرجس فی قوله تعالی </w:t>
      </w:r>
      <w:r>
        <w:rPr>
          <w:rtl w:val="true"/>
        </w:rPr>
        <w:t xml:space="preserve">: ( </w:t>
      </w:r>
      <w:r>
        <w:rPr>
          <w:rtl w:val="true"/>
        </w:rPr>
        <w:t xml:space="preserve">إنّما الخمر </w:t>
      </w:r>
      <w:r>
        <w:rPr>
          <w:rtl w:val="true"/>
        </w:rPr>
        <w:t xml:space="preserve">... </w:t>
      </w:r>
      <w:r>
        <w:rPr>
          <w:rtl w:val="true"/>
        </w:rPr>
        <w:t xml:space="preserve">رجس </w:t>
      </w:r>
      <w:r>
        <w:rPr>
          <w:rtl w:val="true"/>
        </w:rPr>
        <w:t xml:space="preserve">) </w:t>
      </w:r>
      <w:r>
        <w:rPr>
          <w:rtl w:val="true"/>
        </w:rPr>
        <w:t>؟</w:t>
      </w:r>
      <w:bookmarkEnd w:id="808"/>
    </w:p>
    <w:p>
      <w:pPr>
        <w:pStyle w:val="BookText"/>
        <w:rPr/>
      </w:pPr>
      <w:r>
        <w:rPr>
          <w:rFonts w:ascii="Amiri" w:hAnsi="Amiri" w:eastAsia="Amiri" w:cs="Amiri"/>
          <w:color w:val="111111"/>
          <w:sz w:val="28"/>
          <w:sz w:val="28"/>
          <w:szCs w:val="28"/>
          <w:rtl w:val="true"/>
          <w:lang w:bidi="ar-SA"/>
        </w:rPr>
        <w:t xml:space="preserve">ووجه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قدّمناه من جهة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الخبر المذکور تأییده لقول الشیخ غیر واضح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إرادة النجس من الخبر إنّما هو بقرینة ذکر لحم الخنزیر معه ، والکلام فیه حینئذ کالآیة إشکالاً وجواباً ، علی أنّ الخبر </w:t>
      </w:r>
      <w:r>
        <w:rPr>
          <w:rFonts w:eastAsia="IRNazanin" w:cs="IRNazanin"/>
          <w:color w:val="111111"/>
          <w:sz w:val="28"/>
          <w:szCs w:val="28"/>
          <w:rtl w:val="true"/>
          <w:lang w:bidi="fa-IR"/>
        </w:rPr>
        <w:t xml:space="preserve">) </w:t>
      </w:r>
      <w:r>
        <w:rPr>
          <w:rStyle w:val="FootnoteAnchor"/>
          <w:rtl w:val="true"/>
        </w:rPr>
        <w:footnoteReference w:id="1237"/>
      </w:r>
      <w:r>
        <w:rPr>
          <w:rFonts w:ascii="IRNazanin" w:hAnsi="IRNazanin" w:eastAsia="IRNazanin"/>
          <w:color w:val="111111"/>
          <w:sz w:val="28"/>
          <w:sz w:val="28"/>
          <w:szCs w:val="28"/>
          <w:rtl w:val="true"/>
          <w:lang w:bidi="fa-IR"/>
        </w:rPr>
        <w:t xml:space="preserve">محتمل لأنّ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أو لحم الخنزیر ، علی سبیل الشک من الراوی ، مع احتمال إرادة أحدهما ، والقرینة موجودة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الإجماع إذا وقع علی أنّ الرجس فی الآیة بمعنی النجس کیف 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المشترک أو </w:t>
      </w:r>
      <w:r>
        <w:rPr>
          <w:rFonts w:eastAsia="IRNazanin" w:cs="IRNazanin"/>
          <w:color w:val="111111"/>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عموم المجاز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قوله سلّمه الله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الأحادیث المؤذنة بالنجاسة أکثر ، والضعیف منها منجبر بالشهرة وعمل جماهیر الأصحاب ، هذا إنّ تنزّلنا ولم نقل بدلالة کلام السیّد والشیخ قدّس الله سرّهما علی الإجماع ، وأمّا إذا قلنا بذلک کما فهمه العلاّمة طاب ثراه من کلامیهما ، وشیخنا فی الذکری من کلام السیّد فلا بحث </w:t>
      </w:r>
      <w:r>
        <w:rPr>
          <w:rStyle w:val="FootnoteAnchor"/>
          <w:rtl w:val="true"/>
        </w:rPr>
        <w:footnoteReference w:id="1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 الشیخ فی التهذیب کما ذکره صریح فی الإجماع ، فأیّ حاجة إلی فهم العلاّمة والشهید رحمه الله هذا؟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المختلف ذکر فی الاستدلال للنجاسة وجوهاً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ذلک ، ونقل قول السیّد والشیخ فی الخمر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مسکر عندنا حکمه حکم الخمر ، وألحق أصحابنا الفقّاع بذلک ، وقول السید المرتضی والشیخ حجّة </w:t>
      </w:r>
      <w:r>
        <w:rPr>
          <w:rStyle w:val="FootnoteAnchor"/>
          <w:rtl w:val="true"/>
        </w:rPr>
        <w:footnoteReference w:id="1240"/>
      </w:r>
      <w:r>
        <w:rPr>
          <w:rFonts w:ascii="IRNazanin" w:hAnsi="IRNazanin" w:eastAsia="IRNazanin"/>
          <w:color w:val="111111"/>
          <w:sz w:val="28"/>
          <w:sz w:val="28"/>
          <w:szCs w:val="28"/>
          <w:rtl w:val="true"/>
          <w:lang w:bidi="fa-IR"/>
        </w:rPr>
        <w:t xml:space="preserve">، فإنّه إجماع منقول بقولهما ، وهما صادقان ، فیغلب علی </w:t>
      </w:r>
    </w:p>
    <w:p>
      <w:pPr>
        <w:pStyle w:val="BookText"/>
        <w:rPr/>
      </w:pPr>
      <w:r>
        <w:rPr>
          <w:rFonts w:ascii="IRNazanin" w:hAnsi="IRNazanin" w:eastAsia="IRNazanin"/>
          <w:color w:val="111111"/>
          <w:sz w:val="28"/>
          <w:sz w:val="28"/>
          <w:szCs w:val="28"/>
          <w:rtl w:val="true"/>
          <w:lang w:bidi="fa-IR"/>
        </w:rPr>
        <w:t>الظنّ ثبوته ، والإجماع کما یکون حجّة إذا نقل متواتراً ، فکذا إذا نقل آحاداً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 وذکر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بها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الرجس هو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یدل علی اجتنابه وعدم مباشرته علی الإطلاق ، ولا نعنی بالنجس إلاّ ذلک ، ثم ذکر الأخبار وغیرها ممّا قدّمنا نظیره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اشتغال الذمّة بیقین فلا یزول إلاّ بیقین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إذا تأملت الحجّة ، تری فیها تأمّلاً من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الإجماع لا یخفی حاله ، وقد کرّرنا ذکره فی هذا الکتاب </w:t>
      </w:r>
      <w:r>
        <w:rPr>
          <w:rStyle w:val="FootnoteAnchor"/>
          <w:rtl w:val="true"/>
        </w:rPr>
        <w:footnoteReference w:id="1242"/>
      </w:r>
      <w:r>
        <w:rPr>
          <w:rFonts w:ascii="IRNazanin" w:hAnsi="IRNazanin" w:eastAsia="IRNazanin"/>
          <w:color w:val="111111"/>
          <w:sz w:val="28"/>
          <w:sz w:val="28"/>
          <w:szCs w:val="28"/>
          <w:rtl w:val="true"/>
          <w:lang w:bidi="fa-IR"/>
        </w:rPr>
        <w:t>، غایة الأمر أنّ الإجماع من مثل السیّد له مزیة فی الجملة ، لکن الحقّ أنّ الإجماع المنقول بخبر الواحد لا یخرج عن الخبر ، فالدلیل علی العمل بالخبر هو دلیله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الإجماع إذا نقل متواتراً کان حجة فکذا إذا نقل آحاداً </w:t>
      </w:r>
      <w:r>
        <w:rPr>
          <w:rStyle w:val="FootnoteAnchor"/>
          <w:rtl w:val="true"/>
        </w:rPr>
        <w:footnoteReference w:id="1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به أنّ الإجماع إذا نقل متواتراً صار إجماعاً حقیقیاً بمعنی العلم بدخول المعصوم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التواتر فی نقله أعم من تواتره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أنّ نقل الإجماع مع عدم العلم بقول المعصوم بل ظن قوله ، فهو فی الحقیقة خبر متواتر ، والإجماع 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خفی أنّ النقل لا یصیّره إجماعاً ، بل هو خبر کما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أنّ النقل تواتراً علی وجه یثبت به الإجماع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مثل هذا فی غایة البُعد عن الوصول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المنقول من مثل السیّد لا یبعد أنّ یکون خبراً مسنداً ، أمّا الإجماع المذکور فی کلام العلاّمة ونحوه فهو خبر مرسل ؛ إذ العقل قاضٍ بالتعذّر بل الامتناع فی زمان من ذکرناه ، فلا بد أنّ یکون منقولاً عن غیره ، فإذا لم یبیّن الناقل کان خبراً مرسلاً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فالآیة إنّ ثبت کون الرجس فیها هو النجس کان ما ذکره أوّلاً حقاً ، وإلاّ فهو محلّ تأمّل ، لما یستفاد من کلام أهل اللغة أنّ له معانی </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وقع فی الآیة خبراً عن الجمیع بتقدیر مضاف ، أی تعاطی الخمر والمیسر علی احتمال ، وعلیه لا یستقیم إرادة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کونه خبراً عن الخمر ، وخبر المعطوفات محذوف ؛ یشکل بأن المحذوف ینبغی اتحاده معنیً مع المذکور لیکون دالاًّ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ینظر فی هذا بأنّ الظاهر من کلام أهل العربیة عدم الاشتراط ، ویحتمل ما أشرنا إلیه من النقل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کلام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الرجس المأثم ، أو العمل المستقذر الذی تعاف عنه العقول </w:t>
      </w:r>
      <w:r>
        <w:rPr>
          <w:rStyle w:val="FootnoteAnchor"/>
          <w:rtl w:val="true"/>
        </w:rPr>
        <w:footnoteReference w:id="1245"/>
      </w:r>
      <w:r>
        <w:rPr>
          <w:rFonts w:ascii="IRNazanin" w:hAnsi="IRNazanin" w:eastAsia="IRNazanin"/>
          <w:color w:val="111111"/>
          <w:sz w:val="28"/>
          <w:sz w:val="28"/>
          <w:szCs w:val="28"/>
          <w:rtl w:val="true"/>
          <w:lang w:bidi="fa-IR"/>
        </w:rPr>
        <w:t xml:space="preserve">، کما قاله بعض المفسرین </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الاحتمالات لا یتم الاستدلال بالآیة ، ویمکن تکلّف الجواب عن البعض ، إلاّ أن الضرورة غیر داعیة ، فإنّ سلوک سبیل الاحتیاط أولی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فالاستدلال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علی تحقیق مرجع الضمیر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راجع إلی المضاف المحذوف ، أی التعاطی وما </w:t>
      </w:r>
      <w:bookmarkStart w:id="809" w:name="pg15025_160448"/>
    </w:p>
    <w:p>
      <w:pPr>
        <w:pStyle w:val="BookText"/>
        <w:rPr/>
      </w:pPr>
      <w:bookmarkEnd w:id="809"/>
      <w:r>
        <w:rPr>
          <w:rFonts w:ascii="IRNazanin" w:hAnsi="IRNazanin" w:eastAsia="IRNazanin"/>
          <w:color w:val="111111"/>
          <w:sz w:val="28"/>
          <w:sz w:val="28"/>
          <w:szCs w:val="28"/>
          <w:rtl w:val="true"/>
          <w:lang w:bidi="fa-IR"/>
        </w:rPr>
        <w:t xml:space="preserve">أشبهه </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عمل الشیطان </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الرجس </w:t>
      </w:r>
      <w:r>
        <w:rPr>
          <w:rStyle w:val="FootnoteAnchor"/>
          <w:rtl w:val="true"/>
        </w:rPr>
        <w:footnoteReference w:id="1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والترجیح مشکل ، فالاستدلال الموقوف علیه کذلک ، والله أعلم بالحال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 الرجل الشراب من فیه ، إذا لفظه ورمی به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أنّ هذه الأخبار خرجت مخرج 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أخبرنی به الشیخ رحمه الله عن جعفر بن محمد ، عن محمد بن یعقوب ، عن الحسین بن محمد ، عن عبد الله بن عامر ، عن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یحیی ، عن أحمد بن محمد ، عن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محمد ، عن سهل بن زیاد ، عن 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کتبه عبد الله بن محمد إلی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روی زرارة عن أبی جعفر وأبی عبد الله علیهماالسلام فی الخمر یصیب الثوب </w:t>
      </w:r>
      <w:r>
        <w:rPr>
          <w:rStyle w:val="FootnoteAnchor"/>
          <w:rtl w:val="true"/>
        </w:rPr>
        <w:footnoteReference w:id="1251"/>
      </w:r>
      <w:r>
        <w:rPr>
          <w:rFonts w:ascii="IRNazanin" w:hAnsi="IRNazanin" w:eastAsia="IRNazanin"/>
          <w:color w:val="111111"/>
          <w:sz w:val="28"/>
          <w:sz w:val="28"/>
          <w:szCs w:val="28"/>
          <w:rtl w:val="true"/>
          <w:lang w:bidi="fa-IR"/>
        </w:rPr>
        <w:t xml:space="preserve">،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یصلی فیه إنّما حرم شربها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غیر زرارة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أصاب ثوبک خمر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0" w:name="__RefHeading___Toc147062_2142443653"/>
      <w:bookmarkStart w:id="811" w:name="_Toc309"/>
      <w:bookmarkEnd w:id="810"/>
      <w:r>
        <w:rPr>
          <w:rtl w:val="true"/>
        </w:rPr>
        <w:t>معنی مَجّ</w:t>
      </w:r>
      <w:bookmarkEnd w:id="811"/>
    </w:p>
    <w:p>
      <w:pPr>
        <w:pStyle w:val="BookText"/>
        <w:rPr/>
      </w:pPr>
      <w:r>
        <w:rPr>
          <w:rFonts w:ascii="IRNazanin" w:hAnsi="IRNazanin" w:eastAsia="IRNazanin"/>
          <w:color w:val="111111"/>
          <w:sz w:val="28"/>
          <w:sz w:val="28"/>
          <w:szCs w:val="28"/>
          <w:rtl w:val="true"/>
          <w:lang w:bidi="fa-IR"/>
        </w:rPr>
        <w:t xml:space="preserve">أو نبیذ یعنی المسکر فاغسله إنّ عرفت موضعه ، وإنّ لم تعرف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 الثوب </w:t>
      </w:r>
      <w:r>
        <w:rPr>
          <w:rFonts w:eastAsia="IRNazanin" w:cs="IRNazanin"/>
          <w:color w:val="111111"/>
          <w:sz w:val="28"/>
          <w:szCs w:val="28"/>
          <w:rtl w:val="true"/>
          <w:lang w:bidi="fa-IR"/>
        </w:rPr>
        <w:t xml:space="preserve">) </w:t>
      </w:r>
      <w:r>
        <w:rPr>
          <w:rStyle w:val="FootnoteAnchor"/>
          <w:rtl w:val="true"/>
        </w:rPr>
        <w:footnoteReference w:id="1252"/>
      </w:r>
      <w:r>
        <w:rPr>
          <w:rFonts w:ascii="IRNazanin" w:hAnsi="IRNazanin" w:eastAsia="IRNazanin"/>
          <w:color w:val="111111"/>
          <w:sz w:val="28"/>
          <w:sz w:val="28"/>
          <w:szCs w:val="28"/>
          <w:rtl w:val="true"/>
          <w:lang w:bidi="fa-IR"/>
        </w:rPr>
        <w:t xml:space="preserve">کله ؛ فإنّ صلّیت فیه فأعد صلاتک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فأعلمنی ما آخذ به؟ فوقّع بخطّه علیه السلام وقرأته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بقول 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فأمره بالأخذ بقول أبی عبد الله علیه السلام الذی یتضمن التحریم ، والعدول عن قوله مع قول أبی جعفر علیه السلام الذی یتضمن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أنّ ذلک خرج مخرج التقیة ، لأنّه لو لم یکن کذلک لکان الأخذ بقولهما معاً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الأخبار الأخیرة التی أوردناها لیس فی شی‌ء منها أنّه لا بأس بالصلاة فی الثیاب التی یصیبها الخمر ، وإنّما سئل عن ثوب یصیبه الخمر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نفی الحظر عن لبسها والتمتع بها وإنّ لم تجز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أحمد بن محمد ، عن العباس بن معروف وعبد الله بن الصلت ، عن صفوان بن یحیی ، عن إسحاق بن عمّار ، عن عبد الحمید بن أبی الدیلم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یشرب الخمر ، فبصق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ثوبی </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من بصاقه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الخبر لیس فیه شبهة ؛ لأنّه إنّما سأله عن بصاق شارب الخمر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 والبصاق لیس بنجس وإنّما النجس الخمر</w:t>
      </w:r>
      <w:r>
        <w:rPr>
          <w:rFonts w:eastAsia="IRNazanin" w:cs="IRNazanin"/>
          <w:color w:val="111111"/>
          <w:sz w:val="28"/>
          <w:szCs w:val="28"/>
          <w:rtl w:val="true"/>
          <w:lang w:bidi="fa-IR"/>
        </w:rPr>
        <w:t xml:space="preserve">. </w:t>
      </w:r>
      <w:bookmarkStart w:id="812" w:name="pg15025_160450"/>
    </w:p>
    <w:p>
      <w:pPr>
        <w:pStyle w:val="BookText"/>
        <w:rPr/>
      </w:pPr>
      <w:bookmarkEnd w:id="812"/>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ثلاثة طرق </w:t>
      </w:r>
      <w:r>
        <w:rPr>
          <w:rStyle w:val="FootnoteAnchor"/>
          <w:rtl w:val="true"/>
        </w:rPr>
        <w:footnoteReference w:id="1255"/>
      </w:r>
      <w:r>
        <w:rPr>
          <w:rFonts w:ascii="IRNazanin" w:hAnsi="IRNazanin" w:eastAsia="IRNazanin"/>
          <w:color w:val="111111"/>
          <w:sz w:val="28"/>
          <w:sz w:val="28"/>
          <w:szCs w:val="28"/>
          <w:rtl w:val="true"/>
          <w:lang w:bidi="fa-IR"/>
        </w:rPr>
        <w:t xml:space="preserve">،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 عن عبد الله بن عامر ، عن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 عن أحمد بن محمد ، عن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 عن سهل بن زیاد ، عن علی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والحسین بن محمّد فی الأوّل هو الأشعری الثقة ، غیر أنّه وقع فیه شی‌ء ما لا بأس بالتنبیه علیه ، وهو أنّ فی کتاب الشیخ فی رجال من لم یرو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أحمد بن عامر الأشعری یروی عن عمّه عبد الله ابن عامر ، عن ابن أبی عمیر ، روی عنه الکلینی </w:t>
      </w: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بن عمران بن أبی بکر الأشعری القمی أبو عبد الله ثقة ، له کتاب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یعقوب ، عن الحسین </w:t>
      </w:r>
      <w:r>
        <w:rPr>
          <w:rStyle w:val="FootnoteAnchor"/>
          <w:rtl w:val="true"/>
        </w:rPr>
        <w:footnoteReference w:id="1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عبد الله بن عامر بن عمران بن أبی عمر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ثقة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إذا تأملت هذا تری أنّ الظاهر کون أحمد سهواً فی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عامر فالصواب فیه عمران ، ولکن نسبته إلی الجد الأعلی فی النجاشی وفی غیره إلی الأدنی ، وکذلک جعل النجاشی ابن أبی بکر فی عمران ، وفی عمه ابن أبی عمر ، لا یخلو من غلط فی أحد اللفظین ، أو أنّ کلاًّ منهما جَدّ أعلی ، هذا</w:t>
      </w:r>
      <w:r>
        <w:rPr>
          <w:rFonts w:eastAsia="IRNazanin" w:cs="IRNazanin"/>
          <w:color w:val="111111"/>
          <w:sz w:val="28"/>
          <w:szCs w:val="28"/>
          <w:rtl w:val="true"/>
          <w:lang w:bidi="fa-IR"/>
        </w:rPr>
        <w:t>.</w:t>
      </w:r>
    </w:p>
    <w:p>
      <w:pPr>
        <w:pStyle w:val="Heading4"/>
        <w:numPr>
          <w:ilvl w:val="3"/>
          <w:numId w:val="1"/>
        </w:numPr>
        <w:rPr/>
      </w:pPr>
      <w:bookmarkStart w:id="813" w:name="__RefHeading___Toc147064_2142443653"/>
      <w:bookmarkStart w:id="814" w:name="_Toc310"/>
      <w:bookmarkEnd w:id="813"/>
      <w:r>
        <w:rPr>
          <w:rtl w:val="true"/>
        </w:rPr>
        <w:t>طرق الشیخ إلی علی بن مهزیار</w:t>
      </w:r>
      <w:bookmarkEnd w:id="81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5" w:name="__RefHeading___Toc147066_2142443653"/>
      <w:bookmarkStart w:id="816" w:name="_Toc311"/>
      <w:bookmarkEnd w:id="815"/>
      <w:r>
        <w:rPr>
          <w:rtl w:val="true"/>
        </w:rPr>
        <w:t>بحث حول الحسین بن محمّد الأشعری</w:t>
      </w:r>
      <w:bookmarkStart w:id="817" w:name="pg15025_160451"/>
      <w:bookmarkEnd w:id="816"/>
    </w:p>
    <w:p>
      <w:pPr>
        <w:pStyle w:val="BookText"/>
        <w:rPr/>
      </w:pPr>
      <w:bookmarkEnd w:id="817"/>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سهل بن زیاد ، وقد تقدم فیه القول مراراً </w:t>
      </w:r>
      <w:r>
        <w:rPr>
          <w:rStyle w:val="FootnoteAnchor"/>
          <w:rtl w:val="true"/>
        </w:rPr>
        <w:footnoteReference w:id="1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محمد الراوی عن سهل هو المسمی بعلاّن الرازی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والسند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إسحاق بن عمار ، وقد تقدم القول فیه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وعبد الحمید بن أبی الدیلم نقل العلاّمة عن ابن الغضائری تضعیفه </w:t>
      </w:r>
      <w:r>
        <w:rPr>
          <w:rStyle w:val="FootnoteAnchor"/>
          <w:rtl w:val="true"/>
        </w:rPr>
        <w:footnoteReference w:id="1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ذکره مهملا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عبد الله بن الصلت ، فهو ثقة بلا ارتیاب ، وإنّ لم یکن له مدخل فی صحة </w:t>
      </w:r>
      <w:r>
        <w:rPr>
          <w:rStyle w:val="FootnoteAnchor"/>
          <w:rtl w:val="true"/>
        </w:rPr>
        <w:footnoteReference w:id="1263"/>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علی العمل بقول أبی عبد الله علیه السلام فی غَسل الثوب وإعادة الصلاة ، والشیخ رحمه الله جعله دالاًّ علی أنّ قول الإمامین علیهماالسلام محمول علی التقیة ، وهو مسلّم بتقدیر ثبوت التنجیس للخمر من خارج ، أمّا من نفس الخبر فالاستدلال به علی النجاسة مشکل ؛ لاحتمال الاستحباب فی الغَسل والإعادة ، فادّعاء بعض المحقّقین المعاصرین سلّمه الله صراحته فی النجاسة </w:t>
      </w:r>
      <w:r>
        <w:rPr>
          <w:rStyle w:val="FootnoteAnchor"/>
          <w:rtl w:val="true"/>
        </w:rPr>
        <w:footnoteReference w:id="1264"/>
      </w:r>
      <w:r>
        <w:rPr>
          <w:rFonts w:ascii="IRNazanin" w:hAnsi="IRNazanin" w:eastAsia="IRNazanin"/>
          <w:color w:val="111111"/>
          <w:sz w:val="28"/>
          <w:sz w:val="28"/>
          <w:szCs w:val="28"/>
          <w:rtl w:val="true"/>
          <w:lang w:bidi="fa-IR"/>
        </w:rPr>
        <w:t xml:space="preserve">محلّ تأمّل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الاستحباب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الکلام فی الصراحة</w:t>
      </w:r>
      <w:r>
        <w:rPr>
          <w:rFonts w:eastAsia="IRNazanin" w:cs="IRNazanin"/>
          <w:color w:val="111111"/>
          <w:sz w:val="28"/>
          <w:szCs w:val="28"/>
          <w:rtl w:val="true"/>
          <w:lang w:bidi="fa-IR"/>
        </w:rPr>
        <w:t>.</w:t>
      </w:r>
    </w:p>
    <w:p>
      <w:pPr>
        <w:pStyle w:val="Heading4"/>
        <w:numPr>
          <w:ilvl w:val="3"/>
          <w:numId w:val="1"/>
        </w:numPr>
        <w:rPr/>
      </w:pPr>
      <w:bookmarkStart w:id="818" w:name="__RefHeading___Toc147068_2142443653"/>
      <w:bookmarkStart w:id="819" w:name="_Toc312"/>
      <w:bookmarkEnd w:id="818"/>
      <w:r>
        <w:rPr>
          <w:rtl w:val="true"/>
        </w:rPr>
        <w:t>علی بن محمّد الراوی عن سهل بن زیاد هو علّان الرازی الثقة</w:t>
      </w:r>
      <w:bookmarkEnd w:id="819"/>
    </w:p>
    <w:p>
      <w:pPr>
        <w:pStyle w:val="Heading4"/>
        <w:numPr>
          <w:ilvl w:val="3"/>
          <w:numId w:val="1"/>
        </w:numPr>
        <w:rPr/>
      </w:pPr>
      <w:bookmarkStart w:id="820" w:name="__RefHeading___Toc147070_2142443653"/>
      <w:bookmarkStart w:id="821" w:name="_Toc313"/>
      <w:bookmarkEnd w:id="820"/>
      <w:r>
        <w:rPr>
          <w:rtl w:val="true"/>
        </w:rPr>
        <w:t>حال عبدالحمید بن أبی الدیلم</w:t>
      </w:r>
      <w:bookmarkEnd w:id="821"/>
    </w:p>
    <w:p>
      <w:pPr>
        <w:pStyle w:val="Heading4"/>
        <w:numPr>
          <w:ilvl w:val="3"/>
          <w:numId w:val="1"/>
        </w:numPr>
        <w:rPr/>
      </w:pPr>
      <w:bookmarkStart w:id="822" w:name="__RefHeading___Toc147072_2142443653"/>
      <w:bookmarkStart w:id="823" w:name="_Toc314"/>
      <w:bookmarkEnd w:id="822"/>
      <w:r>
        <w:rPr>
          <w:rtl w:val="true"/>
        </w:rPr>
        <w:t>عبدالله بن الصلّت ثقة</w:t>
      </w:r>
      <w:bookmarkEnd w:id="82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4" w:name="__RefHeading___Toc147074_2142443653"/>
      <w:bookmarkStart w:id="825" w:name="_Toc315"/>
      <w:bookmarkEnd w:id="824"/>
      <w:r>
        <w:rPr>
          <w:rtl w:val="true"/>
        </w:rPr>
        <w:t>المناقشة فی توجیه الشیخ لروایة علی بن مهزیار ودلالتها علی نجاسة الخمر</w:t>
      </w:r>
      <w:bookmarkEnd w:id="825"/>
    </w:p>
    <w:p>
      <w:pPr>
        <w:pStyle w:val="BookText"/>
        <w:rPr/>
      </w:pPr>
      <w:r>
        <w:rPr>
          <w:rFonts w:ascii="IRNazanin" w:hAnsi="IRNazanin" w:eastAsia="IRNazanin"/>
          <w:color w:val="111111"/>
          <w:sz w:val="28"/>
          <w:sz w:val="28"/>
          <w:szCs w:val="28"/>
          <w:rtl w:val="true"/>
          <w:lang w:bidi="fa-IR"/>
        </w:rPr>
        <w:t>ولا یخفی أنّ بناء ما قلناه علی أنّ الخبر یشعر بعدم الکذب فی الروایة الاولی من المذکورین فی الروایة ، وإذا صحّت وقع التعارض ، ومعه فالصراحة غیر واضحة ، إلاّ من جهة الأمر بالغَسل ، وقد سمعت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دلّت الروایة علی عدم صحّة المروی عنهما علیهماالسلام أمکن الصراحة ، والحمل علی التقیة قد تقدّم فیه الکلام </w:t>
      </w:r>
      <w:r>
        <w:rPr>
          <w:rStyle w:val="FootnoteAnchor"/>
          <w:rtl w:val="true"/>
        </w:rPr>
        <w:footnoteReference w:id="1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تقیة الحکّام فی زمانهم علیهم السلام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قاله الوالد قدس سره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ریب أنّ فیما تضمنه هذا الخبر من الأمر بالأخذ بقول أبی عبد الله علیه السلام بعد ما تقرر فی السؤال دلالة علی أنّ الحکم فی ذلک هو النجاسة ، وأنّ الطهارة لا تعویل علیها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 والوجه غیر خفی ، مضافاً إلی أنّ ما رواه الصدوق له مزیّة عنده قدس سره وإنّ کان مرسلاً ، والاعتبار یفید ذلک کما قدّمناه ، مع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اتباع أکثر العلماء أولی وأحوط ، وإذا انضمّ إلی ذلک بعض الأخبار ازداد الحکم بالنجاسة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فی بعض الأخبار غیر المذکورة ما یدل علی النجاسة من حیث تقریر الإمام علیه السلام للسائل ، وهو مذکور فی الحبل المتین معدوداً من الصحیح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أُعیر الذمی ثوبی وأنا أعلم أنّه یشرب الخمر ویأکل لحم </w:t>
      </w:r>
    </w:p>
    <w:p>
      <w:pPr>
        <w:pStyle w:val="BookText"/>
        <w:rPr/>
      </w:pPr>
      <w:r>
        <w:rPr>
          <w:rFonts w:ascii="IRNazanin" w:hAnsi="IRNazanin" w:eastAsia="IRNazanin"/>
          <w:color w:val="111111"/>
          <w:sz w:val="28"/>
          <w:sz w:val="28"/>
          <w:szCs w:val="28"/>
          <w:rtl w:val="true"/>
          <w:lang w:bidi="fa-IR"/>
        </w:rPr>
        <w:t xml:space="preserve">الخنزیر ، فیردّ علیّ ، فأغسله قبل أنّ أُصلّی فیه؟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فیه ولا تغسله من أجل ذلک ، فإنک أعرته إیاه وهو طاهر ، ولم تستیقن نجاسته ، فلا بأس أنّ تصلّی فیه حتی تستیقن أنّه نجّسه </w:t>
      </w:r>
      <w:r>
        <w:rPr>
          <w:rFonts w:eastAsia="IRNazanin" w:cs="IRNazanin"/>
          <w:color w:val="111111"/>
          <w:sz w:val="28"/>
          <w:szCs w:val="28"/>
          <w:rtl w:val="true"/>
          <w:lang w:bidi="fa-IR"/>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قلنا بتأیید مثل هذا الخبر مع أنّ ظاهر التقریر یفید النجاسة کما هو مقرّر فی الأُصول ؛ لاحتمال أنّ یکون السکوت عن حکم عدم نجاسة الخمر لمصلحة ، وکون التقریر دلیلاً علی الإطلاق فی محلّ المناقشة ، إلاّ أنّ یکون الحکم إجماعیاً ، وإثباته 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تمّ الاطّراد فی التقریر أمکن الاستدلال علی نجاسة أبوال الدواب بالخبر الوارد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الکتاب ، من قول السائل عن الماء تبول فیه الدوابّ وتلغ فیه الکلاب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0"/>
      </w:r>
      <w:r>
        <w:rPr>
          <w:rFonts w:ascii="IRNazanin" w:hAnsi="IRNazanin" w:eastAsia="IRNazanin"/>
          <w:color w:val="111111"/>
          <w:sz w:val="28"/>
          <w:sz w:val="28"/>
          <w:szCs w:val="28"/>
          <w:rtl w:val="true"/>
          <w:lang w:bidi="fa-IR"/>
        </w:rPr>
        <w:t xml:space="preserve">مع أنّهم لم یذکروه علی ما رأیت </w:t>
      </w:r>
      <w:r>
        <w:rPr>
          <w:rFonts w:eastAsia="IRNazanin" w:cs="IRNazanin"/>
          <w:color w:val="111111"/>
          <w:sz w:val="28"/>
          <w:szCs w:val="28"/>
          <w:rtl w:val="true"/>
          <w:lang w:bidi="fa-IR"/>
        </w:rPr>
        <w:t xml:space="preserve">) </w:t>
      </w:r>
      <w:r>
        <w:rPr>
          <w:rStyle w:val="FootnoteAnchor"/>
          <w:rtl w:val="true"/>
        </w:rPr>
        <w:footnoteReference w:id="1271"/>
      </w:r>
      <w:r>
        <w:rPr>
          <w:rFonts w:ascii="Amiri" w:hAnsi="Amiri" w:eastAsia="Amiri" w:cs="Amiri"/>
          <w:color w:val="111111"/>
          <w:sz w:val="28"/>
          <w:sz w:val="28"/>
          <w:szCs w:val="28"/>
          <w:rtl w:val="true"/>
          <w:lang w:bidi="ar-SA"/>
        </w:rPr>
        <w:t>فی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ذکر الخمر لکونه نجساً بمباشرتهم لا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یدفع بأنّه لا خصوصیة للخمر ، بل مباشرة الماء ونحوه أکثر وأظهر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یوجد المعارض الصالح فالاستدلال بمثل ما ذکرناه ممکن ، أمّا مع وجوده فالتأویل لا مانع منه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عرفت هذا فاعلم أنّ ما قاله الشیخ من أنّ الأخبار لا دلالة فیها علی الطهارة محلّ تأمّل فی بعضها ،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فی توجیه </w:t>
      </w:r>
      <w:bookmarkStart w:id="826" w:name="pg15025_160454"/>
    </w:p>
    <w:p>
      <w:pPr>
        <w:pStyle w:val="BookText"/>
        <w:rPr/>
      </w:pPr>
      <w:bookmarkEnd w:id="826"/>
      <w:r>
        <w:rPr>
          <w:rFonts w:ascii="IRNazanin" w:hAnsi="IRNazanin" w:eastAsia="IRNazanin"/>
          <w:color w:val="111111"/>
          <w:sz w:val="28"/>
          <w:sz w:val="28"/>
          <w:szCs w:val="28"/>
          <w:rtl w:val="true"/>
          <w:lang w:bidi="fa-IR"/>
        </w:rPr>
        <w:t>الخبر الأخیر فهو جیّد مع تحقق النجاسة ، والله تعالی أعلم بحقائق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البُصاق کغُراب ، والبُساق والبُزاق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الفم إذا خرج منه ، وما دام فیه فریق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الثوب یصیب جسد المیت من الإنسان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رحمة الله عن أبی القاسم جعفر بن محمد ، عن محمد بن یعقوب ، عن علی بن إبراهیم ، عن أبیه ، عن ابن أبی عمیر ، عن حمّاد ، عن الحلبی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یصیب ثوبه جسد المیت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ما أصاب الثوب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علی بن محبوب ، عن أحمد بن محمد ، عن موسی بن القاسم وأبی قتادة ، عن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یقع ثوبه علی حمار میت ، هل تصلح الصلاة فیه قبل أنّ یغسله؟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غَسله ، ولیصلّ فیه ولا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 نحمله علی أنّه إذا أتی علی ذلک سنة وصار عظماً ، فإنّه لا یجب غسل الثوب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یدلّ علی ذلک </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147076_2142443653"/>
      <w:bookmarkStart w:id="828" w:name="_Toc316"/>
      <w:bookmarkEnd w:id="827"/>
      <w:r>
        <w:rPr>
          <w:rtl w:val="true"/>
        </w:rPr>
        <w:t>معنی البُصاق</w:t>
      </w:r>
      <w:bookmarkEnd w:id="828"/>
    </w:p>
    <w:p>
      <w:pPr>
        <w:pStyle w:val="Heading3"/>
        <w:numPr>
          <w:ilvl w:val="2"/>
          <w:numId w:val="1"/>
        </w:numPr>
        <w:rPr/>
      </w:pPr>
      <w:bookmarkStart w:id="829" w:name="__RefHeading___Toc147078_2142443653"/>
      <w:bookmarkStart w:id="830" w:name="_Toc317"/>
      <w:bookmarkEnd w:id="829"/>
      <w:r>
        <w:rPr>
          <w:rtl w:val="true"/>
        </w:rPr>
        <w:t>الثوب یصیب جسد المیت من الإنسان وغیره</w:t>
      </w:r>
      <w:bookmarkEnd w:id="83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1" w:name="__RefHeading___Toc147080_2142443653"/>
      <w:bookmarkStart w:id="832" w:name="_Toc318"/>
      <w:bookmarkEnd w:id="831"/>
      <w:r>
        <w:rPr>
          <w:rtl w:val="true"/>
        </w:rPr>
        <w:t>اشارة</w:t>
      </w:r>
      <w:bookmarkStart w:id="833" w:name="pg15025_160455"/>
      <w:bookmarkEnd w:id="832"/>
    </w:p>
    <w:p>
      <w:pPr>
        <w:pStyle w:val="BookText"/>
        <w:rPr/>
      </w:pPr>
      <w:bookmarkEnd w:id="833"/>
      <w:r>
        <w:rPr>
          <w:rFonts w:ascii="IRNazanin" w:hAnsi="IRNazanin" w:eastAsia="IRNazanin"/>
          <w:color w:val="111111"/>
          <w:sz w:val="28"/>
          <w:sz w:val="28"/>
          <w:szCs w:val="28"/>
          <w:rtl w:val="true"/>
          <w:lang w:bidi="fa-IR"/>
        </w:rPr>
        <w:t xml:space="preserve">ما رواه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 xml:space="preserve">بن یحیی ، عن محمد بن الحسین ، عن صفوان ، عن عبد الوهاب ، عن محمد بن أبی حمزة ، عن هشام بن سالم ، عن إسماعیل الجعفی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مسّ عظم المیت؟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جاز سنة فلیس به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العمرکی ، عن علی بن جعفر ، عن أخیه موسی </w:t>
      </w:r>
      <w:r>
        <w:rPr>
          <w:rStyle w:val="FootnoteAnchor"/>
          <w:rtl w:val="true"/>
        </w:rPr>
        <w:footnoteReference w:id="1274"/>
      </w:r>
      <w:r>
        <w:rPr>
          <w:rFonts w:ascii="IRNazanin" w:hAnsi="IRNazanin" w:eastAsia="IRNazanin"/>
          <w:color w:val="111111"/>
          <w:sz w:val="28"/>
          <w:sz w:val="28"/>
          <w:szCs w:val="28"/>
          <w:rtl w:val="true"/>
          <w:lang w:bidi="fa-IR"/>
        </w:rPr>
        <w:t xml:space="preserve">علیهماالسلام ، قال </w:t>
      </w: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وقع ثوبه علی کلب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ینضحه بالماء ویصلّی فیه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الخبر بیّن </w:t>
      </w:r>
      <w:r>
        <w:rPr>
          <w:rStyle w:val="FootnoteAnchor"/>
          <w:rtl w:val="true"/>
        </w:rPr>
        <w:footnoteReference w:id="1276"/>
      </w:r>
      <w:r>
        <w:rPr>
          <w:rFonts w:ascii="IRNazanin" w:hAnsi="IRNazanin" w:eastAsia="IRNazanin"/>
          <w:color w:val="111111"/>
          <w:sz w:val="28"/>
          <w:sz w:val="28"/>
          <w:szCs w:val="28"/>
          <w:rtl w:val="true"/>
          <w:lang w:bidi="fa-IR"/>
        </w:rPr>
        <w:t>أنّ حکم الکلب حیاً ومیتاً سواء فی نضح الماء علی الثوب الذی أصابه إذا کان جافّاً ، والخبر الأوّل یکون مخصوصاً بجسد الآدمی ، فلا تنافی بینهما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بلا ارتیاب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الوهّاب ، وهو مشترک بین مهملین فی الرجال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ومحمد بن أبی حمزة قدّمنا القول فیه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4" w:name="__RefHeading___Toc147082_2142443653"/>
      <w:bookmarkStart w:id="835" w:name="_Toc319"/>
      <w:bookmarkEnd w:id="834"/>
      <w:r>
        <w:rPr>
          <w:rtl w:val="true"/>
        </w:rPr>
        <w:t>عبد الوهّاب مشترک بین مهملین</w:t>
      </w:r>
      <w:bookmarkStart w:id="836" w:name="pg15025_160456"/>
      <w:bookmarkEnd w:id="835"/>
    </w:p>
    <w:p>
      <w:pPr>
        <w:pStyle w:val="BookText"/>
        <w:rPr/>
      </w:pPr>
      <w:bookmarkEnd w:id="836"/>
      <w:r>
        <w:rPr>
          <w:rFonts w:ascii="IRNazanin" w:hAnsi="IRNazanin" w:eastAsia="IRNazanin"/>
          <w:color w:val="111111"/>
          <w:sz w:val="28"/>
          <w:sz w:val="28"/>
          <w:szCs w:val="28"/>
          <w:rtl w:val="true"/>
          <w:lang w:bidi="fa-IR"/>
        </w:rPr>
        <w:t xml:space="preserve">وکذلک فی إسماعیل الجعفی فی أول هذا الجزء </w:t>
      </w:r>
      <w:r>
        <w:rPr>
          <w:rStyle w:val="FootnoteAnchor"/>
          <w:rtl w:val="true"/>
        </w:rPr>
        <w:footnoteReference w:id="1280"/>
      </w:r>
      <w:r>
        <w:rPr>
          <w:rFonts w:ascii="IRNazanin" w:hAnsi="IRNazanin" w:eastAsia="IRNazanin"/>
          <w:color w:val="111111"/>
          <w:sz w:val="28"/>
          <w:sz w:val="28"/>
          <w:szCs w:val="28"/>
          <w:rtl w:val="true"/>
          <w:lang w:bidi="fa-IR"/>
        </w:rPr>
        <w:t xml:space="preserve">،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مشترک بین ابن جابر الجعفی وبین ابن عبد الرحمن </w:t>
      </w:r>
      <w:r>
        <w:rPr>
          <w:rStyle w:val="FootnoteAnchor"/>
          <w:rtl w:val="true"/>
        </w:rPr>
        <w:footnoteReference w:id="1281"/>
      </w:r>
      <w:r>
        <w:rPr>
          <w:rFonts w:ascii="IRNazanin" w:hAnsi="IRNazanin" w:eastAsia="IRNazanin"/>
          <w:color w:val="111111"/>
          <w:sz w:val="28"/>
          <w:sz w:val="28"/>
          <w:szCs w:val="28"/>
          <w:rtl w:val="true"/>
          <w:lang w:bidi="fa-IR"/>
        </w:rPr>
        <w:t xml:space="preserve">؛ وفی ابن جابر کلام سبق </w:t>
      </w:r>
      <w:r>
        <w:rPr>
          <w:rStyle w:val="FootnoteAnchor"/>
          <w:rtl w:val="true"/>
        </w:rPr>
        <w:footnoteReference w:id="1282"/>
      </w:r>
      <w:r>
        <w:rPr>
          <w:rFonts w:ascii="IRNazanin" w:hAnsi="IRNazanin" w:eastAsia="IRNazanin"/>
          <w:color w:val="111111"/>
          <w:sz w:val="28"/>
          <w:sz w:val="28"/>
          <w:szCs w:val="28"/>
          <w:rtl w:val="true"/>
          <w:lang w:bidi="fa-IR"/>
        </w:rPr>
        <w:t>، أمّا ابن عبد الرحمن فضعیف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 لأنّ فی الطرق المذکورة للشیخ فی فهرست الکتاب إلی محمد بن أحمد بن یحیی ما هو موصوف بالصحة فی کلام المتأخرین </w:t>
      </w:r>
      <w:r>
        <w:rPr>
          <w:rStyle w:val="FootnoteAnchor"/>
          <w:rtl w:val="true"/>
        </w:rPr>
        <w:footnoteReference w:id="1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ما لا بد منه فی ذلک من جهة الاعتماد علی الشیوخ الذین لم ینص علی توثیقهم فی کتب الرجال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فیه المیت ، وربما یدعی انصرافه إلی میت الآدمی ، وقد ذکره بعض الأصحاب فی الحجة لمیت الآدمی </w:t>
      </w:r>
      <w:r>
        <w:rPr>
          <w:rStyle w:val="FootnoteAnchor"/>
          <w:rtl w:val="true"/>
        </w:rPr>
        <w:footnoteReference w:id="1285"/>
      </w:r>
      <w:r>
        <w:rPr>
          <w:rFonts w:ascii="IRNazanin" w:hAnsi="IRNazanin" w:eastAsia="IRNazanin"/>
          <w:color w:val="111111"/>
          <w:sz w:val="28"/>
          <w:sz w:val="28"/>
          <w:szCs w:val="28"/>
          <w:rtl w:val="true"/>
          <w:lang w:bidi="fa-IR"/>
        </w:rPr>
        <w:t xml:space="preserve">، والشیخ فی آخر الباب کلامه یعطی ذلک </w:t>
      </w:r>
      <w:r>
        <w:rPr>
          <w:rStyle w:val="FootnoteAnchor"/>
          <w:rtl w:val="true"/>
        </w:rPr>
        <w:footnoteReference w:id="1286"/>
      </w:r>
      <w:r>
        <w:rPr>
          <w:rFonts w:ascii="IRNazanin" w:hAnsi="IRNazanin" w:eastAsia="IRNazanin"/>
          <w:color w:val="111111"/>
          <w:sz w:val="28"/>
          <w:sz w:val="28"/>
          <w:szCs w:val="28"/>
          <w:rtl w:val="true"/>
          <w:lang w:bidi="fa-IR"/>
        </w:rPr>
        <w:t>، إلاّ أنّه حمله لأجل ظن المعارض علی ما یظهر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یحتمل کونه متناولاً لغیر الآدمی ، نظراً إلی ظاهر اللفظ ، والمعارض ستسمع الکلام فیه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یخطر فی البال اختصاصه بالنجاسة المتعدّیة ،</w:t>
      </w:r>
    </w:p>
    <w:p>
      <w:pPr>
        <w:pStyle w:val="Heading4"/>
        <w:numPr>
          <w:ilvl w:val="3"/>
          <w:numId w:val="1"/>
        </w:numPr>
        <w:rPr/>
      </w:pPr>
      <w:bookmarkStart w:id="837" w:name="__RefHeading___Toc147084_2142443653"/>
      <w:bookmarkStart w:id="838" w:name="_Toc320"/>
      <w:bookmarkEnd w:id="837"/>
      <w:r>
        <w:rPr>
          <w:rtl w:val="true"/>
        </w:rPr>
        <w:t>إسماعیل الجعفی مشترک</w:t>
      </w:r>
      <w:bookmarkEnd w:id="838"/>
    </w:p>
    <w:p>
      <w:pPr>
        <w:pStyle w:val="Heading4"/>
        <w:numPr>
          <w:ilvl w:val="3"/>
          <w:numId w:val="1"/>
        </w:numPr>
        <w:rPr/>
      </w:pPr>
      <w:bookmarkStart w:id="839" w:name="__RefHeading___Toc147086_2142443653"/>
      <w:bookmarkStart w:id="840" w:name="_Toc321"/>
      <w:bookmarkEnd w:id="839"/>
      <w:r>
        <w:rPr>
          <w:rtl w:val="true"/>
        </w:rPr>
        <w:t>بعض طرق الشیخ إلی محمّد بن أحمد بن یحیی صحیح</w:t>
      </w:r>
      <w:bookmarkEnd w:id="84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1" w:name="__RefHeading___Toc147088_2142443653"/>
      <w:bookmarkStart w:id="842" w:name="_Toc322"/>
      <w:bookmarkEnd w:id="841"/>
      <w:r>
        <w:rPr>
          <w:rtl w:val="true"/>
        </w:rPr>
        <w:t>بیان الخبر الدالّ علی غَسل الثوب الذی یصیب جسد المیت</w:t>
      </w:r>
      <w:bookmarkEnd w:id="842"/>
    </w:p>
    <w:p>
      <w:pPr>
        <w:pStyle w:val="BookText"/>
        <w:rPr/>
      </w:pP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أصاب الثوب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وجه له إلاّ کون الثوب مفعولا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نکرة وإمّا موصولة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شیئاً أصاب الثوب </w:t>
      </w:r>
      <w:r>
        <w:rPr>
          <w:rFonts w:eastAsia="IRNazanin" w:cs="IRNazanin"/>
          <w:color w:val="111111"/>
          <w:sz w:val="28"/>
          <w:szCs w:val="28"/>
          <w:rtl w:val="true"/>
          <w:lang w:bidi="fa-IR"/>
        </w:rPr>
        <w:t xml:space="preserve">) </w:t>
      </w:r>
      <w:r>
        <w:rPr>
          <w:rStyle w:val="FootnoteAnchor"/>
          <w:rtl w:val="true"/>
        </w:rPr>
        <w:footnoteReference w:id="1288"/>
      </w:r>
      <w:r>
        <w:rPr>
          <w:rFonts w:ascii="IRNazanin" w:hAnsi="IRNazanin" w:eastAsia="IRNazanin"/>
          <w:color w:val="111111"/>
          <w:sz w:val="28"/>
          <w:sz w:val="28"/>
          <w:szCs w:val="28"/>
          <w:rtl w:val="true"/>
          <w:lang w:bidi="fa-IR"/>
        </w:rPr>
        <w:t>أو الشی‌ء الذی أصاب الثوب ، وغیر خفیّ أنّ مع الجفاف لا 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یمکن ادعاء أنّ الروایة بتقدیر تناولها للآدمی وغیره ، أو کونها مخصوصة بالآدمی مخصوصة بالرطوبة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قاله الوالد قدس سره بعد ذکر القول عن العلاّمة فی المنتهی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مسّه یعنی میّت الآدمی رطباً ینجس نجاسة عینیة ، ولو مسّه یابساً فالوجه أن النجاسة حکمیة ، فلو لاقی ببدنه بعد ملاقاته للمیت رطباً لم یؤثّر فی تنجیسه ؛ لعدم دلیل التنجیس ، وثبوت الأصل </w:t>
      </w:r>
      <w:r>
        <w:rPr>
          <w:rStyle w:val="FootnoteAnchor"/>
          <w:rtl w:val="true"/>
        </w:rPr>
        <w:footnoteReference w:id="1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وناقشه بعض الأصحاب بأنّ النصوص دلت علی وجوب غَسل الملاقی مع الرطوبة ، وهو کما تری </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 لأنّ المناقشة فی محلها بعد ما ذکرناه فی النص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الروایات التی وقفنا علیها روایة إبراهیم بن میمون ، وهی الواردة فی میّت الآدمی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یغسل المیت فاغسل ما أصاب ثوبک منه </w:t>
      </w:r>
      <w:r>
        <w:rPr>
          <w:rFonts w:eastAsia="IRNazanin" w:cs="IRNazanin"/>
          <w:color w:val="111111"/>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وهی ضعیفة قابلة لما قلناه فی الأُولی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الأخبار الواردة فی الفأرة إذا وقعت فی السمن الذائب والزیت </w:t>
      </w:r>
      <w:r>
        <w:rPr>
          <w:rStyle w:val="FootnoteAnchor"/>
          <w:rtl w:val="true"/>
        </w:rPr>
        <w:footnoteReference w:id="1292"/>
      </w:r>
      <w:r>
        <w:rPr>
          <w:rFonts w:ascii="IRNazanin" w:hAnsi="IRNazanin" w:eastAsia="IRNazanin"/>
          <w:color w:val="111111"/>
          <w:sz w:val="28"/>
          <w:sz w:val="28"/>
          <w:szCs w:val="28"/>
          <w:rtl w:val="true"/>
          <w:lang w:bidi="fa-IR"/>
        </w:rPr>
        <w:t xml:space="preserve">فاختصاصها بالرطوبة ظاهر ، وحینئذ فإطلاق الوالد قدس سره ردّ المناقشة بما </w:t>
      </w:r>
    </w:p>
    <w:p>
      <w:pPr>
        <w:pStyle w:val="BookText"/>
        <w:rPr/>
      </w:pPr>
      <w:r>
        <w:rPr>
          <w:rFonts w:ascii="IRNazanin" w:hAnsi="IRNazanin" w:eastAsia="IRNazanin"/>
          <w:color w:val="111111"/>
          <w:sz w:val="28"/>
          <w:sz w:val="28"/>
          <w:szCs w:val="28"/>
          <w:rtl w:val="true"/>
          <w:lang w:bidi="fa-IR"/>
        </w:rPr>
        <w:t xml:space="preserve">ذکره مع أنّه إنّما نقل فی المیتة ما ذکرناه </w:t>
      </w:r>
      <w:r>
        <w:rPr>
          <w:rStyle w:val="FootnoteAnchor"/>
          <w:rtl w:val="true"/>
        </w:rPr>
        <w:footnoteReference w:id="1293"/>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منه قول شیخنا قدس سره فی المدارک بعد نقل روایتی الحلبی وإبراهیم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الروایتین یقتضی تعدّی نجاسته مع الرطوبة والیبوسة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قاله العلاّمة فهو فی الحقیقة غیر ظاهر الوجه ؛ لأنّ النجاسة الحکمیة وغیرها تابعة للدلیل ، والأصل الذی ذکره واضح ، فالخروج عنه بغیر دلیل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واستدلاله أیضاً مع الأصل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یابس ذکی </w:t>
      </w:r>
      <w:r>
        <w:rPr>
          <w:rFonts w:eastAsia="IRNazanin" w:cs="IRNazanin"/>
          <w:color w:val="111111"/>
          <w:sz w:val="28"/>
          <w:szCs w:val="28"/>
          <w:rtl w:val="true"/>
          <w:lang w:bidi="fa-IR"/>
        </w:rPr>
        <w:t xml:space="preserve">» </w:t>
      </w:r>
      <w:r>
        <w:rPr>
          <w:rStyle w:val="FootnoteAnchor"/>
          <w:rtl w:val="true"/>
        </w:rPr>
        <w:footnoteReference w:id="1295"/>
      </w:r>
      <w:r>
        <w:rPr>
          <w:rFonts w:ascii="IRNazanin" w:hAnsi="IRNazanin" w:eastAsia="IRNazanin"/>
          <w:color w:val="111111"/>
          <w:sz w:val="28"/>
          <w:sz w:val="28"/>
          <w:szCs w:val="28"/>
          <w:rtl w:val="true"/>
          <w:lang w:bidi="fa-IR"/>
        </w:rPr>
        <w:t>کذلک ؛ فإنّ إثبات الحکمیة بهذا لا وجه له ، ونفی النجاسة العینیة لا یقتضی ثبوت الحکمیة إنّ کان الدلیل غیر عامّ ، فما ندری الوجه فیما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ابن إدریس قول فی المسألة </w:t>
      </w:r>
      <w:r>
        <w:rPr>
          <w:rStyle w:val="FootnoteAnchor"/>
          <w:rtl w:val="true"/>
        </w:rPr>
        <w:footnoteReference w:id="1296"/>
      </w:r>
      <w:r>
        <w:rPr>
          <w:rFonts w:ascii="IRNazanin" w:hAnsi="IRNazanin" w:eastAsia="IRNazanin"/>
          <w:color w:val="111111"/>
          <w:sz w:val="28"/>
          <w:sz w:val="28"/>
          <w:szCs w:val="28"/>
          <w:rtl w:val="true"/>
          <w:lang w:bidi="fa-IR"/>
        </w:rPr>
        <w:t xml:space="preserve">، وقد تکلّم علیه المحقق فی المعتبر بما لا مزید علیه </w:t>
      </w:r>
      <w:r>
        <w:rPr>
          <w:rStyle w:val="FootnoteAnchor"/>
          <w:rtl w:val="true"/>
        </w:rPr>
        <w:footnoteReference w:id="1297"/>
      </w:r>
      <w:r>
        <w:rPr>
          <w:rFonts w:ascii="IRNazanin" w:hAnsi="IRNazanin" w:eastAsia="IRNazanin"/>
          <w:color w:val="111111"/>
          <w:sz w:val="28"/>
          <w:sz w:val="28"/>
          <w:szCs w:val="28"/>
          <w:rtl w:val="true"/>
          <w:lang w:bidi="fa-IR"/>
        </w:rPr>
        <w:t>، ولو لا خوف الخروج عما نحن بصدده لنقلناه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بعض الأصحاب القول بأنّ نجاسة المیت لا تتعدّی إلاّ مع الرطوبة </w:t>
      </w:r>
      <w:r>
        <w:rPr>
          <w:rStyle w:val="FootnoteAnchor"/>
          <w:rtl w:val="true"/>
        </w:rPr>
        <w:footnoteReference w:id="1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دلالة الخبر علیه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عمل بالحسن ، وإلاّ فالعمدة الإجماع ، وهو منقول مع </w:t>
      </w:r>
    </w:p>
    <w:p>
      <w:pPr>
        <w:pStyle w:val="BookText"/>
        <w:rPr/>
      </w:pPr>
      <w:r>
        <w:rPr>
          <w:rFonts w:ascii="IRNazanin" w:hAnsi="IRNazanin" w:eastAsia="IRNazanin"/>
          <w:color w:val="111111"/>
          <w:sz w:val="28"/>
          <w:sz w:val="28"/>
          <w:szCs w:val="28"/>
          <w:rtl w:val="true"/>
          <w:lang w:bidi="fa-IR"/>
        </w:rPr>
        <w:t xml:space="preserve">الرطوبة ، ومع عدمها فقد سمعت الخلاف فیها فی الآدمی ، وأمّا غیره فمع الرطوبة لا خلاف فیه کما نقل ، ومع الیبوسة فالذی یظهر من الأصحاب الخلاف فی ذلک </w:t>
      </w:r>
      <w:r>
        <w:rPr>
          <w:rStyle w:val="FootnoteAnchor"/>
          <w:rtl w:val="true"/>
        </w:rPr>
        <w:footnoteReference w:id="1299"/>
      </w:r>
      <w:r>
        <w:rPr>
          <w:rFonts w:ascii="IRNazanin" w:hAnsi="IRNazanin" w:eastAsia="IRNazanin"/>
          <w:color w:val="111111"/>
          <w:sz w:val="28"/>
          <w:sz w:val="28"/>
          <w:szCs w:val="28"/>
          <w:rtl w:val="true"/>
          <w:lang w:bidi="fa-IR"/>
        </w:rPr>
        <w:t xml:space="preserve">، بل ظاهر شیخنا قدس سره عدم تحقق الخلاف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القطع بعدم تعدّی النجاسة مع الیبوسة ، اقتصاراً فیما خالف الأصل علی موضع الوفاق ، مع أنّه نقل عن العلاّمة فی المنتهی الجزم بوجوب غَسل الید بمسّ المیتة مع الرطوبة والیبوسة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استقرب یعنی العلاّمة کون النجاسة مع الیبوسة حکمیة ، فلو لامَسَ رطباً لم یحکم بتنجیسه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یعطی أنّ المخالف فی الیبوسة العلاّمة ، والمفهوم من ما استقر به القول بالنجاسة علی نحو خاص لا الطهارة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والوالد قدس سره نقل الخلاف فی التأثیر مع الیبوسة فی غیر الآدمی ، وأن جماعة من المتأخّرین قالوا بعدم التأثیر ، ثم نقل عن العلاّمة ما یقتضی القول فی میت الآدمی </w:t>
      </w:r>
      <w:r>
        <w:rPr>
          <w:rStyle w:val="FootnoteAnchor"/>
          <w:rtl w:val="true"/>
        </w:rPr>
        <w:footnoteReference w:id="1301"/>
      </w:r>
      <w:r>
        <w:rPr>
          <w:rFonts w:ascii="IRNazanin" w:hAnsi="IRNazanin" w:eastAsia="IRNazanin"/>
          <w:color w:val="111111"/>
          <w:sz w:val="28"/>
          <w:sz w:val="28"/>
          <w:szCs w:val="28"/>
          <w:rtl w:val="true"/>
          <w:lang w:bidi="fa-IR"/>
        </w:rPr>
        <w:t xml:space="preserve">کما سبق عن المنتهی </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یحضرنی الآن المنتهی لأعلم حقیقة الحال ، إلاّ أنّ ما نقله الوالد قدس سره عن المتأخّرین ربما یشکل به ما قاله شیخنا قدس سره من الاقتصار علی موضع الوفاق ؛ لأنّ خلاف المتأخرین لا یضرّ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الجواب عن هذا بأنّ خلاف </w:t>
      </w:r>
    </w:p>
    <w:p>
      <w:pPr>
        <w:pStyle w:val="BookText"/>
        <w:rPr/>
      </w:pPr>
      <w:r>
        <w:rPr>
          <w:rFonts w:ascii="IRNazanin" w:hAnsi="IRNazanin" w:eastAsia="IRNazanin"/>
          <w:color w:val="111111"/>
          <w:sz w:val="28"/>
          <w:sz w:val="28"/>
          <w:szCs w:val="28"/>
          <w:rtl w:val="true"/>
          <w:lang w:bidi="fa-IR"/>
        </w:rPr>
        <w:t>المتأخّرین یقتضی عدم الإجماع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شیخنا قدس سره ذکر أنّ الحکم المتعلق بالمیت إنّما یکون بعد البرَد وقبل الغُسل ، لطهارته بالغَسل ، وعدم تحقق انتقال الروح قبل البرد ، ویدلُّ علیه صحیحة محمد بن مسلم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 المیت عند موته وبعد غَسله لیس به بأس </w:t>
      </w:r>
      <w:r>
        <w:rPr>
          <w:rFonts w:eastAsia="IRNazanin" w:cs="IRNazanin"/>
          <w:color w:val="111111"/>
          <w:sz w:val="28"/>
          <w:szCs w:val="28"/>
          <w:rtl w:val="true"/>
          <w:lang w:bidi="fa-IR"/>
        </w:rPr>
        <w:t xml:space="preserve">» </w:t>
      </w:r>
      <w:r>
        <w:rPr>
          <w:rStyle w:val="FootnoteAnchor"/>
          <w:rtl w:val="true"/>
        </w:rPr>
        <w:footnoteReference w:id="1303"/>
      </w:r>
      <w:r>
        <w:rPr>
          <w:rStyle w:val="FootnoteAnchor"/>
          <w:rtl w:val="true"/>
        </w:rPr>
        <w:footnoteReference w:id="130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نظری القاصر أنّ هذا محل بحث ؛ لأنّ الظاهر من الروایة نفی البأس من جهة الغُسل ، لا غَسل العضو ، ولو سلّم الاحتمال فالخبر الدال علی غَسل ما أصاب الثوب یقتضی تقیید هذا الخبر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تحقق الموت محلّ کلام ، ولعلّ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نجاسة المیت یقتصر فیها علی موضع الوفاق ، ومع الحرارة لا وفاق ، إنّ تمّ فی الأمرین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وقع لبعض محقّقی المعاصرین سلّمه الله من الاستدلال علی نجاسة المیتة بما رواه الحلبی عن أبی عبد الله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بالصلاة فیما کان من صوف المیتة ، إنّ الصوف لیس فیه روح </w:t>
      </w:r>
      <w:r>
        <w:rPr>
          <w:rFonts w:eastAsia="IRNazanin" w:cs="IRNazanin"/>
          <w:color w:val="111111"/>
          <w:sz w:val="28"/>
          <w:szCs w:val="28"/>
          <w:rtl w:val="true"/>
          <w:lang w:bidi="fa-IR"/>
        </w:rPr>
        <w:t xml:space="preserve">» </w:t>
      </w:r>
      <w:r>
        <w:rPr>
          <w:rStyle w:val="FootnoteAnchor"/>
          <w:rtl w:val="true"/>
        </w:rPr>
        <w:footnoteReference w:id="1305"/>
      </w:r>
      <w:r>
        <w:rPr>
          <w:rStyle w:val="FootnoteAnchor"/>
          <w:rtl w:val="true"/>
        </w:rPr>
        <w:footnoteReference w:id="1306"/>
      </w:r>
      <w:r>
        <w:rPr>
          <w:rFonts w:ascii="IRNazanin" w:hAnsi="IRNazanin" w:eastAsia="IRNazanin"/>
          <w:color w:val="111111"/>
          <w:sz w:val="28"/>
          <w:sz w:val="28"/>
          <w:szCs w:val="28"/>
          <w:rtl w:val="true"/>
          <w:lang w:bidi="fa-IR"/>
        </w:rPr>
        <w:t>فلا یخلو من غرابة ؛ لأنّ مفاد الروایة أنّ ما فیه الروح لا یصلّی فیه ، وعدم الصلاة أعم من النجاسة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الأخبار الحسنة ما یمکن الاستدلال به علی نجاسة المیتة لو عمل بالحسن ، وقد ذکرناه مفصلاً فی حاشیة الروضة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منه الملاقاة للشعر ، واحتمال طهارة شعر المیتة </w:t>
      </w:r>
      <w:bookmarkStart w:id="843" w:name="pg15025_160461"/>
    </w:p>
    <w:p>
      <w:pPr>
        <w:pStyle w:val="BookText"/>
        <w:rPr/>
      </w:pPr>
      <w:bookmarkEnd w:id="843"/>
      <w:r>
        <w:rPr>
          <w:rFonts w:ascii="IRNazanin" w:hAnsi="IRNazanin" w:eastAsia="IRNazanin"/>
          <w:color w:val="111111"/>
          <w:sz w:val="28"/>
          <w:sz w:val="28"/>
          <w:szCs w:val="28"/>
          <w:rtl w:val="true"/>
          <w:lang w:bidi="fa-IR"/>
        </w:rPr>
        <w:t xml:space="preserve">مع الاتصال ممکن ، إلاّ أنّی لا أعلم القائل به ، غیر أنّ لشیخنا قدس سره فی فوائد الکتاب کلاماً یدل علی تحقق القول بذلک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الأقرب حمله علی ما إذا وقعت الملاقاة بشعر الحمار ، أو کانت الملاقاة مع الیبوسة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فاحتمال الیبوسة ممکن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قاله الشیخ فی غایة البُعد ، والاستدلال علیه بالخبر المذکور غریب ، علی أنّ فی الخبر المستدل به شیئاً ربما لا یخفی علی من تدبّره ، وبتقدیر تسلیم الدلالة فالعظم لا وجه لتأثیره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الشیخ فیه لا یخلو من تأمّل ؛ لأنّ نضح الثوب إذا اقتضی أنّ یکون لمسّه بیبوسة کما قاله فاقتضاء هذا حمل الخبر الأوّل علی الآدمی یقتضی حمل الخبر الثانی علی غیر ما قاله فیه ، بل علی الإصابة بیبوسة ، ومفارقة الکلب بالنضح لا مانع منها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المقام شی‌ء ، وهو أنّ الخلاف واقع فی الرشّ من إصابة الکلب یابساً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بالوجوب ، وهو مذهب الشیخ فی النهایة </w:t>
      </w:r>
      <w:r>
        <w:rPr>
          <w:rStyle w:val="FootnoteAnchor"/>
          <w:rtl w:val="true"/>
        </w:rPr>
        <w:footnoteReference w:id="1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بالاستحباب </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والوارد فی هذا الخبر النضح ، فإن قلنا بالترادف فالحال واحد ، وإن قیل بالمغایرة أمکن الفرق بین حالتی الحیاة والموت فی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الشیخ فی الوجوب ظاهر فی الحیّ ، والقول المحکی بالوجوب فیه أیضاً ، وبعد الموت غیر معلوم القول به ، وکلام الشیخ هنا ربما یعطی المساواة مطلقاً ، والله تعالی أعلم بالحال</w:t>
      </w:r>
      <w:r>
        <w:rPr>
          <w:rFonts w:eastAsia="IRNazanin" w:cs="IRNazanin"/>
          <w:color w:val="111111"/>
          <w:sz w:val="28"/>
          <w:szCs w:val="28"/>
          <w:rtl w:val="true"/>
          <w:lang w:bidi="fa-IR"/>
        </w:rPr>
        <w:t>.</w:t>
      </w:r>
    </w:p>
    <w:p>
      <w:pPr>
        <w:pStyle w:val="Heading4"/>
        <w:numPr>
          <w:ilvl w:val="3"/>
          <w:numId w:val="1"/>
        </w:numPr>
        <w:rPr/>
      </w:pPr>
      <w:bookmarkStart w:id="844" w:name="__RefHeading___Toc147090_2142443653"/>
      <w:bookmarkStart w:id="845" w:name="_Toc323"/>
      <w:bookmarkEnd w:id="844"/>
      <w:r>
        <w:rPr>
          <w:rtl w:val="true"/>
        </w:rPr>
        <w:t>بیان ما دلّ علی عدم غَسل الثوب الذی وقع علی حمار میت</w:t>
      </w:r>
      <w:bookmarkEnd w:id="84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6" w:name="__RefHeading___Toc147092_2142443653"/>
      <w:bookmarkStart w:id="847" w:name="_Toc324"/>
      <w:bookmarkEnd w:id="846"/>
      <w:r>
        <w:rPr>
          <w:rtl w:val="true"/>
        </w:rPr>
        <w:t>بیان ما دلّ علی نضح الثوب الذی وقع علی کلب میت</w:t>
      </w:r>
      <w:bookmarkStart w:id="848" w:name="pg15025_160462"/>
      <w:bookmarkEnd w:id="847"/>
    </w:p>
    <w:p>
      <w:pPr>
        <w:pStyle w:val="BookText"/>
        <w:rPr/>
      </w:pPr>
      <w:bookmarkEnd w:id="848"/>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الأرض والبواری والحصر</w:t>
      </w:r>
    </w:p>
    <w:p>
      <w:pPr>
        <w:pStyle w:val="BookText"/>
        <w:rPr/>
      </w:pPr>
      <w:r>
        <w:rPr>
          <w:rFonts w:ascii="IRNazanin" w:hAnsi="IRNazanin" w:eastAsia="IRNazanin"/>
          <w:color w:val="111111"/>
          <w:sz w:val="28"/>
          <w:sz w:val="28"/>
          <w:szCs w:val="28"/>
          <w:rtl w:val="true"/>
          <w:lang w:bidi="fa-IR"/>
        </w:rPr>
        <w:t>یصیبها البول وتجفّفها الشمس</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بن یحیی ، عن أبیه ، عن محمّد بن أحمد بن یحیی ، عن أحمد بن الحسن بن علی ابن فضال ، عن عمرو بن سعید المدائنی ، عن مصدّق بن صدقة ، عن عمّار الساباطی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الشمس هل تطهّر الأرض؟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الموضع قذراً من البول أو غیر ذلک فأصابته الشمس ، ثم یبس الموضع فالصلاة علی الموضع جائزة ، وإن أصابته الشمس ولم ییبس الموضع القذر وکان رطباً فلا یجوز الصلاة علیه حتی ییبس ، وإن کانت رجلک رطبة أو جبهتک رطبة أو غیر ذلک منک ما یصیب ذلک الموضع القذر فلا تصلّ علی ذلک الموضع </w:t>
      </w:r>
      <w:r>
        <w:rPr>
          <w:rStyle w:val="FootnoteAnchor"/>
          <w:rtl w:val="true"/>
        </w:rPr>
        <w:footnoteReference w:id="1309"/>
      </w:r>
      <w:r>
        <w:rPr>
          <w:rFonts w:ascii="IRNazanin" w:hAnsi="IRNazanin" w:eastAsia="IRNazanin"/>
          <w:color w:val="111111"/>
          <w:sz w:val="28"/>
          <w:sz w:val="28"/>
          <w:szCs w:val="28"/>
          <w:rtl w:val="true"/>
          <w:lang w:bidi="fa-IR"/>
        </w:rPr>
        <w:t xml:space="preserve">، وإنّ کان غیر الشمس أصابه حتی ییبس فإنّه لا یجوز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عن محمّد بن أحمد بن یحیی ، عن العمرکی ، عن علی بن جعفر ، عن أخیه موسی بن جعفر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البواری یصیبها البول ، هل تصلح الصلاة علیها إذا جفّت من غیر أن تغسل؟ قال </w:t>
      </w:r>
      <w:r>
        <w:rPr>
          <w:rFonts w:eastAsia="IRNazanin" w:cs="IRNazanin"/>
          <w:color w:val="111111"/>
          <w:sz w:val="28"/>
          <w:szCs w:val="28"/>
          <w:rtl w:val="true"/>
          <w:lang w:bidi="fa-IR"/>
        </w:rPr>
        <w:t xml:space="preserve">: « </w:t>
      </w:r>
      <w:r>
        <w:rPr>
          <w:rStyle w:val="FootnoteAnchor"/>
          <w:rtl w:val="true"/>
        </w:rPr>
        <w:footnoteReference w:id="1310"/>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الشیخ رحمه الله عن أحمد بن محمّد ، عن أبیه ، عن سعد ابن عبد الله ، عن أحمد بن محمّد ، عن علی بن الحکم ، عن</w:t>
      </w:r>
    </w:p>
    <w:p>
      <w:pPr>
        <w:pStyle w:val="Heading3"/>
        <w:numPr>
          <w:ilvl w:val="2"/>
          <w:numId w:val="1"/>
        </w:numPr>
        <w:rPr/>
      </w:pPr>
      <w:bookmarkStart w:id="849" w:name="__RefHeading___Toc147094_2142443653"/>
      <w:bookmarkStart w:id="850" w:name="_Toc325"/>
      <w:bookmarkEnd w:id="849"/>
      <w:r>
        <w:rPr>
          <w:rtl w:val="true"/>
        </w:rPr>
        <w:t>الأرض والبواری والحصر یصیبها البول وتحقّقها الشمس</w:t>
      </w:r>
      <w:bookmarkEnd w:id="85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1" w:name="__RefHeading___Toc147096_2142443653"/>
      <w:bookmarkStart w:id="852" w:name="_Toc326"/>
      <w:bookmarkEnd w:id="851"/>
      <w:r>
        <w:rPr>
          <w:rtl w:val="true"/>
        </w:rPr>
        <w:t>اشارة</w:t>
      </w:r>
      <w:bookmarkStart w:id="853" w:name="pg15025_160463"/>
      <w:bookmarkEnd w:id="852"/>
    </w:p>
    <w:p>
      <w:pPr>
        <w:pStyle w:val="BookText"/>
        <w:rPr/>
      </w:pPr>
      <w:bookmarkEnd w:id="853"/>
      <w:r>
        <w:rPr>
          <w:rFonts w:ascii="IRNazanin" w:hAnsi="IRNazanin" w:eastAsia="IRNazanin"/>
          <w:color w:val="111111"/>
          <w:sz w:val="28"/>
          <w:sz w:val="28"/>
          <w:szCs w:val="28"/>
          <w:rtl w:val="true"/>
          <w:lang w:bidi="fa-IR"/>
        </w:rPr>
        <w:t xml:space="preserve">عثمان بن عبد الله ، عن أبی بکر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Style w:val="FootnoteAnchor"/>
          <w:rtl w:val="true"/>
        </w:rPr>
        <w:footnoteReference w:id="1311"/>
      </w:r>
      <w:r>
        <w:rPr>
          <w:rFonts w:ascii="IRNazanin" w:hAnsi="IRNazanin" w:eastAsia="IRNazanin"/>
          <w:color w:val="111111"/>
          <w:sz w:val="28"/>
          <w:sz w:val="28"/>
          <w:szCs w:val="28"/>
          <w:rtl w:val="true"/>
          <w:lang w:bidi="fa-IR"/>
        </w:rPr>
        <w:t xml:space="preserve">أشرقت علیه الشمس فقد 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محمّد بن إسماعیل بن بزیع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الأرض والسطح یصیبه البول أومأ </w:t>
      </w:r>
      <w:r>
        <w:rPr>
          <w:rStyle w:val="FootnoteAnchor"/>
          <w:rtl w:val="true"/>
        </w:rPr>
        <w:footnoteReference w:id="1312"/>
      </w:r>
      <w:r>
        <w:rPr>
          <w:rFonts w:ascii="IRNazanin" w:hAnsi="IRNazanin" w:eastAsia="IRNazanin"/>
          <w:color w:val="111111"/>
          <w:sz w:val="28"/>
          <w:sz w:val="28"/>
          <w:szCs w:val="28"/>
          <w:rtl w:val="true"/>
          <w:lang w:bidi="fa-IR"/>
        </w:rPr>
        <w:t xml:space="preserve">أشبهه ، هل تطهّره الشمس من غیر 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تطهّر من غیر 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أنّه لا یطهر من غیر ماء ما دام رطباً ، وإنما یحکم بطهارته إذا جفّفته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علی ما قدمناه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عثمان بن عبد الله کما هنا ، وفی التهذیب عثمان بن عبد الملک ، وابن عبد الله مذکور فی رجال الصادق علیه السلام </w:t>
      </w:r>
      <w:r>
        <w:rPr>
          <w:rFonts w:eastAsia="IRNazanin" w:cs="IRNazanin"/>
          <w:color w:val="111111"/>
          <w:sz w:val="28"/>
          <w:szCs w:val="28"/>
          <w:rtl w:val="true"/>
          <w:lang w:bidi="fa-IR"/>
        </w:rPr>
        <w:t xml:space="preserve">) </w:t>
      </w:r>
      <w:r>
        <w:rPr>
          <w:rStyle w:val="FootnoteAnchor"/>
          <w:rtl w:val="true"/>
        </w:rPr>
        <w:footnoteReference w:id="1314"/>
      </w:r>
      <w:r>
        <w:rPr>
          <w:rFonts w:ascii="IRNazanin" w:hAnsi="IRNazanin" w:eastAsia="IRNazanin"/>
          <w:color w:val="111111"/>
          <w:sz w:val="28"/>
          <w:sz w:val="28"/>
          <w:szCs w:val="28"/>
          <w:rtl w:val="true"/>
          <w:lang w:bidi="fa-IR"/>
        </w:rPr>
        <w:t xml:space="preserve">من کتاب الشیخ مهملاً </w:t>
      </w:r>
      <w:r>
        <w:rPr>
          <w:rStyle w:val="FootnoteAnchor"/>
          <w:rtl w:val="true"/>
        </w:rPr>
        <w:footnoteReference w:id="1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عبد الملک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بکر کأنه الحضرمی ، وفی المعتبر جزم بأنه الحضرمی </w:t>
      </w:r>
      <w:r>
        <w:rPr>
          <w:rStyle w:val="FootnoteAnchor"/>
          <w:rtl w:val="true"/>
        </w:rPr>
        <w:footnoteReference w:id="1316"/>
      </w:r>
      <w:r>
        <w:rPr>
          <w:rFonts w:ascii="Amiri" w:hAnsi="Amiri" w:eastAsia="Amiri" w:cs="Amiri"/>
          <w:color w:val="111111"/>
          <w:sz w:val="28"/>
          <w:sz w:val="28"/>
          <w:szCs w:val="28"/>
          <w:rtl w:val="true"/>
          <w:lang w:bidi="ar-SA"/>
        </w:rPr>
        <w:t xml:space="preserve">، وقد قدّمنا </w:t>
      </w:r>
      <w:r>
        <w:rPr>
          <w:rStyle w:val="FootnoteAnchor"/>
          <w:rtl w:val="true"/>
        </w:rPr>
        <w:footnoteReference w:id="1317"/>
      </w:r>
      <w:r>
        <w:rPr>
          <w:rFonts w:ascii="IRNazanin" w:hAnsi="IRNazanin" w:eastAsia="IRNazanin"/>
          <w:color w:val="111111"/>
          <w:sz w:val="28"/>
          <w:sz w:val="28"/>
          <w:szCs w:val="28"/>
          <w:rtl w:val="true"/>
          <w:lang w:bidi="fa-IR"/>
        </w:rPr>
        <w:t>أنّه غیر ثقة ولا 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Heading4"/>
        <w:numPr>
          <w:ilvl w:val="3"/>
          <w:numId w:val="1"/>
        </w:numPr>
        <w:rPr/>
      </w:pPr>
      <w:bookmarkStart w:id="854" w:name="__RefHeading___Toc147098_2142443653"/>
      <w:bookmarkStart w:id="855" w:name="_Toc327"/>
      <w:bookmarkEnd w:id="854"/>
      <w:r>
        <w:rPr>
          <w:rtl w:val="true"/>
        </w:rPr>
        <w:t>عثمان بن عبدالله مهمل</w:t>
      </w:r>
      <w:bookmarkEnd w:id="855"/>
    </w:p>
    <w:p>
      <w:pPr>
        <w:pStyle w:val="Heading4"/>
        <w:numPr>
          <w:ilvl w:val="3"/>
          <w:numId w:val="1"/>
        </w:numPr>
        <w:rPr/>
      </w:pPr>
      <w:bookmarkStart w:id="856" w:name="__RefHeading___Toc147100_2142443653"/>
      <w:bookmarkStart w:id="857" w:name="_Toc328"/>
      <w:bookmarkEnd w:id="856"/>
      <w:r>
        <w:rPr>
          <w:rtl w:val="true"/>
        </w:rPr>
        <w:t>عثمان بن عبد الملک مجهول</w:t>
      </w:r>
      <w:bookmarkEnd w:id="85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8" w:name="__RefHeading___Toc147102_2142443653"/>
      <w:bookmarkStart w:id="859" w:name="_Toc329"/>
      <w:bookmarkEnd w:id="858"/>
      <w:r>
        <w:rPr>
          <w:rtl w:val="true"/>
        </w:rPr>
        <w:t>أبو بکر الحضرمی غیر ثقة ولا ممدوح</w:t>
      </w:r>
      <w:bookmarkStart w:id="860" w:name="pg15025_160464"/>
      <w:bookmarkEnd w:id="859"/>
    </w:p>
    <w:p>
      <w:pPr>
        <w:pStyle w:val="BookText"/>
        <w:rPr/>
      </w:pPr>
      <w:bookmarkEnd w:id="860"/>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إشکال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شموله لکلّ موضع ، والمنقول عن الشیخ فی المبسوط أنّه قال نحو ما قال المفید </w:t>
      </w:r>
      <w:r>
        <w:rPr>
          <w:rStyle w:val="FootnoteAnchor"/>
          <w:rtl w:val="true"/>
        </w:rPr>
        <w:footnoteReference w:id="1318"/>
      </w:r>
      <w:r>
        <w:rPr>
          <w:rFonts w:ascii="IRNazanin" w:hAnsi="IRNazanin" w:eastAsia="IRNazanin"/>
          <w:color w:val="111111"/>
          <w:sz w:val="28"/>
          <w:sz w:val="28"/>
          <w:szCs w:val="28"/>
          <w:rtl w:val="true"/>
          <w:lang w:bidi="fa-IR"/>
        </w:rPr>
        <w:t xml:space="preserve">، وعبارة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إذا وقع علیها البول ، ثم طلعت علیها الشمس فجفّفتها ، طهرت بذلک ، وکذا القول فی الحصیر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عنه فی الخلاف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إذا أصابتها نجاسة مثل البول وما أشبهه وطلعت علیها الشمس ، أو هبت علیها الریح حتی زالت عین النجاسة طهرت </w:t>
      </w: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الحکم بطهارة الأرض بتجفیف الشمس لها من نجاسة البول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الکلام فی الحصر والبواری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المنتهی نقل عن الشیخ الاحتجاج بإجماع الفرقة ، وروایة عمّار مع روایة علی بن جعفر الآتیة </w:t>
      </w:r>
      <w:r>
        <w:rPr>
          <w:rStyle w:val="FootnoteAnchor"/>
          <w:rtl w:val="true"/>
        </w:rPr>
        <w:footnoteReference w:id="1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بأنّ الروایة تفید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العلاّمة فی المنتهی بعد نقله عن المبسوط الاختصاص بالبول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جیّد ؛ لأنّ الروایة الصحیحة إنما تضمنت البول ، والتعدیة بغیر دلیل لا تجوز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عمار وإنّ دلت علی التعمیم ، إلاّ أنّها لضعف سندها لم یعوّل علیها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1" w:name="__RefHeading___Toc147104_2142443653"/>
      <w:bookmarkStart w:id="862" w:name="_Toc330"/>
      <w:bookmarkEnd w:id="861"/>
      <w:r>
        <w:rPr>
          <w:rtl w:val="true"/>
        </w:rPr>
        <w:t>هل الشمس مطهرة لکلّ موضع؟</w:t>
      </w:r>
      <w:bookmarkStart w:id="863" w:name="pg15025_160465"/>
      <w:bookmarkEnd w:id="862"/>
    </w:p>
    <w:p>
      <w:pPr>
        <w:pStyle w:val="BookText"/>
        <w:rPr/>
      </w:pPr>
      <w:bookmarkEnd w:id="863"/>
      <w:r>
        <w:rPr>
          <w:rFonts w:ascii="IRNazanin" w:hAnsi="IRNazanin" w:eastAsia="IRNazanin"/>
          <w:color w:val="111111"/>
          <w:sz w:val="28"/>
          <w:sz w:val="28"/>
          <w:szCs w:val="28"/>
          <w:rtl w:val="true"/>
          <w:lang w:bidi="fa-IR"/>
        </w:rPr>
        <w:t>ولا یخفی علیک حینئذٍ أنّ الظاهر من الشیخ هنا التعویل علی الروایة ، لکن الحق أنّ هذا الکتاب لا یمکن الاعتماد علی مذهب الشیخ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الروایة أنّ مجرّد إصابة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الیُبس </w:t>
      </w:r>
      <w:r>
        <w:rPr>
          <w:rStyle w:val="FootnoteAnchor"/>
          <w:rtl w:val="true"/>
        </w:rPr>
        <w:footnoteReference w:id="1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کافٍ ، والذی یقتضیه ما رواه الصدوق صحیحاً عن زرارة اعتبار تجفیف الشمس ، حیث 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البول یکون علی السطح أو فی المکان الذی أُصلّی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جفّفته الشمس فصلّ علیه فهو طاهر </w:t>
      </w:r>
      <w:r>
        <w:rPr>
          <w:rFonts w:eastAsia="IRNazanin" w:cs="IRNazanin"/>
          <w:color w:val="111111"/>
          <w:sz w:val="28"/>
          <w:szCs w:val="28"/>
          <w:rtl w:val="true"/>
          <w:lang w:bidi="fa-IR"/>
        </w:rPr>
        <w:t xml:space="preserve">» </w:t>
      </w:r>
      <w:r>
        <w:rPr>
          <w:rStyle w:val="FootnoteAnchor"/>
          <w:rtl w:val="true"/>
        </w:rPr>
        <w:footnoteReference w:id="1325"/>
      </w:r>
      <w:r>
        <w:rPr>
          <w:rFonts w:ascii="IRNazanin" w:hAnsi="IRNazanin" w:eastAsia="IRNazanin"/>
          <w:color w:val="111111"/>
          <w:sz w:val="28"/>
          <w:sz w:val="28"/>
          <w:szCs w:val="28"/>
          <w:rtl w:val="true"/>
          <w:lang w:bidi="fa-IR"/>
        </w:rPr>
        <w:t>وهذه الروایة قد یستفاد منها التعمیم لغیر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الروایة جواز الصلاة علی الموضع ، واستفادة الطهارة منها موقوفة علی عدم جواز السجود علی المحل المنجّس ، وهو محلّ کلام فقد نقل القول بجوازه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المحقق فی المعتبر إلی هذا ، فإنّه بعد نقل احتجاج الشیخ بالروایات فی الخلاف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استدلاله بالروایات إشکالاً ؛ لأنّ غایتها الدلالة علی جواز الصلاة علیها ، ونحن فلا نشترط طهارة موضع الصلاة ، بل نکتفی باشتراط طهارة موضع الجبهة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فی الصلاة علیها مطلقاً دلیل جواز السجود علیها ، والسجود یشترط طهارة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أطال الکلام فی الاستدلال ، مع أنّه قال فی المعتبر نقلاً عن الراوندی وصاحب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ذهبا إلی أنّ الأرض والبواری والحصر إذا</w:t>
      </w:r>
    </w:p>
    <w:p>
      <w:pPr>
        <w:pStyle w:val="Heading4"/>
        <w:numPr>
          <w:ilvl w:val="3"/>
          <w:numId w:val="1"/>
        </w:numPr>
        <w:rPr/>
      </w:pPr>
      <w:bookmarkStart w:id="864" w:name="__RefHeading___Toc147106_2142443653"/>
      <w:bookmarkStart w:id="865" w:name="_Toc331"/>
      <w:bookmarkEnd w:id="864"/>
      <w:r>
        <w:rPr>
          <w:rtl w:val="true"/>
        </w:rPr>
        <w:t>هل مجرّد إصابة الشمس کافٍ للطهارة؟</w:t>
      </w:r>
      <w:bookmarkEnd w:id="86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6" w:name="__RefHeading___Toc147108_2142443653"/>
      <w:bookmarkStart w:id="867" w:name="_Toc332"/>
      <w:bookmarkEnd w:id="866"/>
      <w:r>
        <w:rPr>
          <w:rtl w:val="true"/>
        </w:rPr>
        <w:t>دلالة الأدلّة علی جواز الصلاة علی الموضع لا طهارته</w:t>
      </w:r>
      <w:bookmarkEnd w:id="867"/>
    </w:p>
    <w:p>
      <w:pPr>
        <w:pStyle w:val="BookText"/>
        <w:rPr/>
      </w:pPr>
      <w:r>
        <w:rPr>
          <w:rFonts w:ascii="IRNazanin" w:hAnsi="IRNazanin" w:eastAsia="IRNazanin"/>
          <w:color w:val="111111"/>
          <w:sz w:val="28"/>
          <w:sz w:val="28"/>
          <w:szCs w:val="28"/>
          <w:rtl w:val="true"/>
          <w:lang w:bidi="fa-IR"/>
        </w:rPr>
        <w:t xml:space="preserve">أصابها البول وجفّفتها الشمس لا تطهّر بذلک ، ولکن یجوز السجود علیها ، ثم قال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یقتضی المخالفة لما نقلناه من استدلاله ، فکأنّه رجوع عن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والعلاّمة فی المختلف نقل عن الراوندی أنّه یلوح من کلامه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شیخنا أبو القاسم یختار ذلک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العلاّمة اختار أنّ الأرض والحصر والبواری إذا أصابها بول وشبهه من النجاسات المائعة ثم جفّفتها الشمس طهرت ، واحتج بروایة عمّار </w:t>
      </w:r>
      <w:r>
        <w:rPr>
          <w:rStyle w:val="FootnoteAnchor"/>
          <w:rtl w:val="true"/>
        </w:rPr>
        <w:footnoteReference w:id="1329"/>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فالصلاة علی الموضع جائزة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الاستدلال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السؤال عن الطهارة ، فلو لم یکن فی الجواب ما یفهم منه السائل لزم تأخیر البیان عن وقت الحاجة ، وهو محال ، لکن الجواب الذی وقع لا یناسب النجاسة فدل علی الطهارة ، وأیضاً ما رواه أبو بکر وذکر الروایة وبأنّ المقتضی للتنجیس الأجزاء التی عدمت بإسخان الشمس ، فیزول الحکم ؛ ثم إنّه نقل الاحتجاج عن القائلین بالبقاء علی النجاسة بالاستصحاب ، وأجاب بأنّ الاستصحاب ثابت مع بقاء الأجزاء النجسة لا مع عدمها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والمحقق فی المعتبر ذکر نحو ما قاله العلاّمة ، من أنّ الشمس من شأنها الإسخان ، والسخونة تلطف الأجزاء الرطبة وتصعدها ، فإذا ذهب أثر </w:t>
      </w:r>
    </w:p>
    <w:p>
      <w:pPr>
        <w:pStyle w:val="BookText"/>
        <w:rPr/>
      </w:pPr>
      <w:r>
        <w:rPr>
          <w:rFonts w:ascii="IRNazanin" w:hAnsi="IRNazanin" w:eastAsia="IRNazanin"/>
          <w:color w:val="111111"/>
          <w:sz w:val="28"/>
          <w:sz w:val="28"/>
          <w:szCs w:val="28"/>
          <w:rtl w:val="true"/>
          <w:lang w:bidi="fa-IR"/>
        </w:rPr>
        <w:t xml:space="preserve">النجاسة دل علی مفارقتها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ربما ینکر علیه بأنّ الطهارة مرجعها إلی حکم الشارع لا إلی زوال الأعیان ، کما اعترفا به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وجّه الوالد قدس سره الاستدلال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الدال علی تنجیس البول ونحوه للأرض هو الإجماع ؛ لأنّ الأخبار خاصة بالثوب والبدن ونحوهما ، وإذا کان الإجماع هو الدلیل فإذا انتفی الإجماع بعد تجفیف الشمس انتفت النجاسة </w:t>
      </w:r>
      <w:r>
        <w:rPr>
          <w:rStyle w:val="FootnoteAnchor"/>
          <w:rtl w:val="true"/>
        </w:rPr>
        <w:footnoteReference w:id="1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وأطال قدس سره الکلام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فیه بحثاً ، وقد ذکرته فی محل آخر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لو انحصر الأمر فیه کما ذکره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أفاد حدوث النجاسة لا استمرارها ، بل الاستمرار حصل من عدم حکم الشارع بالمطهّر ، فزوال الإجماع لا یفید الطهارة بل یفید زوال الحدوث ، ولا ریب أنّ الحدوث إذا انتفت علّته انتفی معلولها ، وهو الحدوث ، لا مطلق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الحدوث اعتباری والعلّة لا تؤثّر فیه ، کما صرّح به الشارح الجدید للتجرید ، حیث قال فی الأصل سلطان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والحدوث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تأثیر للفاعل فیه ، بل إنما یؤثّر الفاعل فی الماهیة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مرادنا بالحدوث وجود أصل التنجیس ، أمّا استمراره فله علّة 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زوال أصل التنجیس لا معنی له ، فإن النجاسة کما أنّها باقیة أصل وجودها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بجواز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التنجیس مختلف باختلاف العلل وإنّ توافق الحکم ، غایة الأمر أنّ بقاء النجاسة لا بُدّ له من علّة کما هو شأن الممکن ، والمستفاد من قواعد الأصحاب أنّ الطهارة لا بُدّ لها من علّة ، وبدونها فأصالة بقاء النجاسة هی العلّة اصطلاحاً ، وقد یعبّر عنها بالعدم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الطهارة موقوفة علی الدلیل ، وبدونه فالنجاسة باقیة ، وعلی هذا لا یتوجه فی المقام أنّ العدم لا یصلح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فی نظیر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لا بُدّ فی شهادة الشاهدین من القطع ، مع أنّ الشاهدین علی الماضی لا یحصل لهم القطع لاحقاً ، لکن الشارع حکم بالبقاء ما لم یعلم المسقط ، فعدم العلم بالمسقط علّة الحکم بالبقاء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نوقش فی هذا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النجاسة تثبت بوجود الأعیان علی الإطلاق ما لم یحصل من الشارع المزیل ، ولم یعلم المزیل ، فالاستمرار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الإجماع هو العلّة فالتقیید بوجود الأعیان حاصل ، فأین الإطلاق؟</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لیس علی النجاسة مع وجود الأعیان ، ألا تری أنّ بعض القائل بالنجاسة قائل بالاستمرار </w:t>
      </w:r>
      <w:r>
        <w:rPr>
          <w:rFonts w:eastAsia="IRNazanin" w:cs="IRNazanin"/>
          <w:color w:val="111111"/>
          <w:sz w:val="28"/>
          <w:szCs w:val="28"/>
          <w:rtl w:val="true"/>
          <w:lang w:bidi="fa-IR"/>
        </w:rPr>
        <w:t xml:space="preserve">) </w:t>
      </w:r>
      <w:r>
        <w:rPr>
          <w:rStyle w:val="FootnoteAnchor"/>
          <w:rtl w:val="true"/>
        </w:rPr>
        <w:footnoteReference w:id="1334"/>
      </w:r>
      <w:r>
        <w:rPr>
          <w:rFonts w:ascii="IRNazanin" w:hAnsi="IRNazanin" w:eastAsia="IRNazanin"/>
          <w:color w:val="111111"/>
          <w:sz w:val="28"/>
          <w:sz w:val="28"/>
          <w:szCs w:val="28"/>
          <w:rtl w:val="true"/>
          <w:lang w:bidi="fa-IR"/>
        </w:rPr>
        <w:t>وإنّ ذهبت الأعیان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القائل یقول بوجود الأعیان </w:t>
      </w:r>
      <w:r>
        <w:rPr>
          <w:rStyle w:val="FootnoteAnchor"/>
          <w:rtl w:val="true"/>
        </w:rPr>
        <w:footnoteReference w:id="13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زاد علی </w:t>
      </w:r>
    </w:p>
    <w:p>
      <w:pPr>
        <w:pStyle w:val="BookText"/>
        <w:rPr/>
      </w:pPr>
      <w:r>
        <w:rPr>
          <w:rFonts w:ascii="IRNazanin" w:hAnsi="IRNazanin" w:eastAsia="IRNazanin"/>
          <w:color w:val="111111"/>
          <w:sz w:val="28"/>
          <w:sz w:val="28"/>
          <w:szCs w:val="28"/>
          <w:rtl w:val="true"/>
          <w:lang w:bidi="fa-IR"/>
        </w:rPr>
        <w:t>ذلک البقاء بعد زوالها ، وذلک کافٍ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دخول مثل هذا فی الإجماع مع وجود الأعیان محلّ تأمّل ، وکثیراً ما یغفل عنه فی دعوی الإجماع علی بعض المسائل ، وسیأتی فی الکتاب شی‌ء من ذلک ، والحق أنّ المقام قابل للبحث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عساه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علل الشرع معرّفات ، فلا دخل فیها للوازم العلل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الجواب بأنّ کون علل الشرع معرّفات لا ینفی الحکم بأن زوالها موجب لزوال الحکم الشرعی ، بل الظاهر من التدبّر فی الکلام المذکور فی العلل الحقیقیة الاتحاد مع الشرعیة فی بعض المواد ومنها ما نحن فیه ، ومنها عدم اجتماعها علی معلول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العلل الشرعیة </w:t>
      </w:r>
      <w:r>
        <w:rPr>
          <w:rStyle w:val="FootnoteAnchor"/>
          <w:rtl w:val="true"/>
        </w:rPr>
        <w:footnoteReference w:id="1336"/>
      </w:r>
      <w:r>
        <w:rPr>
          <w:rFonts w:ascii="IRNazanin" w:hAnsi="IRNazanin" w:eastAsia="IRNazanin"/>
          <w:color w:val="111111"/>
          <w:sz w:val="28"/>
          <w:sz w:val="28"/>
          <w:szCs w:val="28"/>
          <w:rtl w:val="true"/>
          <w:lang w:bidi="fa-IR"/>
        </w:rPr>
        <w:t>یجوز اجتماعها علی معلول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تأمّل ؛ إذ اللازم من الاجتماع وقوع العبث من الحکیم ، کما یعرف بالتأمّل الصادق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w:t>
      </w:r>
      <w:r>
        <w:rPr>
          <w:rFonts w:eastAsia="IRNazanin" w:cs="IRNazanin"/>
          <w:color w:val="111111"/>
          <w:sz w:val="28"/>
          <w:szCs w:val="28"/>
          <w:rtl w:val="true"/>
          <w:lang w:bidi="fa-IR"/>
        </w:rPr>
        <w:t xml:space="preserve">] </w:t>
      </w:r>
      <w:r>
        <w:rPr>
          <w:rStyle w:val="FootnoteAnchor"/>
          <w:rtl w:val="true"/>
        </w:rPr>
        <w:footnoteReference w:id="1337"/>
      </w:r>
      <w:r>
        <w:rPr>
          <w:rFonts w:ascii="IRNazanin" w:hAnsi="IRNazanin" w:eastAsia="IRNazanin"/>
          <w:color w:val="111111"/>
          <w:sz w:val="28"/>
          <w:sz w:val="28"/>
          <w:szCs w:val="28"/>
          <w:rtl w:val="true"/>
          <w:lang w:bidi="fa-IR"/>
        </w:rPr>
        <w:t>حصل انتفت فائدة بقائه ، فلیتأمّل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ما ذکره العلاّمة </w:t>
      </w:r>
      <w:r>
        <w:rPr>
          <w:rStyle w:val="FootnoteAnchor"/>
          <w:rtl w:val="true"/>
        </w:rPr>
        <w:footnoteReference w:id="1338"/>
      </w:r>
      <w:r>
        <w:rPr>
          <w:rFonts w:ascii="IRNazanin" w:hAnsi="IRNazanin" w:eastAsia="IRNazanin"/>
          <w:color w:val="111111"/>
          <w:sz w:val="28"/>
          <w:sz w:val="28"/>
          <w:szCs w:val="28"/>
          <w:rtl w:val="true"/>
          <w:lang w:bidi="fa-IR"/>
        </w:rPr>
        <w:t xml:space="preserve">والمحقق </w:t>
      </w:r>
      <w:r>
        <w:rPr>
          <w:rStyle w:val="FootnoteAnchor"/>
          <w:rtl w:val="true"/>
        </w:rPr>
        <w:footnoteReference w:id="1339"/>
      </w:r>
      <w:r>
        <w:rPr>
          <w:rFonts w:ascii="IRNazanin" w:hAnsi="IRNazanin" w:eastAsia="IRNazanin"/>
          <w:color w:val="111111"/>
          <w:sz w:val="28"/>
          <w:sz w:val="28"/>
          <w:szCs w:val="28"/>
          <w:rtl w:val="true"/>
          <w:lang w:bidi="fa-IR"/>
        </w:rPr>
        <w:t xml:space="preserve">یقال فیه کذلک ، ولعلّ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الصلاة مع احتمال المباشرة برطوبة یفید الطهارة من حیث قیامه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العلاّمة </w:t>
      </w:r>
      <w:r>
        <w:rPr>
          <w:rStyle w:val="FootnoteAnchor"/>
          <w:rtl w:val="true"/>
        </w:rPr>
        <w:footnoteReference w:id="1340"/>
      </w:r>
      <w:r>
        <w:rPr>
          <w:rFonts w:ascii="IRNazanin" w:hAnsi="IRNazanin" w:eastAsia="IRNazanin"/>
          <w:color w:val="111111"/>
          <w:sz w:val="28"/>
          <w:sz w:val="28"/>
          <w:szCs w:val="28"/>
          <w:rtl w:val="true"/>
          <w:lang w:bidi="fa-IR"/>
        </w:rPr>
        <w:t xml:space="preserve">بعد هذا أیضاً لا یخلو من وجه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قدرة علی استنباط المراد من کلام الإمام علیه السلام ، والإجمال إنما </w:t>
      </w:r>
      <w:bookmarkStart w:id="868" w:name="pg15025_160470"/>
    </w:p>
    <w:p>
      <w:pPr>
        <w:pStyle w:val="BookText"/>
        <w:rPr/>
      </w:pPr>
      <w:bookmarkEnd w:id="868"/>
      <w:r>
        <w:rPr>
          <w:rFonts w:ascii="IRNazanin" w:hAnsi="IRNazanin" w:eastAsia="IRNazanin"/>
          <w:color w:val="111111"/>
          <w:sz w:val="28"/>
          <w:sz w:val="28"/>
          <w:szCs w:val="28"/>
          <w:rtl w:val="true"/>
          <w:lang w:bidi="fa-IR"/>
        </w:rPr>
        <w:t xml:space="preserve">هو بالنسبة إلینا ، وتأخیر البیان </w:t>
      </w:r>
      <w:r>
        <w:rPr>
          <w:rFonts w:eastAsia="IRNazanin" w:cs="IRNazanin"/>
          <w:color w:val="111111"/>
          <w:sz w:val="28"/>
          <w:szCs w:val="28"/>
          <w:rtl w:val="true"/>
          <w:lang w:bidi="fa-IR"/>
        </w:rPr>
        <w:t xml:space="preserve">) </w:t>
      </w:r>
      <w:r>
        <w:rPr>
          <w:rStyle w:val="FootnoteAnchor"/>
          <w:rtl w:val="true"/>
        </w:rPr>
        <w:footnoteReference w:id="1341"/>
      </w:r>
      <w:r>
        <w:rPr>
          <w:rFonts w:ascii="IRNazanin" w:hAnsi="IRNazanin" w:eastAsia="IRNazanin"/>
          <w:color w:val="111111"/>
          <w:sz w:val="28"/>
          <w:sz w:val="28"/>
          <w:szCs w:val="28"/>
          <w:rtl w:val="true"/>
          <w:lang w:bidi="fa-IR"/>
        </w:rPr>
        <w:t>غیر معلوم ، علی أنّ تأخیر البیان عن السائل لم یعلم أیضاً إلاّ من جهة عدم وصوله إلینا ، وهذا لا یضرّ بالحال ، وبهذا یتوجه دلالة بعض ما یأتی من الأخبار علی الطهارة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الروایة أنّ الشمس لو أصابت المحل ولم ییبس ، ثم یبس بعد ذلک جازت الصلاة علیه ، وهو صریح فی عدم اعتبار تجفیف الشمس ، فلو فرض أنّ الکلام الأوّل فیه احتمال تجفیف الشمس ، فهذا یدل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ما فیه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شیخنا رضی الله عنه أنّه ربما کان فی آخر الروایة إشعار ببقاء المحل علی النجاسة </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تأمّل ؛ لأنّ الظاهر عود الکلام إلی الصورة التی قبله ، وهو ما إذا جفّ بعد إصابة الشمس ، وحینئذٍ ربما دل علی أنّ حکم ما قبله الطهارة ، ولو عاد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کانت رجلک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إلی جمیع ما تقدم کان ما قاله شیخنا قدس سره متّجهاً ، لکن ما ذکرناه قد یدّعی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غیر الشمس أصابه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أن المتقدّم حکم إصابة الشمس ، والحال أنّ من جملة الأفراد السابقة ما أصابته الشمس وهو رطب ثم یبس ، وقد جوّز الصلاة علیه ، وظاهر الکلام أنّه لو یبس بغیر الشمس لا یصلّی علیه ، ففی الکلامین تدافع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الأخیر یراد به التجفیف من دون الشمس أصلاً ، والذی قبله لما أصابته الشمس وإنّ لم تجفّفه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تصیر الأقسام</w:t>
      </w:r>
    </w:p>
    <w:p>
      <w:pPr>
        <w:pStyle w:val="Heading4"/>
        <w:numPr>
          <w:ilvl w:val="3"/>
          <w:numId w:val="1"/>
        </w:numPr>
        <w:rPr/>
      </w:pPr>
      <w:bookmarkStart w:id="869" w:name="__RefHeading___Toc147110_2142443653"/>
      <w:bookmarkStart w:id="870" w:name="_Toc333"/>
      <w:bookmarkEnd w:id="869"/>
      <w:r>
        <w:rPr>
          <w:rtl w:val="true"/>
        </w:rPr>
        <w:t>لو أصابت الشمس المحل ولم ییبس</w:t>
      </w:r>
      <w:bookmarkEnd w:id="870"/>
    </w:p>
    <w:p>
      <w:pPr>
        <w:pStyle w:val="Heading4"/>
        <w:numPr>
          <w:ilvl w:val="3"/>
          <w:numId w:val="1"/>
        </w:numPr>
        <w:rPr/>
      </w:pPr>
      <w:bookmarkStart w:id="871" w:name="__RefHeading___Toc147112_2142443653"/>
      <w:bookmarkStart w:id="872" w:name="_Toc334"/>
      <w:bookmarkEnd w:id="871"/>
      <w:r>
        <w:rPr>
          <w:rtl w:val="true"/>
        </w:rPr>
        <w:t>إشعار روایة عمّار ببقاء المحل علی النجاسة والجواب عنه</w:t>
      </w:r>
      <w:bookmarkEnd w:id="87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3" w:name="__RefHeading___Toc147114_2142443653"/>
      <w:bookmarkStart w:id="874" w:name="_Toc335"/>
      <w:bookmarkEnd w:id="873"/>
      <w:r>
        <w:rPr>
          <w:rtl w:val="true"/>
        </w:rPr>
        <w:t>التدافع فی روایة عمّار فیما لو جفّ بغیر الشمس والجواب عنه</w:t>
      </w:r>
      <w:bookmarkStart w:id="875" w:name="pg15025_160471"/>
      <w:bookmarkEnd w:id="874"/>
    </w:p>
    <w:p>
      <w:pPr>
        <w:pStyle w:val="BookText"/>
        <w:rPr/>
      </w:pPr>
      <w:bookmarkEnd w:id="875"/>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تجفیف الشمس ، وإصابة الشمس ثم حصول التجفیف بعدها ، والتجفیف من دونها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 قصور الروایة سنداً أمکن أنّ یوسع الکلام زیادة علی ما قلناه ، والغرض أنّ استدلال الشیخ بها محل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علی الصلاة ، وعدم الاستفصال عن الرطوبة وعدمها ربما یقتضی الطهارة ، مضافاً إلی صحیح زرارة السابق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زرارة یفید الطهارة ، أمّا إرادة الشرعیة منها فموقوفة علی ثبوت الحقیقة الشرعیة ، وأنّی لنا إثباتها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إرادة النظافة هنا بعیدة عن المساق ، فلو لم تکن الحقیقة الشرعیة ثابتة فالمجاز ممکن ، وقرینته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قاله شیخنا قدس سره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الروایتین الأوّلتین إنما تدلاّن علی جواز السجود ، لا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دلالة الروایة الثانیة علی اعتبار الجفاف بالشمس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الإجماع خصّص الحکم ، والروایة وإنّ کانت مطلقة إلاّ أنّ السؤال عن الجفاف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فیه إطلاق ربما یقتضی ردّه مع ضعف السند ، إلاّ أنّه یمکن توجیهه بالتخصیص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الشیخ فیه أحد الوجوه المحتملة ، لکن بعید عن الظاهر ، واحتمال 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ماء تجفّف النجاسة ، لا یخلو من قرب</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6" w:name="__RefHeading___Toc147116_2142443653"/>
      <w:bookmarkStart w:id="877" w:name="_Toc336"/>
      <w:bookmarkEnd w:id="876"/>
      <w:r>
        <w:rPr>
          <w:rtl w:val="true"/>
        </w:rPr>
        <w:t>بیان روایة علی بن جعفر</w:t>
      </w:r>
      <w:bookmarkStart w:id="878" w:name="pg15025_160472"/>
      <w:bookmarkEnd w:id="877"/>
    </w:p>
    <w:p>
      <w:pPr>
        <w:pStyle w:val="BookText"/>
        <w:rPr/>
      </w:pPr>
      <w:bookmarkEnd w:id="878"/>
      <w:r>
        <w:rPr>
          <w:rFonts w:ascii="IRNazanin" w:hAnsi="IRNazanin" w:eastAsia="IRNazanin"/>
          <w:color w:val="111111"/>
          <w:sz w:val="28"/>
          <w:sz w:val="28"/>
          <w:szCs w:val="28"/>
          <w:rtl w:val="true"/>
          <w:lang w:bidi="fa-IR"/>
        </w:rPr>
        <w:t xml:space="preserve">أمّا احتمال 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کلاماً مستقلا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تطهّر من غیر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مستأنفاً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یطهّر؟ بل یطهّر من غیر ماء ، بعید کما لا یخفی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وللمتأخرین فی هذه المسألة تفریعات کلّها مبنیّة علی تحقیق الأصل ، وقد عرفت مجمل الأمر ، والله سبحانه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الجنائز</w:t>
      </w:r>
    </w:p>
    <w:p>
      <w:pPr>
        <w:pStyle w:val="BookText"/>
        <w:rPr/>
      </w:pPr>
      <w:r>
        <w:rPr>
          <w:rFonts w:ascii="IRNazanin" w:hAnsi="IRNazanin" w:eastAsia="IRNazanin"/>
          <w:color w:val="111111"/>
          <w:sz w:val="28"/>
          <w:sz w:val="28"/>
          <w:szCs w:val="28"/>
          <w:rtl w:val="true"/>
          <w:lang w:bidi="fa-IR"/>
        </w:rPr>
        <w:t>باب الرجل یموت وهو جنب</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أبی محمّد الحسن </w:t>
      </w:r>
      <w:r>
        <w:rPr>
          <w:rStyle w:val="FootnoteAnchor"/>
          <w:rtl w:val="true"/>
        </w:rPr>
        <w:footnoteReference w:id="1345"/>
      </w:r>
      <w:r>
        <w:rPr>
          <w:rFonts w:ascii="IRNazanin" w:hAnsi="IRNazanin" w:eastAsia="IRNazanin"/>
          <w:color w:val="111111"/>
          <w:sz w:val="28"/>
          <w:sz w:val="28"/>
          <w:szCs w:val="28"/>
          <w:rtl w:val="true"/>
          <w:lang w:bidi="fa-IR"/>
        </w:rPr>
        <w:t xml:space="preserve">بن حمزة العلوی ، عن علیّ بن إبراهیم ، عن أبیه ، عن الحسین بن سعید ، عن علی ، عن أبی إبراهیم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المیت یموت وهو جنب ، قال </w:t>
      </w:r>
      <w:r>
        <w:rPr>
          <w:rFonts w:eastAsia="IRNazanin" w:cs="IRNazanin"/>
          <w:color w:val="111111"/>
          <w:sz w:val="28"/>
          <w:szCs w:val="28"/>
          <w:rtl w:val="true"/>
          <w:lang w:bidi="fa-IR"/>
        </w:rPr>
        <w:t xml:space="preserve">: « </w:t>
      </w:r>
      <w:r>
        <w:rPr>
          <w:rStyle w:val="FootnoteAnchor"/>
          <w:rtl w:val="true"/>
        </w:rPr>
        <w:footnoteReference w:id="1346"/>
      </w:r>
      <w:r>
        <w:rPr>
          <w:rFonts w:ascii="IRNazanin" w:hAnsi="IRNazanin" w:eastAsia="IRNazanin"/>
          <w:color w:val="111111"/>
          <w:sz w:val="28"/>
          <w:sz w:val="28"/>
          <w:szCs w:val="28"/>
          <w:rtl w:val="true"/>
          <w:lang w:bidi="fa-IR"/>
        </w:rPr>
        <w:t xml:space="preserve">غسل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علی بن حدید وعبد الرحمن ، عن حمّاد ، عن حریز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Style w:val="FootnoteAnchor"/>
          <w:rtl w:val="true"/>
        </w:rPr>
        <w:footnoteReference w:id="1347"/>
      </w:r>
      <w:r>
        <w:rPr>
          <w:rFonts w:ascii="IRNazanin" w:hAnsi="IRNazanin" w:eastAsia="IRNazanin"/>
          <w:color w:val="111111"/>
          <w:sz w:val="28"/>
          <w:sz w:val="28"/>
          <w:szCs w:val="28"/>
          <w:rtl w:val="true"/>
          <w:lang w:bidi="fa-IR"/>
        </w:rPr>
        <w:t xml:space="preserve">مات وهو جنب ، کیف یغسل؟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یجزؤه من الماء؟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غسلاً واحداً یجزئ ذلک للجنابة ولغسل المیت ، لأنّهما حرمتان اجتمعتا فی حرمة واحدة </w:t>
      </w:r>
      <w:r>
        <w:rPr>
          <w:rFonts w:eastAsia="IRNazanin" w:cs="IRNazanin"/>
          <w:color w:val="111111"/>
          <w:sz w:val="28"/>
          <w:szCs w:val="28"/>
          <w:rtl w:val="true"/>
          <w:lang w:bidi="fa-IR"/>
        </w:rPr>
        <w:t>».</w:t>
      </w:r>
    </w:p>
    <w:p>
      <w:pPr>
        <w:pStyle w:val="Heading4"/>
        <w:numPr>
          <w:ilvl w:val="3"/>
          <w:numId w:val="1"/>
        </w:numPr>
        <w:rPr/>
      </w:pPr>
      <w:bookmarkStart w:id="879" w:name="__RefHeading___Toc147118_2142443653"/>
      <w:bookmarkStart w:id="880" w:name="_Toc337"/>
      <w:bookmarkEnd w:id="879"/>
      <w:r>
        <w:rPr>
          <w:rtl w:val="true"/>
        </w:rPr>
        <w:t>توجیه روایة محمّد بن إسماعیل بن بزیع الدالّة علی عدم مطهّریة الشمس</w:t>
      </w:r>
      <w:bookmarkEnd w:id="880"/>
    </w:p>
    <w:p>
      <w:pPr>
        <w:pStyle w:val="Heading2"/>
        <w:numPr>
          <w:ilvl w:val="1"/>
          <w:numId w:val="1"/>
        </w:numPr>
        <w:rPr/>
      </w:pPr>
      <w:bookmarkStart w:id="881" w:name="__RefHeading___Toc147120_2142443653"/>
      <w:bookmarkStart w:id="882" w:name="_Toc338"/>
      <w:bookmarkEnd w:id="881"/>
      <w:r>
        <w:rPr>
          <w:rtl w:val="true"/>
        </w:rPr>
        <w:t>أبواب الجنائز</w:t>
      </w:r>
      <w:bookmarkEnd w:id="882"/>
    </w:p>
    <w:p>
      <w:pPr>
        <w:pStyle w:val="Heading3"/>
        <w:numPr>
          <w:ilvl w:val="2"/>
          <w:numId w:val="1"/>
        </w:numPr>
        <w:rPr/>
      </w:pPr>
      <w:bookmarkStart w:id="883" w:name="__RefHeading___Toc147122_2142443653"/>
      <w:bookmarkStart w:id="884" w:name="_Toc339"/>
      <w:bookmarkEnd w:id="883"/>
      <w:r>
        <w:rPr>
          <w:rtl w:val="true"/>
        </w:rPr>
        <w:t>الرجل یموت وهو جنب</w:t>
      </w:r>
      <w:bookmarkEnd w:id="88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5" w:name="__RefHeading___Toc147124_2142443653"/>
      <w:bookmarkStart w:id="886" w:name="_Toc340"/>
      <w:bookmarkEnd w:id="885"/>
      <w:r>
        <w:rPr>
          <w:rtl w:val="true"/>
        </w:rPr>
        <w:t>اشارة</w:t>
      </w:r>
      <w:bookmarkStart w:id="887" w:name="pg15025_160473"/>
      <w:bookmarkEnd w:id="886"/>
    </w:p>
    <w:p>
      <w:pPr>
        <w:pStyle w:val="BookText"/>
        <w:rPr/>
      </w:pPr>
      <w:bookmarkEnd w:id="887"/>
      <w:r>
        <w:rPr>
          <w:rFonts w:ascii="IRNazanin" w:hAnsi="IRNazanin" w:eastAsia="IRNazanin"/>
          <w:color w:val="111111"/>
          <w:sz w:val="28"/>
          <w:sz w:val="28"/>
          <w:szCs w:val="28"/>
          <w:rtl w:val="true"/>
          <w:lang w:bidi="fa-IR"/>
        </w:rPr>
        <w:t xml:space="preserve">علی بن مهزیار ، عن الحسین بن سعید ، عن علی بن النعمان ، عن ابن مسکان ، عن المثنّی ، عن أبی بصیر ، عن أحدهما علیهماالسلام فی الجنب إذا مات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علیه إلاّ غسلة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حمزة العلوی وهو الطبری المعروف بالمرعشی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من أجلاّء هذه الطائفة وفقهائها ، قدم بغداد ولقیه شیوخنا فی سنة ستّ وخمسین وثلاثمائة ، ومات فی سنة ثمانی وخمسین وثلاثمائة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الفهرست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فاضلاً أدیباً عارفاً فقیهاً زاهداً ورعاً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بجمیع روایاته جماعة ، منهم الشیخ أبو عبد الله محمّد بن محمّد بن النعمان ، والحسین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سماعاً منه وإجازةً فی سنة ست وخمسین وثلاثمائة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رجال من لم یرو عن الأئمّة علیهم السلام من کتاب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عنه التلعکبری ، وکان سماعه منه أوّلاً سنة ثمان وعشرین وثلاثمائة ، وله منه إجازة لجمیع کتبه وروایاته ، أخبرنا جماعة منهم الحسین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سماعهم سنة أربع وخمسین وثلاثمائة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8" w:name="__RefHeading___Toc147126_2142443653"/>
      <w:bookmarkStart w:id="889" w:name="_Toc341"/>
      <w:bookmarkEnd w:id="888"/>
      <w:r>
        <w:rPr>
          <w:rtl w:val="true"/>
        </w:rPr>
        <w:t>بحث حول الحسن بن حمزة العلوی</w:t>
      </w:r>
      <w:bookmarkStart w:id="890" w:name="pg15025_160474"/>
      <w:bookmarkEnd w:id="889"/>
    </w:p>
    <w:p>
      <w:pPr>
        <w:pStyle w:val="BookText"/>
        <w:rPr/>
      </w:pPr>
      <w:bookmarkEnd w:id="890"/>
      <w:r>
        <w:rPr>
          <w:rFonts w:ascii="IRNazanin" w:hAnsi="IRNazanin" w:eastAsia="IRNazanin"/>
          <w:color w:val="111111"/>
          <w:sz w:val="28"/>
          <w:sz w:val="28"/>
          <w:szCs w:val="28"/>
          <w:rtl w:val="true"/>
          <w:lang w:bidi="fa-IR"/>
        </w:rPr>
        <w:t xml:space="preserve">والعلاّمة فی الخلاصة حکی کلام الشیخ فی الکتابین وکلام النجاشی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یجامع قول الشیخ الطوسی </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أنّه لا منافاة ؛ للفرق بین السماع والموت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داود مشی علی وهم العلاّمة فحکم بالتنافی </w:t>
      </w:r>
      <w:r>
        <w:rPr>
          <w:rStyle w:val="FootnoteAnchor"/>
          <w:rtl w:val="true"/>
        </w:rPr>
        <w:footnoteReference w:id="1353"/>
      </w:r>
      <w:r>
        <w:rPr>
          <w:rFonts w:ascii="IRNazanin" w:hAnsi="IRNazanin" w:eastAsia="IRNazanin"/>
          <w:color w:val="111111"/>
          <w:sz w:val="28"/>
          <w:sz w:val="28"/>
          <w:szCs w:val="28"/>
          <w:rtl w:val="true"/>
          <w:lang w:bidi="fa-IR"/>
        </w:rPr>
        <w:t>، والحال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الراوی عنه الحسین بن سعید فلا یبعد أنّ یکون علی بن النعمان ؛ للتصریح به فی الخبر الثالث وغیره من روایات الکتاب </w:t>
      </w:r>
      <w:r>
        <w:rPr>
          <w:rStyle w:val="FootnoteAnchor"/>
          <w:rtl w:val="true"/>
        </w:rPr>
        <w:footnoteReference w:id="1354"/>
      </w:r>
      <w:r>
        <w:rPr>
          <w:rFonts w:ascii="IRNazanin" w:hAnsi="IRNazanin" w:eastAsia="IRNazanin"/>
          <w:color w:val="111111"/>
          <w:sz w:val="28"/>
          <w:sz w:val="28"/>
          <w:szCs w:val="28"/>
          <w:rtl w:val="true"/>
          <w:lang w:bidi="fa-IR"/>
        </w:rPr>
        <w:t xml:space="preserve">، إلاّ أنه یروی عن غیره أیضاً من المسمّی بهذا الاسم ، ففی باب تلبیة المحرم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علی بن الصلت </w:t>
      </w:r>
      <w:r>
        <w:rPr>
          <w:rStyle w:val="FootnoteAnchor"/>
          <w:rtl w:val="true"/>
        </w:rPr>
        <w:footnoteReference w:id="1355"/>
      </w:r>
      <w:r>
        <w:rPr>
          <w:rFonts w:ascii="IRNazanin" w:hAnsi="IRNazanin" w:eastAsia="IRNazanin"/>
          <w:color w:val="111111"/>
          <w:sz w:val="28"/>
          <w:sz w:val="28"/>
          <w:szCs w:val="28"/>
          <w:rtl w:val="true"/>
          <w:lang w:bidi="fa-IR"/>
        </w:rPr>
        <w:t xml:space="preserve">، وهو مذکور فی الفهرست </w:t>
      </w:r>
      <w:r>
        <w:rPr>
          <w:rStyle w:val="FootnoteAnchor"/>
          <w:rtl w:val="true"/>
        </w:rPr>
        <w:footnoteReference w:id="1356"/>
      </w:r>
      <w:r>
        <w:rPr>
          <w:rFonts w:ascii="IRNazanin" w:hAnsi="IRNazanin" w:eastAsia="IRNazanin"/>
          <w:color w:val="111111"/>
          <w:sz w:val="28"/>
          <w:sz w:val="28"/>
          <w:szCs w:val="28"/>
          <w:rtl w:val="true"/>
          <w:lang w:bidi="fa-IR"/>
        </w:rPr>
        <w:t xml:space="preserve">والنجاشی </w:t>
      </w:r>
      <w:r>
        <w:rPr>
          <w:rStyle w:val="FootnoteAnchor"/>
          <w:rtl w:val="true"/>
        </w:rPr>
        <w:footnoteReference w:id="1357"/>
      </w:r>
      <w:r>
        <w:rPr>
          <w:rFonts w:ascii="IRNazanin" w:hAnsi="IRNazanin" w:eastAsia="IRNazanin"/>
          <w:color w:val="111111"/>
          <w:sz w:val="28"/>
          <w:sz w:val="28"/>
          <w:szCs w:val="28"/>
          <w:rtl w:val="true"/>
          <w:lang w:bidi="fa-IR"/>
        </w:rPr>
        <w:t>بما لا یفید توثیقاً ولا مدحاً ، وربما یروی عن غیر من ذکر ، کعلی بن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واستبعاد کونه ابن النعمان بروایته عن أبی إبراهیم ، ولم یذکر علی بن النعمان فی رجال الکاظم علیه السلام ؛ یدفعه أنّه لا تصریح فی الرجال بما ینافیه ، بل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عن الرضا علیه السلام </w:t>
      </w:r>
      <w:r>
        <w:rPr>
          <w:rStyle w:val="FootnoteAnchor"/>
          <w:rtl w:val="true"/>
        </w:rPr>
        <w:footnoteReference w:id="1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 یفید الانحصار کما یعلم من أصحاب الرجال ، إلاّ أنّ الفائدة مع عدم الجزم به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عبد الرحمن ، وربما یظن أنّه ابن أبی نجران ، لوقوع ذلک فی الروایات ، وسیأتی عن قریب فی باب غسل المیت روایة عن</w:t>
      </w:r>
    </w:p>
    <w:p>
      <w:pPr>
        <w:pStyle w:val="Heading4"/>
        <w:numPr>
          <w:ilvl w:val="3"/>
          <w:numId w:val="1"/>
        </w:numPr>
        <w:rPr/>
      </w:pPr>
      <w:bookmarkStart w:id="891" w:name="__RefHeading___Toc147128_2142443653"/>
      <w:bookmarkStart w:id="892" w:name="_Toc342"/>
      <w:bookmarkEnd w:id="891"/>
      <w:r>
        <w:rPr>
          <w:rtl w:val="true"/>
        </w:rPr>
        <w:t>بحث حول علی الذی یروی عنه الحسین بن سعید</w:t>
      </w:r>
      <w:bookmarkEnd w:id="892"/>
    </w:p>
    <w:p>
      <w:pPr>
        <w:pStyle w:val="Heading4"/>
        <w:numPr>
          <w:ilvl w:val="3"/>
          <w:numId w:val="1"/>
        </w:numPr>
        <w:rPr/>
      </w:pPr>
      <w:bookmarkStart w:id="893" w:name="__RefHeading___Toc147130_2142443653"/>
      <w:bookmarkStart w:id="894" w:name="_Toc343"/>
      <w:bookmarkEnd w:id="893"/>
      <w:r>
        <w:rPr>
          <w:rtl w:val="true"/>
        </w:rPr>
        <w:t>علی بن الصلت مذدور بما لایفید توثیقاً والمدحاً</w:t>
      </w:r>
      <w:bookmarkEnd w:id="89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5" w:name="__RefHeading___Toc147132_2142443653"/>
      <w:bookmarkStart w:id="896" w:name="_Toc344"/>
      <w:bookmarkEnd w:id="895"/>
      <w:r>
        <w:rPr>
          <w:rtl w:val="true"/>
        </w:rPr>
        <w:t>بحث حول عبدالرحمان بن أبی نجران</w:t>
      </w:r>
      <w:bookmarkStart w:id="897" w:name="pg15025_160475"/>
      <w:bookmarkEnd w:id="896"/>
    </w:p>
    <w:p>
      <w:pPr>
        <w:pStyle w:val="BookText"/>
        <w:rPr/>
      </w:pPr>
      <w:bookmarkEnd w:id="897"/>
      <w:r>
        <w:rPr>
          <w:rFonts w:ascii="IRNazanin" w:hAnsi="IRNazanin" w:eastAsia="IRNazanin"/>
          <w:color w:val="111111"/>
          <w:sz w:val="28"/>
          <w:sz w:val="28"/>
          <w:szCs w:val="28"/>
          <w:rtl w:val="true"/>
          <w:lang w:bidi="fa-IR"/>
        </w:rPr>
        <w:t>الشیخ فی التهذیب یرویها زرارة عن علی بن حدید وابن أبی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وتأتی أیضاً روایة عن علی بن حدید عن عبد الرحمن بن أبی نجران فی باب الأموات </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والوالد قدس سره جزم بأنّ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 وإنّما هو وعبد الرحمن </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فی الظن أنّ هذا کثیر الوقوع ، إلاّ أنّ غیره فی حیّز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المثنّی ، وهو مشترک </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مسکان فیه احتمال الاشتراک </w:t>
      </w:r>
      <w:r>
        <w:rPr>
          <w:rStyle w:val="FootnoteAnchor"/>
          <w:rtl w:val="true"/>
        </w:rPr>
        <w:footnoteReference w:id="1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بصیر کرّرنا القول فیه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العلاّمة فی المختلف حجة لسلاّر بعد ما نقل عنه القول بأنّ المیت یجب غسله مرة بالقراح والباقی مستحبّ ووجّه الاستدلال بأنّه إذا ثبت الواحد مع الجنابة فمع عدمها أولی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یخلو من غرابة فی أوّل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العلاّمة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عدم وجوب غُسلین أحدهما للجنابة والآخر للمیت ، ولیس بدالّ علی صورة النزاع ؛ لأنّ غُسل المیت عندنا واحد ، إلاّ أنّه اشتمل علی ثلاثة أغسال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8" w:name="__RefHeading___Toc147134_2142443653"/>
      <w:bookmarkStart w:id="899" w:name="_Toc345"/>
      <w:bookmarkEnd w:id="898"/>
      <w:r>
        <w:rPr>
          <w:rtl w:val="true"/>
        </w:rPr>
        <w:t>المثنّی مشترک</w:t>
      </w:r>
      <w:bookmarkEnd w:id="899"/>
    </w:p>
    <w:p>
      <w:pPr>
        <w:pStyle w:val="Heading4"/>
        <w:numPr>
          <w:ilvl w:val="3"/>
          <w:numId w:val="1"/>
        </w:numPr>
        <w:rPr/>
      </w:pPr>
      <w:bookmarkStart w:id="900" w:name="__RefHeading___Toc147136_2142443653"/>
      <w:bookmarkStart w:id="901" w:name="_Toc346"/>
      <w:bookmarkEnd w:id="900"/>
      <w:r>
        <w:rPr>
          <w:rtl w:val="true"/>
        </w:rPr>
        <w:t>ابن مسکان فیه الحتمال الاشتراک</w:t>
      </w:r>
      <w:bookmarkEnd w:id="90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2" w:name="__RefHeading___Toc147138_2142443653"/>
      <w:bookmarkStart w:id="903" w:name="_Toc347"/>
      <w:bookmarkEnd w:id="902"/>
      <w:r>
        <w:rPr>
          <w:rtl w:val="true"/>
        </w:rPr>
        <w:t>بیان ما دلّ علی کفایة غُسل واحد للمیت الجنب</w:t>
      </w:r>
      <w:bookmarkEnd w:id="903"/>
    </w:p>
    <w:p>
      <w:pPr>
        <w:pStyle w:val="BookText"/>
        <w:rPr/>
      </w:pPr>
      <w:r>
        <w:rPr>
          <w:rFonts w:ascii="IRNazanin" w:hAnsi="IRNazanin" w:eastAsia="IRNazanin"/>
          <w:color w:val="111111"/>
          <w:sz w:val="28"/>
          <w:sz w:val="28"/>
          <w:szCs w:val="28"/>
          <w:rtl w:val="true"/>
          <w:lang w:bidi="fa-IR"/>
        </w:rPr>
        <w:t>وهذا الجواب أیضاً غریب ؛ لأنّ مقتضی الاستدلال کون غُسل المیت مع الجنابة واحداً فکذا مع عدمها بالطریق الأولی ؛ والجواب یقتضی الاعتراف بالغُسل الواحد ، لکن الواحد یراد به من دون غُسل آخر للجنابة ، لا کونه واحداً مرکّباً ، إذ لو کان ثلاثة أغسال تتحقق الوحدة علی معنی عدم الاحتیاج إلی غُسل آخر للجنابة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یبیّن المراد بالواحد فی الروایة ، فإن أُرید به غُسل المیت المتضمن للصورة المخصوصة لا یتم الاستدلال علی الاکتفاء بالمرّة بالقراح ، وإنّ أُرید بالواحد الغُسل بالقراح أمکن توجیه الاستدلال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الجواب حینئذٍ ینبغی أنّ یکون بأنّ المتبادر من الواحد غُسل المیت علی الهیئة المخصوصة فی غیره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احتمال إرادة غُسل واحد إمّا الجنابة أو غُسل المیت ، ولمّا کان غسل الجنابة لیس فیه ما فی غُسل المیت دلّ الخبر حینئذٍ علی عدم اشتراط الخلیط ، فیحتمل ادعاء أنه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ویجاب بجواز الاختصاص بحال الجنابة ، إلاّ أنّ الحق تبادر إرادة غُسل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کالأوّل فی الاحتمال ، وقوله علیه السلام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لأنّهما حرمتان اجتمعتا فی حرمة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لا یخلو من إجمال من حیث احتمال إرادة غسل ثالث یجزئ عن الجنابة والموت ، إلاّ أنّ احتمال إرادة الاکتفاء بالغسل الواحد له تبادر علی ما یظن من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رام 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الإجزاء عن الجنابة لا یتصوّر إلاّ فی ماء القراح ؛ لأنّ غیره ربما لا یتحقق معه الماء المطلق ، سیّما وقد قدّر بعض الأصحاب السدر برطل ، وبعضهم برطل ونصف</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بقاء الماء علی إطلاقه معروف بین الأصحاب</w:t>
      </w:r>
      <w:r>
        <w:rPr>
          <w:rFonts w:eastAsia="IRNazanin" w:cs="IRNazanin"/>
          <w:color w:val="111111"/>
          <w:sz w:val="28"/>
          <w:szCs w:val="28"/>
          <w:rtl w:val="true"/>
          <w:lang w:bidi="fa-IR"/>
        </w:rPr>
        <w:t xml:space="preserve">. </w:t>
      </w:r>
      <w:bookmarkStart w:id="904" w:name="pg15025_160477"/>
    </w:p>
    <w:p>
      <w:pPr>
        <w:pStyle w:val="BookText"/>
        <w:rPr/>
      </w:pPr>
      <w:bookmarkEnd w:id="904"/>
      <w:r>
        <w:rPr>
          <w:rFonts w:ascii="IRNazanin" w:hAnsi="IRNazanin" w:eastAsia="IRNazanin"/>
          <w:color w:val="111111"/>
          <w:sz w:val="28"/>
          <w:sz w:val="28"/>
          <w:szCs w:val="28"/>
          <w:rtl w:val="true"/>
          <w:lang w:bidi="fa-IR"/>
        </w:rPr>
        <w:t xml:space="preserve">نعم ذکر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المفید قدّر السدر برطل ، وابن البراج برطل ونصف ، واتفق الأصحاب علی ترغیته ، وهما یوهمان الإضافة ویکون المطهّر هو القراح </w:t>
      </w:r>
      <w:r>
        <w:rPr>
          <w:rStyle w:val="FootnoteAnchor"/>
          <w:rtl w:val="true"/>
        </w:rPr>
        <w:footnoteReference w:id="1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غیر خفی أنّه لا یقتضی القول ، بل مجرّد الإیهام ، علی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کونه غُسلاً واحداً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الغسلین الأولین مقدمتان للطهارة فلا مانع من الإضافة ، أمّا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ثلاثة أغسال ، أمکن التوقف ؛ وإنّ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کون الماء مضافاً والمطهّر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الظاهر من بعض الأخبار حیث قیل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بماء وسدر بقاء الماء علی الإطلاق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فیه دلالة علی کون الغُسل واحداً ؛ لأنّ الغسلة الواحدة إمّا أنّ یراد بها غُسل المیت ، أو ثالثة غُسل المیت ؛ فإنّ أُرید الأوّل أفاد المطلوب ، وإنّ أرید الثانی یضرّ بالحال ، ولعل سلاّر لو استدل به أمکن التوجیه ، لکن السند کما تری ، والمتن لا یخلو من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للأصحاب کاملاً فی تداخل الأغسال ، وتفصیلاً قد أوضحناه فی محل آخر </w:t>
      </w:r>
      <w:r>
        <w:rPr>
          <w:rStyle w:val="FootnoteAnchor"/>
          <w:rtl w:val="true"/>
        </w:rPr>
        <w:footnoteReference w:id="1368"/>
      </w:r>
      <w:r>
        <w:rPr>
          <w:rFonts w:ascii="IRNazanin" w:hAnsi="IRNazanin" w:eastAsia="IRNazanin"/>
          <w:color w:val="111111"/>
          <w:sz w:val="28"/>
          <w:sz w:val="28"/>
          <w:szCs w:val="28"/>
          <w:rtl w:val="true"/>
          <w:lang w:bidi="fa-IR"/>
        </w:rPr>
        <w:t xml:space="preserve">، والذی یلیق ذکره هنا ما ذکروه فی التداخل مع کون الأغسال کلّها واجبة ، وحاصل الأمر أنّ البعض ذکر ما أشرنا إلیه ولم یذکر غسل المیت مع الجنابة </w:t>
      </w:r>
      <w:r>
        <w:rPr>
          <w:rStyle w:val="FootnoteAnchor"/>
          <w:rtl w:val="true"/>
        </w:rPr>
        <w:footnoteReference w:id="1369"/>
      </w:r>
      <w:r>
        <w:rPr>
          <w:rFonts w:ascii="IRNazanin" w:hAnsi="IRNazanin" w:eastAsia="IRNazanin"/>
          <w:color w:val="111111"/>
          <w:sz w:val="28"/>
          <w:sz w:val="28"/>
          <w:szCs w:val="28"/>
          <w:rtl w:val="true"/>
          <w:lang w:bidi="fa-IR"/>
        </w:rPr>
        <w:t>، ووجّه التداخل بأن المطلوب رفع الحدث أو الاستباحة وهو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بأنّ هذا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5" w:name="__RefHeading___Toc147140_2142443653"/>
      <w:bookmarkStart w:id="906" w:name="_Toc348"/>
      <w:bookmarkEnd w:id="905"/>
      <w:r>
        <w:rPr>
          <w:rtl w:val="true"/>
        </w:rPr>
        <w:t>بحث فی تداخل الاُغسال</w:t>
      </w:r>
      <w:bookmarkEnd w:id="906"/>
    </w:p>
    <w:p>
      <w:pPr>
        <w:pStyle w:val="BookText"/>
        <w:rPr/>
      </w:pPr>
      <w:r>
        <w:rPr>
          <w:rFonts w:ascii="IRNazanin" w:hAnsi="IRNazanin" w:eastAsia="IRNazanin"/>
          <w:color w:val="111111"/>
          <w:sz w:val="28"/>
          <w:sz w:val="28"/>
          <w:szCs w:val="28"/>
          <w:rtl w:val="true"/>
          <w:lang w:bidi="fa-IR"/>
        </w:rPr>
        <w:t xml:space="preserve">لا یتم فیما نحن فیه ، لکن الأصحاب لما ضویقوا باعتبار اشتراطهم نیّة الرفع أو الاستباحة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التجأوا إلی تکلّف التوجیه فی صحة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بعضهم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نکتف بالقربة بل أوجبنا الرفع أو الاستباحة </w:t>
      </w:r>
      <w:r>
        <w:rPr>
          <w:rFonts w:eastAsia="IRNazanin" w:cs="IRNazanin"/>
          <w:color w:val="111111"/>
          <w:sz w:val="28"/>
          <w:szCs w:val="28"/>
          <w:rtl w:val="true"/>
          <w:lang w:bidi="fa-IR"/>
        </w:rPr>
        <w:t xml:space="preserve">) </w:t>
      </w:r>
      <w:r>
        <w:rPr>
          <w:rStyle w:val="FootnoteAnchor"/>
          <w:rtl w:val="true"/>
        </w:rPr>
        <w:footnoteReference w:id="1370"/>
      </w:r>
      <w:r>
        <w:rPr>
          <w:rFonts w:ascii="IRNazanin" w:hAnsi="IRNazanin" w:eastAsia="IRNazanin"/>
          <w:color w:val="111111"/>
          <w:sz w:val="28"/>
          <w:sz w:val="28"/>
          <w:szCs w:val="28"/>
          <w:rtl w:val="true"/>
          <w:lang w:bidi="fa-IR"/>
        </w:rPr>
        <w:t xml:space="preserve">فإن نوی أحدهما 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لا یعیّن رفع أحد الأحداث أو یعیّن ؛ فإن کان الأوّل فالعلاّمة علی التداخل </w:t>
      </w:r>
      <w:r>
        <w:rPr>
          <w:rStyle w:val="FootnoteAnchor"/>
          <w:rtl w:val="true"/>
        </w:rPr>
        <w:footnoteReference w:id="1371"/>
      </w:r>
      <w:r>
        <w:rPr>
          <w:rFonts w:ascii="IRNazanin" w:hAnsi="IRNazanin" w:eastAsia="IRNazanin"/>
          <w:color w:val="111111"/>
          <w:sz w:val="28"/>
          <w:sz w:val="28"/>
          <w:szCs w:val="28"/>
          <w:rtl w:val="true"/>
          <w:lang w:bidi="fa-IR"/>
        </w:rPr>
        <w:t xml:space="preserve">، وإنّ کان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معها غسل الجنابة وساوَیْنا بینها وبینه فی عدم الوضوء ، أو لم یکن معها ، کفی نیته عن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معها واشترطنا الوضوء فیها ، فإن کان المعیّن الجنابة أجزأ عن غیره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غیره فخلاف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فی المعتبر مال إلی الأخیر محتجاً بأنّه غُسل صحیح نوی به الاستباحة </w:t>
      </w: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النهایة قوّی عدم الإجزاء محتجاً بأنّ رفع الأدون لا یستلزم رفع الأعلی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علیک أنّ ما نحن فیه یقع فیه الإشکال من جهة الوضوء إن قلنا بوجوبه مع غُسل المیت ، وحینئذٍ یحتمل سقوطه باعتبار الجنابة ، ویحتمل عدمه لاحتمال الاکتفاء بغُسل المیت عنه ، لا لکونه مقصود الدخول فیه ، فإذا ثبت الوضوء مع غُسل المیت بقی وجوبه ، ویحتمل البناء علی التداخل فی جمیع أغسال المیت أو فی القراح ، والأخبار کما تری لا دلالة فیها علی شی‌ء من ذلک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لا تدل علی بقاء غُسل الجنابة بعد </w:t>
      </w:r>
    </w:p>
    <w:p>
      <w:pPr>
        <w:pStyle w:val="BookText"/>
        <w:rPr/>
      </w:pPr>
      <w:r>
        <w:rPr>
          <w:rFonts w:ascii="IRNazanin" w:hAnsi="IRNazanin" w:eastAsia="IRNazanin"/>
          <w:color w:val="111111"/>
          <w:sz w:val="28"/>
          <w:sz w:val="28"/>
          <w:szCs w:val="28"/>
          <w:rtl w:val="true"/>
          <w:lang w:bidi="fa-IR"/>
        </w:rPr>
        <w:t xml:space="preserve">الموت ، بل الظاهر منها الاکتفاء بغُسل واحد ، وهو أعمّ من التداخل الدال علی بقاء غُسل الجنابة ، وعدمه الدال علی عدم الوجوب ، بل الظاهر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حرمتان اجتمعتا فی 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من وجه ، إلاّ أن للکلام فی المقام مجالاً ،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إبراهیم بن هاشم ، عن الحسین بن سعید ، عن صفوان بن یحیی ، عن عیص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مات وهو جنب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غسلة واحدة بماء ، ثم یغسّل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علی بن محمّد ، عن أبی القاسم سعید بن محمّد الکوفی ، عن محمّد بن أبی حمزة ، عن عیص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یموت وهو جنب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من الجنابة ، ثم یغسّل بعد غُسل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 عن محمّد بن خالد ، عن عبد الله بن المغیرة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بعض أصحابنا ، عن عیص ، عن أبی عبد الله علیه السلام ، عن أبیه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المیت فخُذ فی جهازه وعجّله ، وإذا مات المیت وهو جنب غسّل غُسلاً واحداً ، ثم یغسّل بعد ذلک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تنافی بین هذه الأخبار وبین الأخبار الأوّلة ؛ لأنّ هذه الروایات أوّل ما فیها أنّ الأصل فیها کلّها عیص بن القاسم ، وهو واحد ، ولا یجوز أن یعارض بواحد جماعة کثیرة ؛ لما بیّناه فی غیر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 لاحتمل أنّ تکون محمولة علی ضرب من </w:t>
      </w:r>
      <w:bookmarkStart w:id="907" w:name="pg15025_160480"/>
    </w:p>
    <w:p>
      <w:pPr>
        <w:pStyle w:val="BookText"/>
        <w:rPr/>
      </w:pPr>
      <w:bookmarkEnd w:id="907"/>
      <w:r>
        <w:rPr>
          <w:rFonts w:ascii="IRNazanin" w:hAnsi="IRNazanin" w:eastAsia="IRNazanin"/>
          <w:color w:val="111111"/>
          <w:sz w:val="28"/>
          <w:sz w:val="28"/>
          <w:szCs w:val="28"/>
          <w:rtl w:val="true"/>
          <w:lang w:bidi="fa-IR"/>
        </w:rPr>
        <w:t>الاستحباب دون الفرض والإیجاب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یمکن أن یکون الوجه فی هذه الأخبار أنّ الأمر بالغُسل بعد غُسل المیت غُسلَ الجنابة إنّما توجّه إلی غاسله ، فکأنه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یغسّل المیت غُسل الجنابة ثم تغتسل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ذلک غلطاً من الراوی أو الناسخ ؛ وقد روی ما ذکرناه هذا الراوی بعینه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أبی جعفر محمّد بن علی بن الحسین ، عن أبیه ، عن محمّد بن أحمد بن علی ، عن عبد الله بن الصلت ، عن عبد الله بن المغیرة ، عن عیص بن القاسم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المیت وهو جنب غسّل غُسلاً واحداً ، ثم اغتسل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ریب إلاّ من جهة عدم الطریق إلی إبراهیم بن هاشم فی المشیخة ، وطریقه فی الفهرست إلیه مقید بکتبه </w:t>
      </w:r>
      <w:r>
        <w:rPr>
          <w:rStyle w:val="FootnoteAnchor"/>
          <w:rtl w:val="true"/>
        </w:rPr>
        <w:footnoteReference w:id="1374"/>
      </w:r>
      <w:r>
        <w:rPr>
          <w:rFonts w:ascii="IRNazanin" w:hAnsi="IRNazanin" w:eastAsia="IRNazanin"/>
          <w:color w:val="111111"/>
          <w:sz w:val="28"/>
          <w:sz w:val="28"/>
          <w:szCs w:val="28"/>
          <w:rtl w:val="true"/>
          <w:lang w:bidi="fa-IR"/>
        </w:rPr>
        <w:t>، ولم یعلم أنّ هذا الخبر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تصحیح الطریق من طریقه إلی ابنه علی من حیث إنّ الظاهر کون الابن روی جمیع روایات الأب لا یخفی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عیص فهو ابن القاسم ، کما صرَّح به الشیخ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محمّد ، وهو مشترک </w:t>
      </w:r>
      <w:r>
        <w:rPr>
          <w:rStyle w:val="FootnoteAnchor"/>
          <w:rtl w:val="true"/>
        </w:rPr>
        <w:footnoteReference w:id="1375"/>
      </w:r>
      <w:r>
        <w:rPr>
          <w:rFonts w:ascii="IRNazanin" w:hAnsi="IRNazanin" w:eastAsia="IRNazanin"/>
          <w:color w:val="111111"/>
          <w:sz w:val="28"/>
          <w:sz w:val="28"/>
          <w:szCs w:val="28"/>
          <w:rtl w:val="true"/>
          <w:lang w:bidi="fa-IR"/>
        </w:rPr>
        <w:t>، من دون الطریق إلیه لیعرف مرتبته</w:t>
      </w:r>
      <w:r>
        <w:rPr>
          <w:rFonts w:eastAsia="IRNazanin" w:cs="IRNazanin"/>
          <w:color w:val="111111"/>
          <w:sz w:val="28"/>
          <w:szCs w:val="28"/>
          <w:rtl w:val="true"/>
          <w:lang w:bidi="fa-IR"/>
        </w:rPr>
        <w:t>.</w:t>
      </w:r>
    </w:p>
    <w:p>
      <w:pPr>
        <w:pStyle w:val="Heading4"/>
        <w:numPr>
          <w:ilvl w:val="3"/>
          <w:numId w:val="1"/>
        </w:numPr>
        <w:rPr/>
      </w:pPr>
      <w:bookmarkStart w:id="908" w:name="__RefHeading___Toc147142_2142443653"/>
      <w:bookmarkStart w:id="909" w:name="_Toc349"/>
      <w:bookmarkEnd w:id="908"/>
      <w:r>
        <w:rPr>
          <w:rtl w:val="true"/>
        </w:rPr>
        <w:t>لیس للشیخ طریق إلی إبراهیم بن هاشم فی المشیخة</w:t>
      </w:r>
      <w:bookmarkEnd w:id="90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0" w:name="__RefHeading___Toc147144_2142443653"/>
      <w:bookmarkStart w:id="911" w:name="_Toc350"/>
      <w:bookmarkEnd w:id="910"/>
      <w:r>
        <w:rPr>
          <w:rtl w:val="true"/>
        </w:rPr>
        <w:t>علی بن محمّد مشترک</w:t>
      </w:r>
      <w:bookmarkStart w:id="912" w:name="pg15025_160481"/>
      <w:bookmarkEnd w:id="911"/>
    </w:p>
    <w:p>
      <w:pPr>
        <w:pStyle w:val="BookText"/>
        <w:rPr/>
      </w:pPr>
      <w:bookmarkEnd w:id="912"/>
      <w:r>
        <w:rPr>
          <w:rFonts w:ascii="IRNazanin" w:hAnsi="IRNazanin" w:eastAsia="IRNazanin"/>
          <w:color w:val="111111"/>
          <w:sz w:val="28"/>
          <w:sz w:val="28"/>
          <w:szCs w:val="28"/>
          <w:rtl w:val="true"/>
          <w:lang w:bidi="fa-IR"/>
        </w:rPr>
        <w:t>وسعید بن محمّد الکوفی غیر مذکور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أبی حمزة قدّمنا فیه القول </w:t>
      </w:r>
      <w:r>
        <w:rPr>
          <w:rStyle w:val="FootnoteAnchor"/>
          <w:rtl w:val="true"/>
        </w:rPr>
        <w:footnoteReference w:id="1376"/>
      </w:r>
      <w:r>
        <w:rPr>
          <w:rFonts w:ascii="IRNazanin" w:hAnsi="IRNazanin" w:eastAsia="IRNazanin"/>
          <w:color w:val="111111"/>
          <w:sz w:val="28"/>
          <w:sz w:val="28"/>
          <w:szCs w:val="28"/>
          <w:rtl w:val="true"/>
          <w:lang w:bidi="fa-IR"/>
        </w:rPr>
        <w:t xml:space="preserve">؛ وفی الرجال أیضاً محمّد بن أبی حمزة التیملی مهمل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جهالة المروی عنه الراجع إلیه ضمیر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محمّد بن خالد لاشتراکه </w:t>
      </w:r>
      <w:r>
        <w:rPr>
          <w:rStyle w:val="FootnoteAnchor"/>
          <w:rtl w:val="true"/>
        </w:rPr>
        <w:footnoteReference w:id="1378"/>
      </w:r>
      <w:r>
        <w:rPr>
          <w:rFonts w:ascii="IRNazanin" w:hAnsi="IRNazanin" w:eastAsia="IRNazanin"/>
          <w:color w:val="111111"/>
          <w:sz w:val="28"/>
          <w:sz w:val="28"/>
          <w:szCs w:val="28"/>
          <w:rtl w:val="true"/>
          <w:lang w:bidi="fa-IR"/>
        </w:rPr>
        <w:t>مع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أحمد بن علی ، ولا یبعد أنّ یکون محمّد بن أحمد ابن أبی قتادة علی بن حفص ؛ لأنّ الراوی عنه محمّد بن یحیی العطّار ، وهو ثقة فی النجاشی </w:t>
      </w: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غیره ممّا هو مذکور فی کتاب ابن داود نقلاً من کتاب الشیخ فی رجال من لم یرو عن الأئمّة علیهم السلام </w:t>
      </w:r>
      <w:r>
        <w:rPr>
          <w:rStyle w:val="FootnoteAnchor"/>
          <w:rtl w:val="true"/>
        </w:rPr>
        <w:footnoteReference w:id="1380"/>
      </w:r>
      <w:r>
        <w:rPr>
          <w:rFonts w:ascii="Amiri" w:hAnsi="Amiri" w:eastAsia="Amiri" w:cs="Amiri"/>
          <w:color w:val="111111"/>
          <w:sz w:val="28"/>
          <w:sz w:val="28"/>
          <w:szCs w:val="28"/>
          <w:rtl w:val="true"/>
          <w:lang w:bidi="ar-SA"/>
        </w:rPr>
        <w:t>أظنّه بعیداً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الجمیع ما عدا الأخیر لا یخلو ما ذکره الشیخ فیه من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ذکره رحمه الله من أنّه لا یطعن فی السند إلاّ بعد عدم وجه الجمع ، والوجه هنا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السهو من الراوی فی مثل هذا مشکل بالنسبة إلی کون الرجل ثقة ؛ اللهم إلاّ أنّ یکون السهو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وسهو الناسخ أبعد ؛ لأنّ مقتضی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یغسّل المیت بماء أوّلاً ثم یغسّل ، فلو حمل الغُسل الثانی</w:t>
      </w:r>
    </w:p>
    <w:p>
      <w:pPr>
        <w:pStyle w:val="Heading4"/>
        <w:numPr>
          <w:ilvl w:val="3"/>
          <w:numId w:val="1"/>
        </w:numPr>
        <w:rPr/>
      </w:pPr>
      <w:bookmarkStart w:id="913" w:name="__RefHeading___Toc147146_2142443653"/>
      <w:bookmarkStart w:id="914" w:name="_Toc351"/>
      <w:bookmarkEnd w:id="913"/>
      <w:r>
        <w:rPr>
          <w:rtl w:val="true"/>
        </w:rPr>
        <w:t>سعید بن محمّد الکوفی غیر مذکور فی الرجال</w:t>
      </w:r>
      <w:bookmarkEnd w:id="914"/>
    </w:p>
    <w:p>
      <w:pPr>
        <w:pStyle w:val="Heading4"/>
        <w:numPr>
          <w:ilvl w:val="3"/>
          <w:numId w:val="1"/>
        </w:numPr>
        <w:rPr/>
      </w:pPr>
      <w:bookmarkStart w:id="915" w:name="__RefHeading___Toc147148_2142443653"/>
      <w:bookmarkStart w:id="916" w:name="_Toc352"/>
      <w:bookmarkEnd w:id="915"/>
      <w:r>
        <w:rPr>
          <w:rtl w:val="true"/>
        </w:rPr>
        <w:t>محمّد بن أبی حمزة التیملی مهمل</w:t>
      </w:r>
      <w:bookmarkEnd w:id="916"/>
    </w:p>
    <w:p>
      <w:pPr>
        <w:pStyle w:val="Heading4"/>
        <w:numPr>
          <w:ilvl w:val="3"/>
          <w:numId w:val="1"/>
        </w:numPr>
        <w:rPr/>
      </w:pPr>
      <w:bookmarkStart w:id="917" w:name="__RefHeading___Toc147150_2142443653"/>
      <w:bookmarkStart w:id="918" w:name="_Toc353"/>
      <w:bookmarkEnd w:id="917"/>
      <w:r>
        <w:rPr>
          <w:rtl w:val="true"/>
        </w:rPr>
        <w:t>محمّد بن خالد مشترک</w:t>
      </w:r>
      <w:bookmarkEnd w:id="918"/>
    </w:p>
    <w:p>
      <w:pPr>
        <w:pStyle w:val="Heading4"/>
        <w:numPr>
          <w:ilvl w:val="3"/>
          <w:numId w:val="1"/>
        </w:numPr>
        <w:rPr/>
      </w:pPr>
      <w:bookmarkStart w:id="919" w:name="__RefHeading___Toc147152_2142443653"/>
      <w:bookmarkStart w:id="920" w:name="_Toc354"/>
      <w:bookmarkEnd w:id="919"/>
      <w:r>
        <w:rPr>
          <w:rtl w:val="true"/>
        </w:rPr>
        <w:t>محمّد بن أحمد بن علی بن حفص ثقة</w:t>
      </w:r>
      <w:bookmarkEnd w:id="92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1" w:name="__RefHeading___Toc147154_2142443653"/>
      <w:bookmarkStart w:id="922" w:name="_Toc355"/>
      <w:bookmarkEnd w:id="921"/>
      <w:r>
        <w:rPr>
          <w:rtl w:val="true"/>
        </w:rPr>
        <w:t>المناقشة فی توجیه الشیخ لما دلّ علی عدم کفایة غُسل واحد للمیت الجنب</w:t>
      </w:r>
      <w:bookmarkEnd w:id="922"/>
    </w:p>
    <w:p>
      <w:pPr>
        <w:pStyle w:val="BookText"/>
        <w:rPr/>
      </w:pPr>
      <w:r>
        <w:rPr>
          <w:rFonts w:ascii="IRNazanin" w:hAnsi="IRNazanin" w:eastAsia="IRNazanin"/>
          <w:color w:val="111111"/>
          <w:sz w:val="28"/>
          <w:sz w:val="28"/>
          <w:szCs w:val="28"/>
          <w:rtl w:val="true"/>
          <w:lang w:bidi="fa-IR"/>
        </w:rPr>
        <w:t xml:space="preserve">علی غُسل المغسّل أمکن ، أمّا غُسل المیت بماء فقط فهو خلاف مدلول الأخبار ؛ اللهم إلاّ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بیان غُسله بالماء المطلق ، وترک ما معه من الضمیمة للعلم به ، وربما کان هذا أولی فی الاستدلال لسلاّر لو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فالسهو فیه من الناسخ بعید جدّاً ، وظاهره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الثالث ، إلاّ أنّه قریب للتأویل ، ولعلّ الأولی الحمل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قاله شیخنا أیّده الله تعالی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الأوضح الحمل علی أنّه یغسّل أوّلاً من أثر الجنابة مثل المنی ونحوه ؛ ممکن وإنّ بعُد ، إلاّ أنّه أقرب من محمل الشیخ علی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الشیخ من دلالة الروایة الأخیرة فلا یدلّ علی أنّ ما وقع سهو کما لا یخفی ، بل یؤکّد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مورد الأخبار موت الجنب ، أمّا غیره فالحائض والنفساء قد ورد فی بعض الأخبار أنّهما یغسّلان مثل غُسل الطاهرة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الجنب إنّما یغسّل غُسلاً واحداً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دلالة علی أنّ المراد بالغُسل الواحد غسل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مروی فی التهذیب عن محمّد بن أحمد بن یحیی ، عن أحمد بن الحسن بن علی بن فضّال ، عن عمرو بن سعید ، عن مصدّق بن صدقة ، عن عمّار الساباطی ، عن أبی عبد الله علیه السلام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bookmarkStart w:id="923" w:name="pg15025_160483"/>
    </w:p>
    <w:p>
      <w:pPr>
        <w:pStyle w:val="BookText"/>
        <w:rPr/>
      </w:pPr>
      <w:bookmarkEnd w:id="923"/>
      <w:r>
        <w:rPr>
          <w:rFonts w:ascii="IRNazanin" w:hAnsi="IRNazanin" w:eastAsia="IRNazanin"/>
          <w:color w:val="111111"/>
          <w:sz w:val="28"/>
          <w:sz w:val="28"/>
          <w:szCs w:val="28"/>
          <w:rtl w:val="true"/>
          <w:lang w:bidi="fa-IR"/>
        </w:rPr>
        <w:t xml:space="preserve">ولا یبعد أنّ یکون الحدیث مأخوذاً من الفقیه ، وما تضمنه من الجنب محتمل لأنّ یکون من کلام الصدوق ، لأنّه قال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الجنب إنّما یغسّل غُسلاً واحداً </w:t>
      </w: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والموجود فی النسخة التی وقفت علیها وقوع فاصل بین هذه العبارة وما قبلها ؛ إلاّ أنّ الشیخ نقله من جملة الحدیث من غیر فاصلة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غیر من ذکر فاحتمال الاتحاد فی الحکم ممکن ؛ لظاهر التعلیل فی الخبر السابق عن زرارة </w:t>
      </w:r>
      <w:r>
        <w:rPr>
          <w:rStyle w:val="FootnoteAnchor"/>
          <w:rtl w:val="true"/>
        </w:rPr>
        <w:footnoteReference w:id="1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العدم ؛ لاحتمال التعلیل الاختصاص ، ولا یخلو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 خبر زرارة بالصحة فی کلام بعض محقّقی المعاصرین </w:t>
      </w:r>
      <w:r>
        <w:rPr>
          <w:rStyle w:val="FootnoteAnchor"/>
          <w:rtl w:val="true"/>
        </w:rPr>
        <w:footnoteReference w:id="1384"/>
      </w:r>
      <w:r>
        <w:rPr>
          <w:rFonts w:ascii="IRNazanin" w:hAnsi="IRNazanin" w:eastAsia="IRNazanin"/>
          <w:color w:val="111111"/>
          <w:sz w:val="28"/>
          <w:sz w:val="28"/>
          <w:szCs w:val="28"/>
          <w:rtl w:val="true"/>
          <w:lang w:bidi="fa-IR"/>
        </w:rPr>
        <w:t xml:space="preserve">سلّمه الله وکأنّه لما أشرنا إلیه سابقاً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حدّ الماء الذی یغسّل به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الصفار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علیه السلام ، کم حدّ الماء الذی یغسّل به المیت؟ کما ورد </w:t>
      </w:r>
      <w:r>
        <w:rPr>
          <w:rStyle w:val="FootnoteAnchor"/>
          <w:rtl w:val="true"/>
        </w:rPr>
        <w:footnoteReference w:id="1386"/>
      </w:r>
      <w:r>
        <w:rPr>
          <w:rFonts w:ascii="IRNazanin" w:hAnsi="IRNazanin" w:eastAsia="IRNazanin"/>
          <w:color w:val="111111"/>
          <w:sz w:val="28"/>
          <w:sz w:val="28"/>
          <w:szCs w:val="28"/>
          <w:rtl w:val="true"/>
          <w:lang w:bidi="fa-IR"/>
        </w:rPr>
        <w:t xml:space="preserve">أنّ الجنب یغتسل بستّة أرطال والحائض بتسعة أرطال ، فهل للمیت حدّ من الماء الذی یغسّل به؟ فوقّع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غسل المیت أنّ یغسّل حتّی یطهر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علی بن إبراهیم ، عن أبیه ، عن ابن أبی عمیر ، عن</w:t>
      </w:r>
    </w:p>
    <w:p>
      <w:pPr>
        <w:pStyle w:val="Heading4"/>
        <w:numPr>
          <w:ilvl w:val="3"/>
          <w:numId w:val="1"/>
        </w:numPr>
        <w:rPr/>
      </w:pPr>
      <w:bookmarkStart w:id="924" w:name="__RefHeading___Toc147156_2142443653"/>
      <w:bookmarkStart w:id="925" w:name="_Toc356"/>
      <w:bookmarkEnd w:id="924"/>
      <w:r>
        <w:rPr>
          <w:rtl w:val="true"/>
        </w:rPr>
        <w:t>حکم من مات وعلیه غُسل غیر غُسل الجنابة</w:t>
      </w:r>
      <w:bookmarkEnd w:id="925"/>
    </w:p>
    <w:p>
      <w:pPr>
        <w:pStyle w:val="Heading3"/>
        <w:numPr>
          <w:ilvl w:val="2"/>
          <w:numId w:val="1"/>
        </w:numPr>
        <w:rPr/>
      </w:pPr>
      <w:bookmarkStart w:id="926" w:name="__RefHeading___Toc147158_2142443653"/>
      <w:bookmarkStart w:id="927" w:name="_Toc357"/>
      <w:bookmarkEnd w:id="926"/>
      <w:r>
        <w:rPr>
          <w:rtl w:val="true"/>
        </w:rPr>
        <w:t>حدّ الماء الذی یغسّل به المیت</w:t>
      </w:r>
      <w:bookmarkEnd w:id="92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8" w:name="__RefHeading___Toc147160_2142443653"/>
      <w:bookmarkStart w:id="929" w:name="_Toc358"/>
      <w:bookmarkEnd w:id="928"/>
      <w:r>
        <w:rPr>
          <w:rtl w:val="true"/>
        </w:rPr>
        <w:t>اشارة</w:t>
      </w:r>
      <w:bookmarkStart w:id="930" w:name="pg15025_160484"/>
      <w:bookmarkEnd w:id="929"/>
    </w:p>
    <w:p>
      <w:pPr>
        <w:pStyle w:val="BookText"/>
        <w:rPr/>
      </w:pPr>
      <w:bookmarkEnd w:id="930"/>
      <w:r>
        <w:rPr>
          <w:rFonts w:ascii="IRNazanin" w:hAnsi="IRNazanin" w:eastAsia="IRNazanin"/>
          <w:color w:val="111111"/>
          <w:sz w:val="28"/>
          <w:sz w:val="28"/>
          <w:szCs w:val="28"/>
          <w:rtl w:val="true"/>
          <w:lang w:bidi="fa-IR"/>
        </w:rPr>
        <w:t xml:space="preserve">حفص ابن البختری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لعلی </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فاغسلنی بسبع قِرَب من بئر غرس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سهل بن زیاد ، عن أحمد بن محمّد بن أبی نصر ، عن فضیل سُکَّرة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هل للماء حدّ محدود؟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قال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مِتّ فاستق لی ستّ قِرَب من بئر غرس فاغسلنی وکفّنّی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تنافی بین هذین الخبرین والخبر الأوّل ؛ لأنّهما محمولان علی ضرب من الاستحباب ، لأنّ الفضل فی غُسل المیت أنّ یستعمل الماء کثیراً واسعاً ولا یضیّق الماء فیه ، وإنّ کان لو اقتصر علی القدر الذی یطهره أجزأه ما یتناوله اسم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 کما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عند المتأخرین ، غیر أنّه ربما یحصل نوع شک فی حفص ابن البختری ، لأنّ النجاشی وثّقه قائلاً بعد التوثیق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 الله وأبی الحسن علیهماالسلام ، ذکره أبو العباس ، وإنّما کان بینه وبین آل أعیَن نبوة </w:t>
      </w:r>
      <w:r>
        <w:rPr>
          <w:rStyle w:val="FootnoteAnchor"/>
          <w:rtl w:val="true"/>
        </w:rPr>
        <w:footnoteReference w:id="1388"/>
      </w:r>
      <w:r>
        <w:rPr>
          <w:rFonts w:ascii="IRNazanin" w:hAnsi="IRNazanin" w:eastAsia="IRNazanin"/>
          <w:color w:val="111111"/>
          <w:sz w:val="28"/>
          <w:sz w:val="28"/>
          <w:szCs w:val="28"/>
          <w:rtl w:val="true"/>
          <w:lang w:bidi="fa-IR"/>
        </w:rPr>
        <w:t xml:space="preserve">فغمزوا علیه بلعب الشطرنج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أبا العباس مشترک بین ابن نوح وابن عقدة </w:t>
      </w:r>
      <w:r>
        <w:rPr>
          <w:rStyle w:val="FootnoteAnchor"/>
          <w:rtl w:val="true"/>
        </w:rPr>
        <w:footnoteReference w:id="1390"/>
      </w:r>
      <w:r>
        <w:rPr>
          <w:rFonts w:ascii="IRNazanin" w:hAnsi="IRNazanin" w:eastAsia="IRNazanin"/>
          <w:color w:val="111111"/>
          <w:sz w:val="28"/>
          <w:sz w:val="28"/>
          <w:szCs w:val="28"/>
          <w:rtl w:val="true"/>
          <w:lang w:bidi="fa-IR"/>
        </w:rPr>
        <w:t>، وابن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1" w:name="__RefHeading___Toc147162_2142443653"/>
      <w:bookmarkStart w:id="932" w:name="_Toc359"/>
      <w:bookmarkEnd w:id="931"/>
      <w:r>
        <w:rPr>
          <w:rtl w:val="true"/>
        </w:rPr>
        <w:t>بحث حول حفص بن البختری</w:t>
      </w:r>
      <w:bookmarkStart w:id="933" w:name="pg15025_160485"/>
      <w:bookmarkEnd w:id="932"/>
    </w:p>
    <w:p>
      <w:pPr>
        <w:pStyle w:val="BookText"/>
        <w:rPr/>
      </w:pPr>
      <w:bookmarkEnd w:id="933"/>
      <w:r>
        <w:rPr>
          <w:rFonts w:ascii="IRNazanin" w:hAnsi="IRNazanin" w:eastAsia="IRNazanin"/>
          <w:color w:val="111111"/>
          <w:sz w:val="28"/>
          <w:sz w:val="28"/>
          <w:szCs w:val="28"/>
          <w:rtl w:val="true"/>
          <w:lang w:bidi="fa-IR"/>
        </w:rPr>
        <w:t>عقدة لا یصلح لإثبات توثیقه ، لکن شیخنا المحقّق میرزا محمّد أیّده الله کان یرجّح أنّه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 إلاّ أنّ ابن نوح فیه کلام یعرف من مراجعته ، ورجوعه لا یفید ؛ إذ لم یعلم کون التوثیق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الإشارة فی ذلک إلی روایته عن أبی عبد الله وأبی الحسن ، لا إلی التوثیق ، لکن إشارة البعید تنافیه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القول فیه مفصّلاً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وفضیل سُکّرة مهمل فی رجال الصادق علیه السلام من کتاب الشیخ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ظهوره فی الدلالة علی أنّ ماء غُسل المیت لیس له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الباقیة ما ذکره الشیخ فیها لا وجه له ؛ لأنّ السؤال فی الأوّل تضمّن أنّ غُسل المیت هل له حدّ کما فی الجنب؟ والجواب تضمّن أنّ حدّ غُسل المیت الطهارة ؛ وهو یقتضی أنّ ما فی الجنب والحائض لیس فی المیت ، والزیادة فی الجنب والحائض علی الاستحباب محمولة ، فلو حمل ما فی الأخبار علی الاستحباب ساوی غیره فی الاستحباب ، وإنّ تفاوت الاستحباب فی المقدار ، والظاهر من الخبر الأوّل نفی الحدّ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المنفی من الأوّل غیر صحیح ، والمفهوم لو تمّت دلالته یراد به نفی ما ذکر للجنب والحائض لا مطلقاً</w:t>
      </w:r>
      <w:r>
        <w:rPr>
          <w:rFonts w:eastAsia="IRNazanin" w:cs="IRNazanin"/>
          <w:color w:val="111111"/>
          <w:sz w:val="28"/>
          <w:szCs w:val="28"/>
          <w:rtl w:val="true"/>
          <w:lang w:bidi="fa-IR"/>
        </w:rPr>
        <w:t>.</w:t>
      </w:r>
    </w:p>
    <w:p>
      <w:pPr>
        <w:pStyle w:val="Heading4"/>
        <w:numPr>
          <w:ilvl w:val="3"/>
          <w:numId w:val="1"/>
        </w:numPr>
        <w:rPr/>
      </w:pPr>
      <w:bookmarkStart w:id="934" w:name="__RefHeading___Toc147164_2142443653"/>
      <w:bookmarkStart w:id="935" w:name="_Toc360"/>
      <w:bookmarkEnd w:id="934"/>
      <w:r>
        <w:rPr>
          <w:rtl w:val="true"/>
        </w:rPr>
        <w:t>فضیل سُکّرة مهمل</w:t>
      </w:r>
      <w:bookmarkEnd w:id="93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6" w:name="__RefHeading___Toc147166_2142443653"/>
      <w:bookmarkStart w:id="937" w:name="_Toc361"/>
      <w:bookmarkEnd w:id="936"/>
      <w:r>
        <w:rPr>
          <w:rtl w:val="true"/>
        </w:rPr>
        <w:t>المناقشة فی توجیه الشیخ لما دلّ علی تحدید ماء غُسل المیت</w:t>
      </w:r>
      <w:bookmarkStart w:id="938" w:name="pg15025_160486"/>
      <w:bookmarkEnd w:id="937"/>
    </w:p>
    <w:p>
      <w:pPr>
        <w:pStyle w:val="BookText"/>
        <w:rPr/>
      </w:pPr>
      <w:bookmarkEnd w:id="938"/>
      <w:r>
        <w:rPr>
          <w:rFonts w:ascii="IRNazanin" w:hAnsi="IRNazanin" w:eastAsia="IRNazanin"/>
          <w:color w:val="111111"/>
          <w:sz w:val="28"/>
          <w:sz w:val="28"/>
          <w:szCs w:val="28"/>
          <w:rtl w:val="true"/>
          <w:lang w:bidi="fa-IR"/>
        </w:rPr>
        <w:t xml:space="preserve">علی أنّ ما ورد فی قضیّة النبی صلی الله علیه و آله یشکل بما رواه الشیخ فی التهذیب عن الصفار ، عن محمّد بن عیسی ، عن القاسم الصیقل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هل اغتسل أمیر المؤمنین علیه السلام حین غسّل رسول الله صلی الله علیه و آله عند موته؟ فأجابه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النبی صلی الله علیه و آله طاهر مطهّر ، ولکن أمیر المؤمنین علیه السلام فعل وجرت به السنّة </w:t>
      </w:r>
      <w:r>
        <w:rPr>
          <w:rFonts w:eastAsia="IRNazanin" w:cs="IRNazanin"/>
          <w:color w:val="111111"/>
          <w:sz w:val="28"/>
          <w:szCs w:val="28"/>
          <w:rtl w:val="true"/>
          <w:lang w:bidi="fa-IR"/>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هذا الحدیث کما تری یدل علی خلاف ما ذکره الشیخ من التأویل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لتعلیم الناس ؛ وحینئذٍ یکون المستحب فی غُسل المیت زیادة الماء القدر المذکور فی الروایة ، لا مطلق الکثرة کما قاله الشیخ ، علی أنّ خصوص بئر غرس ربما کان له نوع مدخلیة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بالغین المعجمة والراء المهملة نصّ علیه فی القاموس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غرس فی المدینة ، ومنه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غرس من عیون الجنة </w:t>
      </w:r>
      <w:r>
        <w:rPr>
          <w:rFonts w:eastAsia="IRNazanin" w:cs="IRNazanin"/>
          <w:color w:val="111111"/>
          <w:sz w:val="28"/>
          <w:szCs w:val="28"/>
          <w:rtl w:val="true"/>
          <w:lang w:bidi="fa-IR"/>
        </w:rPr>
        <w:t xml:space="preserve">» </w:t>
      </w:r>
      <w:r>
        <w:rPr>
          <w:rStyle w:val="FootnoteAnchor"/>
          <w:rtl w:val="true"/>
        </w:rPr>
        <w:footnoteReference w:id="1395"/>
      </w:r>
      <w:r>
        <w:rPr>
          <w:rFonts w:ascii="IRNazanin" w:hAnsi="IRNazanin" w:eastAsia="IRNazanin"/>
          <w:color w:val="111111"/>
          <w:sz w:val="28"/>
          <w:sz w:val="28"/>
          <w:szCs w:val="28"/>
          <w:rtl w:val="true"/>
          <w:lang w:bidi="fa-IR"/>
        </w:rPr>
        <w:t>کذا قاله شیخنا أیّده الله فی فوائد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دلالة علی خصوصیة بئر غرس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جواز غسل الرجل امرأته والمرأة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أخبرنی الشیخ رحمه الله عن أبی القاسم جعفر بن محمّد ، عن</w:t>
      </w:r>
    </w:p>
    <w:p>
      <w:pPr>
        <w:pStyle w:val="Heading4"/>
        <w:numPr>
          <w:ilvl w:val="3"/>
          <w:numId w:val="1"/>
        </w:numPr>
        <w:rPr/>
      </w:pPr>
      <w:bookmarkStart w:id="939" w:name="__RefHeading___Toc147168_2142443653"/>
      <w:bookmarkStart w:id="940" w:name="_Toc362"/>
      <w:bookmarkEnd w:id="939"/>
      <w:r>
        <w:rPr>
          <w:rtl w:val="true"/>
        </w:rPr>
        <w:t>توضیح حول بئر غرس</w:t>
      </w:r>
      <w:bookmarkEnd w:id="940"/>
    </w:p>
    <w:p>
      <w:pPr>
        <w:pStyle w:val="Heading3"/>
        <w:numPr>
          <w:ilvl w:val="2"/>
          <w:numId w:val="1"/>
        </w:numPr>
        <w:rPr/>
      </w:pPr>
      <w:bookmarkStart w:id="941" w:name="__RefHeading___Toc147170_2142443653"/>
      <w:bookmarkStart w:id="942" w:name="_Toc363"/>
      <w:bookmarkEnd w:id="941"/>
      <w:r>
        <w:rPr>
          <w:rtl w:val="true"/>
        </w:rPr>
        <w:t>جواز غسل الرجل امرأته والمرأة زوجها</w:t>
      </w:r>
      <w:bookmarkEnd w:id="94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3" w:name="__RefHeading___Toc147172_2142443653"/>
      <w:bookmarkStart w:id="944" w:name="_Toc364"/>
      <w:bookmarkEnd w:id="943"/>
      <w:r>
        <w:rPr>
          <w:rtl w:val="true"/>
        </w:rPr>
        <w:t>اشارة</w:t>
      </w:r>
      <w:bookmarkEnd w:id="944"/>
    </w:p>
    <w:p>
      <w:pPr>
        <w:pStyle w:val="BookText"/>
        <w:rPr/>
      </w:pPr>
      <w:r>
        <w:rPr>
          <w:rFonts w:ascii="IRNazanin" w:hAnsi="IRNazanin" w:eastAsia="IRNazanin"/>
          <w:color w:val="111111"/>
          <w:sz w:val="28"/>
          <w:sz w:val="28"/>
          <w:szCs w:val="28"/>
          <w:rtl w:val="true"/>
          <w:lang w:bidi="fa-IR"/>
        </w:rPr>
        <w:t xml:space="preserve">محمّد بن یعقوب ، عن علی بن إبراهیم ، عن أبیه ، عن ابن أبی عمیر ، عن حمّاد </w:t>
      </w:r>
      <w:r>
        <w:rPr>
          <w:rStyle w:val="FootnoteAnchor"/>
          <w:rtl w:val="true"/>
        </w:rPr>
        <w:footnoteReference w:id="1396"/>
      </w:r>
      <w:r>
        <w:rPr>
          <w:rFonts w:ascii="IRNazanin" w:hAnsi="IRNazanin" w:eastAsia="IRNazanin"/>
          <w:color w:val="111111"/>
          <w:sz w:val="28"/>
          <w:sz w:val="28"/>
          <w:szCs w:val="28"/>
          <w:rtl w:val="true"/>
          <w:lang w:bidi="fa-IR"/>
        </w:rPr>
        <w:t xml:space="preserve">، عن الحلبی ، عن أبی عبد الله علیه السلام ، أنّه سئل عن الرجل یموت ولیس عنده من یغسّله إلاّ النساء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تغسّله امرأته أو ذو قرابة إنّ کانت له ، وتصبّ النساء علیه الماء صبّاً ، وفی المرأة إذا ماتت یدخل زوجها یده تحت قمیصها فیغسّلها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 عن محمّد بن یحیی ، عن محمّد بن الحسین ، عن صفوان ، عن العلاء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یغسّل امرأته؟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من وراء الثوب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علی بن الحکم ، عن الحسین بن عثمان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إذا ماتت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یدخل زوجها یده تحت قمیصها ویغسّلها إلی المرافق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زیاد ، عن علی بن محبوب ، عن ابن رئاب ، عن الحلبی ، عن أبی عبد الله علیه السلام فی المرأة إذا ماتت ولیس معها امرأة تغسّلها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یدخل زوجها یده تحت قمیصها فیغسّلها إلی المرافق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 عن علی بن النعمان ، عن أبی الصباح الکنانی ، عن أبی عبد الله علیه السلام فی الرجل یموت فی السفر فی أرض لیس معه إلاّ النساء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یدفن ولا یغسّل ؛ والمرأة تکون مع الرجل بتلک المنزلة تدفن ولا تغسّل ، إلاّ أنّ یکون زوجها معها ؛ فإن کان زوجها معها غسّلها من فوق الدرع ویسکب الماء علیها سکباً ، </w:t>
      </w:r>
      <w:bookmarkStart w:id="945" w:name="pg15025_160488"/>
    </w:p>
    <w:p>
      <w:pPr>
        <w:pStyle w:val="BookText"/>
        <w:rPr/>
      </w:pPr>
      <w:bookmarkEnd w:id="945"/>
      <w:r>
        <w:rPr>
          <w:rFonts w:ascii="IRNazanin" w:hAnsi="IRNazanin" w:eastAsia="IRNazanin"/>
          <w:color w:val="111111"/>
          <w:sz w:val="28"/>
          <w:sz w:val="28"/>
          <w:szCs w:val="28"/>
          <w:rtl w:val="true"/>
          <w:lang w:bidi="fa-IR"/>
        </w:rPr>
        <w:t xml:space="preserve">ولا ینظر إلی عورتها ، وتغسله امرأته إنّ مات ؛ والمرأة إنّ ماتت لیست بمنزلة الرجل ، المرأة أسوأ منظراً إذا ماتت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زیاد ، عن ابن أبی نصر ، عن داود بن سرحان ،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کلها دالّة علی أنّه ینبغی له أن یغسّلها من فوق الثیاب ؛ وأمّا المرأة فإنّ الأولی أیضاً أنّ تغسّل الرجل من فوق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علی ما قدمناه فی الحسین بن عثمان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وداود بن سرحان </w:t>
      </w:r>
      <w:r>
        <w:rPr>
          <w:rStyle w:val="FootnoteAnchor"/>
          <w:rtl w:val="true"/>
        </w:rPr>
        <w:footnoteReference w:id="1398"/>
      </w:r>
      <w:r>
        <w:rPr>
          <w:rFonts w:ascii="IRNazanin" w:hAnsi="IRNazanin" w:eastAsia="IRNazanin"/>
          <w:color w:val="111111"/>
          <w:sz w:val="28"/>
          <w:sz w:val="28"/>
          <w:szCs w:val="28"/>
          <w:rtl w:val="true"/>
          <w:lang w:bidi="fa-IR"/>
        </w:rPr>
        <w:t xml:space="preserve">وثّقه النجاشی </w:t>
      </w:r>
      <w:r>
        <w:rPr>
          <w:rStyle w:val="FootnoteAnchor"/>
          <w:rtl w:val="true"/>
        </w:rPr>
        <w:footnoteReference w:id="1399"/>
      </w:r>
      <w:r>
        <w:rPr>
          <w:rFonts w:ascii="IRNazanin" w:hAnsi="IRNazanin" w:eastAsia="IRNazanin"/>
          <w:color w:val="111111"/>
          <w:sz w:val="28"/>
          <w:sz w:val="28"/>
          <w:szCs w:val="28"/>
          <w:rtl w:val="true"/>
          <w:lang w:bidi="fa-IR"/>
        </w:rPr>
        <w:t xml:space="preserve">، إلاّ أنّ فی کلامه احتمال أنّ یکون التوثیق من ابن نوح ، وقد قدّمنا فی ابن نوح أنّ فیه کلاماً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فی ابن نوح إنّما حکاه الشیخ فی</w:t>
      </w:r>
    </w:p>
    <w:p>
      <w:pPr>
        <w:pStyle w:val="Heading4"/>
        <w:numPr>
          <w:ilvl w:val="3"/>
          <w:numId w:val="1"/>
        </w:numPr>
        <w:rPr/>
      </w:pPr>
      <w:bookmarkStart w:id="946" w:name="__RefHeading___Toc147174_2142443653"/>
      <w:bookmarkStart w:id="947" w:name="_Toc365"/>
      <w:bookmarkEnd w:id="946"/>
      <w:r>
        <w:rPr>
          <w:rtl w:val="true"/>
        </w:rPr>
        <w:t>بحث حول داود بن سرحان</w:t>
      </w:r>
      <w:bookmarkEnd w:id="94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8" w:name="__RefHeading___Toc147176_2142443653"/>
      <w:bookmarkStart w:id="949" w:name="_Toc366"/>
      <w:bookmarkEnd w:id="948"/>
      <w:r>
        <w:rPr>
          <w:rtl w:val="true"/>
        </w:rPr>
        <w:t>بحث حول ابن نوح</w:t>
      </w:r>
      <w:bookmarkStart w:id="950" w:name="pg15025_160489"/>
      <w:bookmarkEnd w:id="949"/>
    </w:p>
    <w:p>
      <w:pPr>
        <w:pStyle w:val="BookText"/>
        <w:rPr/>
      </w:pPr>
      <w:bookmarkEnd w:id="950"/>
      <w:r>
        <w:rPr>
          <w:rFonts w:ascii="IRNazanin" w:hAnsi="IRNazanin" w:eastAsia="IRNazanin"/>
          <w:color w:val="111111"/>
          <w:sz w:val="28"/>
          <w:sz w:val="28"/>
          <w:szCs w:val="28"/>
          <w:rtl w:val="true"/>
          <w:lang w:bidi="fa-IR"/>
        </w:rPr>
        <w:t xml:space="preserve">الفهرست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عنه مذاهب فاسدة فی الأُصول مثل القول بالرؤیة </w:t>
      </w:r>
      <w:r>
        <w:rPr>
          <w:rStyle w:val="FootnoteAnchor"/>
          <w:rtl w:val="true"/>
        </w:rPr>
        <w:footnoteReference w:id="1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الحاکی غیر معروف ، والنجاشی لیس ممن یشتبه علیه الحال ، وقد أثنی علیه تمام الثناء فی کتاب الرجال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أنّ الزوجة تغسّل الرجل أو القرابة ، أمّا الزوجة فیغسّل الزوج لها بإدخال یده تحت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تضمنه السؤال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عنده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الاختصاص بحال الضرورة ، لأنّ السؤال عن بعض الأفراد لا یفید تخصیصها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تضمّن السؤال أمراً خاصاً فالظاهر من الجواب مطابقته ، ودعوی الجواز مطلقاً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ندعی الجواز مطلقاً بهذه الروایة ، بل من إطلاق بعض آخر ، علی معنی أنّه لا یتوهم أنّ إطلاق البعض یقید بهذا الخبر ، وإنّما یقید المطلق إذا نافاه ، أمّا إذا ذکر بعض أفراده فلا منافاة ، وما نحن فیه من هذا القبیل ؛ لأنّ بعض أفراد المطلق ما ذکر فی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آتٍ فی کل مطلق ومقیّد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قدّمنا فی هذا الکتاب کلاماً فی أنّ المقید إنّما ینافی المطلق إذا قلنا بأنّ مفهوم الوصف حجة ، لیدلّ وصف المقید علی النفی عما عداه المنافی للمطلق الدالّ علی الجواز ، بخلاف ما إذا سئل عن بعض أفراد المطلق فإنّ الجواب عنه لا یفید إثبات وصف دالّ علی النفی عما عداه وإنّ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1" w:name="__RefHeading___Toc147178_2142443653"/>
      <w:bookmarkStart w:id="952" w:name="_Toc367"/>
      <w:bookmarkEnd w:id="951"/>
      <w:r>
        <w:rPr>
          <w:rtl w:val="true"/>
        </w:rPr>
        <w:t>بیان ما دلّ علی جواز تغسیل المرأة زوجها والرجل امرأته من وراء الثیاب</w:t>
      </w:r>
      <w:bookmarkEnd w:id="952"/>
    </w:p>
    <w:p>
      <w:pPr>
        <w:pStyle w:val="BookText"/>
        <w:rPr/>
      </w:pPr>
      <w:r>
        <w:rPr>
          <w:rFonts w:ascii="IRNazanin" w:hAnsi="IRNazanin" w:eastAsia="IRNazanin"/>
          <w:color w:val="111111"/>
          <w:sz w:val="28"/>
          <w:sz w:val="28"/>
          <w:szCs w:val="28"/>
          <w:rtl w:val="true"/>
          <w:lang w:bidi="fa-IR"/>
        </w:rPr>
        <w:t>اختص الجواب بالسؤال ، فینبغی التأمّل فی هذا ، فإنّی لم أقف علیه فی کلام الأُصولیین ، مع أنّ القائل بعدم حجیة مفهوم الوصف قائل بحمل المطلق علی المقید بسبب التنافی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والموجود فی النسخ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وتصبّ النساء علیه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عود الضمیر إلی المیت ؛ وفی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وتصبّ النساء علیها الماء </w:t>
      </w:r>
      <w:r>
        <w:rPr>
          <w:rFonts w:eastAsia="IRNazanin" w:cs="IRNazanin"/>
          <w:color w:val="111111"/>
          <w:sz w:val="28"/>
          <w:szCs w:val="28"/>
          <w:rtl w:val="true"/>
          <w:lang w:bidi="fa-IR"/>
        </w:rPr>
        <w:t xml:space="preserve">» </w:t>
      </w:r>
      <w:r>
        <w:rPr>
          <w:rStyle w:val="FootnoteAnchor"/>
          <w:rtl w:val="true"/>
        </w:rPr>
        <w:footnoteReference w:id="1403"/>
      </w:r>
      <w:r>
        <w:rPr>
          <w:rFonts w:ascii="Amiri" w:hAnsi="Amiri" w:eastAsia="Amiri" w:cs="Amiri"/>
          <w:color w:val="111111"/>
          <w:sz w:val="28"/>
          <w:sz w:val="28"/>
          <w:szCs w:val="28"/>
          <w:rtl w:val="true"/>
          <w:lang w:bidi="ar-SA"/>
        </w:rPr>
        <w:t>وکأنّه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فیه إطلاق التغسیل من وراء الثیاب المتناول للغسل من فوقها إلاّ أنّه یمکن حمله علی المقیّد السابق الدالّ علی إدخال یده تحت القمیص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تقیید أیضاً إلاّ أنّه مصرّح بغسل الیدین إلی المرافق ، وهو غیر مدلول الأولین ، فیمکن حمل إطلاقهما علی هذا المقیّد عند من یعمل بهذا الخبر کالشیخ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یکون الشیخ فهم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مرافق الغاسل ، علی معنی یدخل یده إلی المرافق ؛ ویکون المراد بالید ما یتناول الیدین بنوع من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هذا لکان الخبر من قسم المنافی للأوّلین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القول فی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یدل علی أنّ سقوط التغسیل مع عدم من ذکر ، وسیأتی ما ینافیه ، ونتکلم فیه إنّ شاء الله تعالی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 مدلول هذه الأخبار ما ذکره الشیخ من تغسیل المرأة من وراء الثیاب ، لکن ظاهر کلام الشیخ أنّ ذلک لیس علی سبیل </w:t>
      </w:r>
    </w:p>
    <w:p>
      <w:pPr>
        <w:pStyle w:val="BookText"/>
        <w:rPr/>
      </w:pPr>
      <w:r>
        <w:rPr>
          <w:rFonts w:ascii="IRNazanin" w:hAnsi="IRNazanin" w:eastAsia="IRNazanin"/>
          <w:color w:val="111111"/>
          <w:sz w:val="28"/>
          <w:sz w:val="28"/>
          <w:szCs w:val="28"/>
          <w:rtl w:val="true"/>
          <w:lang w:bidi="fa-IR"/>
        </w:rPr>
        <w:t xml:space="preserve">التعیّن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المرأة فإنّ الأولی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یدل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من الشیخ ما یقتضی التعیّن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جانب الرجل عن قریب ، ویأتی </w:t>
      </w:r>
      <w:r>
        <w:rPr>
          <w:rFonts w:eastAsia="IRNazanin" w:cs="IRNazanin"/>
          <w:color w:val="111111"/>
          <w:sz w:val="28"/>
          <w:szCs w:val="28"/>
          <w:rtl w:val="true"/>
          <w:lang w:bidi="fa-IR"/>
        </w:rPr>
        <w:t xml:space="preserve">) </w:t>
      </w:r>
      <w:r>
        <w:rPr>
          <w:rStyle w:val="FootnoteAnchor"/>
          <w:rtl w:val="true"/>
        </w:rPr>
        <w:footnoteReference w:id="1404"/>
      </w:r>
      <w:r>
        <w:rPr>
          <w:rFonts w:ascii="IRNazanin" w:hAnsi="IRNazanin" w:eastAsia="IRNazanin"/>
          <w:color w:val="111111"/>
          <w:sz w:val="28"/>
          <w:sz w:val="28"/>
          <w:szCs w:val="28"/>
          <w:rtl w:val="true"/>
          <w:lang w:bidi="fa-IR"/>
        </w:rPr>
        <w:t xml:space="preserve">کلام یدل علی التقیید بعدم النساء إذا ماتت المرأة وعدم الرجال إذا مات الرجل ، وستسمع القول فیه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والمنقول عن السیّد المرتضی </w:t>
      </w:r>
      <w:r>
        <w:rPr>
          <w:rStyle w:val="FootnoteAnchor"/>
          <w:rtl w:val="true"/>
        </w:rPr>
        <w:footnoteReference w:id="1406"/>
      </w:r>
      <w:r>
        <w:rPr>
          <w:rFonts w:ascii="IRNazanin" w:hAnsi="IRNazanin" w:eastAsia="IRNazanin"/>
          <w:color w:val="111111"/>
          <w:sz w:val="28"/>
          <w:sz w:val="28"/>
          <w:szCs w:val="28"/>
          <w:rtl w:val="true"/>
          <w:lang w:bidi="fa-IR"/>
        </w:rPr>
        <w:t xml:space="preserve">وجماعة منهم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تغسیل کلّ من الزوجین الآخر مجرّداً مع وجود المحارم وعدمهم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حمید بن زیاد ، عن الحسن بن محمّد الکِنْدی ، عن غیر واحدٍ ، عن أبان بن عثمان ، عن عبد الرحمن بن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یموت ولیس عنده من یغسّله إلاّ النساء ، هل تغسّله النساء؟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تغسّله امرأته أو ذات محرم ، وتصبّ علیه </w:t>
      </w:r>
      <w:r>
        <w:rPr>
          <w:rStyle w:val="FootnoteAnchor"/>
          <w:rtl w:val="true"/>
        </w:rPr>
        <w:footnoteReference w:id="1408"/>
      </w:r>
      <w:r>
        <w:rPr>
          <w:rFonts w:ascii="IRNazanin" w:hAnsi="IRNazanin" w:eastAsia="IRNazanin"/>
          <w:color w:val="111111"/>
          <w:sz w:val="28"/>
          <w:sz w:val="28"/>
          <w:szCs w:val="28"/>
          <w:rtl w:val="true"/>
          <w:lang w:bidi="fa-IR"/>
        </w:rPr>
        <w:t xml:space="preserve">النساء الماء صبّاً من فوق الثیاب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عبد الله ، عن أبی جعفر ، عن الحسن بن علی الوشّاء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w:t>
      </w:r>
      <w:bookmarkStart w:id="953" w:name="pg15025_160492"/>
    </w:p>
    <w:p>
      <w:pPr>
        <w:pStyle w:val="BookText"/>
        <w:rPr/>
      </w:pPr>
      <w:bookmarkEnd w:id="953"/>
      <w:r>
        <w:rPr>
          <w:rFonts w:ascii="IRNazanin" w:hAnsi="IRNazanin" w:eastAsia="IRNazanin"/>
          <w:color w:val="111111"/>
          <w:sz w:val="28"/>
          <w:sz w:val="28"/>
          <w:szCs w:val="28"/>
          <w:rtl w:val="true"/>
          <w:lang w:bidi="fa-IR"/>
        </w:rPr>
        <w:t xml:space="preserve">الرجل مع النساء غسّلته امرأته ، فإن لم تکن معه امرأته غسّلته أولاهنّ به وتلفّ علی یدیها خرقة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الحسین بن سعید ، عن ابن أبی عمیر ، عن حمّاد بن عثمان ، عن زرارة ، عن أبی عبد الله علیه السلام فی الرجل یموت ولیس معه إلاّ النساء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تغسّله امرأته ، لأنّها منه فی عدّة ، وإذا ماتت لم یغسّلها لأنه لیس منها فی 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الوجه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ماتت لم یغسّلها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مجرّدة من ثیابها ؛ لأنّا إنّما نجوّز أنّ یغسّلها من تحت الثیاب ، وعلی هذا دلّ أکثر الروایات المتقدمة ، ویکون الفرق بین الرجل والمرأة فی ذلک أنّ المرأة یجوز لها أنّ تغسل الرجل مجرداً ، وإنّ کان الأفضل والأولی أنّ تستره ثم تغسله ؛ ولیس کذلک الرجل ، لأنّه لا یجوز له أنّ یغسّلها إلاّ من وراء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حمید بن زیاد ، وهو ثقة واقفی علی ما ذکره النجاشی </w:t>
      </w:r>
      <w:r>
        <w:rPr>
          <w:rStyle w:val="FootnoteAnchor"/>
          <w:rtl w:val="true"/>
        </w:rPr>
        <w:footnoteReference w:id="1409"/>
      </w:r>
      <w:r>
        <w:rPr>
          <w:rFonts w:ascii="IRNazanin" w:hAnsi="IRNazanin" w:eastAsia="IRNazanin"/>
          <w:color w:val="111111"/>
          <w:sz w:val="28"/>
          <w:sz w:val="28"/>
          <w:szCs w:val="28"/>
          <w:rtl w:val="true"/>
          <w:lang w:bidi="fa-IR"/>
        </w:rPr>
        <w:t xml:space="preserve">، والشیخ لم یذکر الوقف وذکر التوثیق </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ورجحان النجاشی هنا واضح علی قواعد بعض الأصحاب من ترجیح الجارح </w:t>
      </w:r>
      <w:r>
        <w:rPr>
          <w:rStyle w:val="FootnoteAnchor"/>
          <w:rtl w:val="true"/>
        </w:rPr>
        <w:footnoteReference w:id="1411"/>
      </w:r>
      <w:r>
        <w:rPr>
          <w:rFonts w:ascii="IRNazanin" w:hAnsi="IRNazanin" w:eastAsia="IRNazanin"/>
          <w:color w:val="111111"/>
          <w:sz w:val="28"/>
          <w:sz w:val="28"/>
          <w:szCs w:val="28"/>
          <w:rtl w:val="true"/>
          <w:lang w:bidi="fa-IR"/>
        </w:rPr>
        <w:t xml:space="preserve">، غیر أن العلاّمة قال فی الخلاصة بعد نقل کلامی الشیخ والنجاشی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عندی أنّ روایته مقبولة إذا خلت عن المعارض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4" w:name="__RefHeading___Toc147180_2142443653"/>
      <w:bookmarkStart w:id="955" w:name="_Toc368"/>
      <w:bookmarkEnd w:id="954"/>
      <w:r>
        <w:rPr>
          <w:rtl w:val="true"/>
        </w:rPr>
        <w:t>بحث حول حمید بن زیاد</w:t>
      </w:r>
      <w:bookmarkEnd w:id="955"/>
    </w:p>
    <w:p>
      <w:pPr>
        <w:pStyle w:val="BookText"/>
        <w:rPr/>
      </w:pPr>
      <w:r>
        <w:rPr>
          <w:rFonts w:ascii="IRNazanin" w:hAnsi="IRNazanin" w:eastAsia="IRNazanin"/>
          <w:color w:val="111111"/>
          <w:sz w:val="28"/>
          <w:sz w:val="28"/>
          <w:szCs w:val="28"/>
          <w:rtl w:val="true"/>
          <w:lang w:bidi="fa-IR"/>
        </w:rPr>
        <w:t xml:space="preserve">وفی حواشی جدّی قدس سره علی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بالمعارض ما یتناول أصالة البراءة فالکلام جیّد ، إلاّ أنّ العمل والحال هذه یکون بالأصل لا بالخبر ؛ وإنّ أراد بالمعارض النقل دون أصالة البراءة فمشکل ؛ لأنّ الخروج عن أصالة البراءة بروایة الواقفی غیر معهود من مذهبه وإنّ کان موثقاً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ما قاله جدّی قدس سره محلّ تأمّل ، لأنّ ظاهر قول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خلا عن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إرادة أصالة البراءة ؛ لأن معارضة أصالة البراءة لا یتمّ إلاّ إذا دلّ الخبر علی خلافها ، فکیف یقول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بالأصالة لا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قدس سره فهم من العلاّمة أنّ مراده بالخلوّ عن معارضة أصالة البراءة موافقة أصالة البراءة ؛ لأنّ خلوّ الخبر عن معارضة أصالة البراءة یقتضی موافقة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وإنّ أمکن توجیهه إلاّ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الخلوّ عن معارضة الأصالة لا یقتضی موافقتها ، کما لو فرض تحقّق اشتغال الذمّة بحکم ثم ورد الخبر فی زوال ذلک الحکم ، فإنّ الخبر حینئذٍ غیر معارض بأصالة البراءة ولا موافق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هذا یتحقق بمثالٍ ، وهو ما لو علم نجاسة الثوب بشی‌ء من النجاسات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الخبر بأنّ طهره یتحقق بالغَسل بالماء مرّة ، فأصالة البراءة لا توافقه لتحقق اشتغال الذمّة بالنجاسة </w:t>
      </w:r>
      <w:r>
        <w:rPr>
          <w:rFonts w:eastAsia="IRNazanin" w:cs="IRNazanin"/>
          <w:color w:val="111111"/>
          <w:sz w:val="28"/>
          <w:szCs w:val="28"/>
          <w:rtl w:val="true"/>
          <w:lang w:bidi="fa-IR"/>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أصالة البراءة من الزائد عن المرّة موجودة فهی </w:t>
      </w:r>
      <w:bookmarkStart w:id="956" w:name="pg15025_160494"/>
    </w:p>
    <w:p>
      <w:pPr>
        <w:pStyle w:val="BookText"/>
        <w:rPr/>
      </w:pPr>
      <w:bookmarkEnd w:id="956"/>
      <w:r>
        <w:rPr>
          <w:rFonts w:ascii="Amiri" w:hAnsi="Amiri" w:eastAsia="Amiri" w:cs="Amiri"/>
          <w:color w:val="111111"/>
          <w:sz w:val="28"/>
          <w:sz w:val="28"/>
          <w:szCs w:val="28"/>
          <w:rtl w:val="true"/>
          <w:lang w:bidi="ar-SA"/>
        </w:rPr>
        <w:t>موافقة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یتمّ علی تقدیر ورود المرّتین وتعارض الخبرین ، والمدعی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ورد الخبر بالمرّتین ، وغیره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موافقته لأصالة البراءة ، نظراً إلی أنّ الزیادة عن المرّة الأصل عدم التکلیف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نوع تأمّل ؛ لأنّ الفرض تحقق اشتغال الذمّة بالنجاسة علی الإطلاق ، فلا وجه لکون الزائد عن المرّة خلاف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المرّة أزال یقین </w:t>
      </w:r>
      <w:r>
        <w:rPr>
          <w:rStyle w:val="FootnoteAnchor"/>
          <w:rtl w:val="true"/>
        </w:rPr>
        <w:footnoteReference w:id="1414"/>
      </w:r>
      <w:r>
        <w:rPr>
          <w:rFonts w:ascii="IRNazanin" w:hAnsi="IRNazanin" w:eastAsia="IRNazanin"/>
          <w:color w:val="111111"/>
          <w:sz w:val="28"/>
          <w:sz w:val="28"/>
          <w:szCs w:val="28"/>
          <w:rtl w:val="true"/>
          <w:lang w:bidi="fa-IR"/>
        </w:rPr>
        <w:t>النجاسة ، والذمّة إنما کانت مشغولة بما یخرج عن الأصل بالیقین ، ومع انتفائه یزول اشتغال الذمّة ویرجع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 لأنّ زوال النجاسة موقوف علی ما أعدّه الشارع ، والفرض تعارض الخبرین ، وقد قدّمنا نحو هذا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جدّی قدس سره علی تقدیر إرادة المعارض النقلی أیضاً لا یخلو من تأمّل ، لا لما ذکره من جهة العلاّمة ، بل لما أشرنا إلیه فلیتأمّل ، هذا کلّه فإنّه حری بالتأمّل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ذکره العلاّمة یتوجه علیه أنّ ترک قبول قول النجاشی غریب بعد اشتهار تقدیم قول الجارح علی المعدِّل ، واعتبار التوقف علی بیان السبب لا یقتضی تقدیم قول الشیخ لاشتراک العلّة ، علی أنّ الخلوّ عن المعارض لا دخل له بالترجیح ، وهو أعلم بمراده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الحسن بن محمّد الکِنْدی فهو الحسن بن محمّد بن سماعة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7" w:name="__RefHeading___Toc147182_2142443653"/>
      <w:bookmarkStart w:id="958" w:name="_Toc369"/>
      <w:bookmarkEnd w:id="957"/>
      <w:r>
        <w:rPr>
          <w:rtl w:val="true"/>
        </w:rPr>
        <w:t>بحث حول الحسن بن محمّد الکندی</w:t>
      </w:r>
      <w:bookmarkStart w:id="959" w:name="pg15025_160495"/>
      <w:bookmarkEnd w:id="958"/>
    </w:p>
    <w:p>
      <w:pPr>
        <w:pStyle w:val="BookText"/>
        <w:rPr/>
      </w:pPr>
      <w:bookmarkEnd w:id="959"/>
      <w:r>
        <w:rPr>
          <w:rFonts w:ascii="IRNazanin" w:hAnsi="IRNazanin" w:eastAsia="IRNazanin"/>
          <w:color w:val="111111"/>
          <w:sz w:val="28"/>
          <w:sz w:val="28"/>
          <w:szCs w:val="28"/>
          <w:rtl w:val="true"/>
          <w:lang w:bidi="fa-IR"/>
        </w:rPr>
        <w:t xml:space="preserve">الواقفی الثقة ؛ لأنّ الراوی عنه حمید بن زیاد فی الرجال علی ما فی النجاشی </w:t>
      </w:r>
      <w:r>
        <w:rPr>
          <w:rStyle w:val="FootnoteAnchor"/>
          <w:rtl w:val="true"/>
        </w:rPr>
        <w:footnoteReference w:id="1415"/>
      </w:r>
      <w:r>
        <w:rPr>
          <w:rFonts w:ascii="IRNazanin" w:hAnsi="IRNazanin" w:eastAsia="IRNazanin"/>
          <w:color w:val="111111"/>
          <w:sz w:val="28"/>
          <w:sz w:val="28"/>
          <w:szCs w:val="28"/>
          <w:rtl w:val="true"/>
          <w:lang w:bidi="fa-IR"/>
        </w:rPr>
        <w:t xml:space="preserve">والفهرست </w:t>
      </w:r>
      <w:r>
        <w:rPr>
          <w:rStyle w:val="FootnoteAnchor"/>
          <w:rtl w:val="true"/>
        </w:rPr>
        <w:footnoteReference w:id="1416"/>
      </w:r>
      <w:r>
        <w:rPr>
          <w:rFonts w:ascii="IRNazanin" w:hAnsi="IRNazanin" w:eastAsia="IRNazanin"/>
          <w:color w:val="111111"/>
          <w:sz w:val="28"/>
          <w:sz w:val="28"/>
          <w:szCs w:val="28"/>
          <w:rtl w:val="true"/>
          <w:lang w:bidi="fa-IR"/>
        </w:rPr>
        <w:t>، والإرسال فی السند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بالوشّاء ، علی تقدیر دلالة ما قالوه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المدح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 صحته کما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ما ذکره الشیخ من تغسیل المرأة للرجل من وراء الثیاب إنّ جعل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وراء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جعل متعلقاً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تصبّ علیه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 لکن الظاهر ما فهمه الشیخ ، إلاّ أنّ الاحتمال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ذکر ذات المحرم یراد بها علی ما ذکره الأصحاب من حرم نکاحه مؤبّداً بنسب أو رضاع أو مصاهرة </w:t>
      </w:r>
      <w:r>
        <w:rPr>
          <w:rStyle w:val="FootnoteAnchor"/>
          <w:rtl w:val="true"/>
        </w:rPr>
        <w:footnoteReference w:id="1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بقید التأبید عن أُخت الزوجة وبنت غیر المدخول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بعض محقّقی المعاصرین سلّمه الله عن الشهید فی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توقف حلّ نکاحهما علی مفارقة الأُخت والأُم لو اقتضی دخولهما فی المحارم لزم کون نساء العالم محارم للمتزوّج أربعاً</w:t>
      </w:r>
      <w:r>
        <w:rPr>
          <w:rFonts w:eastAsia="IRNazanin" w:cs="IRNazanin"/>
          <w:color w:val="111111"/>
          <w:sz w:val="28"/>
          <w:szCs w:val="28"/>
          <w:rtl w:val="true"/>
          <w:lang w:bidi="fa-IR"/>
        </w:rPr>
        <w:t>.</w:t>
      </w:r>
    </w:p>
    <w:p>
      <w:pPr>
        <w:pStyle w:val="Heading4"/>
        <w:numPr>
          <w:ilvl w:val="3"/>
          <w:numId w:val="1"/>
        </w:numPr>
        <w:rPr/>
      </w:pPr>
      <w:bookmarkStart w:id="960" w:name="__RefHeading___Toc147184_2142443653"/>
      <w:bookmarkStart w:id="961" w:name="_Toc370"/>
      <w:bookmarkEnd w:id="960"/>
      <w:r>
        <w:rPr>
          <w:rtl w:val="true"/>
        </w:rPr>
        <w:t>إشارة إلی حال الوشّاء</w:t>
      </w:r>
      <w:bookmarkEnd w:id="96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2" w:name="__RefHeading___Toc147186_2142443653"/>
      <w:bookmarkStart w:id="963" w:name="_Toc371"/>
      <w:bookmarkEnd w:id="962"/>
      <w:r>
        <w:rPr>
          <w:rtl w:val="true"/>
        </w:rPr>
        <w:t xml:space="preserve">مالمراد بالمحرم فی قوله علیه السلام </w:t>
      </w:r>
      <w:r>
        <w:rPr>
          <w:rtl w:val="true"/>
        </w:rPr>
        <w:t xml:space="preserve">: « </w:t>
      </w:r>
      <w:r>
        <w:rPr>
          <w:rtl w:val="true"/>
        </w:rPr>
        <w:t xml:space="preserve">أوذات محرم </w:t>
      </w:r>
      <w:r>
        <w:rPr>
          <w:rtl w:val="true"/>
        </w:rPr>
        <w:t>»</w:t>
      </w:r>
      <w:r>
        <w:rPr>
          <w:rtl w:val="true"/>
        </w:rPr>
        <w:t>؟</w:t>
      </w:r>
      <w:bookmarkStart w:id="964" w:name="pg15025_160496"/>
      <w:bookmarkEnd w:id="963"/>
    </w:p>
    <w:p>
      <w:pPr>
        <w:pStyle w:val="BookText"/>
        <w:rPr/>
      </w:pPr>
      <w:bookmarkEnd w:id="964"/>
      <w:r>
        <w:rPr>
          <w:rFonts w:ascii="IRNazanin" w:hAnsi="IRNazanin" w:eastAsia="IRNazanin"/>
          <w:color w:val="111111"/>
          <w:sz w:val="28"/>
          <w:sz w:val="28"/>
          <w:szCs w:val="28"/>
          <w:rtl w:val="true"/>
          <w:lang w:bidi="fa-IR"/>
        </w:rPr>
        <w:t xml:space="preserve">وناقشه الناقل بعدم تحریم النکاح المنقطع علی ذی الأربع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لزم کون ذوات الأزواج محارم للأجانب کان ، أولی </w:t>
      </w:r>
      <w:r>
        <w:rPr>
          <w:rStyle w:val="FootnoteAnchor"/>
          <w:rtl w:val="true"/>
        </w:rPr>
        <w:footnoteReference w:id="1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 کلام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له ، لأنّ غرض من فسّر المحارم الانحصار فی النسب والرضاع والمصاهرة ، ولو لا هذا لدخل فیه الملاعنة والمطلقة تسعاً والموطؤة فی العدّة </w:t>
      </w:r>
      <w:r>
        <w:rPr>
          <w:rFonts w:eastAsia="IRNazanin" w:cs="IRNazanin"/>
          <w:color w:val="111111"/>
          <w:sz w:val="28"/>
          <w:szCs w:val="28"/>
          <w:rtl w:val="true"/>
          <w:lang w:bidi="fa-IR"/>
        </w:rPr>
        <w:t xml:space="preserve">) </w:t>
      </w:r>
      <w:r>
        <w:rPr>
          <w:rStyle w:val="FootnoteAnchor"/>
          <w:rtl w:val="true"/>
        </w:rPr>
        <w:footnoteReference w:id="1420"/>
      </w:r>
      <w:r>
        <w:rPr>
          <w:rFonts w:ascii="IRNazanin" w:hAnsi="IRNazanin" w:eastAsia="IRNazanin"/>
          <w:color w:val="111111"/>
          <w:sz w:val="28"/>
          <w:sz w:val="28"/>
          <w:szCs w:val="28"/>
          <w:rtl w:val="true"/>
          <w:lang w:bidi="fa-IR"/>
        </w:rPr>
        <w:t xml:space="preserve">لکن لما کانت أُخت الزوجة من توابع المصاهرة وذکروها بخصوصها وعلی هذا فالاعتراض بذی الزوجات الأربع إنّما یتم إذا فسّر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لو فارق من عنده حلّت له ، أو بمن تحرم علیه ما دامت عنده الزوجة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قید الدوام دخل ما ذکر ، لکن غیر خفی عدم الدخول فی التعریف ؛ لأنّ الظاهر کون المانع هو الزوجة الرابعة ، والحال أنّ ذوات الأزواج داخلات فی نساء العالم ، ولا یحصل الحلّ بمجرد المفارقة ، بل بمفارقتین منه ومن الزوج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لا یخلو من غرابة من مثل الشهید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منه مناقشة الناقل لکلامه سلّمه الله فإنّ فی المناقشة اعترافاً بالإیراد ، وقد عرفت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الأولی إلی آخره فیه ما قدّمناه ، فلیتدّبر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أعلم وجه الدلالة فیه علی المطلوب ، ولعلّ ذلک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وتلفّ علی یدیها خرقة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غیر خفی أنّ مثل هذا لا یصدق علیه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5" w:name="__RefHeading___Toc147188_2142443653"/>
      <w:bookmarkStart w:id="966" w:name="_Toc372"/>
      <w:bookmarkEnd w:id="965"/>
      <w:r>
        <w:rPr>
          <w:rtl w:val="true"/>
        </w:rPr>
        <w:t>بیان حول روایتی عبدالله بن سنان وزرارة</w:t>
      </w:r>
      <w:bookmarkStart w:id="967" w:name="pg15025_160497"/>
      <w:bookmarkEnd w:id="966"/>
    </w:p>
    <w:p>
      <w:pPr>
        <w:pStyle w:val="BookText"/>
        <w:rPr/>
      </w:pPr>
      <w:bookmarkEnd w:id="967"/>
      <w:r>
        <w:rPr>
          <w:rFonts w:ascii="IRNazanin" w:hAnsi="IRNazanin" w:eastAsia="IRNazanin"/>
          <w:color w:val="111111"/>
          <w:sz w:val="28"/>
          <w:sz w:val="28"/>
          <w:szCs w:val="28"/>
          <w:rtl w:val="true"/>
          <w:lang w:bidi="fa-IR"/>
        </w:rPr>
        <w:t>من وراء الثیاب ، مضافاً إلی ظهور العود إلی غیر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المنافاة فیه بما ذکره الشیخ بعید عن ظاهر التعلیل ، لکنه وجه للجمع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الرجل لا یجوز له أنّ یغسّلها إلاّ من وراء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ینافی ما قدّمناه من دلالة کلامه علی الأولویة سابقاً </w:t>
      </w:r>
      <w:r>
        <w:rPr>
          <w:rStyle w:val="FootnoteAnchor"/>
          <w:rtl w:val="true"/>
        </w:rPr>
        <w:footnoteReference w:id="1421"/>
      </w:r>
      <w:r>
        <w:rPr>
          <w:rFonts w:ascii="Amiri" w:hAnsi="Amiri" w:eastAsia="Amiri" w:cs="Amiri"/>
          <w:color w:val="111111"/>
          <w:sz w:val="28"/>
          <w:sz w:val="28"/>
          <w:szCs w:val="28"/>
          <w:rtl w:val="true"/>
          <w:lang w:bidi="ar-SA"/>
        </w:rPr>
        <w:t>، إلاّ أنّ التسدید ممکن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والروایة المذکورة أوّل الباب ظاهرها ینافی هذه الروایة ؛ لتضمّنها إدخال یده تحت القمیص ، ومقتضی هذه أنّه لیس منها فی عدّة ، وهو یدل علی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الروایة الثانیة علی تقدیر الحمل علی غسل یدیها لا تنافی هذه الروایة ، لأنّ المنفی فی هذه التغسیل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الروایة الأخیرة کما تری دلالة علی أنّ المرأة لو خرجت من العدة لیس لها أنّ تغسّله ، والمفهوم هنا ربما یدّعی صراحته من حیث إنّ الظاهر کون ما ذکر علّة ، وإذا انتفت انتفی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بأنّ فرض بقاء المیت إلی انقضاء العدة بعید ، والتعلیل إنّما هو للفرد المعروف لا لإخراج غیره ؛ مضافاً إلی ما یظهر من جدّی قدس سره فی الروضة أنّ الحکم بجواز تغسیل المرأة للرجل وإنّ خرجت العدّة إجماعی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یقدح انقضاء العدّة فی جواز التغسیل عندنا ، بل لو تزوجت جاز لها تغسیله وإن بَعُد الفرض </w:t>
      </w:r>
      <w:r>
        <w:rPr>
          <w:rStyle w:val="FootnoteAnchor"/>
          <w:rtl w:val="true"/>
        </w:rPr>
        <w:footnoteReference w:id="1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نحو ذلک الشهید رحمه الله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یمکن حمل الخبر علی التغسیل من دون الثیاب ، وتکون العلّة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8" w:name="__RefHeading___Toc147190_2142443653"/>
      <w:bookmarkStart w:id="969" w:name="_Toc373"/>
      <w:bookmarkEnd w:id="968"/>
      <w:r>
        <w:rPr>
          <w:rtl w:val="true"/>
        </w:rPr>
        <w:t>المرأة التی خرجت من العدّة هل یجوز لها أن تغسّل زوجها؟</w:t>
      </w:r>
      <w:bookmarkEnd w:id="969"/>
    </w:p>
    <w:p>
      <w:pPr>
        <w:pStyle w:val="BookText"/>
        <w:rPr/>
      </w:pPr>
      <w:r>
        <w:rPr>
          <w:rFonts w:ascii="IRNazanin" w:hAnsi="IRNazanin" w:eastAsia="IRNazanin"/>
          <w:color w:val="111111"/>
          <w:sz w:val="28"/>
          <w:sz w:val="28"/>
          <w:szCs w:val="28"/>
          <w:rtl w:val="true"/>
          <w:lang w:bidi="fa-IR"/>
        </w:rPr>
        <w:t>کذلک لا لمطلق التغسیل ، کما ینبّه علیه حکم عدم تغسیل الرجل ، فإنّ جوازه لا ریب فیه من الأخبار ، وحینئذٍ لا بُدّ من حمله علی إرادة ما وراء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یکون آخر الخبر مؤیّداً لأنّ تکون العلّة فی أوّله غیر مستعملة فیما ینافی ما قلناه ، والأمر سهل بعد ما سمعته من کلام جدّی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قاله قدس سره من أنّها لو تزوّجت جاز لها تغسیله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محلّ تأمّل إنّ لم یکن إجماعیّاً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ادّعاء صدق الزوجة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فضالة بن أیوب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أیصلح له أنّ ینظر إلی امرأته حین تموت؟ أو یغسّلها إنّ لم یکن عندها من یغسّلها؟ وعن المرأة هل تنظر إلی مثل ذلک من زوجها حین یموت؟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 إنّما یفعل ذلک أهل المرأة کراهیة أنّ ینظر زوجها إلی شی‌ء یکرهونه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علی الأشعری ، عن محمّد بن عبد الجبار ، عن صفوان ، عن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یخرج فی السفر ومعه امرأته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تموت </w:t>
      </w:r>
      <w:r>
        <w:rPr>
          <w:rStyle w:val="FootnoteAnchor"/>
          <w:rtl w:val="true"/>
        </w:rPr>
        <w:footnoteReference w:id="1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وأُمّه وأُخته ونحو هذا یلقی علی عورتها خرقة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 عن أبیه ، عن حمّاد بن عیسی ، عن حریز ، </w:t>
      </w:r>
      <w:bookmarkStart w:id="970" w:name="pg15025_160499"/>
    </w:p>
    <w:p>
      <w:pPr>
        <w:pStyle w:val="BookText"/>
        <w:rPr/>
      </w:pPr>
      <w:bookmarkEnd w:id="970"/>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یغسل امرأته؟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إنما یمنعها أهلها تعصّباً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 عن الحسین بن سعید ، عن القاسم بن محمّد الجوهری ، عن علی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الزوج امرأته فی السفر والمرأة زوجها فی السفر إذا لم یکن معهم </w:t>
      </w:r>
      <w:r>
        <w:rPr>
          <w:rStyle w:val="FootnoteAnchor"/>
          <w:rtl w:val="true"/>
        </w:rPr>
        <w:footnoteReference w:id="1425"/>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الأخبار وإنّ کانت مطلقة فی جواز غسل الرجل المرأة والمرأة الرجل فإنّا نقیّدها بالأخبار التی قدّمناها ؛ لأنّ الحکم الواحد إذا ورد مقیداً ومطلقاً فلا خلاف أنّه ینبغی أنّ یحمل المطلق علی المقید ، علی أنّ هذا الحکم أیضاً إنّما یسوغ مع عدم النساء إذا ماتت المرأة ، وعدم الرجال إذا مات الرجل ، والذی یدل علی ذلک ما رویناه من 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عدا الأخیر 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والأخیر واضح الضعف بما قدمناه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صفوان فهو ابن یحیی کما وقع التصریح به فی الکافی </w:t>
      </w:r>
      <w:r>
        <w:rPr>
          <w:rStyle w:val="FootnoteAnchor"/>
          <w:rtl w:val="true"/>
        </w:rPr>
        <w:footnoteReference w:id="1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ومنصور هو ابن حازم بغیر ارتیاب ؛ لروایة صفوان عنه فی الرجال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1" w:name="__RefHeading___Toc147192_2142443653"/>
      <w:bookmarkStart w:id="972" w:name="_Toc374"/>
      <w:bookmarkEnd w:id="971"/>
      <w:r>
        <w:rPr>
          <w:rtl w:val="true"/>
        </w:rPr>
        <w:t>منصور الذی یروی عنه صفوان بن یحیی هو ابن حازم</w:t>
      </w:r>
      <w:bookmarkStart w:id="973" w:name="pg15025_160500"/>
      <w:bookmarkEnd w:id="972"/>
    </w:p>
    <w:p>
      <w:pPr>
        <w:pStyle w:val="BookText"/>
        <w:rPr/>
      </w:pPr>
      <w:bookmarkEnd w:id="973"/>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صراحته فی جواز النظر من کل من الزوجین إلی الآخر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التغسیل بدون ثوب بل بستر العورة فقط ، وینقل عن الشهید فی الذکری </w:t>
      </w:r>
      <w:r>
        <w:rPr>
          <w:rStyle w:val="FootnoteAnchor"/>
          <w:rtl w:val="true"/>
        </w:rPr>
        <w:footnoteReference w:id="1429"/>
      </w:r>
      <w:r>
        <w:rPr>
          <w:rFonts w:ascii="Amiri" w:hAnsi="Amiri" w:eastAsia="Amiri" w:cs="Amiri"/>
          <w:color w:val="111111"/>
          <w:sz w:val="28"/>
          <w:sz w:val="28"/>
          <w:szCs w:val="28"/>
          <w:rtl w:val="true"/>
          <w:lang w:bidi="ar-SA"/>
        </w:rPr>
        <w:t xml:space="preserve">والعلاّمة </w:t>
      </w:r>
      <w:r>
        <w:rPr>
          <w:rStyle w:val="FootnoteAnchor"/>
          <w:rtl w:val="true"/>
        </w:rPr>
        <w:footnoteReference w:id="1430"/>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جعلاه دلیلاً علی التغسیل من وراء الثیاب ، ولا أعلم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قوله علیه السلام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للنصب علی المفعولیة فیکون معطوفاً علی ما قبله ؛ ویحتمل الرفع علی الابتداء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الأوّل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مستأنفة ، والإشارة علی الأوّل للمحرم ، وعلی الثانی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کالأوّل من جهة الزوجة إذا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إطلاق التغسیل المتناول فوقیة الثوب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من حمل مطلق هذه الأخبار علی المقید لا یخلو من تأمّل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بعض هذه الأخبار صریح فی الاکتفاء بستر العورة فی المرأة ، وکلام الشیخ سابقاً </w:t>
      </w:r>
      <w:r>
        <w:rPr>
          <w:rStyle w:val="FootnoteAnchor"/>
          <w:rtl w:val="true"/>
        </w:rPr>
        <w:footnoteReference w:id="1431"/>
      </w:r>
      <w:r>
        <w:rPr>
          <w:rFonts w:ascii="IRNazanin" w:hAnsi="IRNazanin" w:eastAsia="IRNazanin"/>
          <w:color w:val="111111"/>
          <w:sz w:val="28"/>
          <w:sz w:val="28"/>
          <w:szCs w:val="28"/>
          <w:rtl w:val="true"/>
          <w:lang w:bidi="fa-IR"/>
        </w:rPr>
        <w:t>یعطی عدم جواز التغسیل إلاّ من فوق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الواحد إذا ورد مقیداً ومطلقاً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 لکن المطلوب فی هذه الأخبار لیس مطلقاً ، بل البعض صریح کما ذکرناه ، والبعض کالصریح من حیث التعلیل ، والحمل علی الاستحباب فی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4" w:name="__RefHeading___Toc147194_2142443653"/>
      <w:bookmarkStart w:id="975" w:name="_Toc375"/>
      <w:bookmarkEnd w:id="974"/>
      <w:r>
        <w:rPr>
          <w:rtl w:val="true"/>
        </w:rPr>
        <w:t>بیان ما دلّ علی جواز غسل الرجل امرأته مطلقاً</w:t>
      </w:r>
      <w:bookmarkEnd w:id="975"/>
    </w:p>
    <w:p>
      <w:pPr>
        <w:pStyle w:val="BookText"/>
        <w:rPr/>
      </w:pPr>
      <w:r>
        <w:rPr>
          <w:rFonts w:ascii="IRNazanin" w:hAnsi="IRNazanin" w:eastAsia="IRNazanin"/>
          <w:color w:val="111111"/>
          <w:sz w:val="28"/>
          <w:sz w:val="28"/>
          <w:szCs w:val="28"/>
          <w:rtl w:val="true"/>
          <w:lang w:bidi="fa-IR"/>
        </w:rPr>
        <w:t>الساتر ممکن بعد صراحة بعض هذه الأخبار ، واختلاف مدلولات الأخبار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والتعلیل فی بعض ما تقدم بالعدّة وعدمها لا یفید تأسیس الحکم ، لما تضمّنه بعض الأخبار من التغسیل فوق الدرع مع مشاهدة الوجه ونحوه ، وبعضها ورد بالقمیص ، والأمر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الشیخ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إنّما یسوغ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أنّ الأخبار المتقدمة لا تفید التقیید إلاّ من حیث کلام السائل ، وقد قدّمنا فیه قولاً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خبر أبی بصیر المذکور هنا وقع التقیید فیه من الإمام علیه السلام ، فی بعض الصور ، أمّا روایة أبی الصباح السابقة فربما کان فیها تقیید من الإمام علیه السلام ، وعلی هذا فما قاله شیخنا قدس سره فی فوائد الکتاب من انه لیس فی الأخبار المتقدمة ما یدل علی اعتبار هذا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 لولا ما فصّلناه سابقاً وإجمال روایة أبی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قاله بعض محقّقی المتأخرین رحمه الله من أنّ حمل المطلق علی المقید یتوقف علی تحقق المنافاة ، وعدم العمل بالمطلق علی إطلاقه مع العمل بالمقید </w:t>
      </w:r>
      <w:r>
        <w:rPr>
          <w:rStyle w:val="FootnoteAnchor"/>
          <w:rtl w:val="true"/>
        </w:rPr>
        <w:footnoteReference w:id="1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وجه ، إلاّ أنّه لا یخلو من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 ذلک بیانا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أحمد بن محمّد ، عن محمّد بن سنان ، عن أبی خالد ، عن أبی حمزة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یغسّل الرجل المرأة إلاّ </w:t>
      </w:r>
      <w:bookmarkStart w:id="976" w:name="pg15025_160502"/>
    </w:p>
    <w:p>
      <w:pPr>
        <w:pStyle w:val="BookText"/>
        <w:rPr/>
      </w:pPr>
      <w:bookmarkEnd w:id="976"/>
      <w:r>
        <w:rPr>
          <w:rFonts w:ascii="Amiri" w:hAnsi="Amiri" w:eastAsia="Amiri" w:cs="Amiri"/>
          <w:color w:val="111111"/>
          <w:sz w:val="28"/>
          <w:sz w:val="28"/>
          <w:szCs w:val="28"/>
          <w:rtl w:val="true"/>
          <w:lang w:bidi="ar-SA"/>
        </w:rPr>
        <w:t xml:space="preserve">أنّ لا توجد امرأة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ینافی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أحمد بن محمّد بن عیسی ، عن ابن أبی نصر ، عن عبد الرحمن بن سالم ، عن 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من غسّل فاطمة علیهاالسلام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فکأنّی استعظمت ذلک من قوله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فکأنّک ضقت ممّا أخبرتک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ذلک جعلت فداک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تضیقنّ ، فإنّها صدّیقة لم یکن یغسّلها إلاّ صدّیق ، أمّا علمت أنّ مریم لم یغسّلها إلاّ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رواه‌أحمد بن یحیی ، الحسن بن موسی الخشّاب ، عن غیاث بن کلوب ، عن إسحاق بن عمّار ، عن جعفر ، عن أبیه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علی بن الحسین أوصی أنّ تغسّله أُمّ‌له إذا مات ، فغسّلته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الوجه فی هذین الخبرین أنّ نقصرهما علیهما علیهماالسلام خاصة ، ویکون الوجه فی ذلک ما تضمنه الخبر من أنّه لم یکن هناک من یجوز أن یباشر فاطمة علیهاالسلام </w:t>
      </w:r>
      <w:r>
        <w:rPr>
          <w:rStyle w:val="FootnoteAnchor"/>
          <w:rtl w:val="true"/>
        </w:rPr>
        <w:footnoteReference w:id="1434"/>
      </w:r>
      <w:r>
        <w:rPr>
          <w:rFonts w:ascii="IRNazanin" w:hAnsi="IRNazanin" w:eastAsia="IRNazanin"/>
          <w:color w:val="111111"/>
          <w:sz w:val="28"/>
          <w:sz w:val="28"/>
          <w:szCs w:val="28"/>
          <w:rtl w:val="true"/>
          <w:lang w:bidi="fa-IR"/>
        </w:rPr>
        <w:t>وکذلک القول فی الخبر الثانی ؛ وإلاّ فالأصل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سنان ، وقد قدّمنا القول فیه مفصلاً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خالد هو القمّاط ؛ لروایة محمّد بن سنان عنه کما فی الفهرست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7" w:name="__RefHeading___Toc147196_2142443653"/>
      <w:bookmarkStart w:id="978" w:name="_Toc376"/>
      <w:bookmarkEnd w:id="977"/>
      <w:r>
        <w:rPr>
          <w:rtl w:val="true"/>
        </w:rPr>
        <w:t>بحث حول أبی خالد القمّاط</w:t>
      </w:r>
      <w:bookmarkStart w:id="979" w:name="pg15025_160503"/>
      <w:bookmarkEnd w:id="978"/>
    </w:p>
    <w:p>
      <w:pPr>
        <w:pStyle w:val="BookText"/>
        <w:rPr/>
      </w:pPr>
      <w:bookmarkEnd w:id="979"/>
      <w:r>
        <w:rPr>
          <w:rFonts w:ascii="Amiri" w:hAnsi="Amiri" w:eastAsia="Amiri" w:cs="Amiri"/>
          <w:color w:val="111111"/>
          <w:sz w:val="28"/>
          <w:sz w:val="28"/>
          <w:szCs w:val="28"/>
          <w:rtl w:val="true"/>
          <w:lang w:bidi="ar-SA"/>
        </w:rPr>
        <w:t xml:space="preserve">ونقل فیه عن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اسمه کَنْکَر </w:t>
      </w:r>
      <w:r>
        <w:rPr>
          <w:rStyle w:val="FootnoteAnchor"/>
          <w:rtl w:val="true"/>
        </w:rPr>
        <w:footnoteReference w:id="1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خالد القمّاط اسمه یزید </w:t>
      </w:r>
      <w:r>
        <w:rPr>
          <w:rStyle w:val="FootnoteAnchor"/>
          <w:rtl w:val="true"/>
        </w:rPr>
        <w:footnoteReference w:id="1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رجال الصادق علیه السلام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یزید یکنی أبا خالد القماط </w:t>
      </w:r>
      <w:r>
        <w:rPr>
          <w:rStyle w:val="FootnoteAnchor"/>
          <w:rtl w:val="true"/>
        </w:rPr>
        <w:footnoteReference w:id="1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منه أنّ المکنی خالد ، وعلی ما ذکره العلاّمة یکون المکنی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أبو خالد القماط مولی ، إلی آخره </w:t>
      </w:r>
      <w:r>
        <w:rPr>
          <w:rStyle w:val="FootnoteAnchor"/>
          <w:rtl w:val="true"/>
        </w:rPr>
        <w:footnoteReference w:id="1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محتملة لأنّ یکون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بیان یزید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الذی هو أب لخالد القماط مولی ، إلی آخره ، فلا یکون المقصود بیان الکنیة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إرادة بیان الکنیة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فالأمر سهل فی هذا المقام ، وأظنّ أنّی قدّمت أیضاً فی هذا بعض الکلام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أبو حمزة ففیه اشتراک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الرحمن بن سالم ، والموجود فی الرجال واحد وهو الأشلّ ضعیف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والمفضل بن عمر ضعیف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موسی الخشّاب ، وقد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وجوه أصحابنا مشهور کثیر العلم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0" w:name="__RefHeading___Toc147198_2142443653"/>
      <w:bookmarkStart w:id="981" w:name="_Toc377"/>
      <w:bookmarkEnd w:id="980"/>
      <w:r>
        <w:rPr>
          <w:rtl w:val="true"/>
        </w:rPr>
        <w:t>أبو حمزة مشترک</w:t>
      </w:r>
      <w:bookmarkEnd w:id="981"/>
    </w:p>
    <w:p>
      <w:pPr>
        <w:pStyle w:val="Heading4"/>
        <w:numPr>
          <w:ilvl w:val="3"/>
          <w:numId w:val="1"/>
        </w:numPr>
        <w:rPr/>
      </w:pPr>
      <w:bookmarkStart w:id="982" w:name="__RefHeading___Toc147200_2142443653"/>
      <w:bookmarkStart w:id="983" w:name="_Toc378"/>
      <w:bookmarkEnd w:id="982"/>
      <w:r>
        <w:rPr>
          <w:rtl w:val="true"/>
        </w:rPr>
        <w:t>عبدالرحمان بن سالم الأشل ضعیف</w:t>
      </w:r>
      <w:bookmarkEnd w:id="983"/>
    </w:p>
    <w:p>
      <w:pPr>
        <w:pStyle w:val="Heading4"/>
        <w:numPr>
          <w:ilvl w:val="3"/>
          <w:numId w:val="1"/>
        </w:numPr>
        <w:rPr/>
      </w:pPr>
      <w:bookmarkStart w:id="984" w:name="__RefHeading___Toc147202_2142443653"/>
      <w:bookmarkStart w:id="985" w:name="_Toc379"/>
      <w:bookmarkEnd w:id="984"/>
      <w:r>
        <w:rPr>
          <w:rtl w:val="true"/>
        </w:rPr>
        <w:t>المفضّل بن عمر ضعیف</w:t>
      </w:r>
      <w:bookmarkEnd w:id="98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6" w:name="__RefHeading___Toc147204_2142443653"/>
      <w:bookmarkStart w:id="987" w:name="_Toc380"/>
      <w:bookmarkEnd w:id="986"/>
      <w:r>
        <w:rPr>
          <w:rtl w:val="true"/>
        </w:rPr>
        <w:t>الحسن بن موسی الخشاب ممدوح</w:t>
      </w:r>
      <w:bookmarkStart w:id="988" w:name="pg15025_160504"/>
      <w:bookmarkEnd w:id="987"/>
    </w:p>
    <w:p>
      <w:pPr>
        <w:pStyle w:val="BookText"/>
        <w:rPr/>
      </w:pPr>
      <w:bookmarkEnd w:id="988"/>
      <w:r>
        <w:rPr>
          <w:rFonts w:ascii="IRNazanin" w:hAnsi="IRNazanin" w:eastAsia="IRNazanin"/>
          <w:color w:val="111111"/>
          <w:sz w:val="28"/>
          <w:sz w:val="28"/>
          <w:szCs w:val="28"/>
          <w:rtl w:val="true"/>
          <w:lang w:bidi="fa-IR"/>
        </w:rPr>
        <w:t xml:space="preserve">وغیاث بن کلوب مهمل فی الرجال ، وقد ذکره الشیخ فی الفهرست </w:t>
      </w:r>
      <w:r>
        <w:rPr>
          <w:rStyle w:val="FootnoteAnchor"/>
          <w:rtl w:val="true"/>
        </w:rPr>
        <w:footnoteReference w:id="1445"/>
      </w:r>
      <w:r>
        <w:rPr>
          <w:rFonts w:ascii="IRNazanin" w:hAnsi="IRNazanin" w:eastAsia="IRNazanin"/>
          <w:color w:val="111111"/>
          <w:sz w:val="28"/>
          <w:sz w:val="28"/>
          <w:szCs w:val="28"/>
          <w:rtl w:val="true"/>
          <w:lang w:bidi="fa-IR"/>
        </w:rPr>
        <w:t xml:space="preserve">، والنجاشی ، وذکر أنّ الراوی عنه الحسن بن موسی الخشّاب </w:t>
      </w:r>
      <w:r>
        <w:rPr>
          <w:rStyle w:val="FootnoteAnchor"/>
          <w:rtl w:val="true"/>
        </w:rPr>
        <w:footnoteReference w:id="1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الشیخ فی من لم یرو عن الأئمة علیهم السلام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بن کلوب بن فَیْهس روی عنه الصفار </w:t>
      </w:r>
      <w:r>
        <w:rPr>
          <w:rStyle w:val="FootnoteAnchor"/>
          <w:rtl w:val="true"/>
        </w:rPr>
        <w:footnoteReference w:id="144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وإنّ کان فیه إطلاق ، إلاّ أنّه لا بُعد فی تقییده بغیر الزوج ؛ وعلی تقدیر بقائه علی الإطلاق یحمل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المختلف ذکر الروایة دلیلاً للشیخ ، وأجاب بضعف السند والحمل علی الاستحباب أو علی الرجل الأجنبی ، ویکون الاستثناء إشارة إلی ما روی أنّه یغسّل من الأجنبیة وجهها وکفّیها </w:t>
      </w:r>
      <w:r>
        <w:rPr>
          <w:rStyle w:val="FootnoteAnchor"/>
          <w:rtl w:val="true"/>
        </w:rPr>
        <w:footnoteReference w:id="1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ما فی قوله أخیراً من البُعد عن ظاهر الروایة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بَعد الاستثناء مجمل فیفسّره ما دلّ علی ما ذکره ؛ ولو حمل التغسیل علی غسل الوجه والیدین فالبُعد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لذکره فی قسم المنافی کما لا یخفی ، وکذلک الثالث ؛ وتأویل الشیخ ما فیه أظهر من أنّ 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فی هذا الباب والباب الآتی لا یخلو من دلالة علی نوع اختصاص فی غسل المیت ببعض الناس ، وقد روی</w:t>
      </w:r>
    </w:p>
    <w:p>
      <w:pPr>
        <w:pStyle w:val="Heading4"/>
        <w:numPr>
          <w:ilvl w:val="3"/>
          <w:numId w:val="1"/>
        </w:numPr>
        <w:rPr/>
      </w:pPr>
      <w:bookmarkStart w:id="989" w:name="__RefHeading___Toc147206_2142443653"/>
      <w:bookmarkStart w:id="990" w:name="_Toc381"/>
      <w:bookmarkEnd w:id="989"/>
      <w:r>
        <w:rPr>
          <w:rtl w:val="true"/>
        </w:rPr>
        <w:t>بحث حول غیاث بن کلوب</w:t>
      </w:r>
      <w:bookmarkEnd w:id="99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1" w:name="__RefHeading___Toc147208_2142443653"/>
      <w:bookmarkStart w:id="992" w:name="_Toc382"/>
      <w:bookmarkEnd w:id="991"/>
      <w:r>
        <w:rPr>
          <w:rtl w:val="true"/>
        </w:rPr>
        <w:t>بیان ما دلّ علی عدم جواز غسل الرجل المرأة إلّا عند الضرورة</w:t>
      </w:r>
      <w:bookmarkStart w:id="993" w:name="pg15025_160505"/>
      <w:bookmarkEnd w:id="992"/>
    </w:p>
    <w:p>
      <w:pPr>
        <w:pStyle w:val="BookText"/>
        <w:rPr/>
      </w:pPr>
      <w:bookmarkEnd w:id="993"/>
      <w:r>
        <w:rPr>
          <w:rFonts w:ascii="IRNazanin" w:hAnsi="IRNazanin" w:eastAsia="IRNazanin"/>
          <w:color w:val="111111"/>
          <w:sz w:val="28"/>
          <w:sz w:val="28"/>
          <w:szCs w:val="28"/>
          <w:rtl w:val="true"/>
          <w:lang w:bidi="fa-IR"/>
        </w:rPr>
        <w:t xml:space="preserve">الصدوق فی الفقیه مرسلاً عن أمیر المؤمنین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المیت أولی الناس به أو من یأمره الولیّ </w:t>
      </w:r>
      <w:r>
        <w:rPr>
          <w:rFonts w:eastAsia="IRNazanin" w:cs="IRNazanin"/>
          <w:color w:val="111111"/>
          <w:sz w:val="28"/>
          <w:szCs w:val="28"/>
          <w:rtl w:val="true"/>
          <w:lang w:bidi="fa-IR"/>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الخبر وإنّ کان مرسلاً إلاّ أنّ له مزیّة ظاهرة کما قدّمنا فیها القول </w:t>
      </w:r>
      <w:r>
        <w:rPr>
          <w:rStyle w:val="FootnoteAnchor"/>
          <w:rtl w:val="true"/>
        </w:rPr>
        <w:footnoteReference w:id="1450"/>
      </w:r>
      <w:r>
        <w:rPr>
          <w:rFonts w:ascii="IRNazanin" w:hAnsi="IRNazanin" w:eastAsia="IRNazanin"/>
          <w:color w:val="111111"/>
          <w:sz w:val="28"/>
          <w:sz w:val="28"/>
          <w:szCs w:val="28"/>
          <w:rtl w:val="true"/>
          <w:lang w:bidi="fa-IR"/>
        </w:rPr>
        <w:t xml:space="preserve">، غایة الأمر أنّ معنی الولیّ فی کلام الأصحاب لا یخلو من إشکال ، والذی یمکن اعتباره من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أمسّ بالمیت رحماً وأشدّهم به 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المستفاد من کلام بعض الأصحاب </w:t>
      </w:r>
      <w:r>
        <w:rPr>
          <w:rStyle w:val="FootnoteAnchor"/>
          <w:rtl w:val="true"/>
        </w:rPr>
        <w:footnoteReference w:id="1451"/>
      </w:r>
      <w:r>
        <w:rPr>
          <w:rFonts w:ascii="Amiri" w:hAnsi="Amiri" w:eastAsia="Amiri" w:cs="Amiri"/>
          <w:color w:val="111111"/>
          <w:sz w:val="28"/>
          <w:sz w:val="28"/>
          <w:szCs w:val="28"/>
          <w:rtl w:val="true"/>
          <w:lang w:bidi="ar-SA"/>
        </w:rPr>
        <w:t xml:space="preserve">عدم جواز الغُسل بدون الإذن ، إلاّ إذا لم یکن له صلاحیة ، ودلیله مع الخبر المذکور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أَوْلی بِبَعْضٍ </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الاستدلال بالآیة تأمّل ظاهر ؛ أمّا الخبر فله نوع وجه ، لکن الأخبار کما قدّمنا إلیه الإشارة فیها دلالة علی أنّ الأولویة لا تفید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ویفهم من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حمل حدیث أمیر المؤمنین علیه السلام علی الاستحباب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والمحقّق فی الشرائع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الزوج أولی بالمرأة من کل أحد فی أحکامها کلّها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شیخنا قدس سره أنّ المستند موثّقة إسحاق بن عمّار ، حیث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الزوج أحق بالمرأة حتی یضعها فی قبرها </w:t>
      </w:r>
      <w:r>
        <w:rPr>
          <w:rFonts w:eastAsia="IRNazanin" w:cs="IRNazanin"/>
          <w:color w:val="111111"/>
          <w:sz w:val="28"/>
          <w:szCs w:val="28"/>
          <w:rtl w:val="true"/>
          <w:lang w:bidi="fa-IR"/>
        </w:rPr>
        <w:t xml:space="preserve">» </w:t>
      </w:r>
      <w:r>
        <w:rPr>
          <w:rStyle w:val="FootnoteAnchor"/>
          <w:rtl w:val="true"/>
        </w:rPr>
        <w:footnoteReference w:id="1455"/>
      </w:r>
      <w:r>
        <w:rPr>
          <w:rFonts w:ascii="IRNazanin" w:hAnsi="IRNazanin" w:eastAsia="IRNazanin"/>
          <w:color w:val="111111"/>
          <w:sz w:val="28"/>
          <w:sz w:val="28"/>
          <w:szCs w:val="28"/>
          <w:rtl w:val="true"/>
          <w:lang w:bidi="fa-IR"/>
        </w:rPr>
        <w:t xml:space="preserve">ونقل عن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4" w:name="__RefHeading___Toc147210_2142443653"/>
      <w:bookmarkStart w:id="995" w:name="_Toc383"/>
      <w:bookmarkEnd w:id="994"/>
      <w:r>
        <w:rPr>
          <w:rtl w:val="true"/>
        </w:rPr>
        <w:t>بحث حول الولایة فی تغسیل المیت</w:t>
      </w:r>
      <w:bookmarkEnd w:id="995"/>
    </w:p>
    <w:p>
      <w:pPr>
        <w:pStyle w:val="BookText"/>
        <w:rPr/>
      </w:pPr>
      <w:r>
        <w:rPr>
          <w:rFonts w:ascii="IRNazanin" w:hAnsi="IRNazanin" w:eastAsia="IRNazanin"/>
          <w:color w:val="111111"/>
          <w:sz w:val="28"/>
          <w:sz w:val="28"/>
          <w:szCs w:val="28"/>
          <w:rtl w:val="true"/>
          <w:lang w:bidi="fa-IR"/>
        </w:rPr>
        <w:t xml:space="preserve">مضمون الروایة متفق علیه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خبر حفص بن البختری المروی من الشیخ فی زیادات صلاة الأموات عن أحمد بن أبی عبد الله ، عن أبیه ، عن ابن أبی عمیر ، عن حفص بن البختری ، عن أبی عبد الله علیه السلام فی المرأة تموت ومعها أخوها وزوجها ، أیّهما أحقّ بالصلاة علیها؟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أخوها أحقّ بالصلاة علیها </w:t>
      </w:r>
      <w:r>
        <w:rPr>
          <w:rFonts w:eastAsia="IRNazanin" w:cs="IRNazanin"/>
          <w:color w:val="111111"/>
          <w:sz w:val="28"/>
          <w:szCs w:val="28"/>
          <w:rtl w:val="true"/>
          <w:lang w:bidi="fa-IR"/>
        </w:rPr>
        <w:t xml:space="preserve">» </w:t>
      </w:r>
      <w:r>
        <w:rPr>
          <w:rStyle w:val="FootnoteAnchor"/>
          <w:rtl w:val="true"/>
        </w:rPr>
        <w:footnoteReference w:id="1457"/>
      </w:r>
      <w:r>
        <w:rPr>
          <w:rFonts w:ascii="IRNazanin" w:hAnsi="IRNazanin" w:eastAsia="IRNazanin"/>
          <w:color w:val="111111"/>
          <w:sz w:val="28"/>
          <w:sz w:val="28"/>
          <w:szCs w:val="28"/>
          <w:rtl w:val="true"/>
          <w:lang w:bidi="fa-IR"/>
        </w:rPr>
        <w:t>وجواب الشیخ عن هذه بالحمل علی التقیة ممکن إنّ تمّ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یبقی أنّ ما ذکره متأخّروا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التغسیل واجب کفائی </w:t>
      </w:r>
      <w:r>
        <w:rPr>
          <w:rStyle w:val="FootnoteAnchor"/>
          <w:rtl w:val="true"/>
        </w:rPr>
        <w:footnoteReference w:id="1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الإطلاق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بعض المتأخرین أنّ الأولیاء لو کانوا رجالاً ونساءً فالرجال أولی </w:t>
      </w:r>
      <w:r>
        <w:rPr>
          <w:rStyle w:val="FootnoteAnchor"/>
          <w:rtl w:val="true"/>
        </w:rPr>
        <w:footnoteReference w:id="1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الإطلاق لا یخفی منافاته للواجب الکفائی ، بل صرّح بعض من حیث اشتراط المماثلة فی الغُسل بأنّه لو کان المیت امرأة لا یمکن الولیّ الذکر مباشرة تغسیلها أذن للمماثل ، فلا یصح فعله بدون ذلک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مخصوص بالرجل ، أمّا النساء فالنساء أولی بغسلهن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وردّه جدّی قدس سره بعدم ثبوت مستنده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نوع تأمّل یعرف وجهه من ملاحظة ما دلّ علی الأولویة ، فإنّه الخبر السابق </w:t>
      </w:r>
      <w:r>
        <w:rPr>
          <w:rStyle w:val="FootnoteAnchor"/>
          <w:rtl w:val="true"/>
        </w:rPr>
        <w:footnoteReference w:id="1463"/>
      </w:r>
      <w:r>
        <w:rPr>
          <w:rFonts w:ascii="IRNazanin" w:hAnsi="IRNazanin" w:eastAsia="IRNazanin"/>
          <w:color w:val="111111"/>
          <w:sz w:val="28"/>
          <w:sz w:val="28"/>
          <w:szCs w:val="28"/>
          <w:rtl w:val="true"/>
          <w:lang w:bidi="fa-IR"/>
        </w:rPr>
        <w:t xml:space="preserve">، وروایة رواها غیاث بن إبراهیم أنّ علیّاً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المیت أولی الناس به </w:t>
      </w:r>
      <w:r>
        <w:rPr>
          <w:rFonts w:eastAsia="IRNazanin" w:cs="IRNazanin"/>
          <w:color w:val="111111"/>
          <w:sz w:val="28"/>
          <w:szCs w:val="28"/>
          <w:rtl w:val="true"/>
          <w:lang w:bidi="fa-IR"/>
        </w:rPr>
        <w:t xml:space="preserve">» </w:t>
      </w: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والتخصیص بغیرهما من الأخبار الدالة علی المماثلة ممکن ؛ غایة الأمر وقوع الإجمال ، وغیر خفی أنّه مضرّ بالاستدلال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أشرنا إلیه من جهة الواجب الکفائی قد ذکر جدّی قدس سره أنّه لا منافاة بین إذن الولی وبینه فی المسالک مقتصراً علیه </w:t>
      </w:r>
      <w:r>
        <w:rPr>
          <w:rStyle w:val="FootnoteAnchor"/>
          <w:rtl w:val="true"/>
        </w:rPr>
        <w:footnoteReference w:id="1465"/>
      </w:r>
      <w:r>
        <w:rPr>
          <w:rFonts w:ascii="IRNazanin" w:hAnsi="IRNazanin" w:eastAsia="IRNazanin"/>
          <w:color w:val="111111"/>
          <w:sz w:val="28"/>
          <w:sz w:val="28"/>
          <w:szCs w:val="28"/>
          <w:rtl w:val="true"/>
          <w:lang w:bidi="fa-IR"/>
        </w:rPr>
        <w:t xml:space="preserve">؛ وفی الصلاة علی المیت ذکر فی شرح الإرشاد ما یقتضی أنّ المتوقف الجماعة لا أصل الصلاة ، لأجل تحقق الوجوب الکفائی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خبیر بأنّ العلّة فی الغُسل والصلاة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نظری القاصر أنّ توقّف الفعل علی الإذن لا یضرّ بحال أصل الوجوب ، نعم لو توقف الوجوب علی الإذن تحققت المنافاة ؛ ویوضح هذا الواجب العینی فإنّ فعله موقوف علی الشروط لا وجوبه إذا کانت واجباً مطلقاً ؛ وقد أوضحت هذا فی حاشیة الروضة ، وفی الإجمال هنا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فالأصحاب لا یخلو کلامهم من اضطراب ، والأخبار ربما کانت کذلک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یفهم من جدّی قدس سره من الإجماع فی صلاة المیت علی توقف الجماعة علی الإذن ، لا أصل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کلام أیضاً کما یعلم من </w:t>
      </w:r>
    </w:p>
    <w:p>
      <w:pPr>
        <w:pStyle w:val="BookText"/>
        <w:rPr/>
      </w:pPr>
      <w:r>
        <w:rPr>
          <w:rFonts w:ascii="IRNazanin" w:hAnsi="IRNazanin" w:eastAsia="IRNazanin"/>
          <w:color w:val="111111"/>
          <w:sz w:val="28"/>
          <w:sz w:val="28"/>
          <w:szCs w:val="28"/>
          <w:rtl w:val="true"/>
          <w:lang w:bidi="fa-IR"/>
        </w:rPr>
        <w:t>مراجعة أقوال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المقام شی‌ء وهو أنّ جدّی قدس سره قال فی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المساواة فی الرجولیة والأُنوثیة فی غیر الزوجین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فالزوج بالولایة ، والزوجة معها أو بإذن الولی </w:t>
      </w:r>
      <w:r>
        <w:rPr>
          <w:rStyle w:val="FootnoteAnchor"/>
          <w:rtl w:val="true"/>
        </w:rPr>
        <w:footnoteReference w:id="1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العبارة کما تری لا تخلو من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یقتضیه النظر أنّ الوجه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والزوجة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أنّ استفادة ولایة الزوجة من الأخبار غیر واضحة ؛ إذ الأصل فی ولایة الزوج الروایة المتقدّمة </w:t>
      </w:r>
      <w:r>
        <w:rPr>
          <w:rStyle w:val="FootnoteAnchor"/>
          <w:rtl w:val="true"/>
        </w:rPr>
        <w:footnoteReference w:id="1468"/>
      </w:r>
      <w:r>
        <w:rPr>
          <w:rFonts w:ascii="IRNazanin" w:hAnsi="IRNazanin" w:eastAsia="IRNazanin"/>
          <w:color w:val="111111"/>
          <w:sz w:val="28"/>
          <w:sz w:val="28"/>
          <w:szCs w:val="28"/>
          <w:rtl w:val="true"/>
          <w:lang w:bidi="fa-IR"/>
        </w:rPr>
        <w:t xml:space="preserve">التی ادّعی الاتفاق علی مضمونها المحقق فی المعتبر </w:t>
      </w:r>
      <w:r>
        <w:rPr>
          <w:rStyle w:val="FootnoteAnchor"/>
          <w:rtl w:val="true"/>
        </w:rPr>
        <w:footnoteReference w:id="1469"/>
      </w:r>
      <w:r>
        <w:rPr>
          <w:rFonts w:ascii="IRNazanin" w:hAnsi="IRNazanin" w:eastAsia="IRNazanin"/>
          <w:color w:val="111111"/>
          <w:sz w:val="28"/>
          <w:sz w:val="28"/>
          <w:szCs w:val="28"/>
          <w:rtl w:val="true"/>
          <w:lang w:bidi="fa-IR"/>
        </w:rPr>
        <w:t>؛ وأمّا الزوجة فلم نقف علی دلیل فی کلام من رأینا کلامه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نقل عن المحقق الشیخ علی رحمه الله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بثبوت ولایة الزوجة فی الصلاة علی المیت ، لأنّ الزوج یطلق علی المرأة </w:t>
      </w:r>
      <w:r>
        <w:rPr>
          <w:rStyle w:val="FootnoteAnchor"/>
          <w:rtl w:val="true"/>
        </w:rPr>
        <w:footnoteReference w:id="1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 فإنّ مورد النص هناک وهنا أحقّ بامرأته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هذا فقول جدّی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والزوجة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الزوجة لها التغسیل مع جعلها ولیّه ، بأنّ یوصی إلیها المیت ، وإن لم یجعلها ولیّه اعتبر إذن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خفی إمکان أن یناقش فی هذا بأنّ الوصایة إلیها بالتغسیل موقوف علی ثبوته ، وإذا ثبت فلها التغسیل بوصایة وغیرها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أراد الوصایة بالولایة لیدخل فی الخبر الدال علی أنّه یغسّل المیت أولی الناس به أو یأمر من یحبّ أشکل بأنّ الظاهر من الولیّ </w:t>
      </w:r>
      <w:bookmarkStart w:id="996" w:name="pg15025_160509"/>
    </w:p>
    <w:p>
      <w:pPr>
        <w:pStyle w:val="BookText"/>
        <w:rPr/>
      </w:pPr>
      <w:bookmarkEnd w:id="996"/>
      <w:r>
        <w:rPr>
          <w:rFonts w:ascii="Amiri" w:hAnsi="Amiri" w:eastAsia="Amiri" w:cs="Amiri"/>
          <w:color w:val="111111"/>
          <w:sz w:val="28"/>
          <w:sz w:val="28"/>
          <w:szCs w:val="28"/>
          <w:rtl w:val="true"/>
          <w:lang w:bidi="ar-SA"/>
        </w:rPr>
        <w:t xml:space="preserve">ما قدّمناه </w:t>
      </w:r>
      <w:r>
        <w:rPr>
          <w:rStyle w:val="FootnoteAnchor"/>
          <w:rtl w:val="true"/>
        </w:rPr>
        <w:footnoteReference w:id="1471"/>
      </w:r>
      <w:r>
        <w:rPr>
          <w:rFonts w:ascii="IRNazanin" w:hAnsi="IRNazanin" w:eastAsia="IRNazanin"/>
          <w:color w:val="111111"/>
          <w:sz w:val="28"/>
          <w:sz w:val="28"/>
          <w:szCs w:val="28"/>
          <w:rtl w:val="true"/>
          <w:lang w:bidi="fa-IR"/>
        </w:rPr>
        <w:t>لا من جهة الوصایة ، واللازم من ذلک جواز الوصایة بالتغسیل للأجنبیة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 قدس سره اتباع مدلول الأخبار الدالة علی جواز التغسیل مع الخبر الدالّ علی أنّ المغسِّل الولیّ أو من یأمره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إذا رجع إلی هذا لنا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للزوجة اختصاصاً من حیث هی ، ولو کان التفاته إلی ما رواه الشیخ من الوصیة لأُمّ الولد من علی بن الحسین علیهماالسلام فدفعه أظهر من أنّ یخفی ، فلیتأمّل فی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الرجل یموت فی السفر ولیس معه رجل ولا امرأته</w:t>
      </w:r>
    </w:p>
    <w:p>
      <w:pPr>
        <w:pStyle w:val="BookText"/>
        <w:rPr/>
      </w:pPr>
      <w:r>
        <w:rPr>
          <w:rFonts w:ascii="IRNazanin" w:hAnsi="IRNazanin" w:eastAsia="IRNazanin"/>
          <w:color w:val="111111"/>
          <w:sz w:val="28"/>
          <w:sz w:val="28"/>
          <w:szCs w:val="28"/>
          <w:rtl w:val="true"/>
          <w:lang w:bidi="fa-IR"/>
        </w:rPr>
        <w:t>ولا واحدة من ذوات أرحامه ، والمرأة کذلک تموت ولیس</w:t>
      </w:r>
    </w:p>
    <w:p>
      <w:pPr>
        <w:pStyle w:val="BookText"/>
        <w:rPr/>
      </w:pPr>
      <w:r>
        <w:rPr>
          <w:rFonts w:ascii="Amiri" w:hAnsi="Amiri" w:eastAsia="Amiri" w:cs="Amiri"/>
          <w:color w:val="111111"/>
          <w:sz w:val="28"/>
          <w:sz w:val="28"/>
          <w:szCs w:val="28"/>
          <w:rtl w:val="true"/>
          <w:lang w:bidi="ar-SA"/>
        </w:rPr>
        <w:t xml:space="preserve">معها امرأة ولا زوج ولا واحد </w:t>
      </w:r>
      <w:r>
        <w:rPr>
          <w:rStyle w:val="FootnoteAnchor"/>
          <w:rtl w:val="true"/>
        </w:rPr>
        <w:footnoteReference w:id="1472"/>
      </w:r>
      <w:r>
        <w:rPr>
          <w:rFonts w:ascii="IRNazanin" w:hAnsi="IRNazanin" w:eastAsia="IRNazanin"/>
          <w:color w:val="111111"/>
          <w:sz w:val="28"/>
          <w:sz w:val="28"/>
          <w:szCs w:val="28"/>
          <w:rtl w:val="true"/>
          <w:lang w:bidi="fa-IR"/>
        </w:rPr>
        <w:t>من ذوی أرحامها</w:t>
      </w:r>
    </w:p>
    <w:p>
      <w:pPr>
        <w:pStyle w:val="BookText"/>
        <w:rPr/>
      </w:pPr>
      <w:r>
        <w:rPr>
          <w:rFonts w:ascii="IRNazanin" w:hAnsi="IRNazanin" w:eastAsia="IRNazanin"/>
          <w:color w:val="111111"/>
          <w:sz w:val="28"/>
          <w:sz w:val="28"/>
          <w:szCs w:val="28"/>
          <w:rtl w:val="true"/>
          <w:lang w:bidi="fa-IR"/>
        </w:rPr>
        <w:t>ومعها رجال غرباء</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الصفّار ، عن أحمد بن محمّد ، عن أحمد بن محمّد بن أبی نصر ، عن عبد الرحمن بن سالم ،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ما تقول فی المرأة تکون فی السفر مع الرجال لیس فیهم لها ذو رحم ولا معهم امرأة فتموت المرأة ، ما یصنع بها؟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منها ما أوجب الله علیها التیمم ولا یمسّ ولا یکشف شی‌ء من محاسنها التی أمر الله بسترها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یصنع بها؟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بطن کفّیها ثم یغسل وجهها </w:t>
      </w:r>
      <w:r>
        <w:rPr>
          <w:rFonts w:eastAsia="IRNazanin" w:cs="IRNazanin"/>
          <w:color w:val="111111"/>
          <w:sz w:val="28"/>
          <w:szCs w:val="28"/>
          <w:rtl w:val="true"/>
          <w:lang w:bidi="fa-IR"/>
        </w:rPr>
        <w:t>».</w:t>
      </w:r>
    </w:p>
    <w:p>
      <w:pPr>
        <w:pStyle w:val="Heading3"/>
        <w:numPr>
          <w:ilvl w:val="2"/>
          <w:numId w:val="1"/>
        </w:numPr>
        <w:rPr/>
      </w:pPr>
      <w:bookmarkStart w:id="997" w:name="__RefHeading___Toc147212_2142443653"/>
      <w:bookmarkStart w:id="998" w:name="_Toc384"/>
      <w:bookmarkEnd w:id="997"/>
      <w:r>
        <w:rPr>
          <w:rtl w:val="true"/>
        </w:rPr>
        <w:t>من یموت فی السفر ولیس له معه مماثل ولامحرم</w:t>
      </w:r>
      <w:bookmarkEnd w:id="99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9" w:name="__RefHeading___Toc147214_2142443653"/>
      <w:bookmarkStart w:id="1000" w:name="_Toc385"/>
      <w:bookmarkEnd w:id="999"/>
      <w:r>
        <w:rPr>
          <w:rtl w:val="true"/>
        </w:rPr>
        <w:t>اشارة</w:t>
      </w:r>
      <w:bookmarkEnd w:id="1000"/>
    </w:p>
    <w:p>
      <w:pPr>
        <w:pStyle w:val="BookText"/>
        <w:rPr/>
      </w:pPr>
      <w:r>
        <w:rPr>
          <w:rFonts w:ascii="IRNazanin" w:hAnsi="IRNazanin" w:eastAsia="IRNazanin"/>
          <w:color w:val="111111"/>
          <w:sz w:val="28"/>
          <w:sz w:val="28"/>
          <w:szCs w:val="28"/>
          <w:rtl w:val="true"/>
          <w:lang w:bidi="fa-IR"/>
        </w:rPr>
        <w:t xml:space="preserve">عنه عن أبی جعفر محمّد بن علی بن الحسین </w:t>
      </w:r>
      <w:r>
        <w:rPr>
          <w:rStyle w:val="FootnoteAnchor"/>
          <w:rtl w:val="true"/>
        </w:rPr>
        <w:footnoteReference w:id="1473"/>
      </w:r>
      <w:r>
        <w:rPr>
          <w:rFonts w:ascii="IRNazanin" w:hAnsi="IRNazanin" w:eastAsia="IRNazanin"/>
          <w:color w:val="111111"/>
          <w:sz w:val="28"/>
          <w:sz w:val="28"/>
          <w:szCs w:val="28"/>
          <w:rtl w:val="true"/>
          <w:lang w:bidi="fa-IR"/>
        </w:rPr>
        <w:t xml:space="preserve">، عن أبیه ، عن محمّد بن أحمد بن علی ، عن عبد الله بن الصلت ، عن ابن أبی عمیر ، عن حمّاد ، عن الحلبی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الرجل یغسّل امرأته؟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من وراء الثوب ، لا ینظر إلی شعرها ولا إلی شی‌ء منها ، والمرأة تغسّل زوجها لأنّها إذا مات کانت فی عدة منه ، وإذا ماتت هی فقد انقضت عدّتها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المرأة تموت فی السفر ولیس معها ذو محرم ولا نساء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تدفن کما هی بثیابها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الرجل یموت ولیس معه ذو محرم ولا رجال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یدفن کما هو فی ثیابه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 عن سعد بن عبد الله ، عن أحمد بن محمّد ، عن الحسن بن محبوب ، عن علی بن رئاب ، عن محمّد بن مروان ، عن ابن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یموت فی السفر مع النساء لیس معهن رجل ، کیف یصنعن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یلفّفنه لفّاً فی ثیابه ویدفنه ولا یغسّلنه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سعید ، عن فضالة ، عن عبد الرحمن بن أبی عبد الله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ماتت مع رجال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 وتدفن ولا تُغسَّلُ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 عن علی بن النعمان ، عن أبی الصباح الکنانی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الرجل یموت فی السفر فی أرض لیس معه إلاّ النساء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یُدفن ولا یُغسّل ، والمرأة تکون </w:t>
      </w:r>
      <w:bookmarkStart w:id="1001" w:name="pg15025_160511"/>
    </w:p>
    <w:p>
      <w:pPr>
        <w:pStyle w:val="BookText"/>
        <w:rPr/>
      </w:pPr>
      <w:bookmarkEnd w:id="1001"/>
      <w:r>
        <w:rPr>
          <w:rFonts w:ascii="IRNazanin" w:hAnsi="IRNazanin" w:eastAsia="IRNazanin"/>
          <w:color w:val="111111"/>
          <w:sz w:val="28"/>
          <w:sz w:val="28"/>
          <w:szCs w:val="28"/>
          <w:rtl w:val="true"/>
          <w:lang w:bidi="fa-IR"/>
        </w:rPr>
        <w:t xml:space="preserve">مع الرجال بتلک المنزلة تُدفن ولا تُغسّل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زیاد ، عن ابن أبی نصر ، عن داود بن سرحان ،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عبد الرحمن بن سالم ، وقد قدّمنا أنّه ضعیف فی الرجال </w:t>
      </w:r>
      <w:r>
        <w:rPr>
          <w:rStyle w:val="FootnoteAnchor"/>
          <w:rtl w:val="true"/>
        </w:rPr>
        <w:footnoteReference w:id="1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والمفضل بن عمر کذلک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تقدم مثله فی باب من یموت وهو جنب ، وذکرنا احتمال أنّ یراد بمحمّد بن أحمد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قتادة </w:t>
      </w:r>
      <w:r>
        <w:rPr>
          <w:rStyle w:val="FootnoteAnchor"/>
          <w:rtl w:val="true"/>
        </w:rPr>
        <w:footnoteReference w:id="1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رجاله معروفو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مروان ، وهو مشترک بین من یقتضی عدم صحة الحدیث به وبین غیره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الضعف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واضح الدلالة علی أنّ المرأة إذا لم یکن معها من ذکر یغسّل منها ما أوجب الله علیه التیمم ولا یمسّ ولا یکشف شی‌ء</w:t>
      </w:r>
    </w:p>
    <w:p>
      <w:pPr>
        <w:pStyle w:val="Heading4"/>
        <w:numPr>
          <w:ilvl w:val="3"/>
          <w:numId w:val="1"/>
        </w:numPr>
        <w:rPr/>
      </w:pPr>
      <w:bookmarkStart w:id="1002" w:name="__RefHeading___Toc147216_2142443653"/>
      <w:bookmarkStart w:id="1003" w:name="_Toc386"/>
      <w:bookmarkEnd w:id="1002"/>
      <w:r>
        <w:rPr>
          <w:rtl w:val="true"/>
        </w:rPr>
        <w:t>عبدالرحمان بن سالم ضعیف</w:t>
      </w:r>
      <w:bookmarkEnd w:id="1003"/>
    </w:p>
    <w:p>
      <w:pPr>
        <w:pStyle w:val="Heading4"/>
        <w:numPr>
          <w:ilvl w:val="3"/>
          <w:numId w:val="1"/>
        </w:numPr>
        <w:rPr/>
      </w:pPr>
      <w:bookmarkStart w:id="1004" w:name="__RefHeading___Toc147218_2142443653"/>
      <w:bookmarkStart w:id="1005" w:name="_Toc387"/>
      <w:bookmarkEnd w:id="1004"/>
      <w:r>
        <w:rPr>
          <w:rtl w:val="true"/>
        </w:rPr>
        <w:t>إشارة إلی ضعیف المفضّل بن عمر</w:t>
      </w:r>
      <w:bookmarkEnd w:id="1005"/>
    </w:p>
    <w:p>
      <w:pPr>
        <w:pStyle w:val="Heading4"/>
        <w:numPr>
          <w:ilvl w:val="3"/>
          <w:numId w:val="1"/>
        </w:numPr>
        <w:rPr/>
      </w:pPr>
      <w:bookmarkStart w:id="1006" w:name="__RefHeading___Toc147220_2142443653"/>
      <w:bookmarkStart w:id="1007" w:name="_Toc388"/>
      <w:bookmarkEnd w:id="1006"/>
      <w:r>
        <w:rPr>
          <w:rtl w:val="true"/>
        </w:rPr>
        <w:t>محمّد بن مروان مشترک</w:t>
      </w:r>
      <w:bookmarkEnd w:id="100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8" w:name="__RefHeading___Toc147222_2142443653"/>
      <w:bookmarkStart w:id="1009" w:name="_Toc389"/>
      <w:bookmarkEnd w:id="1008"/>
      <w:r>
        <w:rPr>
          <w:rtl w:val="true"/>
        </w:rPr>
        <w:t>بیان ما دلّ علی الاکتفاء بغَسل مواضغ التیمّم</w:t>
      </w:r>
      <w:bookmarkStart w:id="1010" w:name="pg15025_160512"/>
      <w:bookmarkEnd w:id="1009"/>
    </w:p>
    <w:p>
      <w:pPr>
        <w:pStyle w:val="BookText"/>
        <w:rPr/>
      </w:pPr>
      <w:bookmarkEnd w:id="1010"/>
      <w:r>
        <w:rPr>
          <w:rFonts w:ascii="IRNazanin" w:hAnsi="IRNazanin" w:eastAsia="IRNazanin"/>
          <w:color w:val="111111"/>
          <w:sz w:val="28"/>
          <w:sz w:val="28"/>
          <w:szCs w:val="28"/>
          <w:rtl w:val="true"/>
          <w:lang w:bidi="fa-IR"/>
        </w:rPr>
        <w:t>من محاسنها التی أمر الله بستره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منقطعاً عن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ویراد حینئذٍ أنّ ما یغسّل لا یمسّ بل یصبّ علیه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یراد لا یمسّ ولا یکشف ما ذکر ، ویراد بلا یمس لا یغسّل ، ویحتمل أنّ یراد بالمسّ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ذلک ، ویحتمل إرادة المباشرة بخرقة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ما أمر الله بستره قد یظن أنّ من جملته الوجه ، والوارد فی تفسیر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ظَهَرَ مِنْها </w:t>
      </w:r>
      <w:r>
        <w:rPr>
          <w:rFonts w:eastAsia="Amiri" w:cs="Amiri" w:ascii="Amiri" w:hAnsi="Amiri"/>
          <w:color w:val="111111"/>
          <w:sz w:val="28"/>
          <w:szCs w:val="28"/>
          <w:rtl w:val="true"/>
          <w:lang w:bidi="ar-SA"/>
        </w:rPr>
        <w:t xml:space="preserve">) </w:t>
      </w:r>
      <w:r>
        <w:rPr>
          <w:rStyle w:val="FootnoteAnchor"/>
          <w:rtl w:val="true"/>
        </w:rPr>
        <w:footnoteReference w:id="1479"/>
      </w:r>
      <w:r>
        <w:rPr>
          <w:rFonts w:ascii="Amiri" w:hAnsi="Amiri" w:eastAsia="Amiri" w:cs="Amiri"/>
          <w:color w:val="111111"/>
          <w:sz w:val="28"/>
          <w:sz w:val="28"/>
          <w:szCs w:val="28"/>
          <w:rtl w:val="true"/>
          <w:lang w:bidi="ar-SA"/>
        </w:rPr>
        <w:t xml:space="preserve">بأنّه الوجه والکفّان </w:t>
      </w:r>
      <w:r>
        <w:rPr>
          <w:rStyle w:val="FootnoteAnchor"/>
          <w:rtl w:val="true"/>
        </w:rPr>
        <w:footnoteReference w:id="1480"/>
      </w:r>
      <w:r>
        <w:rPr>
          <w:rFonts w:ascii="IRNazanin" w:hAnsi="IRNazanin" w:eastAsia="IRNazanin"/>
          <w:color w:val="111111"/>
          <w:sz w:val="28"/>
          <w:sz w:val="28"/>
          <w:szCs w:val="28"/>
          <w:rtl w:val="true"/>
          <w:lang w:bidi="fa-IR"/>
        </w:rPr>
        <w:t>ربما یؤیّد هذا ، إلاّ أنّه لا یخلو من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من غَسل بطن الکفّین والوجه یدل علی أنّ التیمم بجمیع الوجه ، فیؤیّد ما سبق </w:t>
      </w:r>
      <w:r>
        <w:rPr>
          <w:rStyle w:val="FootnoteAnchor"/>
          <w:rtl w:val="true"/>
        </w:rPr>
        <w:footnoteReference w:id="1481"/>
      </w:r>
      <w:r>
        <w:rPr>
          <w:rFonts w:ascii="IRNazanin" w:hAnsi="IRNazanin" w:eastAsia="IRNazanin"/>
          <w:color w:val="111111"/>
          <w:sz w:val="28"/>
          <w:sz w:val="28"/>
          <w:szCs w:val="28"/>
          <w:rtl w:val="true"/>
          <w:lang w:bidi="fa-IR"/>
        </w:rPr>
        <w:t>فی التیمم من بعض الأخبار ، والحمل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صحّ هذا الخبر فهو مشکل کما لا یخفی ، وسیأتی هذا الخبر فی الباب مرّة أُخری </w:t>
      </w:r>
      <w:r>
        <w:rPr>
          <w:rStyle w:val="FootnoteAnchor"/>
          <w:rtl w:val="true"/>
        </w:rPr>
        <w:footnoteReference w:id="1482"/>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یغسّل ظهر کفّیها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یغسّل وجهها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الدلالة علی عدم جواز النظر إلی الشعر ولا إلی شی‌ء منها ؛ وقد تقدّم فیه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دلالته علی مخالفة الأوّل غیر خفیة ، ولعلّ وجه الجمع أنّ المراد فی هذا الخبر عدم التغسیل والتکفین فلا ینافی غَسل مواضع التیمم ، أو</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1" w:name="__RefHeading___Toc147224_2142443653"/>
      <w:bookmarkStart w:id="1012" w:name="_Toc390"/>
      <w:bookmarkEnd w:id="1011"/>
      <w:r>
        <w:rPr>
          <w:rtl w:val="true"/>
        </w:rPr>
        <w:t>الجمع بین ما دلّ علی غسل مواضع التیمّم وما دلّ علی عدم الغسل أصلاَ</w:t>
      </w:r>
      <w:bookmarkStart w:id="1013" w:name="pg15025_160513"/>
      <w:bookmarkEnd w:id="1012"/>
    </w:p>
    <w:p>
      <w:pPr>
        <w:pStyle w:val="BookText"/>
        <w:rPr/>
      </w:pPr>
      <w:bookmarkEnd w:id="1013"/>
      <w:r>
        <w:rPr>
          <w:rFonts w:ascii="IRNazanin" w:hAnsi="IRNazanin" w:eastAsia="IRNazanin"/>
          <w:color w:val="111111"/>
          <w:sz w:val="28"/>
          <w:sz w:val="28"/>
          <w:szCs w:val="28"/>
          <w:rtl w:val="true"/>
          <w:lang w:bidi="fa-IR"/>
        </w:rPr>
        <w:t>یحمل السابق علی الاستحباب ، ولا وجه لعدم تعرض الشیخ لبیان هذا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کالثانی ، وفیه دلالة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یغسّلنه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احتملناه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 فاعلم أنّ ظاهر بعض الأخبار المذکورة سقوط التیمم أیضاً ؛ ونقل عن الشیخ فی النهایة والخلاف والمبسوط </w:t>
      </w:r>
      <w:r>
        <w:rPr>
          <w:rStyle w:val="FootnoteAnchor"/>
          <w:rtl w:val="true"/>
        </w:rPr>
        <w:footnoteReference w:id="1483"/>
      </w:r>
      <w:r>
        <w:rPr>
          <w:rFonts w:ascii="IRNazanin" w:hAnsi="IRNazanin" w:eastAsia="IRNazanin"/>
          <w:color w:val="111111"/>
          <w:sz w:val="28"/>
          <w:sz w:val="28"/>
          <w:szCs w:val="28"/>
          <w:rtl w:val="true"/>
          <w:lang w:bidi="fa-IR"/>
        </w:rPr>
        <w:t>التصریح بسقوط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المعتبر جزم به المحقق علی ما نقل معلّلاً بأنّ مانع الغسل مانع التیمم وإنّ کان الاطّلاع مع التیمم أقلّ لکن النظر محرَّم قلیله وکثیره </w:t>
      </w:r>
      <w:r>
        <w:rPr>
          <w:rStyle w:val="FootnoteAnchor"/>
          <w:rtl w:val="true"/>
        </w:rPr>
        <w:footnoteReference w:id="1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خبر یتضمن التیمم إلاّ أنّه لا یصلح للإثبات عند من لا یعمل بالخبر ، کما ستسمع القول فیه إنشاء الله تعالی ، وإنّما ذکرناه هنا إجمالاً لأنّ ظاهر الأخبار نفیه وإنّ أمکن إبداء احتمال إلاّ أنّه قلیل الفائدة بعد ما نقلناه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أبی الجوزاء المنبِّه بن عبد الله ، عن الحسین بن علوان ، عن عمرو بن خالد ، عن زید بن علی ، عن أبیه ، عن آبائه </w:t>
      </w:r>
      <w:r>
        <w:rPr>
          <w:rStyle w:val="FootnoteAnchor"/>
          <w:rtl w:val="true"/>
        </w:rPr>
        <w:footnoteReference w:id="1485"/>
      </w:r>
      <w:r>
        <w:rPr>
          <w:rFonts w:ascii="IRNazanin" w:hAnsi="IRNazanin" w:eastAsia="IRNazanin"/>
          <w:color w:val="111111"/>
          <w:sz w:val="28"/>
          <w:sz w:val="28"/>
          <w:szCs w:val="28"/>
          <w:rtl w:val="true"/>
          <w:lang w:bidi="fa-IR"/>
        </w:rPr>
        <w:t xml:space="preserve">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الرجل فی السفر مع النساء لیس فیهن امرأته ولا ذو محرم من نسائه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یؤزرنه إلی الرکبتین ویصببن علیه الماء صبّاً ، ولا ینظرن إلی عورته ولا یلمسنه بأیدیهن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یطهرنه </w:t>
      </w:r>
      <w:r>
        <w:rPr>
          <w:rFonts w:eastAsia="IRNazanin" w:cs="IRNazanin"/>
          <w:color w:val="111111"/>
          <w:sz w:val="28"/>
          <w:szCs w:val="28"/>
          <w:rtl w:val="true"/>
          <w:lang w:bidi="fa-IR"/>
        </w:rPr>
        <w:t xml:space="preserve">) </w:t>
      </w:r>
      <w:r>
        <w:rPr>
          <w:rStyle w:val="FootnoteAnchor"/>
          <w:rtl w:val="true"/>
        </w:rPr>
        <w:footnoteReference w:id="1486"/>
      </w:r>
      <w:r>
        <w:rPr>
          <w:rFonts w:ascii="IRNazanin" w:hAnsi="IRNazanin" w:eastAsia="IRNazanin"/>
          <w:color w:val="111111"/>
          <w:sz w:val="28"/>
          <w:sz w:val="28"/>
          <w:szCs w:val="28"/>
          <w:rtl w:val="true"/>
          <w:lang w:bidi="fa-IR"/>
        </w:rPr>
        <w:t>وإذا کان معه نساء ذوات محرم یؤزرنه ویصببن علیه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4" w:name="__RefHeading___Toc147226_2142443653"/>
      <w:bookmarkStart w:id="1015" w:name="_Toc391"/>
      <w:bookmarkEnd w:id="1014"/>
      <w:r>
        <w:rPr>
          <w:rtl w:val="true"/>
        </w:rPr>
        <w:t>هل یسقط التیمّم أیضاً؟</w:t>
      </w:r>
      <w:bookmarkStart w:id="1016" w:name="pg15025_160514"/>
      <w:bookmarkEnd w:id="1015"/>
    </w:p>
    <w:p>
      <w:pPr>
        <w:pStyle w:val="BookText"/>
        <w:rPr/>
      </w:pPr>
      <w:bookmarkEnd w:id="1016"/>
      <w:r>
        <w:rPr>
          <w:rFonts w:ascii="IRNazanin" w:hAnsi="IRNazanin" w:eastAsia="IRNazanin"/>
          <w:color w:val="111111"/>
          <w:sz w:val="28"/>
          <w:sz w:val="28"/>
          <w:szCs w:val="28"/>
          <w:rtl w:val="true"/>
          <w:lang w:bidi="fa-IR"/>
        </w:rPr>
        <w:t xml:space="preserve">الماء صباً ، ویمسسن جسده ولا یمسسن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 عن أحمد بن إدریس ، عن محمّد بن سالم ، عن أحمد بن النضر ، عن عمرو بن شمر ، عن جابر ، عن أبی جعفر علیه السلام فی الرجل مات ومعه نسوة ولیس معهن رجل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یصببن الماء من خلف الثوب ، ویلففنه فی أکفانه من تحت الستر ، ویصلّین علیه صفّاً ، ویدخلنه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والمرأة تموت مع الرجال لیس معهم امرأة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یصبّون الماء من خلف الثوب ، ویلفّونها فی أکفانها ، ویصلّون ویدفنون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تنافی بین هذین الخبرین والأخبار التی قدمناها ؛ لأنّا نحملهما علی ضرب من الاستحباب دون الوجوب ، وإنّما منعنا من أنّ تغسل المرأة الرجل إذا باشرت جسمه ، فأمّا إذا کانت تصبّ الماء علیه فلیس به بأس ، وفیه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المنبِّه بالنون قبل الباء الموحّدة ، وقد قدّمنا ما فیه مفصلاً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والحسین بن علوان 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وعمرو بن خالد هو الواسطی ، لأنّه روی عن زید کما ذکره النجاشی </w:t>
      </w:r>
      <w:r>
        <w:rPr>
          <w:rStyle w:val="FootnoteAnchor"/>
          <w:rtl w:val="true"/>
        </w:rPr>
        <w:footnoteReference w:id="1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رجال العامة فی جملة آخرین علی ما نقله شیخنا أیّده الله فی الرجال </w:t>
      </w:r>
      <w:r>
        <w:rPr>
          <w:rStyle w:val="FootnoteAnchor"/>
          <w:rtl w:val="true"/>
        </w:rPr>
        <w:footnoteReference w:id="1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رجال الشیخ عمر بغیر واو ،</w:t>
      </w:r>
    </w:p>
    <w:p>
      <w:pPr>
        <w:pStyle w:val="Heading4"/>
        <w:numPr>
          <w:ilvl w:val="3"/>
          <w:numId w:val="1"/>
        </w:numPr>
        <w:rPr/>
      </w:pPr>
      <w:bookmarkStart w:id="1017" w:name="__RefHeading___Toc147228_2142443653"/>
      <w:bookmarkStart w:id="1018" w:name="_Toc392"/>
      <w:bookmarkEnd w:id="1017"/>
      <w:r>
        <w:rPr>
          <w:rtl w:val="true"/>
        </w:rPr>
        <w:t>الحسین بن علوان عامی</w:t>
      </w:r>
      <w:bookmarkEnd w:id="101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9" w:name="__RefHeading___Toc147230_2142443653"/>
      <w:bookmarkStart w:id="1020" w:name="_Toc393"/>
      <w:bookmarkEnd w:id="1019"/>
      <w:r>
        <w:rPr>
          <w:rtl w:val="true"/>
        </w:rPr>
        <w:t>بحث حول عمرو بن خالد</w:t>
      </w:r>
      <w:bookmarkStart w:id="1021" w:name="pg15025_160515"/>
      <w:bookmarkEnd w:id="1020"/>
    </w:p>
    <w:p>
      <w:pPr>
        <w:pStyle w:val="BookText"/>
        <w:rPr/>
      </w:pPr>
      <w:bookmarkEnd w:id="1021"/>
      <w:r>
        <w:rPr>
          <w:rFonts w:ascii="IRNazanin" w:hAnsi="IRNazanin" w:eastAsia="IRNazanin"/>
          <w:color w:val="111111"/>
          <w:sz w:val="28"/>
          <w:sz w:val="28"/>
          <w:szCs w:val="28"/>
          <w:rtl w:val="true"/>
          <w:lang w:bidi="fa-IR"/>
        </w:rPr>
        <w:t xml:space="preserve">ولعلّه ، سقط من الناسخ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بتری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طریقه إلی علی بن الحسین غیر مذکور فی المشیخة ، لکن الجواب عن هذا ممکن بأنّه صرّح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جمیع روایاته أخبره بها المفید والحسین بن عبید الله ، عن محمّد بن علی بن الحسین عن أبیه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فیه محمّد بن سالم وهو مشترک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وأحمد بن النضر ثقة فی النجاشی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وعمرو بن شمر ضعیف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وجابر هو ابن یزید الجعفی ؛ لأنّ عمرو بن شمر الراوی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النجاشی فی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روی عنه جماعة غمز فیهم وضعّفوا ، منهم عمرو ابن شمر ، ولم یوثقه ،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فی نفسه مختلطاً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فی الخلاصة نقل کلام النجاشی ، وحکی عن ابن الغضائری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الجعفی الکوفی ثقة فی نفسه ، ولکن جُلّ من روی عنه ضعیف ، فممّن أکثر عنه من الضعفاء عمرو بن شمر ، إلی أنّ قال ابن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وأری الترک لما روی هؤلاء عنه ، والوقف فی الباقی إلاّ ما خرج شاهداً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العلاّمة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والأقوی عندی التوقف فیما یرویه هؤلاء عنه ، کما قال الشیخ ابن الغضائری </w:t>
      </w:r>
      <w:r>
        <w:rPr>
          <w:rStyle w:val="FootnoteAnchor"/>
          <w:rtl w:val="true"/>
        </w:rPr>
        <w:footnoteReference w:id="1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1022" w:name="__RefHeading___Toc147232_2142443653"/>
      <w:bookmarkStart w:id="1023" w:name="_Toc394"/>
      <w:bookmarkEnd w:id="1022"/>
      <w:r>
        <w:rPr>
          <w:rtl w:val="true"/>
        </w:rPr>
        <w:t>کلمة حول طریق الشیخ إلی علی بن الحسین</w:t>
      </w:r>
      <w:bookmarkEnd w:id="1023"/>
    </w:p>
    <w:p>
      <w:pPr>
        <w:pStyle w:val="Heading4"/>
        <w:numPr>
          <w:ilvl w:val="3"/>
          <w:numId w:val="1"/>
        </w:numPr>
        <w:rPr/>
      </w:pPr>
      <w:bookmarkStart w:id="1024" w:name="__RefHeading___Toc147234_2142443653"/>
      <w:bookmarkStart w:id="1025" w:name="_Toc395"/>
      <w:bookmarkEnd w:id="1024"/>
      <w:r>
        <w:rPr>
          <w:rtl w:val="true"/>
        </w:rPr>
        <w:t>محمّد بن سالم مشترک</w:t>
      </w:r>
      <w:bookmarkEnd w:id="1025"/>
    </w:p>
    <w:p>
      <w:pPr>
        <w:pStyle w:val="Heading4"/>
        <w:numPr>
          <w:ilvl w:val="3"/>
          <w:numId w:val="1"/>
        </w:numPr>
        <w:rPr/>
      </w:pPr>
      <w:bookmarkStart w:id="1026" w:name="__RefHeading___Toc147236_2142443653"/>
      <w:bookmarkStart w:id="1027" w:name="_Toc396"/>
      <w:bookmarkEnd w:id="1026"/>
      <w:r>
        <w:rPr>
          <w:rtl w:val="true"/>
        </w:rPr>
        <w:t>أحمد بن النضر ثقة</w:t>
      </w:r>
      <w:bookmarkEnd w:id="1027"/>
    </w:p>
    <w:p>
      <w:pPr>
        <w:pStyle w:val="Heading4"/>
        <w:numPr>
          <w:ilvl w:val="3"/>
          <w:numId w:val="1"/>
        </w:numPr>
        <w:rPr/>
      </w:pPr>
      <w:bookmarkStart w:id="1028" w:name="__RefHeading___Toc147238_2142443653"/>
      <w:bookmarkStart w:id="1029" w:name="_Toc397"/>
      <w:bookmarkEnd w:id="1028"/>
      <w:r>
        <w:rPr>
          <w:rtl w:val="true"/>
        </w:rPr>
        <w:t>عمرو بن شمر ضعیف</w:t>
      </w:r>
      <w:bookmarkEnd w:id="1029"/>
    </w:p>
    <w:p>
      <w:pPr>
        <w:pStyle w:val="Heading4"/>
        <w:numPr>
          <w:ilvl w:val="3"/>
          <w:numId w:val="1"/>
        </w:numPr>
        <w:rPr/>
      </w:pPr>
      <w:bookmarkStart w:id="1030" w:name="__RefHeading___Toc147240_2142443653"/>
      <w:bookmarkStart w:id="1031" w:name="_Toc398"/>
      <w:bookmarkEnd w:id="1030"/>
      <w:r>
        <w:rPr>
          <w:rtl w:val="true"/>
        </w:rPr>
        <w:t>بحث حول جابر بن یزید الجعفی</w:t>
      </w:r>
      <w:bookmarkEnd w:id="103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2" w:name="__RefHeading___Toc147242_2142443653"/>
      <w:bookmarkStart w:id="1033" w:name="_Toc399"/>
      <w:bookmarkEnd w:id="1032"/>
      <w:r>
        <w:rPr>
          <w:rtl w:val="true"/>
        </w:rPr>
        <w:t>بیان روایتی عمرو بن خالد وجابر والمناقشة فی توجیه الشیخ لهما</w:t>
      </w:r>
      <w:bookmarkEnd w:id="1033"/>
    </w:p>
    <w:p>
      <w:pPr>
        <w:pStyle w:val="BookText"/>
        <w:rPr/>
      </w:pPr>
      <w:r>
        <w:rPr>
          <w:rFonts w:ascii="IRNazanin" w:hAnsi="IRNazanin" w:eastAsia="IRNazanin"/>
          <w:color w:val="111111"/>
          <w:sz w:val="28"/>
          <w:sz w:val="28"/>
          <w:szCs w:val="28"/>
          <w:rtl w:val="true"/>
          <w:lang w:bidi="fa-IR"/>
        </w:rPr>
        <w:t>ولا یخفی علیک أنّ ما قاله ابن الغضائری ترک ما روی هؤلاء عنه ، والتوقف فی الباقی لا التوقف فیما روی هؤلاء ، ثم التوقف لا وجه له إلاّ أن یرید بالتوقف الردّ ، فإنّه یستعمل بهذا المعنی ، والأمر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النساء الأجانب یغسّلن المیت مع فعل ما ذکر ، وکذلک إذا کان معه محارم لکن یمسسن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یطهرنه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بعض النسخ </w:t>
      </w:r>
      <w:r>
        <w:rPr>
          <w:rStyle w:val="FootnoteAnchor"/>
          <w:rtl w:val="true"/>
        </w:rPr>
        <w:footnoteReference w:id="1497"/>
      </w:r>
      <w:r>
        <w:rPr>
          <w:rFonts w:ascii="IRNazanin" w:hAnsi="IRNazanin" w:eastAsia="IRNazanin"/>
          <w:color w:val="111111"/>
          <w:sz w:val="28"/>
          <w:sz w:val="28"/>
          <w:szCs w:val="28"/>
          <w:rtl w:val="true"/>
          <w:lang w:bidi="fa-IR"/>
        </w:rPr>
        <w:t xml:space="preserve">، 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ویطهرنه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لا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لا یخلو من إجمال </w:t>
      </w:r>
      <w:r>
        <w:rPr>
          <w:rFonts w:eastAsia="IRNazanin" w:cs="IRNazanin"/>
          <w:color w:val="111111"/>
          <w:sz w:val="28"/>
          <w:szCs w:val="28"/>
          <w:rtl w:val="true"/>
          <w:lang w:bidi="fa-IR"/>
        </w:rPr>
        <w:t xml:space="preserve">) </w:t>
      </w:r>
      <w:r>
        <w:rPr>
          <w:rStyle w:val="FootnoteAnchor"/>
          <w:rtl w:val="true"/>
        </w:rPr>
        <w:footnoteReference w:id="1499"/>
      </w:r>
      <w:r>
        <w:rPr>
          <w:rFonts w:ascii="IRNazanin" w:hAnsi="IRNazanin" w:eastAsia="IRNazanin"/>
          <w:color w:val="111111"/>
          <w:sz w:val="28"/>
          <w:sz w:val="28"/>
          <w:szCs w:val="28"/>
          <w:rtl w:val="true"/>
          <w:lang w:bidi="fa-IR"/>
        </w:rPr>
        <w:t>؛ لأنّ الثوب الذی یصبّ الماء من خلفه محتمل لأنّ یراد المئزر المذکور فی الخبر الأوّل ، ویحتمل إرادة الثوب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ویلففنه فی أکفانه من تحت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یراد بالستر ما یستر جمیع البدن بحیث لا یشاهدنه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فی وجه الجمع لا یخلو من تأمّل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فلإجمال المنافی لبیان الجمع ؛ 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نحملهما علی ضرب من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به أنّ التغسیل مستحب علی الوجه الذی تضمنته الروایتان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إحداهما تضمنت الغسل مع المئزر ، وما تقدم من الأخبار تضمنت بعضها النهی عن الغسل ، ولا أقلّ من الحمل علی الکراهة ، فکیف یکون مستحبّاً علی الإطلاق إذا لم یباشر الجسم کل من </w:t>
      </w:r>
    </w:p>
    <w:p>
      <w:pPr>
        <w:pStyle w:val="BookText"/>
        <w:rPr/>
      </w:pPr>
      <w:r>
        <w:rPr>
          <w:rFonts w:ascii="IRNazanin" w:hAnsi="IRNazanin" w:eastAsia="IRNazanin"/>
          <w:color w:val="111111"/>
          <w:sz w:val="28"/>
          <w:sz w:val="28"/>
          <w:szCs w:val="28"/>
          <w:rtl w:val="true"/>
          <w:lang w:bidi="fa-IR"/>
        </w:rPr>
        <w:t xml:space="preserve">الرجل والمرأة ، ولو حمل النهی علی التحریم مع المباشرة ، وحمل الاستحباب هنا مع عدمها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ما تقدّم دلّ علی عدم کشف شی‌ء ممّا أمر الله بستره ، فلا بدّ من حمل هذین الخبرین علی کون الغسل مع الساتر ، لکن الخبر الأوّل منهما یدل علی الاکتفاء بالمئزر ، فالاستحباب علی الإطلاق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حصر المانع فی المباشرة غیر ظاهر الوجه بعد ما ذکرناه ، ولو أراد بالمباشرة ما یتناول النظر فالخبران لا یدلان علی ذلک ، بل الأوّل یدل علی خلافه ، وبالجملة فالمقام غیر محرّر ، لکن من یتوقف عمله علی الصحیح فی راحة من تکلّف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الظاهر من قوله الآتی أنّ یکون أوّل الکلام فی المرأة إذا غسّلت الرجل ، والروایة الثانیة تضمّنت الرجل والمرأة ، ومقتضی حمل الروایتین علی الاستحباب فیهما ، وقد عرفت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مراده بالکلام الأخیر بیان زیادة حکم للمرأة ، کما ینبّه علیه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 فیتأکد ما ذکرناه من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المرأة ، فقد روی أیضاً أنّه یجوز للرجال أنّ یغسّلوا منها ما کان یجوز لهم النظر إلیه من محاسنها الوجه والیدین ، یدل علی ذلک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الحسین بن سعید ، عن علی بن النعمان ، عن داود بن فرقد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صاحب لنا یسأل أبا عبد الله علیه السلام عن المرأة تموت مع رجال لیس فیهم ذو محرم ، هل یغسّلونها وعلیها ثیابها؟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إذن یدخل ذلک علیهم ، ولکن یغسلون کفّیها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محمّد بن عیسی ، عن أحمد بن محمّد بن أبی نصر ، عن عبد الرحمن بن سالم ، 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ما تقول فی المرأة تکون فی السفر مع الرجال ، لیس فیهم ذو محرم لها ولا معهم امرأة ، فتموت المرأة ، فما یصنع بها؟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منها ما أوجب الله علیه التیمم ، ولا یمسّ ولا یکشف لها شی‌ء من محاسنها التی أمر الله بسترها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کیف یصنع بها؟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بطن کفّیها ، ثم یغسل وجهها ، ثم یغسل ظهر کفّیها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 عن محمّد بن الحسین بن أبی الخطّاب ، عن محمّد بن أسلم الجبلی ، عن عبد الرحمن بن سالم ، وعلی بن أبی حمزة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w:t>
      </w:r>
      <w:r>
        <w:rPr>
          <w:rStyle w:val="FootnoteAnchor"/>
          <w:rtl w:val="true"/>
        </w:rPr>
        <w:footnoteReference w:id="1500"/>
      </w:r>
      <w:r>
        <w:rPr>
          <w:rFonts w:ascii="IRNazanin" w:hAnsi="IRNazanin" w:eastAsia="IRNazanin"/>
          <w:color w:val="111111"/>
          <w:sz w:val="28"/>
          <w:sz w:val="28"/>
          <w:szCs w:val="28"/>
          <w:rtl w:val="true"/>
          <w:lang w:bidi="fa-IR"/>
        </w:rPr>
        <w:t xml:space="preserve">ماتت فی سفر ، ولیس معها نساء ولا ذو محرم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منها موضع الوضوء ، ویصلّی علیها وتُدفن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 عن محمّد بن أحمد بن علی ، عن عبد الله بن الصلت ، عن علی بن الحکم ، عن سیف بن عمیرة ، عن عمرو بن شمر ، عن جابر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المرأة تموت ولیس معها محرم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کفّیها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نحملها علی ضرب من الاستحباب ، والأصل ما قدمناه من أنّها تدفن ولا تغسل علی حالٍ</w:t>
      </w:r>
      <w:r>
        <w:rPr>
          <w:rFonts w:eastAsia="IRNazanin" w:cs="IRNazanin"/>
          <w:color w:val="111111"/>
          <w:sz w:val="28"/>
          <w:szCs w:val="28"/>
          <w:rtl w:val="true"/>
          <w:lang w:bidi="fa-IR"/>
        </w:rPr>
        <w:t xml:space="preserve">. </w:t>
      </w:r>
      <w:bookmarkStart w:id="1034" w:name="pg15025_160519"/>
    </w:p>
    <w:p>
      <w:pPr>
        <w:pStyle w:val="BookText"/>
        <w:rPr/>
      </w:pPr>
      <w:bookmarkEnd w:id="1034"/>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القول فیه عن قریب ، وکذا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أسلم الجبلی ، وقد ذکره النجاشی مهملاً </w:t>
      </w:r>
      <w:r>
        <w:rPr>
          <w:rStyle w:val="FootnoteAnchor"/>
          <w:rtl w:val="true"/>
        </w:rPr>
        <w:footnoteReference w:id="1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الغضائری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غالیاً فاسد الحدیث </w:t>
      </w:r>
      <w:r>
        <w:rPr>
          <w:rStyle w:val="FootnoteAnchor"/>
          <w:rtl w:val="true"/>
        </w:rPr>
        <w:footnoteReference w:id="1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الشیخ فقد اتفق أنّه ذکر فی رجال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أسلم الجبلی </w:t>
      </w:r>
      <w:r>
        <w:rPr>
          <w:rStyle w:val="FootnoteAnchor"/>
          <w:rtl w:val="true"/>
        </w:rPr>
        <w:footnoteReference w:id="1503"/>
      </w:r>
      <w:r>
        <w:rPr>
          <w:rFonts w:ascii="IRNazanin" w:hAnsi="IRNazanin" w:eastAsia="IRNazanin"/>
          <w:color w:val="111111"/>
          <w:sz w:val="28"/>
          <w:sz w:val="28"/>
          <w:szCs w:val="28"/>
          <w:rtl w:val="true"/>
          <w:lang w:bidi="fa-IR"/>
        </w:rPr>
        <w:t xml:space="preserve">، وفی رجال من لم یرو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أسلم الجبلی روی عنه محمّد بن الحسین بن أبی الخطاب </w:t>
      </w:r>
      <w:r>
        <w:rPr>
          <w:rStyle w:val="FootnoteAnchor"/>
          <w:rtl w:val="true"/>
        </w:rPr>
        <w:footnoteReference w:id="1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الفهرست ذکره مهملاً ، وأنّ الراوی عنه محمّد بن الحسین </w:t>
      </w:r>
      <w:r>
        <w:rPr>
          <w:rStyle w:val="FootnoteAnchor"/>
          <w:rtl w:val="true"/>
        </w:rPr>
        <w:footnoteReference w:id="1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رجال الرضا علیه السلام من کتابه ذکره أیضاً </w:t>
      </w:r>
      <w:r>
        <w:rPr>
          <w:rStyle w:val="FootnoteAnchor"/>
          <w:rtl w:val="true"/>
        </w:rPr>
        <w:footnoteReference w:id="1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غرابة ، لکن من الشیخ مثل هذا غیر عزیز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شیخنا أیّده الله فی 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اشتبه علی الشیخ الحال ، فظنّ أنّ أبا جعفر الذی هو من رجاله الأوّل فعدّه من أصحابه ، وإنما هو من أصحاب الثانی علیه السلام </w:t>
      </w:r>
      <w:r>
        <w:rPr>
          <w:rStyle w:val="FootnoteAnchor"/>
          <w:rtl w:val="true"/>
        </w:rPr>
        <w:footnoteReference w:id="1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عدّه فیمن لم یروِ فغیر واضح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عبد الرحمن بن سالم فقد تقدم </w:t>
      </w:r>
      <w:r>
        <w:rPr>
          <w:rStyle w:val="FootnoteAnchor"/>
          <w:rtl w:val="true"/>
        </w:rPr>
        <w:footnoteReference w:id="1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ابن أبی حمزة وأبو</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5" w:name="__RefHeading___Toc147244_2142443653"/>
      <w:bookmarkStart w:id="1036" w:name="_Toc400"/>
      <w:bookmarkEnd w:id="1035"/>
      <w:r>
        <w:rPr>
          <w:rtl w:val="true"/>
        </w:rPr>
        <w:t>بحث حول محمّد بن أسلم الجبلی</w:t>
      </w:r>
      <w:bookmarkStart w:id="1037" w:name="pg15025_160520"/>
      <w:bookmarkEnd w:id="1036"/>
    </w:p>
    <w:p>
      <w:pPr>
        <w:pStyle w:val="BookText"/>
        <w:rPr/>
      </w:pPr>
      <w:bookmarkEnd w:id="1037"/>
      <w:r>
        <w:rPr>
          <w:rFonts w:ascii="IRNazanin" w:hAnsi="IRNazanin" w:eastAsia="IRNazanin"/>
          <w:color w:val="111111"/>
          <w:sz w:val="28"/>
          <w:sz w:val="28"/>
          <w:szCs w:val="28"/>
          <w:rtl w:val="true"/>
          <w:lang w:bidi="fa-IR"/>
        </w:rPr>
        <w:t>بصیر غیر خفیّ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 کذلک ؛ لتقدم الذکر عن قریب فی المحتاج إلی البیان ، وغیره مضی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دلالة الأوّل علی الاختصاص بغَسل الکفّین ، وکأنّ الشیخ أراد بقوله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 أو أنّه ضمّ غَسل الوجه إلی ما تضمّنته هذه الروایة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إذن یدخل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یراد منه أنّ هذا الفعل یحصل بسببه أمر خَطِر من حیث احتمال النظر إلی ما لا یحلّ ، أو أنّ أهلها یکرهون ذلک ، ویحتمل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w:t>
      </w:r>
      <w:r>
        <w:rPr>
          <w:rFonts w:eastAsia="IRNazanin" w:cs="IRNazanin"/>
          <w:color w:val="111111"/>
          <w:sz w:val="28"/>
          <w:szCs w:val="28"/>
          <w:rtl w:val="true"/>
          <w:lang w:bidi="fa-IR"/>
        </w:rPr>
        <w:t xml:space="preserve">) </w:t>
      </w:r>
      <w:r>
        <w:rPr>
          <w:rStyle w:val="FootnoteAnchor"/>
          <w:rtl w:val="true"/>
        </w:rPr>
        <w:footnoteReference w:id="1509"/>
      </w:r>
      <w:r>
        <w:rPr>
          <w:rFonts w:ascii="IRNazanin" w:hAnsi="IRNazanin" w:eastAsia="IRNazanin"/>
          <w:color w:val="111111"/>
          <w:sz w:val="28"/>
          <w:sz w:val="28"/>
          <w:szCs w:val="28"/>
          <w:rtl w:val="true"/>
          <w:lang w:bidi="fa-IR"/>
        </w:rPr>
        <w:t>أنّ مثل هذا یصیر ویتفق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فیه القول ، وأشرنا إلی ما فیه من الزیادة عن السابق منه </w:t>
      </w:r>
      <w:r>
        <w:rPr>
          <w:rStyle w:val="FootnoteAnchor"/>
          <w:rtl w:val="true"/>
        </w:rPr>
        <w:footnoteReference w:id="1510"/>
      </w:r>
      <w:r>
        <w:rPr>
          <w:rFonts w:ascii="IRNazanin" w:hAnsi="IRNazanin" w:eastAsia="IRNazanin"/>
          <w:color w:val="111111"/>
          <w:sz w:val="28"/>
          <w:sz w:val="28"/>
          <w:szCs w:val="28"/>
          <w:rtl w:val="true"/>
          <w:lang w:bidi="fa-IR"/>
        </w:rPr>
        <w:t xml:space="preserve">، ولعلّ الوجه فی غَسل باطن الکفّین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محل الضرب علی التراب ، وغسلِ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محل المسح فی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تقیید الخبر الأوّل بهذا قد سمعتَ احتماله ، والتخییر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دالّ علی غَسل موضع الوضوء ، وهو مغایر للأوّلین ، وحمل المطلق علیه فی غایة البُعد ، وکذلک کلام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 کالأوّل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قاله الشیخ من الحمل علی الاستحباب ، له وجه ، بالنظر إلی أنّ اختلاف الأخبار فی الکیفیّة دلیل علی عدم اللزوم ، لا من حیث معارضة الأخبار السابقة ؛ لأنّ ما تضمّنته الأخبار السابقة دلّ علی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8" w:name="__RefHeading___Toc147246_2142443653"/>
      <w:bookmarkStart w:id="1039" w:name="_Toc401"/>
      <w:bookmarkEnd w:id="1038"/>
      <w:r>
        <w:rPr>
          <w:rtl w:val="true"/>
        </w:rPr>
        <w:t>بیان ما دلّ علی غَسل الکفّین أو موضع التیمّم أو موضع الوضوء</w:t>
      </w:r>
      <w:bookmarkEnd w:id="1039"/>
    </w:p>
    <w:p>
      <w:pPr>
        <w:pStyle w:val="BookText"/>
        <w:rPr/>
      </w:pPr>
      <w:r>
        <w:rPr>
          <w:rFonts w:ascii="IRNazanin" w:hAnsi="IRNazanin" w:eastAsia="IRNazanin"/>
          <w:color w:val="111111"/>
          <w:sz w:val="28"/>
          <w:sz w:val="28"/>
          <w:szCs w:val="28"/>
          <w:rtl w:val="true"/>
          <w:lang w:bidi="fa-IR"/>
        </w:rPr>
        <w:t>النهی عن التغسیل فی البعض ، والبعض دالّ علی أنّه یدفن بالثیاب ، وکلّ من الأمرین لا ینافی ما دلّت علیه هذه الأخبار ، إلاّ من حیث دلالة ما تقدّم علی أنّ الواجب ما ذکر فیها ، وأنت خبیر بأنّ حمل المطلق علی المقیّد لا مانع منه ، ولعلّ الشیخ ناظر إلی ما قلناه من أمارة الاستحباب فی اختلاف مدلول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 ذلک بیاناً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سعد بن عبد الله ، عن أحمد بن محمّد ، عن الحسن بن علی ، عن أبی جمیلة ، عن زید الشحّام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امرأة ماتت وهی فی موضع لیس معهم امرأة غیرها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یکن فیهم لها زوج ولا ذو رحم </w:t>
      </w:r>
      <w:r>
        <w:rPr>
          <w:rStyle w:val="FootnoteAnchor"/>
          <w:rtl w:val="true"/>
        </w:rPr>
        <w:footnoteReference w:id="1511"/>
      </w:r>
      <w:r>
        <w:rPr>
          <w:rFonts w:ascii="IRNazanin" w:hAnsi="IRNazanin" w:eastAsia="IRNazanin"/>
          <w:color w:val="111111"/>
          <w:sz w:val="28"/>
          <w:sz w:val="28"/>
          <w:szCs w:val="28"/>
          <w:rtl w:val="true"/>
          <w:lang w:bidi="fa-IR"/>
        </w:rPr>
        <w:t xml:space="preserve">دفنوها بثیابها ولا یغسلونها ، وإنّ کان معهم زوجها أو ذو رحم لها فلیغسلها من غیر أنّ ینظر إلی عورتها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مات فی السفر مع النساء </w:t>
      </w:r>
      <w:r>
        <w:rPr>
          <w:rStyle w:val="FootnoteAnchor"/>
          <w:rtl w:val="true"/>
        </w:rPr>
        <w:footnoteReference w:id="1512"/>
      </w:r>
      <w:r>
        <w:rPr>
          <w:rFonts w:ascii="IRNazanin" w:hAnsi="IRNazanin" w:eastAsia="IRNazanin"/>
          <w:color w:val="111111"/>
          <w:sz w:val="28"/>
          <w:sz w:val="28"/>
          <w:szCs w:val="28"/>
          <w:rtl w:val="true"/>
          <w:lang w:bidi="fa-IR"/>
        </w:rPr>
        <w:t xml:space="preserve">لیس معهن رجل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یکن له </w:t>
      </w:r>
      <w:r>
        <w:rPr>
          <w:rStyle w:val="FootnoteAnchor"/>
          <w:rtl w:val="true"/>
        </w:rPr>
        <w:footnoteReference w:id="1513"/>
      </w:r>
      <w:r>
        <w:rPr>
          <w:rFonts w:ascii="IRNazanin" w:hAnsi="IRNazanin" w:eastAsia="IRNazanin"/>
          <w:color w:val="111111"/>
          <w:sz w:val="28"/>
          <w:sz w:val="28"/>
          <w:szCs w:val="28"/>
          <w:rtl w:val="true"/>
          <w:lang w:bidi="fa-IR"/>
        </w:rPr>
        <w:t xml:space="preserve">فیهنّ امرأة فلیدفن بثیابه ولا یغسل ، وإنّ کان له فیهن امرأة فلیغسل فی قمیص ، من غیر أنّ ینظر إلی عورته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عبد الله ، عن أبی الجوزاء ، عن الحسین بن علوان ، عن عمرو بن خالد ، عن زید بن علی ، عن آبائه ، عن علی علیه السلام ، قال </w:t>
      </w:r>
      <w:bookmarkStart w:id="1040" w:name="pg15025_160522"/>
    </w:p>
    <w:p>
      <w:pPr>
        <w:pStyle w:val="BookText"/>
        <w:rPr/>
      </w:pPr>
      <w:bookmarkEnd w:id="104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صلی الله علیه و آله نفرٌ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توفّیت معنا ، ولیس معها ذو محرم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صنعتم بها؟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صببنا علیها الماء </w:t>
      </w:r>
      <w:r>
        <w:rPr>
          <w:rStyle w:val="FootnoteAnchor"/>
          <w:rtl w:val="true"/>
        </w:rPr>
        <w:footnoteReference w:id="1514"/>
      </w:r>
      <w:r>
        <w:rPr>
          <w:rFonts w:ascii="IRNazanin" w:hAnsi="IRNazanin" w:eastAsia="IRNazanin"/>
          <w:color w:val="111111"/>
          <w:sz w:val="28"/>
          <w:sz w:val="28"/>
          <w:szCs w:val="28"/>
          <w:rtl w:val="true"/>
          <w:lang w:bidi="fa-IR"/>
        </w:rPr>
        <w:t xml:space="preserve">صبّاً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الکتاب من </w:t>
      </w:r>
      <w:r>
        <w:rPr>
          <w:rFonts w:eastAsia="IRNazanin" w:cs="IRNazanin"/>
          <w:color w:val="111111"/>
          <w:sz w:val="28"/>
          <w:szCs w:val="28"/>
          <w:rtl w:val="true"/>
          <w:lang w:bidi="fa-IR"/>
        </w:rPr>
        <w:t xml:space="preserve">) </w:t>
      </w:r>
      <w:r>
        <w:rPr>
          <w:rStyle w:val="FootnoteAnchor"/>
          <w:rtl w:val="true"/>
        </w:rPr>
        <w:footnoteReference w:id="1515"/>
      </w:r>
      <w:r>
        <w:rPr>
          <w:rFonts w:ascii="IRNazanin" w:hAnsi="IRNazanin" w:eastAsia="IRNazanin"/>
          <w:color w:val="111111"/>
          <w:sz w:val="28"/>
          <w:sz w:val="28"/>
          <w:szCs w:val="28"/>
          <w:rtl w:val="true"/>
          <w:lang w:bidi="fa-IR"/>
        </w:rPr>
        <w:t xml:space="preserve">تغسلها؟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تمّمتُموها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جمیلة المفضل بن صالح ، وقد کرّرنا القول فیه </w:t>
      </w:r>
      <w:r>
        <w:rPr>
          <w:rStyle w:val="FootnoteAnchor"/>
          <w:rtl w:val="true"/>
        </w:rPr>
        <w:footnoteReference w:id="1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ابن فضال ؛ لأنّه الراوی عنه فی الفهرست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ذکر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صراحته فی الأوّل علی جواز تغسیل الزوج والرحم من غیر النظر إلی العورة علی الإطلاق ، فهو مناف لتفصیل الشیخ ، إلاّ أن نحمله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دلالته علی دفن المیت بغیر غُسل من دون وجود المذکورین فظاهرة ، لکن لا یزید استحباب ما ذکر بیاناً ، إلاّ من حیث عدم التعرض لغَسل الیدین والوجه ، وقد قدّمنا </w:t>
      </w:r>
      <w:r>
        <w:rPr>
          <w:rStyle w:val="FootnoteAnchor"/>
          <w:rtl w:val="true"/>
        </w:rPr>
        <w:footnoteReference w:id="1518"/>
      </w:r>
      <w:r>
        <w:rPr>
          <w:rFonts w:ascii="IRNazanin" w:hAnsi="IRNazanin" w:eastAsia="IRNazanin"/>
          <w:color w:val="111111"/>
          <w:sz w:val="28"/>
          <w:sz w:val="28"/>
          <w:szCs w:val="28"/>
          <w:rtl w:val="true"/>
          <w:lang w:bidi="fa-IR"/>
        </w:rPr>
        <w:t>أنّ هذا لا ینافی حمل المطلق علی</w:t>
      </w:r>
    </w:p>
    <w:p>
      <w:pPr>
        <w:pStyle w:val="Heading4"/>
        <w:numPr>
          <w:ilvl w:val="3"/>
          <w:numId w:val="1"/>
        </w:numPr>
        <w:rPr/>
      </w:pPr>
      <w:bookmarkStart w:id="1041" w:name="__RefHeading___Toc147248_2142443653"/>
      <w:bookmarkStart w:id="1042" w:name="_Toc402"/>
      <w:bookmarkEnd w:id="1041"/>
      <w:r>
        <w:rPr>
          <w:rtl w:val="true"/>
        </w:rPr>
        <w:t>الحسن بن علی الراوی عن أبی جمیلة هو ابن فضّال</w:t>
      </w:r>
      <w:bookmarkEnd w:id="104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3" w:name="__RefHeading___Toc147250_2142443653"/>
      <w:bookmarkStart w:id="1044" w:name="_Toc403"/>
      <w:bookmarkEnd w:id="1043"/>
      <w:r>
        <w:rPr>
          <w:rtl w:val="true"/>
        </w:rPr>
        <w:t>بیان روایة زید الشحّام</w:t>
      </w:r>
      <w:bookmarkStart w:id="1045" w:name="pg15025_160523"/>
      <w:bookmarkEnd w:id="1044"/>
    </w:p>
    <w:p>
      <w:pPr>
        <w:pStyle w:val="BookText"/>
        <w:rPr/>
      </w:pPr>
      <w:bookmarkEnd w:id="1045"/>
      <w:r>
        <w:rPr>
          <w:rFonts w:ascii="IRNazanin" w:hAnsi="IRNazanin" w:eastAsia="IRNazanin"/>
          <w:color w:val="111111"/>
          <w:sz w:val="28"/>
          <w:sz w:val="28"/>
          <w:szCs w:val="28"/>
          <w:rtl w:val="true"/>
          <w:lang w:bidi="fa-IR"/>
        </w:rPr>
        <w:t>المقید ، ولو أراد الشیخ بزیادة البیان علی نفی التغسیل فالأخبار السابقة مثلها بسبب النهی عن التغسیل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آخر الروایة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یکن له فیهن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لأنّ یکون المرأة زوجة ، أو ذات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والتغسیل فی القمیص محتمل لأنّ یحمل علیه مطلق صدرها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غیر أنّ ینظر إلی عورتها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إبقاء الصدر علی حاله وجواز التغسیل مع ستر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من مؤیّدات جواز التغسیل من الزوج والمرأة من غیر شرط الضرورة ؛ لأنّ المفروض فیه وجود المماثلة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علی مطلوب الشیخ غیر ظاهرة ، بل علی ضد مطلوبه أظهر ؛ لأنّ مفاده التیمم ، والشیخ لم یذکره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الشیخ فهم من التیمم غَسل موضع التیمم ، ولو لا هذا لم یکن للروایة 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تضمنته من تغسیل امرأة من أهل الکتاب قد ذکره بعض الأصحاب </w:t>
      </w:r>
      <w:r>
        <w:rPr>
          <w:rStyle w:val="FootnoteAnchor"/>
          <w:rtl w:val="true"/>
        </w:rPr>
        <w:footnoteReference w:id="1519"/>
      </w:r>
      <w:r>
        <w:rPr>
          <w:rFonts w:ascii="IRNazanin" w:hAnsi="IRNazanin" w:eastAsia="IRNazanin"/>
          <w:color w:val="111111"/>
          <w:sz w:val="28"/>
          <w:sz w:val="28"/>
          <w:szCs w:val="28"/>
          <w:rtl w:val="true"/>
          <w:lang w:bidi="fa-IR"/>
        </w:rPr>
        <w:t xml:space="preserve">، والمحقق فی المعتبر توقف فیه </w:t>
      </w:r>
      <w:r>
        <w:rPr>
          <w:rStyle w:val="FootnoteAnchor"/>
          <w:rtl w:val="true"/>
        </w:rPr>
        <w:footnoteReference w:id="1520"/>
      </w:r>
      <w:r>
        <w:rPr>
          <w:rFonts w:ascii="IRNazanin" w:hAnsi="IRNazanin" w:eastAsia="IRNazanin"/>
          <w:color w:val="111111"/>
          <w:sz w:val="28"/>
          <w:sz w:val="28"/>
          <w:szCs w:val="28"/>
          <w:rtl w:val="true"/>
          <w:lang w:bidi="fa-IR"/>
        </w:rPr>
        <w:t xml:space="preserve">، وهو فی محلّه ، مع أنه فی الشرائع تابع البعض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فی التهذیب روی عن عمّار بن موسی ، عن أبی عبد الله علیه السلام ،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رجل مسلم ، ولیس معه رجل مسلم ، ولا امرأة مسلمة من ذوی قرابته ، ومعه رجال نصاری ، ونساء مسلمات لیس بینه وبینهن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6" w:name="__RefHeading___Toc147252_2142443653"/>
      <w:bookmarkStart w:id="1047" w:name="_Toc404"/>
      <w:bookmarkEnd w:id="1046"/>
      <w:r>
        <w:rPr>
          <w:rtl w:val="true"/>
        </w:rPr>
        <w:t>هل یجوز تفصیل أهل الکتاب للمسلم؟</w:t>
      </w:r>
      <w:bookmarkEnd w:id="1047"/>
    </w:p>
    <w:p>
      <w:pPr>
        <w:pStyle w:val="BookText"/>
        <w:rPr/>
      </w:pPr>
      <w:r>
        <w:rPr>
          <w:rFonts w:ascii="IRNazanin" w:hAnsi="IRNazanin" w:eastAsia="IRNazanin"/>
          <w:color w:val="111111"/>
          <w:sz w:val="28"/>
          <w:sz w:val="28"/>
          <w:szCs w:val="28"/>
          <w:rtl w:val="true"/>
          <w:lang w:bidi="fa-IR"/>
        </w:rPr>
        <w:t xml:space="preserve">قرابة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یغتسل النصاری ثم یغسّلونه فقد اضطرّ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المرأة المسلمة تموت ولیس معها امرأة مسلمة ولا رجل مسلم من ذوی قرابتها ، ومعها نصرانیة ورجال مسلمون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تغتسل النصرانیة ثم تغسّلها </w:t>
      </w:r>
      <w:r>
        <w:rPr>
          <w:rFonts w:eastAsia="IRNazanin" w:cs="IRNazanin"/>
          <w:color w:val="111111"/>
          <w:sz w:val="28"/>
          <w:szCs w:val="28"/>
          <w:rtl w:val="true"/>
          <w:lang w:bidi="fa-IR"/>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علیک الحال فی إثبات الحکم بمثل هاتین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وینقل عن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علّل عدم صحة تغسیل الکافر والکافرة بافتقار الغُسل إلی النیة ، والکافر لا تقع منه القربة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شیخنا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أنّه متی ثبتت نجاسة الذمّی ، أو توقف الغُسل علی النیة تعیّن المصیر إلی ما قاله فی المعتبر ، ولو نوزع فیهما أمکن إثبات هذا الحکم بالعمومات </w:t>
      </w:r>
      <w:r>
        <w:rPr>
          <w:rStyle w:val="FootnoteAnchor"/>
          <w:rtl w:val="true"/>
        </w:rPr>
        <w:footnoteReference w:id="1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أنّ العمومات الدالة علی تغسیل من ذکر بعیدة الحصول ، والله أعلم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الحسین ، عن محمّد بن أحمد بن علی ، عن عبد الله بن الصلت ، عن ابن بنت إلیاس ،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إذا ماتت مع الرجال فلم یجدوا امرأة تغسّلها ، غسّلها بعض الرجال من وراء الثیاب ، ویستحب أنّ یلفّ علی یدیه خرقة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الخبر یحتمل وجهین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ذلک الرجل زوجها ، فإنّه یجوز له </w:t>
      </w:r>
      <w:r>
        <w:rPr>
          <w:rStyle w:val="FootnoteAnchor"/>
          <w:rtl w:val="true"/>
        </w:rPr>
        <w:footnoteReference w:id="1525"/>
      </w:r>
      <w:r>
        <w:rPr>
          <w:rFonts w:ascii="IRNazanin" w:hAnsi="IRNazanin" w:eastAsia="IRNazanin"/>
          <w:color w:val="111111"/>
          <w:sz w:val="28"/>
          <w:sz w:val="28"/>
          <w:szCs w:val="28"/>
          <w:rtl w:val="true"/>
          <w:lang w:bidi="fa-IR"/>
        </w:rPr>
        <w:t>أنّ یغسّلها علی ما قدّمناه من وراء الثیاب ، أو واحد من ذوی أرحامها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ویؤکّد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سعد بن عبد الله ، عن أحمد بن محمّد ، عن عثمان بن عیسی ،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مات ، ولیس عنده إلاّ نساء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تغسّله امرأة ذات محرم منه ، وتصبّ النساء علیه الماء ، ولا یخلع ثوبه ؛ وإنّ کانت امرأة ماتت مع رجال ، ولیس معها امرأة ولا محرم لها ، فلتُدفن کما هی فی ثیابها ، وإن </w:t>
      </w:r>
      <w:r>
        <w:rPr>
          <w:rStyle w:val="FootnoteAnchor"/>
          <w:rtl w:val="true"/>
        </w:rPr>
        <w:footnoteReference w:id="1526"/>
      </w:r>
      <w:r>
        <w:rPr>
          <w:rFonts w:ascii="IRNazanin" w:hAnsi="IRNazanin" w:eastAsia="IRNazanin"/>
          <w:color w:val="111111"/>
          <w:sz w:val="28"/>
          <w:sz w:val="28"/>
          <w:szCs w:val="28"/>
          <w:rtl w:val="true"/>
          <w:lang w:bidi="fa-IR"/>
        </w:rPr>
        <w:t xml:space="preserve">کان معها ذو محرم لها غسّلها من فوق ثیابها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ذلک محمولاً </w:t>
      </w:r>
      <w:r>
        <w:rPr>
          <w:rStyle w:val="FootnoteAnchor"/>
          <w:rtl w:val="true"/>
        </w:rPr>
        <w:footnoteReference w:id="1527"/>
      </w:r>
      <w:r>
        <w:rPr>
          <w:rFonts w:ascii="IRNazanin" w:hAnsi="IRNazanin" w:eastAsia="IRNazanin"/>
          <w:color w:val="111111"/>
          <w:sz w:val="28"/>
          <w:sz w:val="28"/>
          <w:szCs w:val="28"/>
          <w:rtl w:val="true"/>
          <w:lang w:bidi="fa-IR"/>
        </w:rPr>
        <w:t xml:space="preserve">علی أنّهم یغسّلونها بصبّ الماء علیها ، کما ذکرناه فی غسلهن للرجل ، لأنّ ذلک قد روی ، وإنّ کان کل ذلک محمولاً علی الاستحباب ، والأصل ما قدّمناه من وجوب دفنهما </w:t>
      </w:r>
      <w:r>
        <w:rPr>
          <w:rStyle w:val="FootnoteAnchor"/>
          <w:rtl w:val="true"/>
        </w:rPr>
        <w:footnoteReference w:id="1528"/>
      </w:r>
      <w:r>
        <w:rPr>
          <w:rFonts w:ascii="Amiri" w:hAnsi="Amiri" w:eastAsia="Amiri" w:cs="Amiri"/>
          <w:color w:val="111111"/>
          <w:sz w:val="28"/>
          <w:sz w:val="28"/>
          <w:szCs w:val="28"/>
          <w:rtl w:val="true"/>
          <w:lang w:bidi="ar-SA"/>
        </w:rPr>
        <w:t>من غیر غُسل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ما ذکرناه محمّد بن أحمد بن یحیی ، عن الحسن بن علی بن خُرّزاد ، عن الحسن بن راشد ، عن علی بن إسماعیل ، عن أبی سعید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ماتت المرأة مع قوم لیس لها فیهم محرم ، یصبّون الماء علیها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مات مع نسوة لیس فیهنّ له محرم ، فقال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یصببن الماء علیه صباً ، فقال </w:t>
      </w:r>
      <w:bookmarkStart w:id="1048" w:name="pg15025_160526"/>
    </w:p>
    <w:p>
      <w:pPr>
        <w:pStyle w:val="BookText"/>
        <w:rPr/>
      </w:pPr>
      <w:bookmarkEnd w:id="1048"/>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یحلّ لهن أنّ یمسسن منه ما کان یحلّ لهن أنّ ینظرن إلیه منه وهو حیّ ، فإذا بلغن الموضع الذی لا یحلّ لهن النظر إلیه ولا مسّه وهو حیّ صببن الماء علیه صبّاً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تضمن هذا الخبر من جواز غُسل المرأة للرجل المواضع التی کان یحلّ لها النظر إلیها وهو حی محمول علی الاستحباب ، والأصل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قدّمنا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بنت إلیاس هو الحسن بن علی الوشّاء ، لکن قد یتأمّل فی روایته عن عبد الله بن سنان ، من حیث إن عبد الله من رجال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عن أبی الحسن موسی علیه السلام </w:t>
      </w:r>
      <w:r>
        <w:rPr>
          <w:rStyle w:val="FootnoteAnchor"/>
          <w:rtl w:val="true"/>
        </w:rPr>
        <w:footnoteReference w:id="1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یثبت </w:t>
      </w:r>
      <w:r>
        <w:rPr>
          <w:rStyle w:val="FootnoteAnchor"/>
          <w:rtl w:val="true"/>
        </w:rPr>
        <w:footnoteReference w:id="1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والوشّاء من رجال الرضا علیه السلام والهادی علی ما ذکره الشیخ فی رجاله علیه السلام </w:t>
      </w:r>
      <w:r>
        <w:rPr>
          <w:rStyle w:val="FootnoteAnchor"/>
          <w:rtl w:val="true"/>
        </w:rPr>
        <w:footnoteReference w:id="1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مقتضی الروایة عن ابن سنان إدراک الوشّاء لخمسة من الأئمة علیهم السلام أو أربعة ، ولم ینقل ذلک ، ولعلّ عدم روایة ابن سنان عن أبی الحسن موسی علیه السلام لا یدل علی عدم إدراکه له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عثمان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علی بن خُرّزاد وهو مهمل فی النجاشی </w:t>
      </w:r>
      <w:r>
        <w:rPr>
          <w:rStyle w:val="FootnoteAnchor"/>
          <w:rtl w:val="true"/>
        </w:rPr>
        <w:footnoteReference w:id="1532"/>
      </w:r>
      <w:r>
        <w:rPr>
          <w:rFonts w:ascii="IRNazanin" w:hAnsi="IRNazanin" w:eastAsia="IRNazanin"/>
          <w:color w:val="111111"/>
          <w:sz w:val="28"/>
          <w:sz w:val="28"/>
          <w:szCs w:val="28"/>
          <w:rtl w:val="true"/>
          <w:lang w:bidi="fa-IR"/>
        </w:rPr>
        <w:t>،</w:t>
      </w:r>
    </w:p>
    <w:p>
      <w:pPr>
        <w:pStyle w:val="Heading4"/>
        <w:numPr>
          <w:ilvl w:val="3"/>
          <w:numId w:val="1"/>
        </w:numPr>
        <w:rPr/>
      </w:pPr>
      <w:bookmarkStart w:id="1049" w:name="__RefHeading___Toc147254_2142443653"/>
      <w:bookmarkStart w:id="1050" w:name="_Toc405"/>
      <w:bookmarkEnd w:id="1049"/>
      <w:r>
        <w:rPr>
          <w:rtl w:val="true"/>
        </w:rPr>
        <w:t>بحث حول روایة الحسن بن علی الوشّاء عن عبدالله بن سنان</w:t>
      </w:r>
      <w:bookmarkEnd w:id="105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1" w:name="__RefHeading___Toc147256_2142443653"/>
      <w:bookmarkStart w:id="1052" w:name="_Toc406"/>
      <w:bookmarkEnd w:id="1051"/>
      <w:r>
        <w:rPr>
          <w:rtl w:val="true"/>
        </w:rPr>
        <w:t>بحث حول الحسن بن علی بن خرّزاد</w:t>
      </w:r>
      <w:bookmarkStart w:id="1053" w:name="pg15025_160527"/>
      <w:bookmarkEnd w:id="1052"/>
    </w:p>
    <w:p>
      <w:pPr>
        <w:pStyle w:val="BookText"/>
        <w:rPr/>
      </w:pPr>
      <w:bookmarkEnd w:id="1053"/>
      <w:r>
        <w:rPr>
          <w:rFonts w:ascii="IRNazanin" w:hAnsi="IRNazanin" w:eastAsia="IRNazanin"/>
          <w:color w:val="111111"/>
          <w:sz w:val="28"/>
          <w:sz w:val="28"/>
          <w:szCs w:val="28"/>
          <w:rtl w:val="true"/>
          <w:lang w:bidi="fa-IR"/>
        </w:rPr>
        <w:t xml:space="preserve">وفی رجال الهادی علیه السلام من کتاب الشیخ </w:t>
      </w:r>
      <w:r>
        <w:rPr>
          <w:rStyle w:val="FootnoteAnchor"/>
          <w:rtl w:val="true"/>
        </w:rPr>
        <w:footnoteReference w:id="1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فی من لم یرو عن الأئمة علیهم السلام أیضاً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أهل کش ؛ وفی الجمیع مذکور بلفظ الحسن بن خرزاد </w:t>
      </w:r>
      <w:r>
        <w:rPr>
          <w:rStyle w:val="FootnoteAnchor"/>
          <w:rtl w:val="true"/>
        </w:rPr>
        <w:footnoteReference w:id="1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خرزاذ بالخاء المعجمة المضمومة ، والراء المشددة ، والزای والذال المعجمة بعد الألف کثیر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غلا فی آخر عمره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الحسن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اشتراک </w:t>
      </w:r>
      <w:r>
        <w:rPr>
          <w:rStyle w:val="FootnoteAnchor"/>
          <w:rtl w:val="true"/>
        </w:rPr>
        <w:footnoteReference w:id="1536"/>
      </w:r>
      <w:r>
        <w:rPr>
          <w:rFonts w:ascii="IRNazanin" w:hAnsi="IRNazanin" w:eastAsia="IRNazanin"/>
          <w:color w:val="111111"/>
          <w:sz w:val="28"/>
          <w:sz w:val="28"/>
          <w:szCs w:val="28"/>
          <w:rtl w:val="true"/>
          <w:lang w:bidi="fa-IR"/>
        </w:rPr>
        <w:t xml:space="preserve">، إلاّ أنّ الذی حققه شیخنا أیّده الله فی 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الراوی عن الصادق والکاظم علیهماالسلام ضعیف ، وعن الجواد والهادی </w:t>
      </w:r>
      <w:r>
        <w:rPr>
          <w:rStyle w:val="FootnoteAnchor"/>
          <w:rtl w:val="true"/>
        </w:rPr>
        <w:footnoteReference w:id="1537"/>
      </w:r>
      <w:r>
        <w:rPr>
          <w:rFonts w:ascii="Amiri" w:hAnsi="Amiri" w:eastAsia="Amiri" w:cs="Amiri"/>
          <w:color w:val="111111"/>
          <w:sz w:val="28"/>
          <w:sz w:val="28"/>
          <w:szCs w:val="28"/>
          <w:rtl w:val="true"/>
          <w:lang w:bidi="ar-SA"/>
        </w:rPr>
        <w:t xml:space="preserve">ثقة </w:t>
      </w:r>
      <w:r>
        <w:rPr>
          <w:rStyle w:val="FootnoteAnchor"/>
          <w:rtl w:val="true"/>
        </w:rPr>
        <w:footnoteReference w:id="1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هنا من رجال الهادی علیه السلام ، حیث روی عنه الحسن بن خرزاد ، وهو من رجال الهادی علیه السلام ؛ إلاّ أنّ باب الاحتمال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بن إسماعیل یقال لجماعة </w:t>
      </w:r>
      <w:r>
        <w:rPr>
          <w:rStyle w:val="FootnoteAnchor"/>
          <w:rtl w:val="true"/>
        </w:rPr>
        <w:footnoteReference w:id="1539"/>
      </w:r>
      <w:r>
        <w:rPr>
          <w:rFonts w:ascii="IRNazanin" w:hAnsi="IRNazanin" w:eastAsia="IRNazanin"/>
          <w:color w:val="111111"/>
          <w:sz w:val="28"/>
          <w:sz w:val="28"/>
          <w:szCs w:val="28"/>
          <w:rtl w:val="true"/>
          <w:lang w:bidi="fa-IR"/>
        </w:rPr>
        <w:t>، غیر أنّه لا یبعد کونه المیثمی ، والفائدة معدومة فی تعیّنه ؛ لعدم توثیقه ومدحه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ابن عامر ، لکنّ الأوّل من أصحاب الرضا علیه السلام ، والثانی من أصحاب الکاظم علیه السلام ؛ والمرتبة قریبة فی الرجلین من الحسن بن راشد ، لکن فی المیثمی أقرب بتقدیر ما قدّمناه فی الحسن 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أبو سعید الراوی عن أبی عبد الله علیه السلام فغیر معلوم الحال</w:t>
      </w:r>
      <w:r>
        <w:rPr>
          <w:rFonts w:eastAsia="IRNazanin" w:cs="IRNazanin"/>
          <w:color w:val="111111"/>
          <w:sz w:val="28"/>
          <w:szCs w:val="28"/>
          <w:rtl w:val="true"/>
          <w:lang w:bidi="fa-IR"/>
        </w:rPr>
        <w:t>.</w:t>
      </w:r>
    </w:p>
    <w:p>
      <w:pPr>
        <w:pStyle w:val="Heading4"/>
        <w:numPr>
          <w:ilvl w:val="3"/>
          <w:numId w:val="1"/>
        </w:numPr>
        <w:rPr/>
      </w:pPr>
      <w:bookmarkStart w:id="1054" w:name="__RefHeading___Toc147258_2142443653"/>
      <w:bookmarkStart w:id="1055" w:name="_Toc407"/>
      <w:bookmarkEnd w:id="1054"/>
      <w:r>
        <w:rPr>
          <w:rtl w:val="true"/>
        </w:rPr>
        <w:t>بحث حول الحسن بن راشد</w:t>
      </w:r>
      <w:bookmarkEnd w:id="1055"/>
    </w:p>
    <w:p>
      <w:pPr>
        <w:pStyle w:val="Heading4"/>
        <w:numPr>
          <w:ilvl w:val="3"/>
          <w:numId w:val="1"/>
        </w:numPr>
        <w:rPr/>
      </w:pPr>
      <w:bookmarkStart w:id="1056" w:name="__RefHeading___Toc147260_2142443653"/>
      <w:bookmarkStart w:id="1057" w:name="_Toc408"/>
      <w:bookmarkEnd w:id="1056"/>
      <w:r>
        <w:rPr>
          <w:rtl w:val="true"/>
        </w:rPr>
        <w:t>بحث حول علی بن إسماعیل</w:t>
      </w:r>
      <w:bookmarkEnd w:id="105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8" w:name="__RefHeading___Toc147262_2142443653"/>
      <w:bookmarkStart w:id="1059" w:name="_Toc409"/>
      <w:bookmarkEnd w:id="1058"/>
      <w:r>
        <w:rPr>
          <w:rtl w:val="true"/>
        </w:rPr>
        <w:t>أبو سعید الراوی عن أبی عبدالله علیه السلام غیر معلوم الحال</w:t>
      </w:r>
      <w:bookmarkStart w:id="1060" w:name="pg15025_160528"/>
      <w:bookmarkEnd w:id="1059"/>
    </w:p>
    <w:p>
      <w:pPr>
        <w:pStyle w:val="BookText"/>
        <w:rPr/>
      </w:pPr>
      <w:bookmarkEnd w:id="1060"/>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فیه أوّلاً واضح البُعد ، والوجه الثانی غیر تام ؛ لصراحته فی استحباب لفّ الخرقة علی الیدین ، وذلک لا وجه له مع الصب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الخرقة لِمَسّ الیدین والوجه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رکاکة فی التأدیة غیر خفیة ، وکذلک فیه نوع إجمال ، ودلالته علی مطلوب الشیخ بعیدة ، کما أنّ إطلاقه الحمل علی الاستحباب غیر واضح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العمل بالأخبار کلّها لا مانع من الحمل علی جواز التغسیل بالصبّ ، وبدونه مع الخرقة وإنّ کان ما تقدم من غَسل الکفّین أو موضع التیمم أو الوضوء أفضل ؛ والله تعالی أعلم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کیفیة غسل المیت</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الحسین بن الحسن بن أبان ، عن الحسین بن سعید ، عن محمد بن أبی عمیر ، عن إبراهیم الخزّاز ، عن عثمان النوّاء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اغسّل الموتی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وتحسن؟ </w:t>
      </w:r>
      <w:r>
        <w:rPr>
          <w:rFonts w:eastAsia="IRNazanin" w:cs="IRNazanin"/>
          <w:color w:val="111111"/>
          <w:sz w:val="28"/>
          <w:szCs w:val="28"/>
          <w:rtl w:val="true"/>
          <w:lang w:bidi="fa-IR"/>
        </w:rPr>
        <w:t xml:space="preserve">» </w:t>
      </w:r>
      <w:r>
        <w:rPr>
          <w:rStyle w:val="FootnoteAnchor"/>
          <w:rtl w:val="true"/>
        </w:rPr>
        <w:footnoteReference w:id="154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غسلت المیت فارفق به ، ولا تعصره ، ولا تقربنّ شیئاً من مسامعه الکافور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1" w:name="__RefHeading___Toc147264_2142443653"/>
      <w:bookmarkStart w:id="1062" w:name="_Toc410"/>
      <w:bookmarkEnd w:id="1061"/>
      <w:r>
        <w:rPr>
          <w:rtl w:val="true"/>
        </w:rPr>
        <w:t>المناقشة فی توجیه الشیخ لما دلّ علی جواز تغسیل الأجنبی للأجنبیة من وراء الثیاب</w:t>
      </w:r>
      <w:r>
        <w:rPr>
          <w:rtl w:val="true"/>
        </w:rPr>
        <w:t>.</w:t>
      </w:r>
      <w:bookmarkEnd w:id="1062"/>
    </w:p>
    <w:p>
      <w:pPr>
        <w:pStyle w:val="Heading3"/>
        <w:numPr>
          <w:ilvl w:val="2"/>
          <w:numId w:val="1"/>
        </w:numPr>
        <w:rPr/>
      </w:pPr>
      <w:bookmarkStart w:id="1063" w:name="__RefHeading___Toc147266_2142443653"/>
      <w:bookmarkStart w:id="1064" w:name="_Toc411"/>
      <w:bookmarkEnd w:id="1063"/>
      <w:r>
        <w:rPr>
          <w:rtl w:val="true"/>
        </w:rPr>
        <w:t>کیفیة غُسل المیت</w:t>
      </w:r>
      <w:bookmarkEnd w:id="106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5" w:name="__RefHeading___Toc147268_2142443653"/>
      <w:bookmarkStart w:id="1066" w:name="_Toc412"/>
      <w:bookmarkEnd w:id="1065"/>
      <w:r>
        <w:rPr>
          <w:rtl w:val="true"/>
        </w:rPr>
        <w:t>اشارة</w:t>
      </w:r>
      <w:bookmarkStart w:id="1067" w:name="pg15025_160529"/>
      <w:bookmarkEnd w:id="1066"/>
    </w:p>
    <w:p>
      <w:pPr>
        <w:pStyle w:val="BookText"/>
        <w:rPr/>
      </w:pPr>
      <w:bookmarkEnd w:id="1067"/>
      <w:r>
        <w:rPr>
          <w:rFonts w:ascii="IRNazanin" w:hAnsi="IRNazanin" w:eastAsia="IRNazanin"/>
          <w:color w:val="111111"/>
          <w:sz w:val="28"/>
          <w:sz w:val="28"/>
          <w:szCs w:val="28"/>
          <w:rtl w:val="true"/>
          <w:lang w:bidi="fa-IR"/>
        </w:rPr>
        <w:t xml:space="preserve">الحسن بن محبوب ، عن أبی أیوب ، عن حمران بن أعین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غسّلتم المیت منکم فارفقوا به ، ولا تعصروه ، ولا تغمزوا له مفصلاً ، ولا تقربوا أُذنیه شیئاً من الکافور ، ثم خذوا عِمامته فانشروها مثنیة علی رأسه ، واطرح طرفها </w:t>
      </w:r>
      <w:r>
        <w:rPr>
          <w:rStyle w:val="FootnoteAnchor"/>
          <w:rtl w:val="true"/>
        </w:rPr>
        <w:footnoteReference w:id="1542"/>
      </w:r>
      <w:r>
        <w:rPr>
          <w:rFonts w:ascii="IRNazanin" w:hAnsi="IRNazanin" w:eastAsia="IRNazanin"/>
          <w:color w:val="111111"/>
          <w:sz w:val="28"/>
          <w:sz w:val="28"/>
          <w:szCs w:val="28"/>
          <w:rtl w:val="true"/>
          <w:lang w:bidi="fa-IR"/>
        </w:rPr>
        <w:t xml:space="preserve">من خلفه ، وابرز جبهته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فالحنوط کیف أصنع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یوضع فی منخره وموضع سجوده ومفاصله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فالکفن؟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یؤخذ خرقة فیشدّ بها سفلیه ، ویضم فخذیه بها لیضمّ ما هناک ؛ وما یصنع من القطن أفضل ؛ ثم یکفن بقمیص ولفافة وبرد یجمع فیه الکفن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خفاء بعد ما أسلفناه ، غیر أنّ عثمان النوّاء مذکور مهملاً فی رجال الصادق علیه السلام من کتاب الشیخ </w:t>
      </w:r>
      <w:r>
        <w:rPr>
          <w:rStyle w:val="FootnoteAnchor"/>
          <w:rtl w:val="true"/>
        </w:rPr>
        <w:footnoteReference w:id="1543"/>
      </w:r>
      <w:r>
        <w:rPr>
          <w:rFonts w:ascii="IRNazanin" w:hAnsi="IRNazanin" w:eastAsia="IRNazanin"/>
          <w:color w:val="111111"/>
          <w:sz w:val="28"/>
          <w:sz w:val="28"/>
          <w:szCs w:val="28"/>
          <w:rtl w:val="true"/>
          <w:lang w:bidi="fa-IR"/>
        </w:rPr>
        <w:t xml:space="preserve">وإبراهیم الخزّاز هو أبو أیوب الخزّاز ؛ وقد اختلف فی أبیه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Style w:val="FootnoteAnchor"/>
          <w:rtl w:val="true"/>
        </w:rPr>
        <w:footnoteReference w:id="1544"/>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Style w:val="FootnoteAnchor"/>
          <w:rtl w:val="true"/>
        </w:rPr>
        <w:footnoteReference w:id="1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الراوی عنه ابن أبی عمیر وصفوان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حمران بن أعین ، وقد عدّه الشیخ من المحمودین فی کتاب الغیبة </w:t>
      </w:r>
      <w:r>
        <w:rPr>
          <w:rStyle w:val="FootnoteAnchor"/>
          <w:rtl w:val="true"/>
        </w:rPr>
        <w:footnoteReference w:id="1547"/>
      </w:r>
      <w:r>
        <w:rPr>
          <w:rFonts w:ascii="IRNazanin" w:hAnsi="IRNazanin" w:eastAsia="IRNazanin"/>
          <w:color w:val="111111"/>
          <w:sz w:val="28"/>
          <w:sz w:val="28"/>
          <w:szCs w:val="28"/>
          <w:rtl w:val="true"/>
          <w:lang w:bidi="fa-IR"/>
        </w:rPr>
        <w:t>؛ وفیه کلام</w:t>
      </w:r>
      <w:r>
        <w:rPr>
          <w:rFonts w:eastAsia="IRNazanin" w:cs="IRNazanin"/>
          <w:color w:val="111111"/>
          <w:sz w:val="28"/>
          <w:szCs w:val="28"/>
          <w:rtl w:val="true"/>
          <w:lang w:bidi="fa-IR"/>
        </w:rPr>
        <w:t>.</w:t>
      </w:r>
    </w:p>
    <w:p>
      <w:pPr>
        <w:pStyle w:val="Heading4"/>
        <w:numPr>
          <w:ilvl w:val="3"/>
          <w:numId w:val="1"/>
        </w:numPr>
        <w:rPr/>
      </w:pPr>
      <w:bookmarkStart w:id="1068" w:name="__RefHeading___Toc147270_2142443653"/>
      <w:bookmarkStart w:id="1069" w:name="_Toc413"/>
      <w:bookmarkEnd w:id="1068"/>
      <w:r>
        <w:rPr>
          <w:rtl w:val="true"/>
        </w:rPr>
        <w:t>عثمان النواء مهمل</w:t>
      </w:r>
      <w:bookmarkEnd w:id="1069"/>
    </w:p>
    <w:p>
      <w:pPr>
        <w:pStyle w:val="Heading4"/>
        <w:numPr>
          <w:ilvl w:val="3"/>
          <w:numId w:val="1"/>
        </w:numPr>
        <w:rPr/>
      </w:pPr>
      <w:bookmarkStart w:id="1070" w:name="__RefHeading___Toc147272_2142443653"/>
      <w:bookmarkStart w:id="1071" w:name="_Toc414"/>
      <w:bookmarkEnd w:id="1070"/>
      <w:r>
        <w:rPr>
          <w:rtl w:val="true"/>
        </w:rPr>
        <w:t>بحث حول إبراهیم الخزّاز</w:t>
      </w:r>
      <w:bookmarkEnd w:id="107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2" w:name="__RefHeading___Toc147274_2142443653"/>
      <w:bookmarkStart w:id="1073" w:name="_Toc415"/>
      <w:bookmarkEnd w:id="1072"/>
      <w:r>
        <w:rPr>
          <w:rtl w:val="true"/>
        </w:rPr>
        <w:t>حمران بن أعین فیه کلام</w:t>
      </w:r>
      <w:bookmarkStart w:id="1074" w:name="pg15025_160530"/>
      <w:bookmarkEnd w:id="1073"/>
    </w:p>
    <w:p>
      <w:pPr>
        <w:pStyle w:val="BookText"/>
        <w:rPr/>
      </w:pPr>
      <w:bookmarkEnd w:id="1074"/>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تری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النهی فیه علی أنّه لا یقربنّ شیئاً من مسامعه الکافور ، وقد صرّح جماعة من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ذلک مکروه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تجعل فی منخریه ولا فی بصره ومسامعه ولا وجهه قطناً ولا کافوراً </w:t>
      </w:r>
      <w:r>
        <w:rPr>
          <w:rFonts w:eastAsia="IRNazanin" w:cs="IRNazanin"/>
          <w:color w:val="111111"/>
          <w:sz w:val="28"/>
          <w:szCs w:val="28"/>
          <w:rtl w:val="true"/>
          <w:lang w:bidi="fa-IR"/>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خبر لعبد الرحمن بن أبی عبد الله </w:t>
      </w:r>
      <w:r>
        <w:rPr>
          <w:rStyle w:val="FootnoteAnchor"/>
          <w:rtl w:val="true"/>
        </w:rPr>
        <w:footnoteReference w:id="1550"/>
      </w:r>
      <w:r>
        <w:rPr>
          <w:rFonts w:ascii="IRNazanin" w:hAnsi="IRNazanin" w:eastAsia="IRNazanin"/>
          <w:color w:val="111111"/>
          <w:sz w:val="28"/>
          <w:sz w:val="28"/>
          <w:szCs w:val="28"/>
          <w:rtl w:val="true"/>
          <w:lang w:bidi="fa-IR"/>
        </w:rPr>
        <w:t xml:space="preserve">معدود من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تجعل فی مسامع المیت حنوطاً </w:t>
      </w:r>
      <w:r>
        <w:rPr>
          <w:rFonts w:eastAsia="IRNazanin" w:cs="IRNazanin"/>
          <w:color w:val="111111"/>
          <w:sz w:val="28"/>
          <w:szCs w:val="28"/>
          <w:rtl w:val="true"/>
          <w:lang w:bidi="fa-IR"/>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شیخنا قدس سره الروایات بالضعف والقطع </w:t>
      </w:r>
      <w:r>
        <w:rPr>
          <w:rStyle w:val="FootnoteAnchor"/>
          <w:rtl w:val="true"/>
        </w:rPr>
        <w:footnoteReference w:id="1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ینظر فی القطع بأنّ مثل عبد الرحمن بن أبی عبد الله لا تتصور روایته عن غیر المعصوم ، وقد اعترف به قدس سره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عبارة الصدوق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 الکافور علی بصره وأنفه وفی مسامعه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الله بن سنان الصحیحة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یصنع بالحنوط؟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یصنع فی فمه ومسامعه وآثار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5" w:name="__RefHeading___Toc147276_2142443653"/>
      <w:bookmarkStart w:id="1076" w:name="_Toc416"/>
      <w:bookmarkEnd w:id="1075"/>
      <w:r>
        <w:rPr>
          <w:rtl w:val="true"/>
        </w:rPr>
        <w:t>حکم جعل الحنوط فی مسامع المیت</w:t>
      </w:r>
      <w:bookmarkEnd w:id="1076"/>
    </w:p>
    <w:p>
      <w:pPr>
        <w:pStyle w:val="BookText"/>
        <w:rPr/>
      </w:pPr>
      <w:r>
        <w:rPr>
          <w:rFonts w:ascii="IRNazanin" w:hAnsi="IRNazanin" w:eastAsia="IRNazanin"/>
          <w:color w:val="111111"/>
          <w:sz w:val="28"/>
          <w:sz w:val="28"/>
          <w:szCs w:val="28"/>
          <w:rtl w:val="true"/>
          <w:lang w:bidi="fa-IR"/>
        </w:rPr>
        <w:t xml:space="preserve">السجود من وجهه ویدیه </w:t>
      </w:r>
      <w:r>
        <w:rPr>
          <w:rFonts w:eastAsia="IRNazanin" w:cs="IRNazanin"/>
          <w:color w:val="111111"/>
          <w:sz w:val="28"/>
          <w:szCs w:val="28"/>
          <w:rtl w:val="true"/>
          <w:lang w:bidi="fa-IR"/>
        </w:rPr>
        <w:t xml:space="preserve">» </w:t>
      </w:r>
      <w:r>
        <w:rPr>
          <w:rStyle w:val="FootnoteAnchor"/>
          <w:rtl w:val="true"/>
        </w:rPr>
        <w:footnoteReference w:id="1554"/>
      </w:r>
      <w:r>
        <w:rPr>
          <w:rFonts w:ascii="IRNazanin" w:hAnsi="IRNazanin" w:eastAsia="IRNazanin"/>
          <w:color w:val="111111"/>
          <w:sz w:val="28"/>
          <w:sz w:val="28"/>
          <w:szCs w:val="28"/>
          <w:rtl w:val="true"/>
          <w:lang w:bidi="fa-IR"/>
        </w:rPr>
        <w:t xml:space="preserve">وروی سماعة نحو ذلک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المحقق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حمل الروایات الأوّل علی الکراهة ، وهاتین علی الجواز </w:t>
      </w:r>
      <w:r>
        <w:rPr>
          <w:rStyle w:val="FootnoteAnchor"/>
          <w:rtl w:val="true"/>
        </w:rPr>
        <w:footnoteReference w:id="1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بُعده ، لأنّ الأمر إمّا للوجوب أو للاستحباب ؛ وربما یحتمل الحمل علی التقیة فیما دل علی الجواز ؛ لتصریح بعض أهل الخلاف بذلک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من العلاّمة فی المختلف ، حیث إنّه نقل عن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بالکراهة ، وأنّه احتج بما رواه عبد الرحمن بن أبی عبد الله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بابویه لا بأس به عندی </w:t>
      </w:r>
      <w:r>
        <w:rPr>
          <w:rStyle w:val="FootnoteAnchor"/>
          <w:rtl w:val="true"/>
        </w:rPr>
        <w:footnoteReference w:id="1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لم یتعرض لوجه الجمع ، ولا یبعد أنّ یکون روایة عبد الرحمن مردودة عنده بالقطع ، وقد عرفت ما فیه ؛ علی أنّه رحمه الله یکتفی فی إثبات الکراهة بالضعیف ، ولعل المعارض اقتضی نفی الکراهة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xml:space="preserve">) </w:t>
      </w:r>
      <w:r>
        <w:rPr>
          <w:rStyle w:val="FootnoteAnchor"/>
          <w:rtl w:val="true"/>
        </w:rPr>
        <w:footnoteReference w:id="1559"/>
      </w:r>
      <w:r>
        <w:rPr>
          <w:rFonts w:ascii="Amiri" w:hAnsi="Amiri" w:eastAsia="Amiri" w:cs="Amiri"/>
          <w:color w:val="111111"/>
          <w:sz w:val="28"/>
          <w:sz w:val="28"/>
          <w:szCs w:val="28"/>
          <w:rtl w:val="true"/>
          <w:lang w:bidi="ar-SA"/>
        </w:rPr>
        <w:t xml:space="preserve">تضمّنه أوّل الخبر الأوّل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 بحذف الأداة ، وهو سائغ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اغسّل ، یرید به فی الظاهر أنّی اغسّل علی حسب الإمکان ، کما هو متعارف فی المحاورات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فارفق به ولا تعصره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محتمل لأنّ یراد </w:t>
      </w:r>
      <w:bookmarkStart w:id="1077" w:name="pg15025_160532"/>
    </w:p>
    <w:p>
      <w:pPr>
        <w:pStyle w:val="BookText"/>
        <w:rPr/>
      </w:pPr>
      <w:bookmarkEnd w:id="1077"/>
      <w:r>
        <w:rPr>
          <w:rFonts w:ascii="IRNazanin" w:hAnsi="IRNazanin" w:eastAsia="IRNazanin"/>
          <w:color w:val="111111"/>
          <w:sz w:val="28"/>
          <w:sz w:val="28"/>
          <w:szCs w:val="28"/>
          <w:rtl w:val="true"/>
          <w:lang w:bidi="fa-IR"/>
        </w:rPr>
        <w:t xml:space="preserve">بالرفق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یراد عدم العصر ، فیکون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تضمنه الثانی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تغمزوا له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ینافیه ما فی خبر الکاهلی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تلین أصابعه </w:t>
      </w:r>
      <w:r>
        <w:rPr>
          <w:rFonts w:eastAsia="IRNazanin" w:cs="IRNazanin"/>
          <w:color w:val="111111"/>
          <w:sz w:val="28"/>
          <w:szCs w:val="28"/>
          <w:rtl w:val="true"/>
          <w:lang w:bidi="fa-IR"/>
        </w:rPr>
        <w:t xml:space="preserve">» </w:t>
      </w:r>
      <w:r>
        <w:rPr>
          <w:rStyle w:val="FootnoteAnchor"/>
          <w:rtl w:val="true"/>
        </w:rPr>
        <w:footnoteReference w:id="1561"/>
      </w:r>
      <w:r>
        <w:rPr>
          <w:rFonts w:ascii="IRNazanin" w:hAnsi="IRNazanin" w:eastAsia="IRNazanin"/>
          <w:color w:val="111111"/>
          <w:sz w:val="28"/>
          <w:sz w:val="28"/>
          <w:szCs w:val="28"/>
          <w:rtl w:val="true"/>
          <w:lang w:bidi="fa-IR"/>
        </w:rPr>
        <w:t xml:space="preserve">ولعلّ المراد من الغمز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المبالغة فی التلیین ، أو المراد بعد الغُسل ، کما قاله الشیخ فی التهذیب بعد خبر طلحة بن زید ، الدال علی نحو هذا الخبر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شیخنا قدس سره عن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 استحباب تلیین الأصابع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بالمنع ؛ لقوله علیه السلام فی روایة طلحة بن 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تغمزوا له مفصلا </w:t>
      </w:r>
      <w:r>
        <w:rPr>
          <w:rFonts w:eastAsia="IRNazanin" w:cs="IRNazanin"/>
          <w:color w:val="111111"/>
          <w:sz w:val="28"/>
          <w:szCs w:val="28"/>
          <w:rtl w:val="true"/>
          <w:lang w:bidi="fa-IR"/>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تضمنه من کیفیة العمامة یخالف ما رواه یونس عنهم علیهم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یعمّم ، ویؤخذ </w:t>
      </w:r>
      <w:r>
        <w:rPr>
          <w:rStyle w:val="FootnoteAnchor"/>
          <w:rtl w:val="true"/>
        </w:rPr>
        <w:footnoteReference w:id="1564"/>
      </w:r>
      <w:r>
        <w:rPr>
          <w:rFonts w:ascii="IRNazanin" w:hAnsi="IRNazanin" w:eastAsia="IRNazanin"/>
          <w:color w:val="111111"/>
          <w:sz w:val="28"/>
          <w:sz w:val="28"/>
          <w:szCs w:val="28"/>
          <w:rtl w:val="true"/>
          <w:lang w:bidi="fa-IR"/>
        </w:rPr>
        <w:t xml:space="preserve">وسط العمامة فتثنّی علی رأسه بالتدویر ، ثم یلقی فضل الأیمن علی الأیسر والأیسر علی الأیمن ، ویمدّ علی صدره </w:t>
      </w:r>
      <w:r>
        <w:rPr>
          <w:rFonts w:eastAsia="IRNazanin" w:cs="IRNazanin"/>
          <w:color w:val="111111"/>
          <w:sz w:val="28"/>
          <w:szCs w:val="28"/>
          <w:rtl w:val="true"/>
          <w:lang w:bidi="fa-IR"/>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معاویة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وعمامة یعتمّ بها ، ویلقی فضلها علی وجهه </w:t>
      </w:r>
      <w:r>
        <w:rPr>
          <w:rFonts w:eastAsia="IRNazanin" w:cs="IRNazanin"/>
          <w:color w:val="111111"/>
          <w:sz w:val="28"/>
          <w:szCs w:val="28"/>
          <w:rtl w:val="true"/>
          <w:lang w:bidi="fa-IR"/>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عثمان النوّاء الاولی فی التهذیب زیادة عمّا هنا ، وهی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عمّمته فلا تعمّمه عمة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w:t>
      </w:r>
    </w:p>
    <w:p>
      <w:pPr>
        <w:pStyle w:val="Heading4"/>
        <w:numPr>
          <w:ilvl w:val="3"/>
          <w:numId w:val="1"/>
        </w:numPr>
        <w:rPr/>
      </w:pPr>
      <w:bookmarkStart w:id="1078" w:name="__RefHeading___Toc147278_2142443653"/>
      <w:bookmarkStart w:id="1079" w:name="_Toc417"/>
      <w:bookmarkEnd w:id="1078"/>
      <w:r>
        <w:rPr>
          <w:rtl w:val="true"/>
        </w:rPr>
        <w:t>الرفق بالمیت حین الغُسل وعدم غمز مفاصله</w:t>
      </w:r>
      <w:bookmarkEnd w:id="107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0" w:name="__RefHeading___Toc147280_2142443653"/>
      <w:bookmarkStart w:id="1081" w:name="_Toc418"/>
      <w:bookmarkEnd w:id="1080"/>
      <w:r>
        <w:rPr>
          <w:rtl w:val="true"/>
        </w:rPr>
        <w:t>کیفیة العمامة</w:t>
      </w:r>
      <w:bookmarkStart w:id="1082" w:name="pg15025_160533"/>
      <w:bookmarkEnd w:id="1081"/>
    </w:p>
    <w:p>
      <w:pPr>
        <w:pStyle w:val="BookText"/>
        <w:rPr/>
      </w:pPr>
      <w:bookmarkEnd w:id="1082"/>
      <w:r>
        <w:rPr>
          <w:rFonts w:ascii="IRNazanin" w:hAnsi="IRNazanin" w:eastAsia="IRNazanin"/>
          <w:color w:val="111111"/>
          <w:sz w:val="28"/>
          <w:sz w:val="28"/>
          <w:szCs w:val="28"/>
          <w:rtl w:val="true"/>
          <w:lang w:bidi="fa-IR"/>
        </w:rPr>
        <w:t xml:space="preserve">العمامة من وسطها وانشرها علی رأسه ، ثم ردّها إلی خلفه واطرح طرفیها </w:t>
      </w:r>
      <w:r>
        <w:rPr>
          <w:rFonts w:eastAsia="IRNazanin" w:cs="IRNazanin"/>
          <w:color w:val="111111"/>
          <w:sz w:val="28"/>
          <w:szCs w:val="28"/>
          <w:rtl w:val="true"/>
          <w:lang w:bidi="fa-IR"/>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وعمامة یعصب بها رأسه ویردّ فضلها علی رجلیه </w:t>
      </w:r>
      <w:r>
        <w:rPr>
          <w:rFonts w:eastAsia="IRNazanin" w:cs="IRNazanin"/>
          <w:color w:val="111111"/>
          <w:sz w:val="28"/>
          <w:szCs w:val="28"/>
          <w:rtl w:val="true"/>
          <w:lang w:bidi="fa-IR"/>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مقام الاستحباب عند المتأخرین واسع الباب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تضمنه من وضع الکافور فی المنخر لعلّ المراد به علی المنخر ، وقد صرح الشیخ فی التهذیب باستعمال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الوارد بوضع الکافور فی الفم </w:t>
      </w:r>
      <w:r>
        <w:rPr>
          <w:rStyle w:val="FootnoteAnchor"/>
          <w:rtl w:val="true"/>
        </w:rPr>
        <w:footnoteReference w:id="1570"/>
      </w:r>
      <w:r>
        <w:rPr>
          <w:rFonts w:ascii="IRNazanin" w:hAnsi="IRNazanin" w:eastAsia="IRNazanin"/>
          <w:color w:val="111111"/>
          <w:sz w:val="28"/>
          <w:sz w:val="28"/>
          <w:szCs w:val="28"/>
          <w:rtl w:val="true"/>
          <w:lang w:bidi="fa-IR"/>
        </w:rPr>
        <w:t>؛ وسیأتی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یتعرض لما ذکره المفید فی الإرغام </w:t>
      </w:r>
      <w:r>
        <w:rPr>
          <w:rStyle w:val="FootnoteAnchor"/>
          <w:rtl w:val="true"/>
        </w:rPr>
        <w:footnoteReference w:id="1571"/>
      </w:r>
      <w:r>
        <w:rPr>
          <w:rFonts w:ascii="IRNazanin" w:hAnsi="IRNazanin" w:eastAsia="IRNazanin"/>
          <w:color w:val="111111"/>
          <w:sz w:val="28"/>
          <w:sz w:val="28"/>
          <w:szCs w:val="28"/>
          <w:rtl w:val="true"/>
          <w:lang w:bidi="fa-IR"/>
        </w:rPr>
        <w:t xml:space="preserve">؛ ولعلّه یستفاد من روایة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رواه الشیخ عن محمد بن یعقوب ، عن علی بن إبراهیم ، عن أبیه ، عن ابن أبی عمیر ، عن حمّاد ، عن الحلبی </w:t>
      </w:r>
      <w:r>
        <w:rPr>
          <w:rFonts w:eastAsia="IRNazanin" w:cs="IRNazanin"/>
          <w:color w:val="111111"/>
          <w:sz w:val="28"/>
          <w:szCs w:val="28"/>
          <w:rtl w:val="true"/>
          <w:lang w:bidi="fa-IR"/>
        </w:rPr>
        <w:t xml:space="preserve">) </w:t>
      </w:r>
      <w:r>
        <w:rPr>
          <w:rStyle w:val="FootnoteAnchor"/>
          <w:rtl w:val="true"/>
        </w:rPr>
        <w:footnoteReference w:id="157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تحنط المیت فاعمد إلی الکافور ، فامسح به آثار السجود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والمفید رحمه الله ذکر ذلک أیضاً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ویضع منه علی طرف أنفه الذی کان یرغم به فی سجوده </w:t>
      </w:r>
      <w:r>
        <w:rPr>
          <w:rStyle w:val="FootnoteAnchor"/>
          <w:rtl w:val="true"/>
        </w:rPr>
        <w:footnoteReference w:id="1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فی الفقیه عبارته تدل علی ذلک أیضاً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3" w:name="__RefHeading___Toc147282_2142443653"/>
      <w:bookmarkStart w:id="1084" w:name="_Toc419"/>
      <w:bookmarkEnd w:id="1083"/>
      <w:r>
        <w:rPr>
          <w:rtl w:val="true"/>
        </w:rPr>
        <w:t>وضع الکافور علی منخر المیت ومساجده</w:t>
      </w:r>
      <w:bookmarkStart w:id="1085" w:name="pg15025_160534"/>
      <w:bookmarkEnd w:id="1084"/>
    </w:p>
    <w:p>
      <w:pPr>
        <w:pStyle w:val="BookText"/>
        <w:rPr/>
      </w:pPr>
      <w:bookmarkEnd w:id="1085"/>
      <w:r>
        <w:rPr>
          <w:rFonts w:ascii="IRNazanin" w:hAnsi="IRNazanin" w:eastAsia="IRNazanin"/>
          <w:color w:val="111111"/>
          <w:sz w:val="28"/>
          <w:sz w:val="28"/>
          <w:szCs w:val="28"/>
          <w:rtl w:val="true"/>
          <w:lang w:bidi="fa-IR"/>
        </w:rPr>
        <w:t xml:space="preserve">وقوله فی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وموضع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جمیع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المفاصل فمدلول حسنة الحلبی السابق صدرها </w:t>
      </w:r>
      <w:r>
        <w:rPr>
          <w:rStyle w:val="FootnoteAnchor"/>
          <w:rtl w:val="true"/>
        </w:rPr>
        <w:footnoteReference w:id="1576"/>
      </w:r>
      <w:r>
        <w:rPr>
          <w:rFonts w:ascii="Amiri" w:hAnsi="Amiri" w:eastAsia="Amiri" w:cs="Amiri"/>
          <w:color w:val="111111"/>
          <w:sz w:val="28"/>
          <w:sz w:val="28"/>
          <w:szCs w:val="28"/>
          <w:rtl w:val="true"/>
          <w:lang w:bidi="ar-SA"/>
        </w:rPr>
        <w:t>ذلک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تضمنه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تؤخذ خرقة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 هی المسماة بالخامسة ، وهی مستحبة عند من رأینا کلامه </w:t>
      </w:r>
      <w:r>
        <w:rPr>
          <w:rStyle w:val="FootnoteAnchor"/>
          <w:rtl w:val="true"/>
        </w:rPr>
        <w:footnoteReference w:id="1577"/>
      </w:r>
      <w:r>
        <w:rPr>
          <w:rFonts w:ascii="IRNazanin" w:hAnsi="IRNazanin" w:eastAsia="IRNazanin"/>
          <w:color w:val="111111"/>
          <w:sz w:val="28"/>
          <w:sz w:val="28"/>
          <w:szCs w:val="28"/>
          <w:rtl w:val="true"/>
          <w:lang w:bidi="fa-IR"/>
        </w:rPr>
        <w:t xml:space="preserve">؛ وفی روایة عبد الله بن سنان فیما رواه الشیخ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المیت یکفن فی ثلاثة سوی العمامة والخرقة یشدّ بها ورکیه لکیلا یبدو منه شی‌ء ، والخرقة والعمامة لا بدّ منها </w:t>
      </w:r>
      <w:r>
        <w:rPr>
          <w:rFonts w:eastAsia="IRNazanin" w:cs="IRNazanin"/>
          <w:color w:val="111111"/>
          <w:sz w:val="28"/>
          <w:szCs w:val="28"/>
          <w:rtl w:val="true"/>
          <w:lang w:bidi="fa-IR"/>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یونس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واحش القطن فی دبره لئلاّ یخرج منه شی‌ء ، وخذ خرقة طویلة عرضها شبر فشدّها من حقویه وضمّ فخذیه ضماً شدیداً ولفّها فی فخذیه ، ثم أخرج رأسها من تحت رجلیه إلی الجانب الأیمن واغمزها فی الموضع الذی لففت فیه الخرقة ، وتکون الخرقة طویلة تلفّ فخذیه من حقویه إلی رکبتیه لفّاً شدیداً </w:t>
      </w:r>
      <w:r>
        <w:rPr>
          <w:rFonts w:eastAsia="IRNazanin" w:cs="IRNazanin"/>
          <w:color w:val="111111"/>
          <w:sz w:val="28"/>
          <w:szCs w:val="28"/>
          <w:rtl w:val="true"/>
          <w:lang w:bidi="fa-IR"/>
        </w:rPr>
        <w:t xml:space="preserve">» </w:t>
      </w:r>
      <w:r>
        <w:rPr>
          <w:rStyle w:val="FootnoteAnchor"/>
          <w:rtl w:val="true"/>
        </w:rPr>
        <w:footnoteReference w:id="1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عبارات بعض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طول الخرقة ثلاث أذرع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یصنع من القطن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به أنّ الخرقة المذکورة من القطن أفضل ، ویحتمل أنّ ما یصنع من وضع القطن مع الخرقة أفضل ، وفی روایة عبد الله الکاهلی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أذفره بالخرقة یکون تحتها القطن </w:t>
      </w:r>
      <w:r>
        <w:rPr>
          <w:rFonts w:eastAsia="IRNazanin" w:cs="IRNazanin"/>
          <w:color w:val="111111"/>
          <w:sz w:val="28"/>
          <w:szCs w:val="28"/>
          <w:rtl w:val="true"/>
          <w:lang w:bidi="fa-IR"/>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ما تضمنه الخبر من أنّ الکفن قمیص ولفّافة وبرد ، ربما یصلح</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6" w:name="__RefHeading___Toc147284_2142443653"/>
      <w:bookmarkStart w:id="1087" w:name="_Toc420"/>
      <w:bookmarkEnd w:id="1086"/>
      <w:r>
        <w:rPr>
          <w:rtl w:val="true"/>
        </w:rPr>
        <w:t>قِطَع الکفن</w:t>
      </w:r>
      <w:bookmarkEnd w:id="1087"/>
    </w:p>
    <w:p>
      <w:pPr>
        <w:pStyle w:val="BookText"/>
        <w:rPr/>
      </w:pPr>
      <w:r>
        <w:rPr>
          <w:rFonts w:ascii="IRNazanin" w:hAnsi="IRNazanin" w:eastAsia="IRNazanin"/>
          <w:color w:val="111111"/>
          <w:sz w:val="28"/>
          <w:sz w:val="28"/>
          <w:szCs w:val="28"/>
          <w:rtl w:val="true"/>
          <w:lang w:bidi="fa-IR"/>
        </w:rPr>
        <w:t xml:space="preserve">دلیلاً لما ذکره المتأخرون من أنّه مئزر وقمیص وإزار </w:t>
      </w:r>
      <w:r>
        <w:rPr>
          <w:rStyle w:val="FootnoteAnchor"/>
          <w:rtl w:val="true"/>
        </w:rPr>
        <w:footnoteReference w:id="1581"/>
      </w:r>
      <w:r>
        <w:rPr>
          <w:rFonts w:ascii="IRNazanin" w:hAnsi="IRNazanin" w:eastAsia="IRNazanin"/>
          <w:color w:val="111111"/>
          <w:sz w:val="28"/>
          <w:sz w:val="28"/>
          <w:szCs w:val="28"/>
          <w:rtl w:val="true"/>
          <w:lang w:bidi="fa-IR"/>
        </w:rPr>
        <w:t xml:space="preserve">، علی أنّ یکون اللفافة هی المئزر ، والبرد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قاله شیخنا قدس سره من أنّه لم یقف فی الروایات علی ما یدل علی المئزر بعد أنّ نقل عن الشیخین وأتباعهما أنّهم جعلوه أحد الأثواب الثلاثة </w:t>
      </w:r>
      <w:r>
        <w:rPr>
          <w:rStyle w:val="FootnoteAnchor"/>
          <w:rtl w:val="true"/>
        </w:rPr>
        <w:footnoteReference w:id="1582"/>
      </w:r>
      <w:r>
        <w:rPr>
          <w:rFonts w:ascii="Amiri" w:hAnsi="Amiri" w:eastAsia="Amiri" w:cs="Amiri"/>
          <w:color w:val="111111"/>
          <w:sz w:val="28"/>
          <w:sz w:val="28"/>
          <w:szCs w:val="28"/>
          <w:rtl w:val="true"/>
          <w:lang w:bidi="ar-SA"/>
        </w:rPr>
        <w:t>؛ محلّ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فی بعض الروایات ما یدل علی الثوبین الشاملین مع القمیص ففی حسنة الحلبی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أبی فی وصیته أنّ أُکفّنه بثلاثة أثواب ، أحدها رداء له حبرة کان یصلّی فیه یوم الجمعة ، وثوب آخر وقمیص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 آخر ثلاثة أثواب ، کروایة أبی مریم المعدودة فی الصحیح قال 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کفّن رسول الله صلی الله علیه و آله فی ثلاثة أثواب ، برد أحمر حبرة وثوبین صحاریین أبیضین </w:t>
      </w:r>
      <w:r>
        <w:rPr>
          <w:rFonts w:eastAsia="IRNazanin" w:cs="IRNazanin"/>
          <w:color w:val="111111"/>
          <w:sz w:val="28"/>
          <w:szCs w:val="28"/>
          <w:rtl w:val="true"/>
          <w:lang w:bidi="fa-IR"/>
        </w:rPr>
        <w:t xml:space="preserve">»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علی ما یظهر من التهذیب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العمامة من الکفن؟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إنّما الکفن المفروض ثلاثة أثواب تام لا أقلّ منه تواری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جسده کلّه ، فما زاد فهو سنّة إلی أنّ یبلغ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کما نقلناه فی کثیر من نسخ التهذیب ، ویحکی عن المحقق </w:t>
      </w:r>
    </w:p>
    <w:p>
      <w:pPr>
        <w:pStyle w:val="BookText"/>
        <w:rPr/>
      </w:pPr>
      <w:r>
        <w:rPr>
          <w:rFonts w:ascii="IRNazanin" w:hAnsi="IRNazanin" w:eastAsia="IRNazanin"/>
          <w:color w:val="111111"/>
          <w:sz w:val="28"/>
          <w:sz w:val="28"/>
          <w:szCs w:val="28"/>
          <w:rtl w:val="true"/>
          <w:lang w:bidi="fa-IR"/>
        </w:rPr>
        <w:t xml:space="preserve">والعلاّمة أنّهما نقلاه کذلک </w:t>
      </w:r>
      <w:r>
        <w:rPr>
          <w:rStyle w:val="FootnoteAnchor"/>
          <w:rtl w:val="true"/>
        </w:rPr>
        <w:footnoteReference w:id="1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أثواب وثوب تام لا أقل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الشهید فی الذکری علی التقیة أو علی أنّه من باب عطف الخاص علی العام </w:t>
      </w:r>
      <w:r>
        <w:rPr>
          <w:rStyle w:val="FootnoteAnchor"/>
          <w:rtl w:val="true"/>
        </w:rPr>
        <w:footnoteReference w:id="1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واستبعده شیخنا قدس سره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نظری القاصر أنّه غیر تامّ من جهة الخاص والعام ؛ لأنّ الأعداد لیست داخلة فی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بعض المفسّرین </w:t>
      </w:r>
      <w:r>
        <w:rPr>
          <w:rStyle w:val="FootnoteAnchor"/>
          <w:rtl w:val="true"/>
        </w:rPr>
        <w:footnoteReference w:id="1589"/>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رَأَیْتُ أَحَدَ عَشَرَ کَوْکَباً وَالشَّمْسَ وَالْقَمَرَ </w:t>
      </w:r>
      <w:r>
        <w:rPr>
          <w:rFonts w:eastAsia="Amiri" w:cs="Amiri" w:ascii="Amiri" w:hAnsi="Amiri"/>
          <w:color w:val="111111"/>
          <w:sz w:val="28"/>
          <w:szCs w:val="28"/>
          <w:rtl w:val="true"/>
          <w:lang w:bidi="ar-SA"/>
        </w:rPr>
        <w:t xml:space="preserve">) </w:t>
      </w:r>
      <w:r>
        <w:rPr>
          <w:rStyle w:val="FootnoteAnchor"/>
          <w:rtl w:val="true"/>
        </w:rPr>
        <w:footnoteReference w:id="1590"/>
      </w:r>
      <w:r>
        <w:rPr>
          <w:rFonts w:ascii="IRNazanin" w:hAnsi="IRNazanin" w:eastAsia="IRNazanin"/>
          <w:color w:val="111111"/>
          <w:sz w:val="28"/>
          <w:sz w:val="28"/>
          <w:szCs w:val="28"/>
          <w:rtl w:val="true"/>
          <w:lang w:bidi="fa-IR"/>
        </w:rPr>
        <w:t xml:space="preserve">أنّه من عطف الخاص ، یعنی والشمس والقمر علی العام وهو أحد عشر کوکباً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علیهما واحد کما هو واضح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والمنقول عن سلاّر أنّه اقتصر فی الکفن علی ثوب واحد </w:t>
      </w:r>
      <w:r>
        <w:rPr>
          <w:rStyle w:val="FootnoteAnchor"/>
          <w:rtl w:val="true"/>
        </w:rPr>
        <w:footnoteReference w:id="1592"/>
      </w:r>
      <w:r>
        <w:rPr>
          <w:rFonts w:ascii="IRNazanin" w:hAnsi="IRNazanin" w:eastAsia="IRNazanin"/>
          <w:color w:val="111111"/>
          <w:sz w:val="28"/>
          <w:sz w:val="28"/>
          <w:szCs w:val="28"/>
          <w:rtl w:val="true"/>
          <w:lang w:bidi="fa-IR"/>
        </w:rPr>
        <w:t>؛ واحتج له فی الذکری بهذه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واعترض علیه بأنه إنّما یتم الاستدلال لو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لیفید التخییر بین الأثواب الثلاثة والثوب التام </w:t>
      </w:r>
      <w:r>
        <w:rPr>
          <w:rStyle w:val="FootnoteAnchor"/>
          <w:rtl w:val="true"/>
        </w:rPr>
        <w:footnoteReference w:id="1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الاعتراض کما تری یتوقف علی کون سلاّر قائلاً بالتخییر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 محققی المتأخرین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مرجع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Style w:val="FootnoteAnchor"/>
          <w:rtl w:val="true"/>
        </w:rPr>
        <w:footnoteReference w:id="1594"/>
      </w:r>
      <w:r>
        <w:rPr>
          <w:rFonts w:ascii="IRNazanin" w:hAnsi="IRNazanin" w:eastAsia="IRNazanin"/>
          <w:color w:val="111111"/>
          <w:sz w:val="28"/>
          <w:sz w:val="28"/>
          <w:szCs w:val="28"/>
          <w:rtl w:val="true"/>
          <w:lang w:bidi="fa-IR"/>
        </w:rPr>
        <w:t xml:space="preserve">لا یخلو من إجمال ؛ وکذلک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أنّ یکون خبر </w:t>
      </w:r>
      <w:bookmarkStart w:id="1088" w:name="pg15025_160537"/>
    </w:p>
    <w:p>
      <w:pPr>
        <w:pStyle w:val="BookText"/>
        <w:rPr/>
      </w:pPr>
      <w:bookmarkEnd w:id="1088"/>
      <w:r>
        <w:rPr>
          <w:rFonts w:ascii="IRNazanin" w:hAnsi="IRNazanin" w:eastAsia="IRNazanin"/>
          <w:color w:val="111111"/>
          <w:sz w:val="28"/>
          <w:sz w:val="28"/>
          <w:szCs w:val="28"/>
          <w:rtl w:val="true"/>
          <w:lang w:bidi="fa-IR"/>
        </w:rPr>
        <w:t xml:space="preserve">مبتداء محذوف ، أی هذا الکفن تام ، أو أنّ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التام لا أقلّ منه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بعض الأصحاب أنّ فی بعض نسخ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ثوب تام </w:t>
      </w:r>
      <w:r>
        <w:rPr>
          <w:rFonts w:eastAsia="IRNazanin" w:cs="IRNazanin"/>
          <w:color w:val="111111"/>
          <w:sz w:val="28"/>
          <w:szCs w:val="28"/>
          <w:rtl w:val="true"/>
          <w:lang w:bidi="fa-IR"/>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الکافی روی فی الحسن عن زرارة ومحمد بن مسلم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العمامة للمیت من الکفن؟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إنّما الکفن المفروض ثلاثة أثواب وثوب تام لا أقل منه </w:t>
      </w:r>
      <w:r>
        <w:rPr>
          <w:rFonts w:eastAsia="IRNazanin" w:cs="IRNazanin"/>
          <w:color w:val="111111"/>
          <w:sz w:val="28"/>
          <w:szCs w:val="28"/>
          <w:rtl w:val="true"/>
          <w:lang w:bidi="fa-IR"/>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باحتمال أنّ الثوب التام تفسیر لأحد الأثواب ، کما ذکره بعض المتأخرین رحمه الله واحتمل أیضاً أنّ یکون الثوب التام حال الضرورة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هذا ، فاعلم أنّه ربما یستفاد من الأخبار التخییر بین الثلاثة أثواب وبین الاثنین والقمیص ، ولا یخفی علیک مخالفتها المشهور بین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وینقل عن ابن الجنید القول بالتخییر المذکور </w:t>
      </w:r>
      <w:r>
        <w:rPr>
          <w:rStyle w:val="FootnoteAnchor"/>
          <w:rtl w:val="true"/>
        </w:rPr>
        <w:footnoteReference w:id="1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بالکسر اللطف </w:t>
      </w:r>
      <w:r>
        <w:rPr>
          <w:rStyle w:val="FootnoteAnchor"/>
          <w:rtl w:val="true"/>
        </w:rPr>
        <w:footnoteReference w:id="1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غمزه بیده یغمزه شبه نخسه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9" w:name="__RefHeading___Toc147286_2142443653"/>
      <w:bookmarkStart w:id="1090" w:name="_Toc421"/>
      <w:bookmarkEnd w:id="1089"/>
      <w:r>
        <w:rPr>
          <w:rtl w:val="true"/>
        </w:rPr>
        <w:t>معنی الرفق والغمز</w:t>
      </w:r>
      <w:bookmarkEnd w:id="109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بن عیسی ، عن علی بن الحکم ، عن أبان ؛ والحسین بن سعید عن فضالة ، عن ابن مسکان جمیعاً عن أبی العباس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غسل المیت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أقعده واغمز بطنه غمزاً رفیقاً ثم طهّره من غمز البطن ، ثم تضجعه ، ثم تغسله فتبدأ بمیامنه ، وتغسله بالماء والحُرُض </w:t>
      </w:r>
      <w:r>
        <w:rPr>
          <w:rStyle w:val="FootnoteAnchor"/>
          <w:rtl w:val="true"/>
        </w:rPr>
        <w:footnoteReference w:id="1602"/>
      </w:r>
      <w:r>
        <w:rPr>
          <w:rFonts w:ascii="IRNazanin" w:hAnsi="IRNazanin" w:eastAsia="IRNazanin"/>
          <w:color w:val="111111"/>
          <w:sz w:val="28"/>
          <w:sz w:val="28"/>
          <w:szCs w:val="28"/>
          <w:rtl w:val="true"/>
          <w:lang w:bidi="fa-IR"/>
        </w:rPr>
        <w:t xml:space="preserve">، ثم بماءٍ وکافور ، ثم تغسله بالماء القراح ، واجعله فی أکفانه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الحسن </w:t>
      </w:r>
      <w:r>
        <w:rPr>
          <w:rStyle w:val="FootnoteAnchor"/>
          <w:rtl w:val="true"/>
        </w:rPr>
        <w:footnoteReference w:id="1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هذا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للعامة ولسنا نعمل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Style w:val="FootnoteAnchor"/>
          <w:rtl w:val="true"/>
        </w:rPr>
        <w:footnoteReference w:id="1604"/>
      </w:r>
      <w:r>
        <w:rPr>
          <w:rFonts w:ascii="IRNazanin" w:hAnsi="IRNazanin" w:eastAsia="IRNazanin"/>
          <w:color w:val="111111"/>
          <w:sz w:val="28"/>
          <w:sz w:val="28"/>
          <w:szCs w:val="28"/>
          <w:rtl w:val="true"/>
          <w:lang w:bidi="fa-IR"/>
        </w:rPr>
        <w:t>أنّ یکون إشارة إلی ما یمسح علی بطنه فی الغسلتین الأوّلتین دون الثالثة علی ما شرحناه فی کتابنا الکبیر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رواه علی بن الحسین ، عن سعد بن عبد الله ، عن محمد ابن الحسین بن أبی الخطاب ؛ وأحمد بن الحسن بن علی بن فضال ، عن أبیه ، عن علی بن عقبة ؛ وذبیان </w:t>
      </w:r>
      <w:r>
        <w:rPr>
          <w:rStyle w:val="FootnoteAnchor"/>
          <w:rtl w:val="true"/>
        </w:rPr>
        <w:footnoteReference w:id="1605"/>
      </w:r>
      <w:r>
        <w:rPr>
          <w:rFonts w:ascii="IRNazanin" w:hAnsi="IRNazanin" w:eastAsia="IRNazanin"/>
          <w:color w:val="111111"/>
          <w:sz w:val="28"/>
          <w:sz w:val="28"/>
          <w:szCs w:val="28"/>
          <w:rtl w:val="true"/>
          <w:lang w:bidi="fa-IR"/>
        </w:rPr>
        <w:t xml:space="preserve">بن حکیم ، عن موسی بن أکیل النمیری ، عن العلاء بن سیّابة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تجعل المیت بین رجلیک ، وأنّ تقوم من فوقه وتغسله ، إذا </w:t>
      </w:r>
      <w:r>
        <w:rPr>
          <w:rStyle w:val="FootnoteAnchor"/>
          <w:rtl w:val="true"/>
        </w:rPr>
        <w:footnoteReference w:id="1606"/>
      </w:r>
      <w:r>
        <w:rPr>
          <w:rFonts w:ascii="IRNazanin" w:hAnsi="IRNazanin" w:eastAsia="IRNazanin"/>
          <w:color w:val="111111"/>
          <w:sz w:val="28"/>
          <w:sz w:val="28"/>
          <w:szCs w:val="28"/>
          <w:rtl w:val="true"/>
          <w:lang w:bidi="fa-IR"/>
        </w:rPr>
        <w:t xml:space="preserve">قلبته </w:t>
      </w:r>
      <w:bookmarkStart w:id="1091" w:name="pg15025_160539"/>
    </w:p>
    <w:p>
      <w:pPr>
        <w:pStyle w:val="BookText"/>
        <w:rPr/>
      </w:pPr>
      <w:bookmarkEnd w:id="1091"/>
      <w:r>
        <w:rPr>
          <w:rFonts w:ascii="IRNazanin" w:hAnsi="IRNazanin" w:eastAsia="IRNazanin"/>
          <w:color w:val="111111"/>
          <w:sz w:val="28"/>
          <w:sz w:val="28"/>
          <w:szCs w:val="28"/>
          <w:rtl w:val="true"/>
          <w:lang w:bidi="fa-IR"/>
        </w:rPr>
        <w:t xml:space="preserve">یمیناً وشمالاً تضبطه برجلیک </w:t>
      </w:r>
      <w:r>
        <w:rPr>
          <w:rStyle w:val="FootnoteAnchor"/>
          <w:rtl w:val="true"/>
        </w:rPr>
        <w:footnoteReference w:id="1607"/>
      </w:r>
      <w:r>
        <w:rPr>
          <w:rFonts w:ascii="IRNazanin" w:hAnsi="IRNazanin" w:eastAsia="IRNazanin"/>
          <w:color w:val="111111"/>
          <w:sz w:val="28"/>
          <w:sz w:val="28"/>
          <w:szCs w:val="28"/>
          <w:rtl w:val="true"/>
          <w:lang w:bidi="fa-IR"/>
        </w:rPr>
        <w:t xml:space="preserve">کی لا یسقط لوجهه </w:t>
      </w:r>
      <w:r>
        <w:rPr>
          <w:rFonts w:eastAsia="IRNazanin" w:cs="IRNazanin"/>
          <w:color w:val="111111"/>
          <w:sz w:val="28"/>
          <w:szCs w:val="28"/>
          <w:rtl w:val="true"/>
          <w:lang w:bidi="fa-IR"/>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فالوجه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تجعله بین رجلیک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الجواز ورفع الحظر ؛ لأنّ المسنون والأفضل أنّ یقف من جانب المیت ، ولا یرکبه حسب ما شرحناه فی الکتاب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بُعد فی صحته ؛ لأنّ علی بن الحکم هو الثقة بتقدیر الاشتراک </w:t>
      </w:r>
      <w:r>
        <w:rPr>
          <w:rStyle w:val="FootnoteAnchor"/>
          <w:rtl w:val="true"/>
        </w:rPr>
        <w:footnoteReference w:id="1609"/>
      </w:r>
      <w:r>
        <w:rPr>
          <w:rFonts w:ascii="IRNazanin" w:hAnsi="IRNazanin" w:eastAsia="IRNazanin"/>
          <w:color w:val="111111"/>
          <w:sz w:val="28"/>
          <w:sz w:val="28"/>
          <w:szCs w:val="28"/>
          <w:rtl w:val="true"/>
          <w:lang w:bidi="fa-IR"/>
        </w:rPr>
        <w:t>لروایة أحمد بن محمد بن عیسی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قدّمنا </w:t>
      </w:r>
      <w:r>
        <w:rPr>
          <w:rStyle w:val="FootnoteAnchor"/>
          <w:rtl w:val="true"/>
        </w:rPr>
        <w:footnoteReference w:id="1610"/>
      </w:r>
      <w:r>
        <w:rPr>
          <w:rFonts w:ascii="IRNazanin" w:hAnsi="IRNazanin" w:eastAsia="IRNazanin"/>
          <w:color w:val="111111"/>
          <w:sz w:val="28"/>
          <w:sz w:val="28"/>
          <w:szCs w:val="28"/>
          <w:rtl w:val="true"/>
          <w:lang w:bidi="fa-IR"/>
        </w:rPr>
        <w:t>فی شأنه کلاماً علی أنّه لا یضر بالحال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عبد الملک ، لأنّه المعروف فی الإطلاق ، والمذکور فی الکنی راویاً عن أبی عبد الله علیه السلام ، إلاّ أنّ باب الاحتمال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والحسین بن سعید فیه إمّا معطوف علی أحمد بن محمد بن عیسی فیکون بطریق الشیخ </w:t>
      </w:r>
      <w:r>
        <w:rPr>
          <w:rStyle w:val="FootnoteAnchor"/>
          <w:rtl w:val="true"/>
        </w:rPr>
        <w:footnoteReference w:id="1611"/>
      </w:r>
      <w:r>
        <w:rPr>
          <w:rFonts w:ascii="IRNazanin" w:hAnsi="IRNazanin" w:eastAsia="IRNazanin"/>
          <w:color w:val="111111"/>
          <w:sz w:val="28"/>
          <w:sz w:val="28"/>
          <w:szCs w:val="28"/>
          <w:rtl w:val="true"/>
          <w:lang w:bidi="fa-IR"/>
        </w:rPr>
        <w:t>إلی کل منهما ؛ وإمّا معطوف علی علی بن الحکم ، والراوی عنه أحمد بن محمد ؛ ولا یضر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عقبة ثقة بتقدیر أنّ یکون هو علی بن عقبة بن خالد الأسدی الذی ذکره النجاشی موثقاً </w:t>
      </w:r>
      <w:r>
        <w:rPr>
          <w:rStyle w:val="FootnoteAnchor"/>
          <w:rtl w:val="true"/>
        </w:rPr>
        <w:footnoteReference w:id="1612"/>
      </w:r>
      <w:r>
        <w:rPr>
          <w:rFonts w:ascii="IRNazanin" w:hAnsi="IRNazanin" w:eastAsia="IRNazanin"/>
          <w:color w:val="111111"/>
          <w:sz w:val="28"/>
          <w:sz w:val="28"/>
          <w:szCs w:val="28"/>
          <w:rtl w:val="true"/>
          <w:lang w:bidi="fa-IR"/>
        </w:rPr>
        <w:t>؛ أو یتحد مع علی بن عقبة الذی</w:t>
      </w:r>
    </w:p>
    <w:p>
      <w:pPr>
        <w:pStyle w:val="Heading4"/>
        <w:numPr>
          <w:ilvl w:val="3"/>
          <w:numId w:val="1"/>
        </w:numPr>
        <w:rPr/>
      </w:pPr>
      <w:bookmarkStart w:id="1092" w:name="__RefHeading___Toc147288_2142443653"/>
      <w:bookmarkStart w:id="1093" w:name="_Toc422"/>
      <w:bookmarkEnd w:id="1092"/>
      <w:r>
        <w:rPr>
          <w:rtl w:val="true"/>
        </w:rPr>
        <w:t>أبو العباس هو الفضل بن عبدالملک</w:t>
      </w:r>
      <w:bookmarkEnd w:id="109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4" w:name="__RefHeading___Toc147290_2142443653"/>
      <w:bookmarkStart w:id="1095" w:name="_Toc423"/>
      <w:bookmarkEnd w:id="1094"/>
      <w:r>
        <w:rPr>
          <w:rtl w:val="true"/>
        </w:rPr>
        <w:t>بحث حول علی بن عقبه</w:t>
      </w:r>
      <w:bookmarkStart w:id="1096" w:name="pg15025_160540"/>
      <w:bookmarkEnd w:id="1095"/>
    </w:p>
    <w:p>
      <w:pPr>
        <w:pStyle w:val="BookText"/>
        <w:rPr/>
      </w:pPr>
      <w:bookmarkEnd w:id="1096"/>
      <w:r>
        <w:rPr>
          <w:rFonts w:ascii="IRNazanin" w:hAnsi="IRNazanin" w:eastAsia="IRNazanin"/>
          <w:color w:val="111111"/>
          <w:sz w:val="28"/>
          <w:sz w:val="28"/>
          <w:szCs w:val="28"/>
          <w:rtl w:val="true"/>
          <w:lang w:bidi="fa-IR"/>
        </w:rPr>
        <w:t xml:space="preserve">ذکره الشیخ مهملاً </w:t>
      </w:r>
      <w:r>
        <w:rPr>
          <w:rStyle w:val="FootnoteAnchor"/>
          <w:rtl w:val="true"/>
        </w:rPr>
        <w:footnoteReference w:id="1613"/>
      </w:r>
      <w:r>
        <w:rPr>
          <w:rFonts w:ascii="IRNazanin" w:hAnsi="IRNazanin" w:eastAsia="IRNazanin"/>
          <w:color w:val="111111"/>
          <w:sz w:val="28"/>
          <w:sz w:val="28"/>
          <w:szCs w:val="28"/>
          <w:rtl w:val="true"/>
          <w:lang w:bidi="fa-IR"/>
        </w:rPr>
        <w:t xml:space="preserve">، کما هو الظاهر ؛ لأنّ الشیخ ذکره فی رجال الصادق علیه السلام مرّتین ، فی أحدهما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الأسدی ، وفی الأُخری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عقبة </w:t>
      </w:r>
      <w:r>
        <w:rPr>
          <w:rStyle w:val="FootnoteAnchor"/>
          <w:rtl w:val="true"/>
        </w:rPr>
        <w:footnoteReference w:id="1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من عادة الشیخ تکرار الرجل بمجرد اختلاف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والنجاشی لم یذکر إلاّ من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الفهرست ذکر الشیخ علی بن عقبة ، وأنّ الراوی عنه الحسن بن علی بن فضّال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وذبیان بن حکیم مهمل فی الرجال </w:t>
      </w:r>
      <w:r>
        <w:rPr>
          <w:rStyle w:val="FootnoteAnchor"/>
          <w:rtl w:val="true"/>
        </w:rPr>
        <w:footnoteReference w:id="1616"/>
      </w:r>
      <w:r>
        <w:rPr>
          <w:rFonts w:ascii="IRNazanin" w:hAnsi="IRNazanin" w:eastAsia="IRNazanin"/>
          <w:color w:val="111111"/>
          <w:sz w:val="28"/>
          <w:sz w:val="28"/>
          <w:szCs w:val="28"/>
          <w:rtl w:val="true"/>
          <w:lang w:bidi="fa-IR"/>
        </w:rPr>
        <w:t xml:space="preserve">، إلاّ أنّه لا یضرّ بالحال لو سلم من غیره ، فإنّ العلاء بن سیّابة مهمل فی رجال الصادق علیه السلام من کتاب الشیخ </w:t>
      </w:r>
      <w:r>
        <w:rPr>
          <w:rStyle w:val="FootnoteAnchor"/>
          <w:rtl w:val="true"/>
        </w:rPr>
        <w:footnoteReference w:id="1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والراوی عن علی بن عقبة کما سمعته من الفهرست الحسن بن علی بن فضال </w:t>
      </w:r>
      <w:r>
        <w:rPr>
          <w:rStyle w:val="FootnoteAnchor"/>
          <w:rtl w:val="true"/>
        </w:rPr>
        <w:footnoteReference w:id="1618"/>
      </w:r>
      <w:r>
        <w:rPr>
          <w:rFonts w:ascii="IRNazanin" w:hAnsi="IRNazanin" w:eastAsia="IRNazanin"/>
          <w:color w:val="111111"/>
          <w:sz w:val="28"/>
          <w:sz w:val="28"/>
          <w:szCs w:val="28"/>
          <w:rtl w:val="true"/>
          <w:lang w:bidi="fa-IR"/>
        </w:rPr>
        <w:t>، فیکون أحمد بن الحسن ومحمد بن الحسین بن أبی الخطاب راویین عن الحسن بن علی بن فضال 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یکون محمد بن الحسین راویاً عن علی ممکن ؛ لأنّ الروایة عن علی من الحسن غیر منحصرة فیه ، فإنّ النجاشی ذکر أنّ الراوی عنه غیره </w:t>
      </w:r>
      <w:r>
        <w:rPr>
          <w:rStyle w:val="FootnoteAnchor"/>
          <w:rtl w:val="true"/>
        </w:rPr>
        <w:footnoteReference w:id="1619"/>
      </w:r>
      <w:r>
        <w:rPr>
          <w:rFonts w:ascii="IRNazanin" w:hAnsi="IRNazanin" w:eastAsia="IRNazanin"/>
          <w:color w:val="111111"/>
          <w:sz w:val="28"/>
          <w:sz w:val="28"/>
          <w:szCs w:val="28"/>
          <w:rtl w:val="true"/>
          <w:lang w:bidi="fa-IR"/>
        </w:rPr>
        <w:t xml:space="preserve">؛ لکن الجزم مشکل ، والفائدة هنا بعد العلاء بن سیّابة منتفیة کما لا یخفی ، إلاّ أنّا ذکرنا ما </w:t>
      </w:r>
      <w:r>
        <w:rPr>
          <w:rStyle w:val="FootnoteAnchor"/>
          <w:rtl w:val="true"/>
        </w:rPr>
        <w:footnoteReference w:id="1620"/>
      </w:r>
      <w:r>
        <w:rPr>
          <w:rFonts w:ascii="IRNazanin" w:hAnsi="IRNazanin" w:eastAsia="IRNazanin"/>
          <w:color w:val="111111"/>
          <w:sz w:val="28"/>
          <w:sz w:val="28"/>
          <w:szCs w:val="28"/>
          <w:rtl w:val="true"/>
          <w:lang w:bidi="fa-IR"/>
        </w:rPr>
        <w:t>هنا بیاناً للواقع</w:t>
      </w:r>
      <w:r>
        <w:rPr>
          <w:rFonts w:eastAsia="IRNazanin" w:cs="IRNazanin"/>
          <w:color w:val="111111"/>
          <w:sz w:val="28"/>
          <w:szCs w:val="28"/>
          <w:rtl w:val="true"/>
          <w:lang w:bidi="fa-IR"/>
        </w:rPr>
        <w:t>.</w:t>
      </w:r>
    </w:p>
    <w:p>
      <w:pPr>
        <w:pStyle w:val="Heading4"/>
        <w:numPr>
          <w:ilvl w:val="3"/>
          <w:numId w:val="1"/>
        </w:numPr>
        <w:rPr/>
      </w:pPr>
      <w:bookmarkStart w:id="1097" w:name="__RefHeading___Toc147292_2142443653"/>
      <w:bookmarkStart w:id="1098" w:name="_Toc424"/>
      <w:bookmarkEnd w:id="1097"/>
      <w:r>
        <w:rPr>
          <w:rtl w:val="true"/>
        </w:rPr>
        <w:t>ذبیان بن حکیم مهمل</w:t>
      </w:r>
      <w:bookmarkEnd w:id="109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9" w:name="__RefHeading___Toc147294_2142443653"/>
      <w:bookmarkStart w:id="1100" w:name="_Toc425"/>
      <w:bookmarkEnd w:id="1099"/>
      <w:r>
        <w:rPr>
          <w:rtl w:val="true"/>
        </w:rPr>
        <w:t>العلاء بن سیابة</w:t>
      </w:r>
      <w:bookmarkStart w:id="1101" w:name="pg15025_160541"/>
      <w:bookmarkEnd w:id="1100"/>
    </w:p>
    <w:p>
      <w:pPr>
        <w:pStyle w:val="BookText"/>
        <w:rPr/>
      </w:pPr>
      <w:bookmarkEnd w:id="1101"/>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علی غمز البطن ، والخبر السابق ورد النهی فیه عن غمز المفاصل ، فلا منافاة محوجة إلی ما قاله الشیخ ، مضافاً إلی أنّ الظاهر من الخبر أنّ الغمز قبل التغسیل ، فحمله علی الغسلتین الأوّلتین غریب من حیث الروایة ؛ والذی ذکره فی التهذیب لم أقف علیه الآن ، غیر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روایاته ما یدل علی أنّ غمز البطن قبل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عثمان النوّاء وإنّ دلّ النهی فیه علی مطلق العصر </w:t>
      </w:r>
      <w:r>
        <w:rPr>
          <w:rFonts w:eastAsia="IRNazanin" w:cs="IRNazanin"/>
          <w:color w:val="111111"/>
          <w:sz w:val="28"/>
          <w:szCs w:val="28"/>
          <w:rtl w:val="true"/>
          <w:lang w:bidi="fa-IR"/>
        </w:rPr>
        <w:t xml:space="preserve">) </w:t>
      </w:r>
      <w:r>
        <w:rPr>
          <w:rStyle w:val="FootnoteAnchor"/>
          <w:rtl w:val="true"/>
        </w:rPr>
        <w:footnoteReference w:id="1621"/>
      </w:r>
      <w:r>
        <w:rPr>
          <w:rFonts w:ascii="IRNazanin" w:hAnsi="IRNazanin" w:eastAsia="IRNazanin"/>
          <w:color w:val="111111"/>
          <w:sz w:val="28"/>
          <w:sz w:val="28"/>
          <w:szCs w:val="28"/>
          <w:rtl w:val="true"/>
          <w:lang w:bidi="fa-IR"/>
        </w:rPr>
        <w:t>إلاّ أنّه قابل للتقیید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شیخنا قدس سره عند قول المحقق فی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ویمسح بطنه فی الغسلتین ؛ الأوّلتین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مستفاد من روایة الکاهلی ویونس </w:t>
      </w:r>
      <w:r>
        <w:rPr>
          <w:rStyle w:val="FootnoteAnchor"/>
          <w:rtl w:val="true"/>
        </w:rPr>
        <w:footnoteReference w:id="1622"/>
      </w:r>
      <w:r>
        <w:rPr>
          <w:rStyle w:val="FootnoteAnchor"/>
          <w:rtl w:val="true"/>
        </w:rPr>
        <w:footnoteReference w:id="1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روایة الکاهلی لا تخلو دلالتها علی ذلک من نظر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فلإجمالها کما یعلمه </w:t>
      </w:r>
      <w:r>
        <w:rPr>
          <w:rStyle w:val="FootnoteAnchor"/>
          <w:rtl w:val="true"/>
        </w:rPr>
        <w:footnoteReference w:id="1624"/>
      </w:r>
      <w:r>
        <w:rPr>
          <w:rFonts w:ascii="IRNazanin" w:hAnsi="IRNazanin" w:eastAsia="IRNazanin"/>
          <w:color w:val="111111"/>
          <w:sz w:val="28"/>
          <w:sz w:val="28"/>
          <w:szCs w:val="28"/>
          <w:rtl w:val="true"/>
          <w:lang w:bidi="fa-IR"/>
        </w:rPr>
        <w:t>من 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فلتضمّن صدرها الأمر بمسح البطن مسحاً رفیقاً ، وفی آخرها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وإیّاک أن تقعده أو تغمز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الأخیر العود للجمیع ، لأنّ الإقعاد مطلقاً مکروه عند الشیخ ومن تابعه ، وحینئذٍ یبعد أنّ یکون النهی عن الغمز فی الغسلة الأخیرة ؛ وإذا عاد إلی الجمیع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المستحب المسح الرفیق ، والغمز المنهی عنه ما کان أشد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یونس أیضاً لا تخلو دلالتها من تأمّل إلاّ أنّ الأمر سهل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2" w:name="__RefHeading___Toc147296_2142443653"/>
      <w:bookmarkStart w:id="1103" w:name="_Toc426"/>
      <w:bookmarkEnd w:id="1102"/>
      <w:r>
        <w:rPr>
          <w:rtl w:val="true"/>
        </w:rPr>
        <w:t>حکم غمز بطن المیت</w:t>
      </w:r>
      <w:bookmarkStart w:id="1104" w:name="pg15025_160542"/>
      <w:bookmarkEnd w:id="1103"/>
    </w:p>
    <w:p>
      <w:pPr>
        <w:pStyle w:val="BookText"/>
        <w:rPr/>
      </w:pPr>
      <w:bookmarkEnd w:id="1104"/>
      <w:r>
        <w:rPr>
          <w:rFonts w:ascii="IRNazanin" w:hAnsi="IRNazanin" w:eastAsia="IRNazanin"/>
          <w:color w:val="111111"/>
          <w:sz w:val="28"/>
          <w:sz w:val="28"/>
          <w:szCs w:val="28"/>
          <w:rtl w:val="true"/>
          <w:lang w:bidi="fa-IR"/>
        </w:rPr>
        <w:t xml:space="preserve">وما ذکره الشیخ من أنّ الإقعاد موافق للعامة یشکل بأنّه لا وجه لحمل بعض الخبر علی التقیة وبعضه علی غیرها ؛ لکن نقل عن الشیخ فی الخلاف دعوی الإجماع علی کراهة الإقعاد </w:t>
      </w:r>
      <w:r>
        <w:rPr>
          <w:rStyle w:val="FootnoteAnchor"/>
          <w:rtl w:val="true"/>
        </w:rPr>
        <w:footnoteReference w:id="1625"/>
      </w:r>
      <w:r>
        <w:rPr>
          <w:rFonts w:ascii="IRNazanin" w:hAnsi="IRNazanin" w:eastAsia="IRNazanin"/>
          <w:color w:val="111111"/>
          <w:sz w:val="28"/>
          <w:sz w:val="28"/>
          <w:szCs w:val="28"/>
          <w:rtl w:val="true"/>
          <w:lang w:bidi="fa-IR"/>
        </w:rPr>
        <w:t xml:space="preserve">؛ وعن المحقق فی المعتبر المیل إلی العمل بما دل علی الإقعاد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العمل بهذه الأخبار لیس بعیداً ، ولا معنی لتنزیلها علی التقیة ،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یعمل بما ذکره الشیخ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علیک أنّ تعارض الأخبار لا بد له من وجه للجمع ، والحمل علی التقیة </w:t>
      </w:r>
      <w:r>
        <w:rPr>
          <w:rFonts w:eastAsia="IRNazanin" w:cs="IRNazanin"/>
          <w:color w:val="111111"/>
          <w:sz w:val="28"/>
          <w:szCs w:val="28"/>
          <w:rtl w:val="true"/>
          <w:lang w:bidi="fa-IR"/>
        </w:rPr>
        <w:t xml:space="preserve">) </w:t>
      </w:r>
      <w:r>
        <w:rPr>
          <w:rStyle w:val="FootnoteAnchor"/>
          <w:rtl w:val="true"/>
        </w:rPr>
        <w:footnoteReference w:id="1627"/>
      </w:r>
      <w:r>
        <w:rPr>
          <w:rFonts w:ascii="IRNazanin" w:hAnsi="IRNazanin" w:eastAsia="IRNazanin"/>
          <w:color w:val="111111"/>
          <w:sz w:val="28"/>
          <w:sz w:val="28"/>
          <w:szCs w:val="28"/>
          <w:rtl w:val="true"/>
          <w:lang w:bidi="fa-IR"/>
        </w:rPr>
        <w:t>لا بأس به لولا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مانع من کون جمیع ما ذکر للتقیة ، وربما ینبه علیه ما تضمنه الروایة من التغسیل أوّلاً بالماء والحُرُض ، فإنّه خلاف مدلول الأخبار المتضمنة للسدر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الشیخ فیه من الحمل علی التقیة فی الأوّل ممکن فی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القَراح کسَحاب الماء لا یخالطه ثفل من سویق وغیره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الظاهر من الحدیث أنّ القراح الخالی من الخلیط</w:t>
      </w:r>
    </w:p>
    <w:p>
      <w:pPr>
        <w:pStyle w:val="Heading4"/>
        <w:numPr>
          <w:ilvl w:val="3"/>
          <w:numId w:val="1"/>
        </w:numPr>
        <w:rPr/>
      </w:pPr>
      <w:bookmarkStart w:id="1105" w:name="__RefHeading___Toc147298_2142443653"/>
      <w:bookmarkStart w:id="1106" w:name="_Toc427"/>
      <w:bookmarkEnd w:id="1105"/>
      <w:r>
        <w:rPr>
          <w:rtl w:val="true"/>
        </w:rPr>
        <w:t>حکم إقعاد المیت</w:t>
      </w:r>
      <w:bookmarkEnd w:id="110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7" w:name="__RefHeading___Toc147300_2142443653"/>
      <w:bookmarkStart w:id="1108" w:name="_Toc428"/>
      <w:bookmarkEnd w:id="1107"/>
      <w:r>
        <w:rPr>
          <w:rtl w:val="true"/>
        </w:rPr>
        <w:t>معنی القَراح</w:t>
      </w:r>
      <w:bookmarkStart w:id="1109" w:name="pg15025_160543"/>
      <w:bookmarkEnd w:id="1108"/>
    </w:p>
    <w:p>
      <w:pPr>
        <w:pStyle w:val="BookText"/>
        <w:rPr/>
      </w:pPr>
      <w:bookmarkEnd w:id="1109"/>
      <w:r>
        <w:rPr>
          <w:rFonts w:ascii="IRNazanin" w:hAnsi="IRNazanin" w:eastAsia="IRNazanin"/>
          <w:color w:val="111111"/>
          <w:sz w:val="28"/>
          <w:sz w:val="28"/>
          <w:szCs w:val="28"/>
          <w:rtl w:val="true"/>
          <w:lang w:bidi="fa-IR"/>
        </w:rPr>
        <w:t xml:space="preserve">مطلقاً ؛ فما ذکره جدّی قدس سره من أنّ القَراح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الخالص من الخلیط ، بمعنی کونه غیر معتبر فیه ، لا أنّ سلبه عنه معتبر ، وإنّما المعتبر کونه ماءً مطلقاً </w:t>
      </w:r>
      <w:r>
        <w:rPr>
          <w:rStyle w:val="FootnoteAnchor"/>
          <w:rtl w:val="true"/>
        </w:rPr>
        <w:footnoteReference w:id="1629"/>
      </w:r>
      <w:r>
        <w:rPr>
          <w:rFonts w:ascii="IRNazanin" w:hAnsi="IRNazanin" w:eastAsia="IRNazanin"/>
          <w:color w:val="111111"/>
          <w:sz w:val="28"/>
          <w:sz w:val="28"/>
          <w:szCs w:val="28"/>
          <w:rtl w:val="true"/>
          <w:lang w:bidi="fa-IR"/>
        </w:rPr>
        <w:t xml:space="preserve">محل نظر ؛ لأنّ الماء المطلق یتحقق فی کل من الغسلات عنده وعند غیره سوی ما قدّمناه عن الشهید رحمه الله </w:t>
      </w:r>
      <w:r>
        <w:rPr>
          <w:rStyle w:val="FootnoteAnchor"/>
          <w:rtl w:val="true"/>
        </w:rPr>
        <w:footnoteReference w:id="1630"/>
      </w:r>
      <w:r>
        <w:rPr>
          <w:rFonts w:ascii="IRNazanin" w:hAnsi="IRNazanin" w:eastAsia="IRNazanin"/>
          <w:color w:val="111111"/>
          <w:sz w:val="28"/>
          <w:sz w:val="28"/>
          <w:szCs w:val="28"/>
          <w:rtl w:val="true"/>
          <w:lang w:bidi="fa-IR"/>
        </w:rPr>
        <w:t>، وحینئذٍ لا بد من تمییز الماء القَراح عن غیره بخلوصه من الخلیط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تقدیم الوضوء علی غسل المیت</w:t>
      </w:r>
    </w:p>
    <w:p>
      <w:pPr>
        <w:pStyle w:val="BookText"/>
        <w:rPr/>
      </w:pPr>
      <w:r>
        <w:rPr>
          <w:rFonts w:ascii="IRNazanin" w:hAnsi="IRNazanin" w:eastAsia="IRNazanin"/>
          <w:color w:val="111111"/>
          <w:sz w:val="28"/>
          <w:sz w:val="28"/>
          <w:szCs w:val="28"/>
          <w:rtl w:val="true"/>
          <w:lang w:bidi="fa-IR"/>
        </w:rPr>
        <w:t xml:space="preserve">أخبرنی الشیخ رحمه الله عن أحمد بن محمد ، عن أبیه ، عن محمد بن یحیی ، عن محمد بن أحمد بن یحیی </w:t>
      </w:r>
      <w:r>
        <w:rPr>
          <w:rStyle w:val="FootnoteAnchor"/>
          <w:rtl w:val="true"/>
        </w:rPr>
        <w:footnoteReference w:id="1632"/>
      </w:r>
      <w:r>
        <w:rPr>
          <w:rFonts w:ascii="IRNazanin" w:hAnsi="IRNazanin" w:eastAsia="IRNazanin"/>
          <w:color w:val="111111"/>
          <w:sz w:val="28"/>
          <w:sz w:val="28"/>
          <w:szCs w:val="28"/>
          <w:rtl w:val="true"/>
          <w:lang w:bidi="fa-IR"/>
        </w:rPr>
        <w:t xml:space="preserve">، عن أیوب بن نوح ، عن المُسلی ، عن عبد </w:t>
      </w:r>
      <w:r>
        <w:rPr>
          <w:rStyle w:val="FootnoteAnchor"/>
          <w:rtl w:val="true"/>
        </w:rPr>
        <w:footnoteReference w:id="1633"/>
      </w:r>
      <w:r>
        <w:rPr>
          <w:rFonts w:ascii="IRNazanin" w:hAnsi="IRNazanin" w:eastAsia="IRNazanin"/>
          <w:color w:val="111111"/>
          <w:sz w:val="28"/>
          <w:sz w:val="28"/>
          <w:szCs w:val="28"/>
          <w:rtl w:val="true"/>
          <w:lang w:bidi="fa-IR"/>
        </w:rPr>
        <w:t xml:space="preserve">الله بن عبید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غسل المیت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یطرح علیه خرقة ، ثم یغسل فرجه ویوضّأ وضوء الصلاة ، ثم یغسل رأسه بالسدر والأُشنان ، ثم الماء والکافور ، ثم بالماء القراح ویطرح </w:t>
      </w:r>
      <w:r>
        <w:rPr>
          <w:rStyle w:val="FootnoteAnchor"/>
          <w:rtl w:val="true"/>
        </w:rPr>
        <w:footnoteReference w:id="1634"/>
      </w:r>
      <w:r>
        <w:rPr>
          <w:rFonts w:ascii="IRNazanin" w:hAnsi="IRNazanin" w:eastAsia="IRNazanin"/>
          <w:color w:val="111111"/>
          <w:sz w:val="28"/>
          <w:sz w:val="28"/>
          <w:szCs w:val="28"/>
          <w:rtl w:val="true"/>
          <w:lang w:bidi="fa-IR"/>
        </w:rPr>
        <w:t xml:space="preserve">فیه سبع ورقات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ورق السدر </w:t>
      </w:r>
      <w:r>
        <w:rPr>
          <w:rFonts w:eastAsia="IRNazanin" w:cs="IRNazanin"/>
          <w:color w:val="111111"/>
          <w:sz w:val="28"/>
          <w:szCs w:val="28"/>
          <w:rtl w:val="true"/>
          <w:lang w:bidi="fa-IR"/>
        </w:rPr>
        <w:t xml:space="preserve">) </w:t>
      </w:r>
      <w:r>
        <w:rPr>
          <w:rStyle w:val="FootnoteAnchor"/>
          <w:rtl w:val="true"/>
        </w:rPr>
        <w:footnoteReference w:id="1635"/>
      </w:r>
      <w:r>
        <w:rPr>
          <w:rFonts w:ascii="IRNazanin" w:hAnsi="IRNazanin" w:eastAsia="IRNazanin"/>
          <w:color w:val="111111"/>
          <w:sz w:val="28"/>
          <w:sz w:val="28"/>
          <w:szCs w:val="28"/>
          <w:rtl w:val="true"/>
          <w:lang w:bidi="fa-IR"/>
        </w:rPr>
        <w:t xml:space="preserve">صحاح فی الماء </w:t>
      </w:r>
      <w:r>
        <w:rPr>
          <w:rFonts w:eastAsia="IRNazanin" w:cs="IRNazanin"/>
          <w:color w:val="111111"/>
          <w:sz w:val="28"/>
          <w:szCs w:val="28"/>
          <w:rtl w:val="true"/>
          <w:lang w:bidi="fa-IR"/>
        </w:rPr>
        <w:t>».</w:t>
      </w:r>
    </w:p>
    <w:p>
      <w:pPr>
        <w:pStyle w:val="Heading3"/>
        <w:numPr>
          <w:ilvl w:val="2"/>
          <w:numId w:val="1"/>
        </w:numPr>
        <w:rPr/>
      </w:pPr>
      <w:bookmarkStart w:id="1110" w:name="__RefHeading___Toc147302_2142443653"/>
      <w:bookmarkStart w:id="1111" w:name="_Toc429"/>
      <w:bookmarkEnd w:id="1110"/>
      <w:r>
        <w:rPr>
          <w:rtl w:val="true"/>
        </w:rPr>
        <w:t>تقدیم الوضوء علی غسل المیت</w:t>
      </w:r>
      <w:bookmarkEnd w:id="111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2" w:name="__RefHeading___Toc147304_2142443653"/>
      <w:bookmarkStart w:id="1113" w:name="_Toc430"/>
      <w:bookmarkEnd w:id="1112"/>
      <w:r>
        <w:rPr>
          <w:rtl w:val="true"/>
        </w:rPr>
        <w:t>اشارة</w:t>
      </w:r>
      <w:bookmarkEnd w:id="1113"/>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1636"/>
      </w:r>
      <w:r>
        <w:rPr>
          <w:rFonts w:ascii="IRNazanin" w:hAnsi="IRNazanin" w:eastAsia="IRNazanin"/>
          <w:color w:val="111111"/>
          <w:sz w:val="28"/>
          <w:sz w:val="28"/>
          <w:szCs w:val="28"/>
          <w:rtl w:val="true"/>
          <w:lang w:bidi="fa-IR"/>
        </w:rPr>
        <w:t xml:space="preserve">، عن أبی القاسم جعفر بن محمد ، عن أبیه ، عن سعد ، عن أبی جعفر ، عن علی بن حدید ، عن عبد الرحمن بن أبی نجران ؛ والحسین بن سعید ، عن حمّاد ، عن حریز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المیت یبدأ </w:t>
      </w:r>
      <w:r>
        <w:rPr>
          <w:rStyle w:val="FootnoteAnchor"/>
          <w:rtl w:val="true"/>
        </w:rPr>
        <w:footnoteReference w:id="1637"/>
      </w:r>
      <w:r>
        <w:rPr>
          <w:rFonts w:ascii="IRNazanin" w:hAnsi="IRNazanin" w:eastAsia="IRNazanin"/>
          <w:color w:val="111111"/>
          <w:sz w:val="28"/>
          <w:sz w:val="28"/>
          <w:szCs w:val="28"/>
          <w:rtl w:val="true"/>
          <w:lang w:bidi="fa-IR"/>
        </w:rPr>
        <w:t xml:space="preserve">بفرجه ، ثم یوضّأ </w:t>
      </w:r>
      <w:r>
        <w:rPr>
          <w:rStyle w:val="FootnoteAnchor"/>
          <w:rtl w:val="true"/>
        </w:rPr>
        <w:footnoteReference w:id="1638"/>
      </w:r>
      <w:r>
        <w:rPr>
          <w:rFonts w:ascii="IRNazanin" w:hAnsi="IRNazanin" w:eastAsia="IRNazanin"/>
          <w:color w:val="111111"/>
          <w:sz w:val="28"/>
          <w:sz w:val="28"/>
          <w:szCs w:val="28"/>
          <w:rtl w:val="true"/>
          <w:lang w:bidi="fa-IR"/>
        </w:rPr>
        <w:t xml:space="preserve">وضوء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وأخبرنی الحسین بن عبید الله </w:t>
      </w:r>
      <w:r>
        <w:rPr>
          <w:rStyle w:val="FootnoteAnchor"/>
          <w:rtl w:val="true"/>
        </w:rPr>
        <w:footnoteReference w:id="1639"/>
      </w:r>
      <w:r>
        <w:rPr>
          <w:rFonts w:ascii="IRNazanin" w:hAnsi="IRNazanin" w:eastAsia="IRNazanin"/>
          <w:color w:val="111111"/>
          <w:sz w:val="28"/>
          <w:sz w:val="28"/>
          <w:szCs w:val="28"/>
          <w:rtl w:val="true"/>
          <w:lang w:bidi="fa-IR"/>
        </w:rPr>
        <w:t xml:space="preserve">، عن أحمد بن محمد بن یحیی ، عن أبیه ، عن محمد بن أحمد بن یحیی </w:t>
      </w:r>
      <w:r>
        <w:rPr>
          <w:rStyle w:val="FootnoteAnchor"/>
          <w:rtl w:val="true"/>
        </w:rPr>
        <w:footnoteReference w:id="1640"/>
      </w:r>
      <w:r>
        <w:rPr>
          <w:rFonts w:ascii="IRNazanin" w:hAnsi="IRNazanin" w:eastAsia="IRNazanin"/>
          <w:color w:val="111111"/>
          <w:sz w:val="28"/>
          <w:sz w:val="28"/>
          <w:szCs w:val="28"/>
          <w:rtl w:val="true"/>
          <w:lang w:bidi="fa-IR"/>
        </w:rPr>
        <w:t xml:space="preserve">المعاذی ، عن محمد بن عبد الحمید ، عن محمد بن حفص </w:t>
      </w:r>
      <w:r>
        <w:rPr>
          <w:rStyle w:val="FootnoteAnchor"/>
          <w:rtl w:val="true"/>
        </w:rPr>
        <w:footnoteReference w:id="1641"/>
      </w:r>
      <w:r>
        <w:rPr>
          <w:rFonts w:ascii="IRNazanin" w:hAnsi="IRNazanin" w:eastAsia="IRNazanin"/>
          <w:color w:val="111111"/>
          <w:sz w:val="28"/>
          <w:sz w:val="28"/>
          <w:szCs w:val="28"/>
          <w:rtl w:val="true"/>
          <w:lang w:bidi="fa-IR"/>
        </w:rPr>
        <w:t xml:space="preserve">، عن حفص بن غیاث ، عن لیث ، عن عبد الملک ، عن </w:t>
      </w:r>
      <w:r>
        <w:rPr>
          <w:rStyle w:val="FootnoteAnchor"/>
          <w:rtl w:val="true"/>
        </w:rPr>
        <w:footnoteReference w:id="1642"/>
      </w:r>
      <w:r>
        <w:rPr>
          <w:rFonts w:ascii="IRNazanin" w:hAnsi="IRNazanin" w:eastAsia="IRNazanin"/>
          <w:color w:val="111111"/>
          <w:sz w:val="28"/>
          <w:sz w:val="28"/>
          <w:szCs w:val="28"/>
          <w:rtl w:val="true"/>
          <w:lang w:bidi="fa-IR"/>
        </w:rPr>
        <w:t xml:space="preserve">أبی بشیر ، عن حفصة بنت بشیر </w:t>
      </w:r>
      <w:r>
        <w:rPr>
          <w:rStyle w:val="FootnoteAnchor"/>
          <w:rtl w:val="true"/>
        </w:rPr>
        <w:footnoteReference w:id="1643"/>
      </w:r>
      <w:r>
        <w:rPr>
          <w:rFonts w:ascii="IRNazanin" w:hAnsi="IRNazanin" w:eastAsia="IRNazanin"/>
          <w:color w:val="111111"/>
          <w:sz w:val="28"/>
          <w:sz w:val="28"/>
          <w:szCs w:val="28"/>
          <w:rtl w:val="true"/>
          <w:lang w:bidi="fa-IR"/>
        </w:rPr>
        <w:t xml:space="preserve">، عن أُمّ سلیمان ، عن أُمّ أنس بن مالک ، إنّ رسول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توفّیت المرأة فأرادوا أنّ یغسلوها فلیبدأوا ببطنها فلیمسح </w:t>
      </w:r>
      <w:r>
        <w:rPr>
          <w:rStyle w:val="FootnoteAnchor"/>
          <w:rtl w:val="true"/>
        </w:rPr>
        <w:footnoteReference w:id="1644"/>
      </w:r>
      <w:r>
        <w:rPr>
          <w:rFonts w:ascii="Amiri" w:hAnsi="Amiri" w:eastAsia="Amiri" w:cs="Amiri"/>
          <w:color w:val="111111"/>
          <w:sz w:val="28"/>
          <w:sz w:val="28"/>
          <w:szCs w:val="28"/>
          <w:rtl w:val="true"/>
          <w:lang w:bidi="ar-SA"/>
        </w:rPr>
        <w:t xml:space="preserve">مسحاً رفیقاً إنّ لم تکن حبلی ، فإنّ کانت حبلی فلا تحرّکیها </w:t>
      </w:r>
      <w:r>
        <w:rPr>
          <w:rStyle w:val="FootnoteAnchor"/>
          <w:rtl w:val="true"/>
        </w:rPr>
        <w:footnoteReference w:id="1645"/>
      </w:r>
      <w:r>
        <w:rPr>
          <w:rFonts w:ascii="IRNazanin" w:hAnsi="IRNazanin" w:eastAsia="IRNazanin"/>
          <w:color w:val="111111"/>
          <w:sz w:val="28"/>
          <w:sz w:val="28"/>
          <w:szCs w:val="28"/>
          <w:rtl w:val="true"/>
          <w:lang w:bidi="fa-IR"/>
        </w:rPr>
        <w:t xml:space="preserve">؛ فإذا أردت غسلها </w:t>
      </w:r>
    </w:p>
    <w:p>
      <w:pPr>
        <w:pStyle w:val="BookText"/>
        <w:rPr/>
      </w:pPr>
      <w:r>
        <w:rPr>
          <w:rFonts w:ascii="IRNazanin" w:hAnsi="IRNazanin" w:eastAsia="IRNazanin"/>
          <w:color w:val="111111"/>
          <w:sz w:val="28"/>
          <w:sz w:val="28"/>
          <w:szCs w:val="28"/>
          <w:rtl w:val="true"/>
          <w:lang w:bidi="fa-IR"/>
        </w:rPr>
        <w:t xml:space="preserve">فابدئی </w:t>
      </w:r>
      <w:r>
        <w:rPr>
          <w:rStyle w:val="FootnoteAnchor"/>
          <w:rtl w:val="true"/>
        </w:rPr>
        <w:footnoteReference w:id="1646"/>
      </w:r>
      <w:r>
        <w:rPr>
          <w:rFonts w:ascii="IRNazanin" w:hAnsi="IRNazanin" w:eastAsia="IRNazanin"/>
          <w:color w:val="111111"/>
          <w:sz w:val="28"/>
          <w:sz w:val="28"/>
          <w:szCs w:val="28"/>
          <w:rtl w:val="true"/>
          <w:lang w:bidi="fa-IR"/>
        </w:rPr>
        <w:t xml:space="preserve">بسفلیها فألقی علی عورتها ثوباً ستیراً ، ثم خذی کُرسفة فاغسلیها ، ثم ادخلی یدک من تحت الثوب فاغسلیها بکرسف ثلاث مرّات ، فأحسنی مسحها قبل أنّ توضّئیها ، ثم وضّئیها بماء فیه سدر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الشیخ رحمه الله عن أحمد بن محمد ، عن أبیه ، عن الصفار ، عن أحمد بن رزق الغمشانی ، عن معاویة بن عمّار قال أمرنی أبو عبد الله علیه السلام أنّ أعصر </w:t>
      </w:r>
      <w:r>
        <w:rPr>
          <w:rStyle w:val="FootnoteAnchor"/>
          <w:rtl w:val="true"/>
        </w:rPr>
        <w:footnoteReference w:id="1647"/>
      </w:r>
      <w:r>
        <w:rPr>
          <w:rFonts w:ascii="IRNazanin" w:hAnsi="IRNazanin" w:eastAsia="IRNazanin"/>
          <w:color w:val="111111"/>
          <w:sz w:val="28"/>
          <w:sz w:val="28"/>
          <w:szCs w:val="28"/>
          <w:rtl w:val="true"/>
          <w:lang w:bidi="fa-IR"/>
        </w:rPr>
        <w:t>بطنه ، ثم أُوضّیه بالأُشنان ، ثم أغسل رأسه بالسدر ولحیته ، ثم أفیض علی جسده منه ثم أدلک به جسده ، ثم أُفیض علیه ثلاثاً ، ثم أغسله بالماء القَراح ، ثم أُفیض علیه الماء بالکافور وبالماء القَراح وأطرح فیه سبع ورقات سدر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القاسانی ، عن بعض أصحابه ، عن الوّشاء ، عن أبی خیثمة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أبی أمرنی أنّ أغسله إذا توفّی ،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یا بنیّ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یأمرونک بخلاف ما تصنع فقل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أبی ولست أعدو قوله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تبدأ فتغسل یدیه ، ثم توضّئه وضوء الصلاة ، ثم تأخذ سدراً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المُسلی ، وهو یقال لمحمد بن عبد الله المُسلی وربیع </w:t>
      </w:r>
      <w:bookmarkStart w:id="1114" w:name="pg15025_160546"/>
    </w:p>
    <w:p>
      <w:pPr>
        <w:pStyle w:val="BookText"/>
        <w:rPr/>
      </w:pPr>
      <w:bookmarkEnd w:id="1114"/>
      <w:r>
        <w:rPr>
          <w:rFonts w:ascii="IRNazanin" w:hAnsi="IRNazanin" w:eastAsia="IRNazanin"/>
          <w:color w:val="111111"/>
          <w:sz w:val="28"/>
          <w:sz w:val="28"/>
          <w:szCs w:val="28"/>
          <w:rtl w:val="true"/>
          <w:lang w:bidi="fa-IR"/>
        </w:rPr>
        <w:t xml:space="preserve">ابن محمد المُسلی وعمرو بن عبد الحکم المُسلی ، ویقال لغیرهم أیضاً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عنه حمید ، وهو ثقة کما ذکره النجاشی </w:t>
      </w:r>
      <w:r>
        <w:rPr>
          <w:rStyle w:val="FootnoteAnchor"/>
          <w:rtl w:val="true"/>
        </w:rPr>
        <w:footnoteReference w:id="1649"/>
      </w:r>
      <w:r>
        <w:rPr>
          <w:rFonts w:ascii="IRNazanin" w:hAnsi="IRNazanin" w:eastAsia="IRNazanin"/>
          <w:color w:val="111111"/>
          <w:sz w:val="28"/>
          <w:sz w:val="28"/>
          <w:szCs w:val="28"/>
          <w:rtl w:val="true"/>
          <w:lang w:bidi="fa-IR"/>
        </w:rPr>
        <w:t>؛ وأیوب بن نوح کما تری یروی عنه هنا ، ومرتبة أیوب تبعد عن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الراوی عنه العباس بن عامر کما فی النجاشی </w:t>
      </w:r>
      <w:r>
        <w:rPr>
          <w:rStyle w:val="FootnoteAnchor"/>
          <w:rtl w:val="true"/>
        </w:rPr>
        <w:footnoteReference w:id="1650"/>
      </w:r>
      <w:r>
        <w:rPr>
          <w:rFonts w:ascii="IRNazanin" w:hAnsi="IRNazanin" w:eastAsia="IRNazanin"/>
          <w:color w:val="111111"/>
          <w:sz w:val="28"/>
          <w:sz w:val="28"/>
          <w:szCs w:val="28"/>
          <w:rtl w:val="true"/>
          <w:lang w:bidi="fa-IR"/>
        </w:rPr>
        <w:t xml:space="preserve">والفهرست </w:t>
      </w:r>
      <w:r>
        <w:rPr>
          <w:rStyle w:val="FootnoteAnchor"/>
          <w:rtl w:val="true"/>
        </w:rPr>
        <w:footnoteReference w:id="1651"/>
      </w:r>
      <w:r>
        <w:rPr>
          <w:rFonts w:ascii="IRNazanin" w:hAnsi="IRNazanin" w:eastAsia="IRNazanin"/>
          <w:color w:val="111111"/>
          <w:sz w:val="28"/>
          <w:sz w:val="28"/>
          <w:szCs w:val="28"/>
          <w:rtl w:val="true"/>
          <w:lang w:bidi="fa-IR"/>
        </w:rPr>
        <w:t xml:space="preserve">، والعباس یروی عنه أیوب بن نوح کما ذکره الشیخ فی رجال من لم یرو عن الأئمة علیهم السلام </w:t>
      </w:r>
      <w:r>
        <w:rPr>
          <w:rStyle w:val="FootnoteAnchor"/>
          <w:rtl w:val="true"/>
        </w:rPr>
        <w:footnoteReference w:id="1652"/>
      </w:r>
      <w:r>
        <w:rPr>
          <w:rFonts w:ascii="IRNazanin" w:hAnsi="IRNazanin" w:eastAsia="IRNazanin"/>
          <w:color w:val="111111"/>
          <w:sz w:val="28"/>
          <w:sz w:val="28"/>
          <w:szCs w:val="28"/>
          <w:rtl w:val="true"/>
          <w:lang w:bidi="fa-IR"/>
        </w:rPr>
        <w:t xml:space="preserve">، فتبعد روایة أیوب عن المُسلی بغیر واسطة إلاّ أنّه فی حیّز الإمکان ، والربیع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موثق ولا 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وعمرو بن عبد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مهملاً فی أصحاب الصادق علیه السلام من کتاب الشیخ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عبد الله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مشترک </w:t>
      </w:r>
      <w:r>
        <w:rPr>
          <w:rStyle w:val="FootnoteAnchor"/>
          <w:rtl w:val="true"/>
        </w:rPr>
        <w:footnoteReference w:id="1654"/>
      </w:r>
      <w:r>
        <w:rPr>
          <w:rFonts w:ascii="IRNazanin" w:hAnsi="IRNazanin" w:eastAsia="IRNazanin"/>
          <w:color w:val="111111"/>
          <w:sz w:val="28"/>
          <w:sz w:val="28"/>
          <w:szCs w:val="28"/>
          <w:rtl w:val="true"/>
          <w:lang w:bidi="fa-IR"/>
        </w:rPr>
        <w:t>بین مهملین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مشتمل علی سندین ؛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حدید ، وقد تقدم تضعیفه عن الشیخ فی هذا الکتاب </w:t>
      </w:r>
      <w:r>
        <w:rPr>
          <w:rStyle w:val="FootnoteAnchor"/>
          <w:rtl w:val="true"/>
        </w:rPr>
        <w:footnoteReference w:id="1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والوالد قدس سره کان کثیراً 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فی مثله</w:t>
      </w:r>
    </w:p>
    <w:p>
      <w:pPr>
        <w:pStyle w:val="Heading4"/>
        <w:numPr>
          <w:ilvl w:val="3"/>
          <w:numId w:val="1"/>
        </w:numPr>
        <w:rPr/>
      </w:pPr>
      <w:bookmarkStart w:id="1115" w:name="__RefHeading___Toc147306_2142443653"/>
      <w:bookmarkStart w:id="1116" w:name="_Toc431"/>
      <w:bookmarkEnd w:id="1115"/>
      <w:r>
        <w:rPr>
          <w:rtl w:val="true"/>
        </w:rPr>
        <w:t>بحث حول المُسلی</w:t>
      </w:r>
      <w:bookmarkEnd w:id="1116"/>
    </w:p>
    <w:p>
      <w:pPr>
        <w:pStyle w:val="Heading4"/>
        <w:numPr>
          <w:ilvl w:val="3"/>
          <w:numId w:val="1"/>
        </w:numPr>
        <w:rPr/>
      </w:pPr>
      <w:bookmarkStart w:id="1117" w:name="__RefHeading___Toc147308_2142443653"/>
      <w:bookmarkStart w:id="1118" w:name="_Toc432"/>
      <w:bookmarkEnd w:id="1117"/>
      <w:r>
        <w:rPr>
          <w:rtl w:val="true"/>
        </w:rPr>
        <w:t>عبدالله بن عبید مشترک بین مهملین</w:t>
      </w:r>
      <w:bookmarkEnd w:id="111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9" w:name="__RefHeading___Toc147310_2142443653"/>
      <w:bookmarkStart w:id="1120" w:name="_Toc433"/>
      <w:bookmarkEnd w:id="1119"/>
      <w:r>
        <w:rPr>
          <w:rtl w:val="true"/>
        </w:rPr>
        <w:t>إشارة إلی ضعف علی بن حدید</w:t>
      </w:r>
      <w:bookmarkStart w:id="1121" w:name="pg15025_160547"/>
      <w:bookmarkEnd w:id="1120"/>
    </w:p>
    <w:p>
      <w:pPr>
        <w:pStyle w:val="BookText"/>
        <w:rPr/>
      </w:pPr>
      <w:bookmarkEnd w:id="11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الرحمن بن أبی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الروایات الواردة فی هذا النحو کثیرة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والأمر کما قال من جهة الکثرة ، إلاّ أنّه لا مانع من الروایة تارة عن الشخص وتارة معه ؛ وفی التهذیب روی الشیخ الخبر کما هنا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عطف علی مَن؟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العطف علی علی بن حدید احتمالاً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ابتداء سند ، والطریق إلی الحسین ما یذکره الشیخ فی المشیخة </w:t>
      </w:r>
      <w:r>
        <w:rPr>
          <w:rStyle w:val="FootnoteAnchor"/>
          <w:rtl w:val="true"/>
        </w:rPr>
        <w:footnoteReference w:id="1658"/>
      </w:r>
      <w:r>
        <w:rPr>
          <w:rFonts w:ascii="IRNazanin" w:hAnsi="IRNazanin" w:eastAsia="IRNazanin"/>
          <w:color w:val="111111"/>
          <w:sz w:val="28"/>
          <w:sz w:val="28"/>
          <w:szCs w:val="28"/>
          <w:rtl w:val="true"/>
          <w:lang w:bidi="fa-IR"/>
        </w:rPr>
        <w:t xml:space="preserve">؛ ویدفعه أنّ اللازم روایة ابن أبی نجران عن أبی عبد الله علیه السلام ، والحال أنّ المذکور کونه من أصحاب الرضا والجواد علیهماالسلام ، مضافاً إلی أنه ینبغی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هذا الوجه یقرب ما ذکرناه </w:t>
      </w:r>
      <w:r>
        <w:rPr>
          <w:rStyle w:val="FootnoteAnchor"/>
          <w:rtl w:val="true"/>
        </w:rPr>
        <w:footnoteReference w:id="1659"/>
      </w:r>
      <w:r>
        <w:rPr>
          <w:rFonts w:ascii="IRNazanin" w:hAnsi="IRNazanin" w:eastAsia="IRNazanin"/>
          <w:color w:val="111111"/>
          <w:sz w:val="28"/>
          <w:sz w:val="28"/>
          <w:szCs w:val="28"/>
          <w:rtl w:val="true"/>
          <w:lang w:bidi="fa-IR"/>
        </w:rPr>
        <w:t>عن الوالد قدس سره لأنّ عبد الرحمن إذا کان الراوی عنه علی بن حدید یکون عبد الرحمن وحریز مشترکین فی الروایة عن أبی عبد الله علیه السلام ، والحال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محمد بن أحمد بن یحیی المعاذی علی ما رأیناه من النسخ والظاهر أنّ أحمد زائد ؛ لأنّ المذکور فی الرجال محمد بن یحیی المعاذی </w:t>
      </w:r>
      <w:r>
        <w:rPr>
          <w:rStyle w:val="FootnoteAnchor"/>
          <w:rtl w:val="true"/>
        </w:rPr>
        <w:footnoteReference w:id="1660"/>
      </w:r>
      <w:r>
        <w:rPr>
          <w:rFonts w:ascii="IRNazanin" w:hAnsi="IRNazanin" w:eastAsia="IRNazanin"/>
          <w:color w:val="111111"/>
          <w:sz w:val="28"/>
          <w:sz w:val="28"/>
          <w:szCs w:val="28"/>
          <w:rtl w:val="true"/>
          <w:lang w:bidi="fa-IR"/>
        </w:rPr>
        <w:t xml:space="preserve">، وقد ذکر العلاّمة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ضعیف </w:t>
      </w:r>
      <w:r>
        <w:rPr>
          <w:rStyle w:val="FootnoteAnchor"/>
          <w:rtl w:val="true"/>
        </w:rPr>
        <w:footnoteReference w:id="1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 أصل</w:t>
      </w:r>
    </w:p>
    <w:p>
      <w:pPr>
        <w:pStyle w:val="Heading4"/>
        <w:numPr>
          <w:ilvl w:val="3"/>
          <w:numId w:val="1"/>
        </w:numPr>
        <w:rPr/>
      </w:pPr>
      <w:bookmarkStart w:id="1122" w:name="__RefHeading___Toc147312_2142443653"/>
      <w:bookmarkStart w:id="1123" w:name="_Toc434"/>
      <w:bookmarkEnd w:id="1122"/>
      <w:r>
        <w:rPr>
          <w:rtl w:val="true"/>
        </w:rPr>
        <w:t>بحث حول سند روایة حریز</w:t>
      </w:r>
      <w:bookmarkEnd w:id="112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4" w:name="__RefHeading___Toc147314_2142443653"/>
      <w:bookmarkStart w:id="1125" w:name="_Toc435"/>
      <w:bookmarkEnd w:id="1124"/>
      <w:r>
        <w:rPr>
          <w:rtl w:val="true"/>
        </w:rPr>
        <w:t>بحث حول محمّد بن یحیی المعاذی</w:t>
      </w:r>
      <w:bookmarkStart w:id="1126" w:name="pg15025_160548"/>
      <w:bookmarkEnd w:id="1125"/>
    </w:p>
    <w:p>
      <w:pPr>
        <w:pStyle w:val="BookText"/>
        <w:rPr/>
      </w:pPr>
      <w:bookmarkEnd w:id="1126"/>
      <w:r>
        <w:rPr>
          <w:rFonts w:ascii="IRNazanin" w:hAnsi="IRNazanin" w:eastAsia="IRNazanin"/>
          <w:color w:val="111111"/>
          <w:sz w:val="28"/>
          <w:sz w:val="28"/>
          <w:szCs w:val="28"/>
          <w:rtl w:val="true"/>
          <w:lang w:bidi="fa-IR"/>
        </w:rPr>
        <w:t xml:space="preserve">ذلک ما نقله النجاشی فی محمد بن أحمد بن یحیی الأشعری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المستثنین الذین یروی عنهم محمد بن أحمد </w:t>
      </w:r>
      <w:r>
        <w:rPr>
          <w:rStyle w:val="FootnoteAnchor"/>
          <w:rtl w:val="true"/>
        </w:rPr>
        <w:footnoteReference w:id="1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خفی أنّ هذا لا یوجب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ذکره فی رجال العسکری علیه السلام مهملاً </w:t>
      </w:r>
      <w:r>
        <w:rPr>
          <w:rStyle w:val="FootnoteAnchor"/>
          <w:rtl w:val="true"/>
        </w:rPr>
        <w:footnoteReference w:id="1663"/>
      </w:r>
      <w:r>
        <w:rPr>
          <w:rFonts w:ascii="IRNazanin" w:hAnsi="IRNazanin" w:eastAsia="IRNazanin"/>
          <w:color w:val="111111"/>
          <w:sz w:val="28"/>
          <w:sz w:val="28"/>
          <w:szCs w:val="28"/>
          <w:rtl w:val="true"/>
          <w:lang w:bidi="fa-IR"/>
        </w:rPr>
        <w:t xml:space="preserve">، لکن علی ما فهمه الشیخ فی محمد بن عیسی </w:t>
      </w:r>
      <w:r>
        <w:rPr>
          <w:rStyle w:val="FootnoteAnchor"/>
          <w:rtl w:val="true"/>
        </w:rPr>
        <w:footnoteReference w:id="1664"/>
      </w:r>
      <w:r>
        <w:rPr>
          <w:rFonts w:ascii="IRNazanin" w:hAnsi="IRNazanin" w:eastAsia="IRNazanin"/>
          <w:color w:val="111111"/>
          <w:sz w:val="28"/>
          <w:sz w:val="28"/>
          <w:szCs w:val="28"/>
          <w:rtl w:val="true"/>
          <w:lang w:bidi="fa-IR"/>
        </w:rPr>
        <w:t>من الاستثناء ینبغی وصفه بالضعف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بن عبد الحمید فهو العطّار علی الظاهر ، وقد قدّمنا فیه القول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ومحمد بن حفص هو ابن غیاث ، ویروی عن أبیه کما ذکره الشیخ فی رجال من لم یرو عن الأئمة علیهم السلام لکن بنوع إبهام </w:t>
      </w:r>
      <w:r>
        <w:rPr>
          <w:rStyle w:val="FootnoteAnchor"/>
          <w:rtl w:val="true"/>
        </w:rPr>
        <w:footnoteReference w:id="1666"/>
      </w:r>
      <w:r>
        <w:rPr>
          <w:rFonts w:ascii="IRNazanin" w:hAnsi="IRNazanin" w:eastAsia="IRNazanin"/>
          <w:color w:val="111111"/>
          <w:sz w:val="28"/>
          <w:sz w:val="28"/>
          <w:szCs w:val="28"/>
          <w:rtl w:val="true"/>
          <w:lang w:bidi="fa-IR"/>
        </w:rPr>
        <w:t xml:space="preserve">،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محمد بن الولید الخزّاز ، وروی عنه محمد بن الحسن الصفار والحمیری وسعد </w:t>
      </w:r>
      <w:r>
        <w:rPr>
          <w:rStyle w:val="FootnoteAnchor"/>
          <w:rtl w:val="true"/>
        </w:rPr>
        <w:footnoteReference w:id="1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خفی بعد الممارسة أنّ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محمد بن الولید ؛ لکن فی بادئ النظر یتوهم خلافه ویظن أنّ محمد بن عبد الحمید لا یروی عن محمد بن حفص فیکون غیر من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یزاد احتمال کون محمد بن حفص مجهولاً غیر المذکور ، وإنّ کان المذکور مجهولاً أیضاً ؛ لوجوده مهملاً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7" w:name="__RefHeading___Toc147316_2142443653"/>
      <w:bookmarkStart w:id="1128" w:name="_Toc436"/>
      <w:bookmarkEnd w:id="1127"/>
      <w:r>
        <w:rPr>
          <w:rtl w:val="true"/>
        </w:rPr>
        <w:t>بحث حول محمّد بن حفص بن غیاث</w:t>
      </w:r>
      <w:bookmarkStart w:id="1129" w:name="pg15025_160549"/>
      <w:bookmarkEnd w:id="1128"/>
    </w:p>
    <w:p>
      <w:pPr>
        <w:pStyle w:val="BookText"/>
        <w:rPr/>
      </w:pPr>
      <w:bookmarkEnd w:id="1129"/>
      <w:r>
        <w:rPr>
          <w:rFonts w:ascii="IRNazanin" w:hAnsi="IRNazanin" w:eastAsia="IRNazanin"/>
          <w:color w:val="111111"/>
          <w:sz w:val="28"/>
          <w:sz w:val="28"/>
          <w:szCs w:val="28"/>
          <w:rtl w:val="true"/>
          <w:lang w:bidi="fa-IR"/>
        </w:rPr>
        <w:t xml:space="preserve">وأمّا حفص بن غیاث فقد تقدم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ولیث مشترک </w:t>
      </w:r>
      <w:r>
        <w:rPr>
          <w:rStyle w:val="FootnoteAnchor"/>
          <w:rtl w:val="true"/>
        </w:rPr>
        <w:footnoteReference w:id="1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الملک غیر مذکور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محمد القاشانی مع عدم الطریق إلیه ؛ وقد نقل العلاّمة عن الشیخ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أصحاب أبی جعفر الثانی الجواد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یعنی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شیرة بالشین المعجمة المکسورة والیاء الساکنة المنقطة تحتها نقطتین والراء ثقة من أصحاب الجواد علیه السلام ، ثم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لنا أنّهما واحد ؛ لأنّ النجاشی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شیرة القاشانی </w:t>
      </w:r>
      <w:r>
        <w:rPr>
          <w:rStyle w:val="FootnoteAnchor"/>
          <w:rtl w:val="true"/>
        </w:rPr>
        <w:footnoteReference w:id="1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قصور عبارة العلاّمة علی من لاحظ کتاب الشیخ الموجود الآن ؛ لأنّ الشیخ قال فی رجال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شیرة ثقة ؛ علی بن محمد القاشانی ضعیف إصبهانی ، إلی آخره </w:t>
      </w:r>
      <w:r>
        <w:rPr>
          <w:rStyle w:val="FootnoteAnchor"/>
          <w:rtl w:val="true"/>
        </w:rPr>
        <w:footnoteReference w:id="1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العلاّمة وجد فی نسخة ما ذکره ، إلاّ أنّ القصور من جهة إبهام الضبط وأنّه من الشیخ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یظن أنّ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شیرة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فیه تصحیف من الکاتب ، وإنّما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شیرة یقال له علی بن محمد القاشانی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هذا أنّ کلام النجاشی یقتضی عدم ضعفه ؛ لأنّ الشیخ ربّما اعتمد علی ما نقل النجاشی </w:t>
      </w:r>
      <w:r>
        <w:rPr>
          <w:rFonts w:eastAsia="IRNazanin" w:cs="IRNazanin"/>
          <w:color w:val="111111"/>
          <w:sz w:val="28"/>
          <w:szCs w:val="28"/>
          <w:rtl w:val="true"/>
          <w:lang w:bidi="fa-IR"/>
        </w:rPr>
        <w:t xml:space="preserve">) </w:t>
      </w:r>
      <w:r>
        <w:rPr>
          <w:rStyle w:val="FootnoteAnchor"/>
          <w:rtl w:val="true"/>
        </w:rPr>
        <w:footnoteReference w:id="1672"/>
      </w:r>
      <w:r>
        <w:rPr>
          <w:rFonts w:ascii="IRNazanin" w:hAnsi="IRNazanin" w:eastAsia="IRNazanin"/>
          <w:color w:val="111111"/>
          <w:sz w:val="28"/>
          <w:sz w:val="28"/>
          <w:szCs w:val="28"/>
          <w:rtl w:val="true"/>
          <w:lang w:bidi="fa-IR"/>
        </w:rPr>
        <w:t xml:space="preserve">عن أحمد بن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Heading4"/>
        <w:numPr>
          <w:ilvl w:val="3"/>
          <w:numId w:val="1"/>
        </w:numPr>
        <w:rPr/>
      </w:pPr>
      <w:bookmarkStart w:id="1130" w:name="__RefHeading___Toc147318_2142443653"/>
      <w:bookmarkStart w:id="1131" w:name="_Toc437"/>
      <w:bookmarkEnd w:id="1130"/>
      <w:r>
        <w:rPr>
          <w:rtl w:val="true"/>
        </w:rPr>
        <w:t>لیث مشترک</w:t>
      </w:r>
      <w:bookmarkEnd w:id="113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2" w:name="__RefHeading___Toc147320_2142443653"/>
      <w:bookmarkStart w:id="1133" w:name="_Toc438"/>
      <w:bookmarkEnd w:id="1132"/>
      <w:r>
        <w:rPr>
          <w:rtl w:val="true"/>
        </w:rPr>
        <w:t>بحث حول علی بن محمّد القاشانی</w:t>
      </w:r>
      <w:bookmarkStart w:id="1134" w:name="pg15025_160550"/>
      <w:bookmarkEnd w:id="1133"/>
    </w:p>
    <w:p>
      <w:pPr>
        <w:pStyle w:val="BookText"/>
        <w:rPr/>
      </w:pPr>
      <w:bookmarkEnd w:id="1134"/>
      <w:r>
        <w:rPr>
          <w:rFonts w:ascii="IRNazanin" w:hAnsi="IRNazanin" w:eastAsia="IRNazanin"/>
          <w:color w:val="111111"/>
          <w:sz w:val="28"/>
          <w:sz w:val="28"/>
          <w:szCs w:val="28"/>
          <w:rtl w:val="true"/>
          <w:lang w:bidi="fa-IR"/>
        </w:rPr>
        <w:t xml:space="preserve">غمز علیه ، وذکر أنّه سمع منه مذاهب منکرة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فی ذکر الرجل مرة بالتوثیق وأُخری بالتضعیف علی ما سمعت من النسخة یقتضی أنّ الشیخ لم یتثبّت فی شأن الرجل ، والعمدة علی قول النجاشی ؛ غیر أنّ ما ذکره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 علیه أحمد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فی کتبه ما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إجمال ؛ لأنّ عدم الوجدان فی کتبه لا یدل علی نفی ما قاله أحمد بن محمد بن عیسی ، لأنّ الظاهر منه أنّه سمع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بالمجهول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النجاشی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أحمد بن شیرة کان فقیهاً مکثراً من الحدیث فاضلا </w:t>
      </w:r>
      <w:r>
        <w:rPr>
          <w:rStyle w:val="FootnoteAnchor"/>
          <w:rtl w:val="true"/>
        </w:rPr>
        <w:footnoteReference w:id="1674"/>
      </w:r>
      <w:r>
        <w:rPr>
          <w:rFonts w:ascii="IRNazanin" w:hAnsi="IRNazanin" w:eastAsia="IRNazanin"/>
          <w:color w:val="111111"/>
          <w:sz w:val="28"/>
          <w:sz w:val="28"/>
          <w:szCs w:val="28"/>
          <w:rtl w:val="true"/>
          <w:lang w:bidi="fa-IR"/>
        </w:rPr>
        <w:t>یقتضی المدح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التخالف بین کونه ابن أحمد وبین قول الشیخ ابن محمد فأمره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وفی السند الإرسال مع جهالة أبی خیثمة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دلالة علی الوضوء المعروف بحسب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یوجد فی الأخبار من إطلاق الوضوء علی غَسل الیدین والاستنجاء بعید الإرادة هنا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یتکلف التوجیه ؛ ولا یبعد نفی التکلّف بعد تحقق المعارض ، لکن ستسمع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الدلالة من الروایة علی الوجوب فقد تنکر من عدم الإتیان بمقتضاه من الأمر ، وهو الظاهر من العلاّمة فی المختلف ، فإنّه استدل بهذه</w:t>
      </w:r>
    </w:p>
    <w:p>
      <w:pPr>
        <w:pStyle w:val="Heading4"/>
        <w:numPr>
          <w:ilvl w:val="3"/>
          <w:numId w:val="1"/>
        </w:numPr>
        <w:rPr/>
      </w:pPr>
      <w:bookmarkStart w:id="1135" w:name="__RefHeading___Toc147322_2142443653"/>
      <w:bookmarkStart w:id="1136" w:name="_Toc439"/>
      <w:bookmarkEnd w:id="1135"/>
      <w:r>
        <w:rPr>
          <w:rtl w:val="true"/>
        </w:rPr>
        <w:t xml:space="preserve">مالمراد بالوضوء فی قوله علیه السلام </w:t>
      </w:r>
      <w:r>
        <w:rPr>
          <w:rtl w:val="true"/>
        </w:rPr>
        <w:t xml:space="preserve">: « </w:t>
      </w:r>
      <w:r>
        <w:rPr>
          <w:rtl w:val="true"/>
        </w:rPr>
        <w:t xml:space="preserve">یوضّأ وضوء الصلاة </w:t>
      </w:r>
      <w:r>
        <w:rPr>
          <w:rtl w:val="true"/>
        </w:rPr>
        <w:t>»</w:t>
      </w:r>
      <w:r>
        <w:rPr>
          <w:rtl w:val="true"/>
        </w:rPr>
        <w:t>؟</w:t>
      </w:r>
      <w:bookmarkEnd w:id="113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7" w:name="__RefHeading___Toc147324_2142443653"/>
      <w:bookmarkStart w:id="1138" w:name="_Toc440"/>
      <w:bookmarkEnd w:id="1137"/>
      <w:r>
        <w:rPr>
          <w:rtl w:val="true"/>
        </w:rPr>
        <w:t>هل وضوء المیت قبل غسله واجب؟</w:t>
      </w:r>
      <w:bookmarkEnd w:id="1138"/>
    </w:p>
    <w:p>
      <w:pPr>
        <w:pStyle w:val="BookText"/>
        <w:rPr/>
      </w:pPr>
      <w:r>
        <w:rPr>
          <w:rFonts w:ascii="IRNazanin" w:hAnsi="IRNazanin" w:eastAsia="IRNazanin"/>
          <w:color w:val="111111"/>
          <w:sz w:val="28"/>
          <w:sz w:val="28"/>
          <w:szCs w:val="28"/>
          <w:rtl w:val="true"/>
          <w:lang w:bidi="fa-IR"/>
        </w:rPr>
        <w:t xml:space="preserve">علی الاستحباب ، وبالثانی حیث قال علیه السلام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توضّأ وضوء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استدل بالرابع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وجه للاستدلال إلاّ عدم دلالة مثل هذا اللفظ علی الوجوب ؛ وأضاف إلی ذلک أیضاً روایة ابن أبی عمیر ، عن حمّاد بن عثمان أو غیره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 غسل وضوء إلاّ الجنابة </w:t>
      </w:r>
      <w:r>
        <w:rPr>
          <w:rFonts w:eastAsia="IRNazanin" w:cs="IRNazanin"/>
          <w:color w:val="111111"/>
          <w:sz w:val="28"/>
          <w:szCs w:val="28"/>
          <w:rtl w:val="true"/>
          <w:lang w:bidi="fa-IR"/>
        </w:rPr>
        <w:t xml:space="preserve">» </w:t>
      </w:r>
      <w:r>
        <w:rPr>
          <w:rStyle w:val="FootnoteAnchor"/>
          <w:rtl w:val="true"/>
        </w:rPr>
        <w:footnoteReference w:id="1676"/>
      </w:r>
      <w:r>
        <w:rPr>
          <w:rFonts w:ascii="IRNazanin" w:hAnsi="IRNazanin" w:eastAsia="IRNazanin"/>
          <w:color w:val="111111"/>
          <w:sz w:val="28"/>
          <w:sz w:val="28"/>
          <w:szCs w:val="28"/>
          <w:rtl w:val="true"/>
          <w:lang w:bidi="fa-IR"/>
        </w:rPr>
        <w:t xml:space="preserve">وکأنّ الوجه فی الاستدلال بهذا ما ذکره فی الجواب عن احتجاج أبی الصلاح حیث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بالوجوب </w:t>
      </w:r>
      <w:r>
        <w:rPr>
          <w:rStyle w:val="FootnoteAnchor"/>
          <w:rtl w:val="true"/>
        </w:rPr>
        <w:footnoteReference w:id="1677"/>
      </w:r>
      <w:r>
        <w:rPr>
          <w:rFonts w:ascii="IRNazanin" w:hAnsi="IRNazanin" w:eastAsia="IRNazanin"/>
          <w:color w:val="111111"/>
          <w:sz w:val="28"/>
          <w:sz w:val="28"/>
          <w:szCs w:val="28"/>
          <w:rtl w:val="true"/>
          <w:lang w:bidi="fa-IR"/>
        </w:rPr>
        <w:t xml:space="preserve">، وأنّه احتجّ به بأنّ الخبر کما یحتمل الوجوب یحتمل الاستحباب </w:t>
      </w:r>
      <w:r>
        <w:rPr>
          <w:rStyle w:val="FootnoteAnchor"/>
          <w:rtl w:val="true"/>
        </w:rPr>
        <w:footnoteReference w:id="1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وجه الاحتجاج به من العلاّمة عدم الصراحة فی الوجوب ، فلا یحکم به ، والاستحباب یتعیّن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ما فی الاستدلال کله من النظر ، أمّا الأخبار ما عدا خبر ابن أبی عمیر فلأنّ الجملة الخبریة فی أمثالها بمعنی الأمر ، وهو للوجوب عنده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الأمر علی الوجوب مسلّمة ، وکذا فیما یقوم مقام الأمر إذا علم ذلک ، والعلم هنا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لو تمّ انتفی کثیر من الاستدلال بغیر الأمر إنّ لم یدعی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خبر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منه الوجوب کما یستفاد من جوهرة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اتفق للمحقق فی المعتبر أنّه قال فی الخبر </w:t>
      </w:r>
      <w:r>
        <w:rPr>
          <w:rStyle w:val="FootnoteAnchor"/>
          <w:rtl w:val="true"/>
        </w:rPr>
        <w:footnoteReference w:id="1679"/>
      </w:r>
      <w:r>
        <w:rPr>
          <w:rFonts w:ascii="Amiri" w:hAnsi="Amiri" w:eastAsia="Amiri" w:cs="Amiri"/>
          <w:color w:val="111111"/>
          <w:sz w:val="28"/>
          <w:sz w:val="28"/>
          <w:szCs w:val="28"/>
          <w:rtl w:val="true"/>
          <w:lang w:bidi="ar-SA"/>
        </w:rPr>
        <w:t xml:space="preserve">نحو ما قاله العلاّمة </w:t>
      </w:r>
    </w:p>
    <w:p>
      <w:pPr>
        <w:pStyle w:val="BookText"/>
        <w:rPr/>
      </w:pPr>
      <w:r>
        <w:rPr>
          <w:rFonts w:ascii="IRNazanin" w:hAnsi="IRNazanin" w:eastAsia="IRNazanin"/>
          <w:color w:val="111111"/>
          <w:sz w:val="28"/>
          <w:sz w:val="28"/>
          <w:szCs w:val="28"/>
          <w:rtl w:val="true"/>
          <w:lang w:bidi="fa-IR"/>
        </w:rPr>
        <w:t>من احتماله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علیه شیخنا قدس سره بأنّه مناف لاستدلاله به علی وجوب الوضوء فی غسل الحیض ونحوه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ذکره المحقق فی توجیه الاستدلال بهذا الخبر فی الوضوء مع غسل الحیض ونحوه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یلزم من کون الوضوء فی الغسل أن یکون واجباً ، بل من الجائز أنّ یکون غسل الجنابة لا یجوز فعل الوضوء فیه ، وغیره یجوز ، ولا یلزم من الجواز الوجوب </w:t>
      </w:r>
      <w:r>
        <w:rPr>
          <w:rStyle w:val="FootnoteAnchor"/>
          <w:rtl w:val="true"/>
        </w:rPr>
        <w:footnoteReference w:id="1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تبعه علی هذا جدّی قدس سره فی شرح الإرشاد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 هذا مستغرب من المحقّق ؛ لأنّ احتمال الجواز فی مثل هذا لو أثّر انتفی الاستدلال بکثیر من الأخبار ، کما قدّمناه ؛ وکون الجواز أعم من الوجوب مسلّم علی تقدیر وقوع الجواز فی الخبر لاحتماله ؛ وغیر بعید أنّ یکون غرض المحقق بذکر الجواز الإشارة إلی أنّ غسل الجنابة لمّا لم یجز معه الوضوء علم أنّ المراد بالوضوء فی غیره الجواز ، فکأنّه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غسل فیه الوضوء جائز إلاّ </w:t>
      </w:r>
      <w:r>
        <w:rPr>
          <w:rStyle w:val="FootnoteAnchor"/>
          <w:rtl w:val="true"/>
        </w:rPr>
        <w:footnoteReference w:id="1683"/>
      </w:r>
      <w:r>
        <w:rPr>
          <w:rFonts w:ascii="IRNazanin" w:hAnsi="IRNazanin" w:eastAsia="IRNazanin"/>
          <w:color w:val="111111"/>
          <w:sz w:val="28"/>
          <w:sz w:val="28"/>
          <w:szCs w:val="28"/>
          <w:rtl w:val="true"/>
          <w:lang w:bidi="fa-IR"/>
        </w:rPr>
        <w:t>غسل الجنابة فلا یجوز</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دل علی الوضوء مع غسل الجنابة یمکن حمله علی الاستحباب کما ذهب إلیه الشیخ </w:t>
      </w:r>
      <w:r>
        <w:rPr>
          <w:rStyle w:val="FootnoteAnchor"/>
          <w:rtl w:val="true"/>
        </w:rPr>
        <w:footnoteReference w:id="1684"/>
      </w:r>
      <w:r>
        <w:rPr>
          <w:rFonts w:ascii="IRNazanin" w:hAnsi="IRNazanin" w:eastAsia="IRNazanin"/>
          <w:color w:val="111111"/>
          <w:sz w:val="28"/>
          <w:sz w:val="28"/>
          <w:szCs w:val="28"/>
          <w:rtl w:val="true"/>
          <w:lang w:bidi="fa-IR"/>
        </w:rPr>
        <w:t xml:space="preserve">فلا یتم مطلوب المحقق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دل علی الوضوء محمول علی التقیة بل هو صریح فیها ، ولا عبرة بقول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مقام الاستدلال غیر هذا ، </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ظاهرها وإنّ أفاد الوجوب إلاّ أنّ الأخبار المظنون انتفاء الوضوء منها یدل علی أنّ المراد من الخبر استحباب الوضوء ، لکن لا یخفی أنّ هذا یضرّ بحال الاستدلال بالخبر علی وجوب الوضوء فی الأغسال غیر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وقع فی کلام بعض من الاستدلال به علی أنّ غیر الجنابة من الأغسال یجب فیه الوضوء ، ثم فی بحث الأموات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یعنی خبر ابن أبی عمیر معارض بعدّة أخبار دلت علی عدم الوضوء فضلاً عن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تنافر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الاستدلال به فی وجوب الوضوء نظراً إلی ظاهر اللفظ ، وفی غسل المیت خصّصته </w:t>
      </w:r>
      <w:r>
        <w:rPr>
          <w:rStyle w:val="FootnoteAnchor"/>
          <w:rtl w:val="true"/>
        </w:rPr>
        <w:footnoteReference w:id="1685"/>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تخصیصه یقتضی عدم إرادة الوجوب منه إلاّ بتکلف یستغنی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أجیب به عن الخبر من أنّه مرسل لا یخلو من وجه ، کما أشرنا إلیه فی أول الکتاب ، وقد وجدت الآن للشیخ فی هذا الکتاب فی آخر باب العتق ردّ حدیث رواه ابن أبی عمیر عن بعض أصحابه بالإرسال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الاستدلال علی عدم الوضوء فی غسل الأموات بتشبیهه فی بعض الأخبار بالجنابة فقد أجاب عنه العلاّمة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المماثلة من کل وجه ، وإلاّ لزم الاتّحاد ونفی المماثلة ، وکل حکم یؤدّی ثبوته إلی نفیه یکون محالاً ، وإذا وجب حملها علی البعض لا یتمّ الاستدلال ، لأنّا نمنع </w:t>
      </w:r>
      <w:bookmarkStart w:id="1139" w:name="pg15025_160554"/>
    </w:p>
    <w:p>
      <w:pPr>
        <w:pStyle w:val="BookText"/>
        <w:rPr/>
      </w:pPr>
      <w:bookmarkEnd w:id="1139"/>
      <w:r>
        <w:rPr>
          <w:rFonts w:ascii="IRNazanin" w:hAnsi="IRNazanin" w:eastAsia="IRNazanin"/>
          <w:color w:val="111111"/>
          <w:sz w:val="28"/>
          <w:sz w:val="28"/>
          <w:szCs w:val="28"/>
          <w:rtl w:val="true"/>
          <w:lang w:bidi="fa-IR"/>
        </w:rPr>
        <w:t xml:space="preserve">من مماثلتها فی إسقاط الوضوء </w:t>
      </w:r>
      <w:r>
        <w:rPr>
          <w:rStyle w:val="FootnoteAnchor"/>
          <w:rtl w:val="true"/>
        </w:rPr>
        <w:footnoteReference w:id="1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ویتوجه علیه أنّه صرّح فی باب الجمعة من المختلف بتحریم الکلام علی من یسمع الخطبة ؛ للخبر الدال علی أنّ الخطبتین صلاة ، فقال بعد أنّ وجّه أنّ المراد کونهما مثل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یتم المماثلة لو عمت المساواة فی جمیع الأحکام إلاّ ما یعلم انتفاؤه عنه ؛ إذ لو اکتفی بالتساوی من بعض الوجوه لم یکن للتخصیص بالخطبتین فائدة ؛ لأن کل شی‌ء یشارک کل شی‌ء فی بعض الاعتبارات ولو فی صحة المعلومیة </w:t>
      </w:r>
      <w:r>
        <w:rPr>
          <w:rStyle w:val="FootnoteAnchor"/>
          <w:rtl w:val="true"/>
        </w:rPr>
        <w:footnoteReference w:id="1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خفی دلالة هذا الکلام علی ما یخالف قوله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فی الجواب ما ذکره بعض المحقّقین من أنّ المماثلة إضافیة ، فما لم یعلم جهة المماثلة لا یمکن الاستدلال علی العموم ولا الخصوص ، علی أنّه سیأتی إنشاء الله تمام الکلام فی الأخبار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هذا فاعلم أنّ ما تضمنه الخبر المبحوث عنه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یطرح فیه سبع ورقات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یعود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رأسه بالسدر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کلام من رأینا کلامه من الأصحاب حیث نقل القول بمقدار سبع ورقات فی ماء السدر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یراد کون السبع ورقات فی الماء القراح له ظهور من اللفظ کما فی الخبر الرابع ؛ ولعلّ جدّی قدس سره فهم ذلک کما نقلناه عنه سابقاً عند ذکر کلام القاموس </w:t>
      </w:r>
      <w:r>
        <w:rPr>
          <w:rStyle w:val="FootnoteAnchor"/>
          <w:rtl w:val="true"/>
        </w:rPr>
        <w:footnoteReference w:id="1689"/>
      </w:r>
      <w:r>
        <w:rPr>
          <w:rFonts w:ascii="IRNazanin" w:hAnsi="IRNazanin" w:eastAsia="IRNazanin"/>
          <w:color w:val="111111"/>
          <w:sz w:val="28"/>
          <w:sz w:val="28"/>
          <w:szCs w:val="28"/>
          <w:rtl w:val="true"/>
          <w:lang w:bidi="fa-IR"/>
        </w:rPr>
        <w:t>، لکن هذا غیر معهود فیما وجدته الآن من کلام الأصحاب</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0" w:name="__RefHeading___Toc147326_2142443653"/>
      <w:bookmarkStart w:id="1141" w:name="_Toc441"/>
      <w:bookmarkEnd w:id="1140"/>
      <w:r>
        <w:rPr>
          <w:rtl w:val="true"/>
        </w:rPr>
        <w:t xml:space="preserve">بیان حول قوله علیه السلام </w:t>
      </w:r>
      <w:r>
        <w:rPr>
          <w:rtl w:val="true"/>
        </w:rPr>
        <w:t xml:space="preserve">: « </w:t>
      </w:r>
      <w:r>
        <w:rPr>
          <w:rtl w:val="true"/>
        </w:rPr>
        <w:t xml:space="preserve">ویطرح فیه سبع ورقات </w:t>
      </w:r>
      <w:r>
        <w:rPr>
          <w:rtl w:val="true"/>
        </w:rPr>
        <w:t>... »</w:t>
      </w:r>
      <w:bookmarkStart w:id="1142" w:name="pg15025_160555"/>
      <w:bookmarkEnd w:id="1141"/>
    </w:p>
    <w:p>
      <w:pPr>
        <w:pStyle w:val="BookText"/>
        <w:rPr/>
      </w:pPr>
      <w:bookmarkEnd w:id="1142"/>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کالأول ، وقد أشرنا إلیه سابقاً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دلالة علی أنّ مسح البطن قبل الغسل ؛ وما تضمنه من وضع السدر فی ماء الوضوء ، </w:t>
      </w:r>
      <w:r>
        <w:rPr>
          <w:rStyle w:val="FootnoteAnchor"/>
          <w:rtl w:val="true"/>
        </w:rPr>
        <w:footnoteReference w:id="1691"/>
      </w:r>
      <w:r>
        <w:rPr>
          <w:rFonts w:ascii="IRNazanin" w:hAnsi="IRNazanin" w:eastAsia="IRNazanin"/>
          <w:color w:val="111111"/>
          <w:sz w:val="28"/>
          <w:sz w:val="28"/>
          <w:szCs w:val="28"/>
          <w:rtl w:val="true"/>
          <w:lang w:bidi="fa-IR"/>
        </w:rPr>
        <w:t>یستفاد منه الاستحباب لو صلح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اختلف متنه هنا وفی التهذیب ؛ أمّا هنا فدلالته علی العصر أوّلاً ثم الوضوء بالأُشنان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التهذیب أمرنی أبو عبد الله علیه السلام أنّ أعصر بطنه ثم أُوضّیه ، ثم أغسله بالأُشنان ، ثم أغسل رأسه </w:t>
      </w:r>
      <w:r>
        <w:rPr>
          <w:rStyle w:val="FootnoteAnchor"/>
          <w:rtl w:val="true"/>
        </w:rPr>
        <w:footnoteReference w:id="1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هنا یحتمل أنّ یراد بالوضوء التنظیف لا وضوء الصلاة ، لکن ما فی التهذیب له ظهور فی الوضوء الشرعی مع احتمالٍ ما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وأطرح فیه سبع ورقات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قدّمنا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تضمنه من الغسل بالقراح فی الأثناء ؛ مدلول بعض الأخبار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فیه لا یخلو من إجمال ؛ ولا یبعد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یأمرونک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أهل الخلاف ؛ إلاّ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کتاب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المرام ، إلاّ أنّ یراد دفعهم بعدم مخالفة الوصیة ، وهم أعلم بالحقائق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الأُشنان بالضم والکسر معروف </w:t>
      </w:r>
      <w:r>
        <w:rPr>
          <w:rStyle w:val="FootnoteAnchor"/>
          <w:rtl w:val="true"/>
        </w:rPr>
        <w:footnoteReference w:id="1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p>
    <w:p>
      <w:pPr>
        <w:pStyle w:val="Heading4"/>
        <w:numPr>
          <w:ilvl w:val="3"/>
          <w:numId w:val="1"/>
        </w:numPr>
        <w:rPr/>
      </w:pPr>
      <w:bookmarkStart w:id="1143" w:name="__RefHeading___Toc147328_2142443653"/>
      <w:bookmarkStart w:id="1144" w:name="_Toc442"/>
      <w:bookmarkEnd w:id="1143"/>
      <w:r>
        <w:rPr>
          <w:rtl w:val="true"/>
        </w:rPr>
        <w:t>بیان حول روایتی معاویة بن عمّار وأبی خیثمة</w:t>
      </w:r>
      <w:bookmarkEnd w:id="114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5" w:name="__RefHeading___Toc147330_2142443653"/>
      <w:bookmarkStart w:id="1146" w:name="_Toc443"/>
      <w:bookmarkEnd w:id="1145"/>
      <w:r>
        <w:rPr>
          <w:rtl w:val="true"/>
        </w:rPr>
        <w:t>معنی الاُشنان والکرسف</w:t>
      </w:r>
      <w:bookmarkEnd w:id="1146"/>
    </w:p>
    <w:p>
      <w:pPr>
        <w:pStyle w:val="BookText"/>
        <w:rPr/>
      </w:pPr>
      <w:r>
        <w:rPr>
          <w:rFonts w:ascii="IRNazanin" w:hAnsi="IRNazanin" w:eastAsia="IRNazanin"/>
          <w:color w:val="111111"/>
          <w:sz w:val="28"/>
          <w:sz w:val="28"/>
          <w:szCs w:val="28"/>
          <w:rtl w:val="true"/>
          <w:lang w:bidi="fa-IR"/>
        </w:rPr>
        <w:t xml:space="preserve">الکرسف کعصفر القطن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الحسین بن سعید ، عن یعقوب بن یقطین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العبد الصالح علیه السلام عن غُسل </w:t>
      </w:r>
      <w:r>
        <w:rPr>
          <w:rStyle w:val="FootnoteAnchor"/>
          <w:rtl w:val="true"/>
        </w:rPr>
        <w:footnoteReference w:id="1695"/>
      </w:r>
      <w:r>
        <w:rPr>
          <w:rFonts w:ascii="IRNazanin" w:hAnsi="IRNazanin" w:eastAsia="IRNazanin"/>
          <w:color w:val="111111"/>
          <w:sz w:val="28"/>
          <w:sz w:val="28"/>
          <w:szCs w:val="28"/>
          <w:rtl w:val="true"/>
          <w:lang w:bidi="fa-IR"/>
        </w:rPr>
        <w:t xml:space="preserve">المیت ، أفیه وضوء الصلاة أم لا؟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المیت تبدأ بمرافقه فیغسل </w:t>
      </w:r>
      <w:r>
        <w:rPr>
          <w:rStyle w:val="FootnoteAnchor"/>
          <w:rtl w:val="true"/>
        </w:rPr>
        <w:footnoteReference w:id="1696"/>
      </w:r>
      <w:r>
        <w:rPr>
          <w:rFonts w:ascii="IRNazanin" w:hAnsi="IRNazanin" w:eastAsia="IRNazanin"/>
          <w:color w:val="111111"/>
          <w:sz w:val="28"/>
          <w:sz w:val="28"/>
          <w:szCs w:val="28"/>
          <w:rtl w:val="true"/>
          <w:lang w:bidi="fa-IR"/>
        </w:rPr>
        <w:t xml:space="preserve">بالحُرض ، ثم یغسل </w:t>
      </w:r>
      <w:r>
        <w:rPr>
          <w:rStyle w:val="FootnoteAnchor"/>
          <w:rtl w:val="true"/>
        </w:rPr>
        <w:footnoteReference w:id="1697"/>
      </w:r>
      <w:r>
        <w:rPr>
          <w:rFonts w:ascii="IRNazanin" w:hAnsi="IRNazanin" w:eastAsia="IRNazanin"/>
          <w:color w:val="111111"/>
          <w:sz w:val="28"/>
          <w:sz w:val="28"/>
          <w:szCs w:val="28"/>
          <w:rtl w:val="true"/>
          <w:lang w:bidi="fa-IR"/>
        </w:rPr>
        <w:t xml:space="preserve">وجهه ورأسه بالسدر ثم یفاض علیه الماء ثلاث مرّات ، ولا یغسل إلاّ فی قمیص یدخل رجل یده ویصبّ الماء من فوقه ، ویجعل فی الماء شی‌ء من سدر وشی‌ء من کافور ، ولا یعصر بطنه إلاّ أنّ یخاف شیئاً قریباً فیمسح به رفیقاً من غیر أنّ یعصر ، ثم یغسل الذی غسّل یده قبل أنّ یکفنه إلی المنکبین ثلاث مرّات ، ثم إذا کفّنه اغتسل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ینافی الأخبار الأُولی ؛ لأنّ الذی تضمن الخبر بیان غسل المیت ولم یحتج إلی بیان شرح الوضوء ، لأنّ ذلک معلوم ، ولم یعدل عن شرحه لأنّه غیر واجب ، بل لما قدمناه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روی من الأخبار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غُسل المیت مثل غُسل الجنب سواء ، فإذا کان غُسل الجنب لیس فیه وضوء فکذلک غُسل المیت ، فیعارضها الأخبار التی رویت فی أنّ کل غُسل فیه الوضوء إلاّ الغُسل من الجنابة ، وإذا کان غُسل المیت غیر غُسل الجنابة یجب أنّ یثبت فیه </w:t>
      </w:r>
      <w:bookmarkStart w:id="1147" w:name="pg15025_160557"/>
    </w:p>
    <w:p>
      <w:pPr>
        <w:pStyle w:val="BookText"/>
        <w:rPr/>
      </w:pPr>
      <w:bookmarkEnd w:id="1147"/>
      <w:r>
        <w:rPr>
          <w:rFonts w:ascii="IRNazanin" w:hAnsi="IRNazanin" w:eastAsia="IRNazanin"/>
          <w:color w:val="111111"/>
          <w:sz w:val="28"/>
          <w:sz w:val="28"/>
          <w:szCs w:val="28"/>
          <w:rtl w:val="true"/>
          <w:lang w:bidi="fa-IR"/>
        </w:rPr>
        <w:t xml:space="preserve">الوضوء ؛ علی أنّ الوجه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المیت مثل الجنابة ، هو بیان کیفیة الغسل ومراعاة الترتیب فیه ؛ لأنّهما علی حدّ واحد وإنّ کان فی أحدهما وضوء ولیس فی الآخر وضوء ، کما أنّ غُسل الحیض مثل غُسل الجنابة وإنّ کان فیه وضوء علی ما بیّناه ، ولیس فی 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ما ذکرناه علی بن الحسین ، عن عبد الله بن جعفر ، عن إبراهیم بن مهزیار ، عن أخیه علی بن مهزیار ، عن فضالة بن أیوب ، عن القاسم بن برید </w:t>
      </w:r>
      <w:r>
        <w:rPr>
          <w:rStyle w:val="FootnoteAnchor"/>
          <w:rtl w:val="true"/>
        </w:rPr>
        <w:footnoteReference w:id="1698"/>
      </w:r>
      <w:r>
        <w:rPr>
          <w:rFonts w:ascii="IRNazanin" w:hAnsi="IRNazanin" w:eastAsia="IRNazanin"/>
          <w:color w:val="111111"/>
          <w:sz w:val="28"/>
          <w:sz w:val="28"/>
          <w:szCs w:val="28"/>
          <w:rtl w:val="true"/>
          <w:lang w:bidi="fa-IR"/>
        </w:rPr>
        <w:t xml:space="preserve">، عن 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المیت مثل غُسل الجنب ، وإنّ کان کثیر الشعر </w:t>
      </w:r>
      <w:r>
        <w:rPr>
          <w:rStyle w:val="FootnoteAnchor"/>
          <w:rtl w:val="true"/>
        </w:rPr>
        <w:footnoteReference w:id="1699"/>
      </w:r>
      <w:r>
        <w:rPr>
          <w:rFonts w:ascii="IRNazanin" w:hAnsi="IRNazanin" w:eastAsia="IRNazanin"/>
          <w:color w:val="111111"/>
          <w:sz w:val="28"/>
          <w:sz w:val="28"/>
          <w:szCs w:val="28"/>
          <w:rtl w:val="true"/>
          <w:lang w:bidi="fa-IR"/>
        </w:rPr>
        <w:t xml:space="preserve">فزد علیه </w:t>
      </w:r>
      <w:r>
        <w:rPr>
          <w:rStyle w:val="FootnoteAnchor"/>
          <w:rtl w:val="true"/>
        </w:rPr>
        <w:footnoteReference w:id="1700"/>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والذی یعارضه ما رواه محمد بن الحسن الصفار ، عن یعقوب بن یزید ، عن ابن أبی عمیر ، عن حمّاد بن عثمان ، أو غیره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 غُسل وضوء إلاّ غُسل </w:t>
      </w:r>
      <w:r>
        <w:rPr>
          <w:rStyle w:val="FootnoteAnchor"/>
          <w:rtl w:val="true"/>
        </w:rPr>
        <w:footnoteReference w:id="1701"/>
      </w:r>
      <w:r>
        <w:rPr>
          <w:rFonts w:ascii="Amiri" w:hAnsi="Amiri" w:eastAsia="Amiri" w:cs="Amiri"/>
          <w:color w:val="111111"/>
          <w:sz w:val="28"/>
          <w:sz w:val="28"/>
          <w:szCs w:val="28"/>
          <w:rtl w:val="true"/>
          <w:lang w:bidi="ar-SA"/>
        </w:rPr>
        <w:t xml:space="preserve">الجنابة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فی الجمع بینهما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الطریق إلی علی بن الحسین غیر مذکور فی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8" w:name="__RefHeading___Toc147332_2142443653"/>
      <w:bookmarkStart w:id="1149" w:name="_Toc444"/>
      <w:bookmarkEnd w:id="1148"/>
      <w:r>
        <w:rPr>
          <w:rtl w:val="true"/>
        </w:rPr>
        <w:t>کلمة حول طریق الشیخ إلی علی بن الحسین</w:t>
      </w:r>
      <w:bookmarkStart w:id="1150" w:name="pg15025_160558"/>
      <w:bookmarkEnd w:id="1149"/>
    </w:p>
    <w:p>
      <w:pPr>
        <w:pStyle w:val="BookText"/>
        <w:rPr/>
      </w:pPr>
      <w:bookmarkEnd w:id="1150"/>
      <w:r>
        <w:rPr>
          <w:rFonts w:ascii="IRNazanin" w:hAnsi="IRNazanin" w:eastAsia="IRNazanin"/>
          <w:color w:val="111111"/>
          <w:sz w:val="28"/>
          <w:sz w:val="28"/>
          <w:szCs w:val="28"/>
          <w:rtl w:val="true"/>
          <w:lang w:bidi="fa-IR"/>
        </w:rPr>
        <w:t xml:space="preserve">المشیخة ، إلاّ أنّ الشیخ فی الفهرست ذکر الطریق إلی جمیع کتبه وروایاته من غیر ارتیاب فیه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الله بن جعفر هو الحمیری الثقة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إبراهیم بن مهزیار ففی توثیقه کلام ، وأمّا ما قاله شیخنا أیّده الله فی 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یستفاد من تصحیح العلاّمة طریق الصدوق إلی بحر السقّاء توثیقه </w:t>
      </w:r>
      <w:r>
        <w:rPr>
          <w:rStyle w:val="FootnoteAnchor"/>
          <w:rtl w:val="true"/>
        </w:rPr>
        <w:footnoteReference w:id="1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الإرسال ، وقد قدّمنا القول فی مراسیل ابن أبی عمیر فی أول الکتاب مفصلاً </w:t>
      </w:r>
      <w:r>
        <w:rPr>
          <w:rStyle w:val="FootnoteAnchor"/>
          <w:rtl w:val="true"/>
        </w:rPr>
        <w:footnoteReference w:id="1704"/>
      </w:r>
      <w:r>
        <w:rPr>
          <w:rFonts w:ascii="IRNazanin" w:hAnsi="IRNazanin" w:eastAsia="IRNazanin"/>
          <w:color w:val="111111"/>
          <w:sz w:val="28"/>
          <w:sz w:val="28"/>
          <w:szCs w:val="28"/>
          <w:rtl w:val="true"/>
          <w:lang w:bidi="fa-IR"/>
        </w:rPr>
        <w:t xml:space="preserve">، وفی المبحث </w:t>
      </w:r>
      <w:r>
        <w:rPr>
          <w:rStyle w:val="FootnoteAnchor"/>
          <w:rtl w:val="true"/>
        </w:rPr>
        <w:footnoteReference w:id="1705"/>
      </w:r>
      <w:r>
        <w:rPr>
          <w:rFonts w:ascii="IRNazanin" w:hAnsi="IRNazanin" w:eastAsia="IRNazanin"/>
          <w:color w:val="111111"/>
          <w:sz w:val="28"/>
          <w:sz w:val="28"/>
          <w:szCs w:val="28"/>
          <w:rtl w:val="true"/>
          <w:lang w:bidi="fa-IR"/>
        </w:rPr>
        <w:t xml:space="preserve">السابق مجملاً ، والمقصود بإعادته فیما قرب دفع ما یظن أنّ مراسیل ابن أبی عمیر متّفق علی قبولها ، والحال أنّ الشیخ قد سمعت ما نقلناه عنه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فیه لا یخلو من إجمال ؛ إذ الظاهر منه أنّ مورد الخبر بیان الغُسل لا الوضوء ، والحال أنّ السائل سأل عن الوضوء فکیف یکون الجواب خالیاً عنه لو کان واجباً إنّ کان السؤال عن الوجوب والندب؟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السؤال عن غیرهما لکان الخلوّ عن جواب السائل لا بدّ له من 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یحتج إلی بیان شرح الوضوء ؛ لأنّ ذلک معلوم</w:t>
      </w:r>
      <w:r>
        <w:rPr>
          <w:rFonts w:eastAsia="IRNazanin" w:cs="IRNazanin"/>
          <w:color w:val="111111"/>
          <w:sz w:val="28"/>
          <w:szCs w:val="28"/>
          <w:rtl w:val="true"/>
          <w:lang w:bidi="fa-IR"/>
        </w:rPr>
        <w:t>.</w:t>
      </w:r>
    </w:p>
    <w:p>
      <w:pPr>
        <w:pStyle w:val="Heading4"/>
        <w:numPr>
          <w:ilvl w:val="3"/>
          <w:numId w:val="1"/>
        </w:numPr>
        <w:rPr/>
      </w:pPr>
      <w:bookmarkStart w:id="1151" w:name="__RefHeading___Toc147334_2142443653"/>
      <w:bookmarkStart w:id="1152" w:name="_Toc445"/>
      <w:bookmarkEnd w:id="1151"/>
      <w:r>
        <w:rPr>
          <w:rtl w:val="true"/>
        </w:rPr>
        <w:t>إشارة إلی جلالة عبدالله بن جعفر الحمیری</w:t>
      </w:r>
      <w:bookmarkEnd w:id="1152"/>
    </w:p>
    <w:p>
      <w:pPr>
        <w:pStyle w:val="Heading4"/>
        <w:numPr>
          <w:ilvl w:val="3"/>
          <w:numId w:val="1"/>
        </w:numPr>
        <w:rPr/>
      </w:pPr>
      <w:bookmarkStart w:id="1153" w:name="__RefHeading___Toc147336_2142443653"/>
      <w:bookmarkStart w:id="1154" w:name="_Toc446"/>
      <w:bookmarkEnd w:id="1153"/>
      <w:r>
        <w:rPr>
          <w:rtl w:val="true"/>
        </w:rPr>
        <w:t>بحث حول إبراهیم بن مهزیار</w:t>
      </w:r>
      <w:bookmarkEnd w:id="1154"/>
    </w:p>
    <w:p>
      <w:pPr>
        <w:pStyle w:val="Heading4"/>
        <w:numPr>
          <w:ilvl w:val="3"/>
          <w:numId w:val="1"/>
        </w:numPr>
        <w:rPr/>
      </w:pPr>
      <w:bookmarkStart w:id="1155" w:name="__RefHeading___Toc147338_2142443653"/>
      <w:bookmarkStart w:id="1156" w:name="_Toc447"/>
      <w:bookmarkEnd w:id="1155"/>
      <w:r>
        <w:rPr>
          <w:rtl w:val="true"/>
        </w:rPr>
        <w:t>کلمة حول مراسیل ابن أبی عمیر</w:t>
      </w:r>
      <w:bookmarkEnd w:id="115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7" w:name="__RefHeading___Toc147340_2142443653"/>
      <w:bookmarkStart w:id="1158" w:name="_Toc448"/>
      <w:bookmarkEnd w:id="1157"/>
      <w:r>
        <w:rPr>
          <w:rtl w:val="true"/>
        </w:rPr>
        <w:t>بیان روایة یعقوب بن یقطین والمناقشة فی توجیه لها</w:t>
      </w:r>
      <w:bookmarkEnd w:id="1158"/>
    </w:p>
    <w:p>
      <w:pPr>
        <w:pStyle w:val="BookText"/>
        <w:rPr/>
      </w:pPr>
      <w:r>
        <w:rPr>
          <w:rFonts w:ascii="IRNazanin" w:hAnsi="IRNazanin" w:eastAsia="IRNazanin"/>
          <w:color w:val="111111"/>
          <w:sz w:val="28"/>
          <w:sz w:val="28"/>
          <w:szCs w:val="28"/>
          <w:rtl w:val="true"/>
          <w:lang w:bidi="fa-IR"/>
        </w:rPr>
        <w:t>غریب ؛ لأنّ السؤال عنه ، فکیف یکون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یعدل عنه لأنّه غیر واجب ، بل لما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بما قدّمه هو کونه معلوماً لزم ما ذکرناه ، وإنّ أراد لکونه مذکوراً فی الأخبار الأُخر فالسائل لا یُعلم علمه بالأخبار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نظری القاصر أنّه لا یبعد أنّ یکون السؤال عن دخول الوضوء فی غُسل المیت علی أنّ یکون جزءاً منه ، لا عن وجوبه واستحبابه ، والجواب حینئذٍ یطابق السؤال ، علی معنی أنّه وافٍ به ؛ لأنّه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المیت تبدأ بمرافقه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الوضوء جزءاً ، بل الغُسل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الخبر احتمالاً وهو أنّ یکون المبدوّ به الوضوء ، وهو غَسل المرافق ، وإطلاق الوضوء علی هذا مستعمل ، إلاّ أنّ ما فی الأخبار من وضوء الصلاة یأبی هذا إلاّ بتکلّف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قاله شیخنا قدس سره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الروایة صحیحة السند وهی کالصریحة فی عدم وجوب الوضوء ؛ لأن السؤال فیها عن غُسل المیت أفیه وضوء أم لا؟ فأجاب علیه السلام بذکر کیفیّة الغُسل وما یستحب فعله قبل الشروع ، إلی أنّ ذکر التکفین ، فلا یکون واجباً ، وإلاّ لوجب ذکره فی جواب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 بحث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قلناه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یستحب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أنّ الوضوء لا یستحب أیضاً ؛ لأنّ ما ذکره علیه السلام من المستحبات </w:t>
      </w:r>
      <w:r>
        <w:rPr>
          <w:rStyle w:val="FootnoteAnchor"/>
          <w:rtl w:val="true"/>
        </w:rPr>
        <w:footnoteReference w:id="1707"/>
      </w:r>
      <w:r>
        <w:rPr>
          <w:rFonts w:ascii="IRNazanin" w:hAnsi="IRNazanin" w:eastAsia="IRNazanin"/>
          <w:color w:val="111111"/>
          <w:sz w:val="28"/>
          <w:sz w:val="28"/>
          <w:szCs w:val="28"/>
          <w:rtl w:val="true"/>
          <w:lang w:bidi="fa-IR"/>
        </w:rPr>
        <w:t xml:space="preserve">قبل الشروع ینبغی أنّ </w:t>
      </w:r>
    </w:p>
    <w:p>
      <w:pPr>
        <w:pStyle w:val="BookText"/>
        <w:rPr/>
      </w:pPr>
      <w:r>
        <w:rPr>
          <w:rFonts w:ascii="IRNazanin" w:hAnsi="IRNazanin" w:eastAsia="IRNazanin"/>
          <w:color w:val="111111"/>
          <w:sz w:val="28"/>
          <w:sz w:val="28"/>
          <w:szCs w:val="28"/>
          <w:rtl w:val="true"/>
          <w:lang w:bidi="fa-IR"/>
        </w:rPr>
        <w:t>ینفی الوضوء استحباباً ، کما أنّ عدم ذکر الوضوء فی الواجبات ینفیه وجوباً ، والحال أنّه قدس سره قائل بالاستحباب فما هو الجواب فهو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فالذی یقتضیه ظاهر الحدیث هو غَسل الوجه والرأس بالسدر ، ثم یفاض علیه الماء ثلاث مرّات ، ولم یذکر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یستفاد من خبر معاویة بن عمّار السابق أنّ إفاضة الماء ثلاث مرّات علی السدر ، ثم غسله بالماء القراح ، ثم ماء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فی الخبر المبحوث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ویجعل فی الماء شی‌ء من سدر وشی‌ء من 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به الغسلة الثانیة فالسدر غیر معروف کونه موضوعاً مع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یعصر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الظاهر یعود إلی الغسلة الثانیة إن جعلنا الماء الذی فیه السدر والکافور هو ماء الثانیة ، والحال أنّ الشیخ جعل العصر فی الغسلتین ، وإنّ جعلنا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لجمیع </w:t>
      </w:r>
      <w:r>
        <w:rPr>
          <w:rStyle w:val="FootnoteAnchor"/>
          <w:rtl w:val="true"/>
        </w:rPr>
        <w:footnoteReference w:id="1708"/>
      </w:r>
      <w:r>
        <w:rPr>
          <w:rFonts w:ascii="IRNazanin" w:hAnsi="IRNazanin" w:eastAsia="IRNazanin"/>
          <w:color w:val="111111"/>
          <w:sz w:val="28"/>
          <w:sz w:val="28"/>
          <w:szCs w:val="28"/>
          <w:rtl w:val="true"/>
          <w:lang w:bidi="fa-IR"/>
        </w:rPr>
        <w:t>الحالات فالإشکال واضح ، علی أنّ ظاهر الخبر أنّ مع الخوف لا یُعصر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لا یخلو من إجمال ، لکن غیره ممّا دلّ علی التفصیل موجود ، فأیّ حاجة إلی ما ذکرت؟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یقتضیه التأمّل فی أخبار التغسیل أنّها لا تخلو من إجمال ، ألا تری إلی ما رواه ابن مسکان ممّا هو معدود فی الصحیح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غسل المیت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اغسله بماء وسدر ، ثم اغسله علی أثر ذلک غسلة اخری بماء وکافور وذریرة إنّ کانت واغسله </w:t>
      </w:r>
      <w:bookmarkStart w:id="1159" w:name="pg15025_160561"/>
    </w:p>
    <w:p>
      <w:pPr>
        <w:pStyle w:val="BookText"/>
        <w:rPr/>
      </w:pPr>
      <w:bookmarkEnd w:id="1159"/>
      <w:r>
        <w:rPr>
          <w:rFonts w:ascii="Amiri" w:hAnsi="Amiri" w:eastAsia="Amiri" w:cs="Amiri"/>
          <w:color w:val="111111"/>
          <w:sz w:val="28"/>
          <w:sz w:val="28"/>
          <w:szCs w:val="28"/>
          <w:rtl w:val="true"/>
          <w:lang w:bidi="ar-SA"/>
        </w:rPr>
        <w:t xml:space="preserve">ثالثاً </w:t>
      </w:r>
      <w:r>
        <w:rPr>
          <w:rStyle w:val="FootnoteAnchor"/>
          <w:rtl w:val="true"/>
        </w:rPr>
        <w:footnoteReference w:id="1709"/>
      </w:r>
      <w:r>
        <w:rPr>
          <w:rFonts w:ascii="IRNazanin" w:hAnsi="IRNazanin" w:eastAsia="IRNazanin"/>
          <w:color w:val="111111"/>
          <w:sz w:val="28"/>
          <w:sz w:val="28"/>
          <w:szCs w:val="28"/>
          <w:rtl w:val="true"/>
          <w:lang w:bidi="fa-IR"/>
        </w:rPr>
        <w:t xml:space="preserve">بالقراح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أغسله ثلاث غسلات لجسده کلّه؟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71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خفیّ أنّ ظاهره وجوب الذریرة </w:t>
      </w:r>
      <w:r>
        <w:rPr>
          <w:rStyle w:val="FootnoteAnchor"/>
          <w:rtl w:val="true"/>
        </w:rPr>
        <w:footnoteReference w:id="1711"/>
      </w:r>
      <w:r>
        <w:rPr>
          <w:rFonts w:ascii="IRNazanin" w:hAnsi="IRNazanin" w:eastAsia="IRNazanin"/>
          <w:color w:val="111111"/>
          <w:sz w:val="28"/>
          <w:sz w:val="28"/>
          <w:szCs w:val="28"/>
          <w:rtl w:val="true"/>
          <w:lang w:bidi="fa-IR"/>
        </w:rPr>
        <w:t xml:space="preserve">ولا قائل به فیما أظن </w:t>
      </w:r>
      <w:r>
        <w:rPr>
          <w:rStyle w:val="FootnoteAnchor"/>
          <w:rtl w:val="true"/>
        </w:rPr>
        <w:footnoteReference w:id="1712"/>
      </w:r>
      <w:r>
        <w:rPr>
          <w:rFonts w:ascii="IRNazanin" w:hAnsi="IRNazanin" w:eastAsia="IRNazanin"/>
          <w:color w:val="111111"/>
          <w:sz w:val="28"/>
          <w:sz w:val="28"/>
          <w:szCs w:val="28"/>
          <w:rtl w:val="true"/>
          <w:lang w:bidi="fa-IR"/>
        </w:rPr>
        <w:t>، ولا أقلّ من الاستحباب ، ولم یذکره أیضاً من رأینا کلامه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هو مشهور بین المتأخّرین من الترتیب بین الأعضاء فی کلّ غَسلة لا تخلو استفادته من الروایات من خفاء ، نعم فی الروایة الآتیة من أنّه کغُسل الجنابة احتمال الاستفادة ، وإنّ کان فیها نوع إجمال ؛ لأن التشبیه یحتمل أنّ یکون لمجموع الغُسل ، ویحتمل للقراح ، ویحتمل التشبیه باعتبار الماء ، کما یستفاد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کثیر الشعر فزد علیه 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حسنة الحلبی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غُسل المیت فاجعل بینک وبینه ثوباً یستر عورته إمّا قمیصاً أو غیره ، ثم تبدأ بکفّیه وتغسل رأسه ثلاث مرّات بالسدر ، ثم سائر جسده ، وابدأ بشقّه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فرغت من غَسله بالسدر فاغسله مرّة أُخری بماء وکافور وشی‌ء من حنوطه ، ثم اغسله بماء بحت </w:t>
      </w:r>
      <w:r>
        <w:rPr>
          <w:rStyle w:val="FootnoteAnchor"/>
          <w:rtl w:val="true"/>
        </w:rPr>
        <w:footnoteReference w:id="1713"/>
      </w:r>
      <w:r>
        <w:rPr>
          <w:rFonts w:ascii="Amiri" w:hAnsi="Amiri" w:eastAsia="Amiri" w:cs="Amiri"/>
          <w:color w:val="111111"/>
          <w:sz w:val="28"/>
          <w:sz w:val="28"/>
          <w:szCs w:val="28"/>
          <w:rtl w:val="true"/>
          <w:lang w:bidi="ar-SA"/>
        </w:rPr>
        <w:t xml:space="preserve">غسله أُخری </w:t>
      </w:r>
      <w:r>
        <w:rPr>
          <w:rFonts w:eastAsia="Amiri" w:cs="Amiri" w:ascii="Amiri" w:hAnsi="Amiri"/>
          <w:color w:val="111111"/>
          <w:sz w:val="28"/>
          <w:szCs w:val="28"/>
          <w:rtl w:val="true"/>
          <w:lang w:bidi="ar-SA"/>
        </w:rPr>
        <w:t xml:space="preserve">»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کما تری وإنّ کان </w:t>
      </w:r>
      <w:r>
        <w:rPr>
          <w:rStyle w:val="FootnoteAnchor"/>
          <w:rtl w:val="true"/>
        </w:rPr>
        <w:footnoteReference w:id="1715"/>
      </w:r>
      <w:r>
        <w:rPr>
          <w:rFonts w:ascii="IRNazanin" w:hAnsi="IRNazanin" w:eastAsia="IRNazanin"/>
          <w:color w:val="111111"/>
          <w:sz w:val="28"/>
          <w:sz w:val="28"/>
          <w:szCs w:val="28"/>
          <w:rtl w:val="true"/>
          <w:lang w:bidi="fa-IR"/>
        </w:rPr>
        <w:t>فیها نوع من الترتیب ، إلاّ أنّها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0" w:name="__RefHeading___Toc147342_2142443653"/>
      <w:bookmarkStart w:id="1161" w:name="_Toc449"/>
      <w:bookmarkEnd w:id="1160"/>
      <w:r>
        <w:rPr>
          <w:rtl w:val="true"/>
        </w:rPr>
        <w:t>الترتیب بین الأعضاء فی غسل المیت</w:t>
      </w:r>
      <w:bookmarkEnd w:id="1161"/>
    </w:p>
    <w:p>
      <w:pPr>
        <w:pStyle w:val="BookText"/>
        <w:rPr/>
      </w:pPr>
      <w:r>
        <w:rPr>
          <w:rFonts w:ascii="IRNazanin" w:hAnsi="IRNazanin" w:eastAsia="IRNazanin"/>
          <w:color w:val="111111"/>
          <w:sz w:val="28"/>
          <w:sz w:val="28"/>
          <w:szCs w:val="28"/>
          <w:rtl w:val="true"/>
          <w:lang w:bidi="fa-IR"/>
        </w:rPr>
        <w:t xml:space="preserve">لا تخرج عن حیّز الإجمال ؛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 رأسه ثلاث مرّات بالسدر ثم سائر جسده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أنّ الترتیب بین الرأس والبدن فقط ، لا بین الأیمن من الجانبین والأیسر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وابدأ بالشقّ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أنّ یکون فی البدن فیفید الترتیب فی الجانبین یحتمل أنّ یراد فی الرأس ، لأنّ البدأة فی الغسل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الشمول فالدلالة علی ترتیب جمیع الجانب غیر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قلنا إنّه </w:t>
      </w:r>
      <w:r>
        <w:rPr>
          <w:rStyle w:val="FootnoteAnchor"/>
          <w:rtl w:val="true"/>
        </w:rPr>
        <w:footnoteReference w:id="1716"/>
      </w:r>
      <w:r>
        <w:rPr>
          <w:rFonts w:ascii="IRNazanin" w:hAnsi="IRNazanin" w:eastAsia="IRNazanin"/>
          <w:color w:val="111111"/>
          <w:sz w:val="28"/>
          <w:sz w:val="28"/>
          <w:szCs w:val="28"/>
          <w:rtl w:val="true"/>
          <w:lang w:bidi="fa-IR"/>
        </w:rPr>
        <w:t xml:space="preserve">کغُسل الجنابة فی تقدیم الرأس علی الجسد کما هو مدلول الأخبار فی الجنابة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قد ادّعاه الشیخ علی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المقرّر عند المتأخرین </w:t>
      </w:r>
      <w:r>
        <w:rPr>
          <w:rFonts w:eastAsia="IRNazanin" w:cs="IRNazanin"/>
          <w:color w:val="111111"/>
          <w:sz w:val="28"/>
          <w:szCs w:val="28"/>
          <w:rtl w:val="true"/>
          <w:lang w:bidi="fa-IR"/>
        </w:rPr>
        <w:t xml:space="preserve">) </w:t>
      </w:r>
      <w:r>
        <w:rPr>
          <w:rStyle w:val="FootnoteAnchor"/>
          <w:rtl w:val="true"/>
        </w:rPr>
        <w:footnoteReference w:id="1717"/>
      </w:r>
      <w:r>
        <w:rPr>
          <w:rFonts w:ascii="IRNazanin" w:hAnsi="IRNazanin" w:eastAsia="IRNazanin"/>
          <w:color w:val="111111"/>
          <w:sz w:val="28"/>
          <w:sz w:val="28"/>
          <w:szCs w:val="28"/>
          <w:rtl w:val="true"/>
          <w:lang w:bidi="fa-IR"/>
        </w:rPr>
        <w:t xml:space="preserve">فی الجنابة ، والظاهر منه وممّن تابعه مشارکة غُسل المیت له علی الإطلاق ، ولا یبعد استفادة الترتیب فی الجانبین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وابدأ بالشقّ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بنوع من التوجیه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العجب من شیخنا قدس سره أنّه عند قول المحقّق فی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یغسل بالسدر یبدأ برأسه ثم بجانبه الأیمن ثم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الأصحاب خلا سلاّر أنّه یجب تغسیل المیت ثلاث غسلات بماء السدر ثم بالکافور </w:t>
      </w:r>
      <w:r>
        <w:rPr>
          <w:rStyle w:val="FootnoteAnchor"/>
          <w:rtl w:val="true"/>
        </w:rPr>
        <w:footnoteReference w:id="1718"/>
      </w:r>
      <w:r>
        <w:rPr>
          <w:rFonts w:ascii="IRNazanin" w:hAnsi="IRNazanin" w:eastAsia="IRNazanin"/>
          <w:color w:val="111111"/>
          <w:sz w:val="28"/>
          <w:sz w:val="28"/>
          <w:szCs w:val="28"/>
          <w:rtl w:val="true"/>
          <w:lang w:bidi="fa-IR"/>
        </w:rPr>
        <w:t xml:space="preserve">ثم بالماء القراح ، وحجّتهم الأخبار المستفیضة عن أئمة الهدی صلوات الله علیهم ، ثم ذکر حسنة الحلبی وصحیح ابن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والأظهر وجوب الترتیب فی الغسلات وبینها ، وقول ابن حمزة باستحباب الترتیب بینها ضعیف </w:t>
      </w:r>
      <w:r>
        <w:rPr>
          <w:rStyle w:val="FootnoteAnchor"/>
          <w:rtl w:val="true"/>
        </w:rPr>
        <w:footnoteReference w:id="1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162" w:name="pg15025_160563"/>
    </w:p>
    <w:p>
      <w:pPr>
        <w:pStyle w:val="BookText"/>
        <w:rPr/>
      </w:pPr>
      <w:bookmarkEnd w:id="1162"/>
      <w:r>
        <w:rPr>
          <w:rFonts w:ascii="IRNazanin" w:hAnsi="IRNazanin" w:eastAsia="IRNazanin"/>
          <w:color w:val="111111"/>
          <w:sz w:val="28"/>
          <w:sz w:val="28"/>
          <w:szCs w:val="28"/>
          <w:rtl w:val="true"/>
          <w:lang w:bidi="fa-IR"/>
        </w:rPr>
        <w:t xml:space="preserve">ووجه التعجّب یظهر ممّا قرّرناه فی الخبرین ، وما نقله عن ابن حمزة قد حکی فی المختلف أنّ کلامه یشعر بأنّ الترتیب بین هذه الأغسال غیر واجب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العلاّمة استدل بالأحادیث علی الترتیب ، وذکر منها حسنة الحلبی </w:t>
      </w:r>
      <w:r>
        <w:rPr>
          <w:rStyle w:val="FootnoteAnchor"/>
          <w:rtl w:val="true"/>
        </w:rPr>
        <w:footnoteReference w:id="1721"/>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لا خروج عنه ، إلاّ أنّ الکلام فی إجمال الأخبار مع عدم الالتفات إلی البیان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رحمه الله فی الخبر المتضمّن لأنّ غُسل المیت مثل غُسل الجنب فقد تکلّمنا فیه سابقاً </w:t>
      </w:r>
      <w:r>
        <w:rPr>
          <w:rStyle w:val="FootnoteAnchor"/>
          <w:rtl w:val="true"/>
        </w:rPr>
        <w:footnoteReference w:id="1722"/>
      </w:r>
      <w:r>
        <w:rPr>
          <w:rFonts w:ascii="Amiri" w:hAnsi="Amiri" w:eastAsia="Amiri" w:cs="Amiri"/>
          <w:color w:val="111111"/>
          <w:sz w:val="28"/>
          <w:sz w:val="28"/>
          <w:szCs w:val="28"/>
          <w:rtl w:val="true"/>
          <w:lang w:bidi="ar-SA"/>
        </w:rPr>
        <w:t>حیث إنّ العلاّمة تعرّض للکلام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ونقول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معارضة ما دلّ علی أنّ کل غُسل فیه الوضوء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المغایرة وإنّ حصلت ، إلاّ أنّ التخصیص غیر ممنوع منه ، وحینئذ یجوز أنّ یکون کل غُسل من أغسال المکلّفین بقرینة ذکر غُسل الجنابة ، ولو سلّم التناول لغیر ما ذکر ظاهراً ، فإذا دلّ الدلیل علی عدم الوضوء فی غُسل المیت فأیّ مانع منه؟ ولو سلّم عدم الدلیل علی نفی الوضوء لکن وجوبه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دلیل الوجوب من ظاهر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غُسل فیه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الجملة الخبریة تفید ذلک إذا کانت بمعنی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کونها بمعنی الأمر موقوف علی العلم بأنّ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3" w:name="__RefHeading___Toc147344_2142443653"/>
      <w:bookmarkStart w:id="1164" w:name="_Toc450"/>
      <w:bookmarkEnd w:id="1163"/>
      <w:r>
        <w:rPr>
          <w:rtl w:val="true"/>
        </w:rPr>
        <w:t>لادلیل علی وجوب وضوء المیت قبل غسله</w:t>
      </w:r>
      <w:bookmarkEnd w:id="1164"/>
    </w:p>
    <w:p>
      <w:pPr>
        <w:pStyle w:val="BookText"/>
        <w:rPr/>
      </w:pPr>
      <w:r>
        <w:rPr>
          <w:rFonts w:ascii="IRNazanin" w:hAnsi="IRNazanin" w:eastAsia="IRNazanin"/>
          <w:color w:val="111111"/>
          <w:sz w:val="28"/>
          <w:sz w:val="28"/>
          <w:szCs w:val="28"/>
          <w:rtl w:val="true"/>
          <w:lang w:bidi="fa-IR"/>
        </w:rPr>
        <w:t xml:space="preserve">الإمام علیه السلام عدل عن الأمر إلی الخبر لبیان أن </w:t>
      </w:r>
      <w:r>
        <w:rPr>
          <w:rStyle w:val="FootnoteAnchor"/>
          <w:rtl w:val="true"/>
        </w:rPr>
        <w:footnoteReference w:id="1723"/>
      </w:r>
      <w:r>
        <w:rPr>
          <w:rFonts w:ascii="IRNazanin" w:hAnsi="IRNazanin" w:eastAsia="IRNazanin"/>
          <w:color w:val="111111"/>
          <w:sz w:val="28"/>
          <w:sz w:val="28"/>
          <w:szCs w:val="28"/>
          <w:rtl w:val="true"/>
          <w:lang w:bidi="fa-IR"/>
        </w:rPr>
        <w:t>الطلب علی الوجه الأبلغ کما هو مقرّر فی فنّ البلاغة ، والعلم بهذا عزیز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مثلهم علیهم السلام لا یعدلون فی الخطاب إلی الجملة الخبریة إلاّ 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أمکن الجواب بأنه یجوز أنّ یکون العدول لدفع إرادة توهّم الوجوب من الأمر ، حیث إنّه حقیقة فیه أو مشترک بینه وبین الندب ، فالعدول قرینة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لم نذکره سابقاً فی توجیه کلام المحقق ، وإنّما أخّرنا إلی هنا لبیان مرام الشیخ ، حیث إنّه یقول باستحباب الوضوء فی غُسل الجنابة ، فاللازم علیه أنّ یحمل الخبر </w:t>
      </w:r>
      <w:r>
        <w:rPr>
          <w:rStyle w:val="FootnoteAnchor"/>
          <w:rtl w:val="true"/>
        </w:rPr>
        <w:footnoteReference w:id="1724"/>
      </w:r>
      <w:r>
        <w:rPr>
          <w:rFonts w:ascii="IRNazanin" w:hAnsi="IRNazanin" w:eastAsia="IRNazanin"/>
          <w:color w:val="111111"/>
          <w:sz w:val="28"/>
          <w:sz w:val="28"/>
          <w:szCs w:val="28"/>
          <w:rtl w:val="true"/>
          <w:lang w:bidi="fa-IR"/>
        </w:rPr>
        <w:t>علی أنّ کل غُسل فیه الوضوء واجب إلاّ غُسل الجنابة فلیس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أنّ الاستثناء یتحقّق إذا کان الوضوء مستحباً فی غُسل الجنابة ، فلا 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بالمماثلة بیان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واضح الدلیل ، بل الظاهر من الخبر خلافه کما قدّمناه </w:t>
      </w:r>
      <w:r>
        <w:rPr>
          <w:rStyle w:val="FootnoteAnchor"/>
          <w:rtl w:val="true"/>
        </w:rPr>
        <w:footnoteReference w:id="1725"/>
      </w:r>
      <w:r>
        <w:rPr>
          <w:rFonts w:ascii="IRNazanin" w:hAnsi="IRNazanin" w:eastAsia="IRNazanin"/>
          <w:color w:val="111111"/>
          <w:sz w:val="28"/>
          <w:sz w:val="28"/>
          <w:szCs w:val="28"/>
          <w:rtl w:val="true"/>
          <w:lang w:bidi="fa-IR"/>
        </w:rPr>
        <w:t>، ولو قلنا بعدم الظهور فالمماثلة فی حیّز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المماثلة فی نفس الغُسل ، والوضوء خارج</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الغُسل یتحقق المماثلة فیه من غیر جهة الترتیب</w:t>
      </w:r>
      <w:r>
        <w:rPr>
          <w:rFonts w:eastAsia="IRNazanin" w:cs="IRNazanin"/>
          <w:color w:val="111111"/>
          <w:sz w:val="28"/>
          <w:szCs w:val="28"/>
          <w:rtl w:val="true"/>
          <w:lang w:bidi="fa-IR"/>
        </w:rPr>
        <w:t xml:space="preserve">. </w:t>
      </w:r>
      <w:bookmarkStart w:id="1165" w:name="pg15025_160565"/>
    </w:p>
    <w:p>
      <w:pPr>
        <w:pStyle w:val="BookText"/>
        <w:rPr/>
      </w:pPr>
      <w:bookmarkEnd w:id="1165"/>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الدالة علی عدم مقدار معیّن للماء فی الأموات تدلّ علی نفی المماثلة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المماثلة فی کون الماء مطلقاً ، أو فی کونه مفتقراً إلی النیة ، أو إلی إزالة النجاسة أوّلاً عن بدنه من النجاسات الخبثیّة ، وإذا قام الاحتمال کفی فی إبطال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الشیخ فی غُسل الحیض مسلّم ، إلاّ أنّه لا یدل علی الحصر فی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تمهّد هذا فالخبر الدال علی المماثلة ربما استفید منه الاکتفاء بالارتماس فی غُسل المیت ، وعلیه جماعة من المتأخّرین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شیخنا قدس سره بضعف السند ، والخروج به عن الأخبار المستفیضة الواردة فی کیفیّة الغُسل مشکل </w:t>
      </w:r>
      <w:r>
        <w:rPr>
          <w:rStyle w:val="FootnoteAnchor"/>
          <w:rtl w:val="true"/>
        </w:rPr>
        <w:footnoteReference w:id="1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بعد ما قرّرناه من الإجمال قوة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المدارک قال قدس سره فی غُسل الحیض عند قول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وکیفیّته مثل 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مذهب العلماء کافّة ، ویدلُّ علیه مضافاً إلی الإطلاقات خصوص موثّقة الحلبی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الجنابة والحیض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هذا الخبر لا یخلو من إجمال ؛ إذ من الجائز أنّ یراد التداخل لو اجتمعا ، ویجوز إرادة المماثلة فی الکیفیّة الترتیبیّة ، أمّا الشمول</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6" w:name="__RefHeading___Toc147346_2142443653"/>
      <w:bookmarkStart w:id="1167" w:name="_Toc451"/>
      <w:bookmarkEnd w:id="1166"/>
      <w:r>
        <w:rPr>
          <w:rtl w:val="true"/>
        </w:rPr>
        <w:t>الارتماس فی غسل المیت</w:t>
      </w:r>
      <w:bookmarkStart w:id="1168" w:name="pg15025_160566"/>
      <w:bookmarkEnd w:id="1167"/>
    </w:p>
    <w:p>
      <w:pPr>
        <w:pStyle w:val="BookText"/>
        <w:rPr/>
      </w:pPr>
      <w:bookmarkEnd w:id="1168"/>
      <w:r>
        <w:rPr>
          <w:rFonts w:ascii="IRNazanin" w:hAnsi="IRNazanin" w:eastAsia="IRNazanin"/>
          <w:color w:val="111111"/>
          <w:sz w:val="28"/>
          <w:sz w:val="28"/>
          <w:szCs w:val="28"/>
          <w:rtl w:val="true"/>
          <w:lang w:bidi="fa-IR"/>
        </w:rPr>
        <w:t>للارتماس منه محلّ کلام لولا دعوی الاتفاق ، أمّا الإطلاقات فتناولها للارتماس مشکل ، ولعلّ عدم القائل بالمنع یسهّل الخطب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 الماء یفیض فیضاً کَثُرَ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وأفاض الماء علی نفسه أفرغه </w:t>
      </w:r>
      <w:r>
        <w:rPr>
          <w:rStyle w:val="FootnoteAnchor"/>
          <w:rtl w:val="true"/>
        </w:rPr>
        <w:footnoteReference w:id="1729"/>
      </w:r>
      <w:r>
        <w:rPr>
          <w:rFonts w:ascii="Amiri" w:hAnsi="Amiri" w:eastAsia="Amiri" w:cs="Amiri"/>
          <w:color w:val="111111"/>
          <w:sz w:val="28"/>
          <w:sz w:val="28"/>
          <w:szCs w:val="28"/>
          <w:rtl w:val="true"/>
          <w:lang w:bidi="ar-SA"/>
        </w:rPr>
        <w:t xml:space="preserve">، وفیه أیضاً الحُرض بضمّة وبضمّتین </w:t>
      </w:r>
      <w:r>
        <w:rPr>
          <w:rStyle w:val="FootnoteAnchor"/>
          <w:rtl w:val="true"/>
        </w:rPr>
        <w:footnoteReference w:id="1730"/>
      </w:r>
      <w:r>
        <w:rPr>
          <w:rFonts w:ascii="Amiri" w:hAnsi="Amiri" w:eastAsia="Amiri" w:cs="Amiri"/>
          <w:color w:val="111111"/>
          <w:sz w:val="28"/>
          <w:sz w:val="28"/>
          <w:szCs w:val="28"/>
          <w:rtl w:val="true"/>
          <w:lang w:bidi="ar-SA"/>
        </w:rPr>
        <w:t xml:space="preserve">الأُشنان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تجمیر الکفن</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بن یعقوب ، عن علی بن إبراهیم ، عن أبیه ، عن ابن أبی عمیر ، عن بعض أصحابنا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تجمّر الکفن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محمد بن یعقوب ، عن عدّة من أصحابنا ، عن أحمد بن محمد الکوفی ، عن ابن جمهور ، عن أبیه ، عن محمّد بن سنان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Style w:val="FootnoteAnchor"/>
          <w:rtl w:val="true"/>
        </w:rPr>
        <w:footnoteReference w:id="1732"/>
      </w:r>
      <w:r>
        <w:rPr>
          <w:rFonts w:ascii="IRNazanin" w:hAnsi="IRNazanin" w:eastAsia="IRNazanin"/>
          <w:color w:val="111111"/>
          <w:sz w:val="28"/>
          <w:sz w:val="28"/>
          <w:szCs w:val="28"/>
          <w:rtl w:val="true"/>
          <w:lang w:bidi="fa-IR"/>
        </w:rPr>
        <w:t xml:space="preserve">عبد الله بن عبد الرحمن ، عن حریز ، عن محمد بن مسلم ، عن أبی عبد الله علیه السلام قال ، 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تجمّروا الأکفان ولا تمسّوا </w:t>
      </w:r>
      <w:r>
        <w:rPr>
          <w:rStyle w:val="FootnoteAnchor"/>
          <w:rtl w:val="true"/>
        </w:rPr>
        <w:footnoteReference w:id="1733"/>
      </w:r>
      <w:r>
        <w:rPr>
          <w:rFonts w:ascii="IRNazanin" w:hAnsi="IRNazanin" w:eastAsia="IRNazanin"/>
          <w:color w:val="111111"/>
          <w:sz w:val="28"/>
          <w:sz w:val="28"/>
          <w:szCs w:val="28"/>
          <w:rtl w:val="true"/>
          <w:lang w:bidi="fa-IR"/>
        </w:rPr>
        <w:t xml:space="preserve">موتاکم بالطیب إلاّ بالکافور ، فإنّ المیت بمنزلة المُحرِم </w:t>
      </w:r>
      <w:r>
        <w:rPr>
          <w:rFonts w:eastAsia="IRNazanin" w:cs="IRNazanin"/>
          <w:color w:val="111111"/>
          <w:sz w:val="28"/>
          <w:szCs w:val="28"/>
          <w:rtl w:val="true"/>
          <w:lang w:bidi="fa-IR"/>
        </w:rPr>
        <w:t>».</w:t>
      </w:r>
    </w:p>
    <w:p>
      <w:pPr>
        <w:pStyle w:val="Heading4"/>
        <w:numPr>
          <w:ilvl w:val="3"/>
          <w:numId w:val="1"/>
        </w:numPr>
        <w:rPr/>
      </w:pPr>
      <w:bookmarkStart w:id="1169" w:name="__RefHeading___Toc147348_2142443653"/>
      <w:bookmarkStart w:id="1170" w:name="_Toc452"/>
      <w:bookmarkEnd w:id="1169"/>
      <w:r>
        <w:rPr>
          <w:rtl w:val="true"/>
        </w:rPr>
        <w:t>معنی الإفاضة والحُرض</w:t>
      </w:r>
      <w:bookmarkEnd w:id="1170"/>
    </w:p>
    <w:p>
      <w:pPr>
        <w:pStyle w:val="Heading3"/>
        <w:numPr>
          <w:ilvl w:val="2"/>
          <w:numId w:val="1"/>
        </w:numPr>
        <w:rPr/>
      </w:pPr>
      <w:bookmarkStart w:id="1171" w:name="__RefHeading___Toc147350_2142443653"/>
      <w:bookmarkStart w:id="1172" w:name="_Toc453"/>
      <w:bookmarkEnd w:id="1171"/>
      <w:r>
        <w:rPr>
          <w:rtl w:val="true"/>
        </w:rPr>
        <w:t>تجمیر الکفن</w:t>
      </w:r>
      <w:bookmarkEnd w:id="117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3" w:name="__RefHeading___Toc147352_2142443653"/>
      <w:bookmarkStart w:id="1174" w:name="_Toc454"/>
      <w:bookmarkEnd w:id="1173"/>
      <w:r>
        <w:rPr>
          <w:rtl w:val="true"/>
        </w:rPr>
        <w:t>اشارة</w:t>
      </w:r>
      <w:bookmarkEnd w:id="1174"/>
    </w:p>
    <w:p>
      <w:pPr>
        <w:pStyle w:val="BookText"/>
        <w:rPr/>
      </w:pPr>
      <w:r>
        <w:rPr>
          <w:rFonts w:ascii="IRNazanin" w:hAnsi="IRNazanin" w:eastAsia="IRNazanin"/>
          <w:color w:val="111111"/>
          <w:sz w:val="28"/>
          <w:sz w:val="28"/>
          <w:szCs w:val="28"/>
          <w:rtl w:val="true"/>
          <w:lang w:bidi="fa-IR"/>
        </w:rPr>
        <w:t xml:space="preserve">وبهذا الاسناد عن علی بن إبراهیم ، عن أبیه ، عن النوفلی ، عن السکونی </w:t>
      </w:r>
      <w:r>
        <w:rPr>
          <w:rStyle w:val="FootnoteAnchor"/>
          <w:rtl w:val="true"/>
        </w:rPr>
        <w:footnoteReference w:id="1734"/>
      </w:r>
      <w:r>
        <w:rPr>
          <w:rFonts w:ascii="IRNazanin" w:hAnsi="IRNazanin" w:eastAsia="IRNazanin"/>
          <w:color w:val="111111"/>
          <w:sz w:val="28"/>
          <w:sz w:val="28"/>
          <w:szCs w:val="28"/>
          <w:rtl w:val="true"/>
          <w:lang w:bidi="fa-IR"/>
        </w:rPr>
        <w:t xml:space="preserve">،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صلی الله علیه و آله نهی أنّ تتبع جنازة بمجمرة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محبوب ، عن أبی حمزة </w:t>
      </w:r>
      <w:r>
        <w:rPr>
          <w:rStyle w:val="FootnoteAnchor"/>
          <w:rtl w:val="true"/>
        </w:rPr>
        <w:footnoteReference w:id="1735"/>
      </w:r>
      <w:r>
        <w:rPr>
          <w:rFonts w:ascii="IRNazanin" w:hAnsi="IRNazanin" w:eastAsia="IRNazanin"/>
          <w:color w:val="111111"/>
          <w:sz w:val="28"/>
          <w:sz w:val="28"/>
          <w:szCs w:val="28"/>
          <w:rtl w:val="true"/>
          <w:lang w:bidi="fa-IR"/>
        </w:rPr>
        <w:t xml:space="preserve">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تقرّبوا موتاکم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الدخنة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أحمد بن محمد ، عن الحسن بن علی بن بنت إلیاس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بدخنة کفن المیت ، وینبغی للمرء المسلم أنّ یدخن ثیابه إنّ کان یقدر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غیاث بن إبراهیم ، عن أبی عبد الله ، عن أبیه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 یجمّر المیت بالعود فیه المسک </w:t>
      </w:r>
      <w:r>
        <w:rPr>
          <w:rStyle w:val="FootnoteAnchor"/>
          <w:rtl w:val="true"/>
        </w:rPr>
        <w:footnoteReference w:id="1736"/>
      </w:r>
      <w:r>
        <w:rPr>
          <w:rFonts w:ascii="IRNazanin" w:hAnsi="IRNazanin" w:eastAsia="IRNazanin"/>
          <w:color w:val="111111"/>
          <w:sz w:val="28"/>
          <w:sz w:val="28"/>
          <w:szCs w:val="28"/>
          <w:rtl w:val="true"/>
          <w:lang w:bidi="fa-IR"/>
        </w:rPr>
        <w:t xml:space="preserve">وربما </w:t>
      </w:r>
      <w:r>
        <w:rPr>
          <w:rStyle w:val="FootnoteAnchor"/>
          <w:rtl w:val="true"/>
        </w:rPr>
        <w:footnoteReference w:id="1737"/>
      </w:r>
      <w:r>
        <w:rPr>
          <w:rFonts w:ascii="IRNazanin" w:hAnsi="IRNazanin" w:eastAsia="IRNazanin"/>
          <w:color w:val="111111"/>
          <w:sz w:val="28"/>
          <w:sz w:val="28"/>
          <w:szCs w:val="28"/>
          <w:rtl w:val="true"/>
          <w:lang w:bidi="fa-IR"/>
        </w:rPr>
        <w:t xml:space="preserve">جعل علی النعش الحنوط ، وربما لم یجعله ، وکان یکره أنّ یتبع المیت بالمجمرة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هذین الخبرین أنّ نحملهما علی ضرب من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موافقان لمذاهب </w:t>
      </w:r>
      <w:r>
        <w:rPr>
          <w:rStyle w:val="FootnoteAnchor"/>
          <w:rtl w:val="true"/>
        </w:rPr>
        <w:footnoteReference w:id="1738"/>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الإرسال</w:t>
      </w:r>
      <w:r>
        <w:rPr>
          <w:rFonts w:eastAsia="IRNazanin" w:cs="IRNazanin"/>
          <w:color w:val="111111"/>
          <w:sz w:val="28"/>
          <w:szCs w:val="28"/>
          <w:rtl w:val="true"/>
          <w:lang w:bidi="fa-IR"/>
        </w:rPr>
        <w:t xml:space="preserve">. </w:t>
      </w:r>
      <w:bookmarkStart w:id="1175" w:name="pg15025_160568"/>
    </w:p>
    <w:p>
      <w:pPr>
        <w:pStyle w:val="BookText"/>
        <w:rPr/>
      </w:pPr>
      <w:bookmarkEnd w:id="1175"/>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أحمد بن محمد الکوفی وهو البرقی ، وقد قدّمنا فیه القول </w:t>
      </w:r>
      <w:r>
        <w:rPr>
          <w:rStyle w:val="FootnoteAnchor"/>
          <w:rtl w:val="true"/>
        </w:rPr>
        <w:footnoteReference w:id="1740"/>
      </w:r>
      <w:r>
        <w:rPr>
          <w:rFonts w:ascii="IRNazanin" w:hAnsi="IRNazanin" w:eastAsia="IRNazanin"/>
          <w:color w:val="111111"/>
          <w:sz w:val="28"/>
          <w:sz w:val="28"/>
          <w:szCs w:val="28"/>
          <w:rtl w:val="true"/>
          <w:lang w:bidi="fa-IR"/>
        </w:rPr>
        <w:t xml:space="preserve">، والعدّة التی تروی عنه کذلک ، والحاصل أنّ العلاّمة فی الخلاصة نقل عن محمد بن یعقوب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کان فی کتابی عدّة من أصحابنا عن أحمد بن محمد بن خالد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وعلی بن محمد </w:t>
      </w:r>
      <w:r>
        <w:rPr>
          <w:rStyle w:val="FootnoteAnchor"/>
          <w:rtl w:val="true"/>
        </w:rPr>
        <w:footnoteReference w:id="1741"/>
      </w:r>
      <w:r>
        <w:rPr>
          <w:rFonts w:ascii="IRNazanin" w:hAnsi="IRNazanin" w:eastAsia="IRNazanin"/>
          <w:color w:val="111111"/>
          <w:sz w:val="28"/>
          <w:sz w:val="28"/>
          <w:szCs w:val="28"/>
          <w:rtl w:val="true"/>
          <w:lang w:bidi="fa-IR"/>
        </w:rPr>
        <w:t>، وذکر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أنّ أحمد بن محمد الکوفی هو ابن خالد والحال أنّ فی الرجال أحمد بن محمد الکوفی غیره موجود وأحمد وإنّ کان کوفیاً إلاّ أنّ الإطلاق علیه غیر معروف؟</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القرینة باعتبار ذکر العدّة دالّة علی أنّه ابن خالد ، وما ذکر فی الرجال بلفظ أحمد بن محمد الکوفی بعید المرتبة ؛ لأنّه من رجال الکاظم علیه السلام </w:t>
      </w:r>
      <w:r>
        <w:rPr>
          <w:rStyle w:val="FootnoteAnchor"/>
          <w:rtl w:val="true"/>
        </w:rPr>
        <w:footnoteReference w:id="1742"/>
      </w:r>
      <w:r>
        <w:rPr>
          <w:rFonts w:ascii="IRNazanin" w:hAnsi="IRNazanin" w:eastAsia="IRNazanin"/>
          <w:color w:val="111111"/>
          <w:sz w:val="28"/>
          <w:sz w:val="28"/>
          <w:szCs w:val="28"/>
          <w:rtl w:val="true"/>
          <w:lang w:bidi="fa-IR"/>
        </w:rPr>
        <w:t>، وغیره وإنّ أمکن إلاّ أنّ قرب الاحتمال ربما لا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ابن جمهور فالذی وقفت علیه فی الرجال محمد بن جمهور ، وذکر النجاشی أنّه ضعیف فی الحدیث فاسد المذهب </w:t>
      </w:r>
      <w:r>
        <w:rPr>
          <w:rStyle w:val="FootnoteAnchor"/>
          <w:rtl w:val="true"/>
        </w:rPr>
        <w:footnoteReference w:id="1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الشیخ أیضاً فی رجال الرضا علیه السلام من کتابه </w:t>
      </w:r>
      <w:r>
        <w:rPr>
          <w:rStyle w:val="FootnoteAnchor"/>
          <w:rtl w:val="true"/>
        </w:rPr>
        <w:footnoteReference w:id="1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والراوی عنه فی النجاشی أحمد بن الحسین بن سعید ، وابنه الحسن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جمهور ، وهو المذکور أوّلاً ؛ لأن الشیخ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الراوی عنه أحمد بن الحسین ، وقال بعد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Heading4"/>
        <w:numPr>
          <w:ilvl w:val="3"/>
          <w:numId w:val="1"/>
        </w:numPr>
        <w:rPr/>
      </w:pPr>
      <w:bookmarkStart w:id="1176" w:name="__RefHeading___Toc147354_2142443653"/>
      <w:bookmarkStart w:id="1177" w:name="_Toc455"/>
      <w:bookmarkEnd w:id="1176"/>
      <w:r>
        <w:rPr>
          <w:rtl w:val="true"/>
        </w:rPr>
        <w:t>بحث حول أحمد بن محمّد الکوفی</w:t>
      </w:r>
      <w:bookmarkEnd w:id="117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8" w:name="__RefHeading___Toc147356_2142443653"/>
      <w:bookmarkStart w:id="1179" w:name="_Toc456"/>
      <w:bookmarkEnd w:id="1178"/>
      <w:r>
        <w:rPr>
          <w:rtl w:val="true"/>
        </w:rPr>
        <w:t>بحث حول ابن جمهور</w:t>
      </w:r>
      <w:bookmarkStart w:id="1180" w:name="pg15025_160569"/>
      <w:bookmarkEnd w:id="1179"/>
    </w:p>
    <w:p>
      <w:pPr>
        <w:pStyle w:val="BookText"/>
        <w:rPr/>
      </w:pPr>
      <w:bookmarkEnd w:id="1180"/>
      <w:r>
        <w:rPr>
          <w:rFonts w:ascii="IRNazanin" w:hAnsi="IRNazanin" w:eastAsia="IRNazanin"/>
          <w:color w:val="111111"/>
          <w:sz w:val="28"/>
          <w:sz w:val="28"/>
          <w:szCs w:val="28"/>
          <w:rtl w:val="true"/>
          <w:lang w:bidi="fa-IR"/>
        </w:rPr>
        <w:t xml:space="preserve">محمد بن جمهور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جمهور أبوه فغیر معلوم الحال ؛ لأنّ فی رجال الصادق علیه السلام من کتاب الشیخ جمهور بن أحمر مهملاً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ومحمد بن سنان والمفضّل قد تقدّم فیهما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وعبد الرحمن بن عبد الله </w:t>
      </w:r>
      <w:r>
        <w:rPr>
          <w:rStyle w:val="FootnoteAnchor"/>
          <w:rtl w:val="true"/>
        </w:rPr>
        <w:footnoteReference w:id="1749"/>
      </w:r>
      <w:r>
        <w:rPr>
          <w:rFonts w:ascii="IRNazanin" w:hAnsi="IRNazanin" w:eastAsia="IRNazanin"/>
          <w:color w:val="111111"/>
          <w:sz w:val="28"/>
          <w:sz w:val="28"/>
          <w:szCs w:val="28"/>
          <w:rtl w:val="true"/>
          <w:lang w:bidi="fa-IR"/>
        </w:rPr>
        <w:t xml:space="preserve">مجهول ، والموجود فی رجال الحسین علیه السلام من کتاب الشیخ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النوفلی والسکونی وقد تقدّما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ارتیاب فی صحّته بعد ما قدّمناه </w:t>
      </w:r>
      <w:r>
        <w:rPr>
          <w:rStyle w:val="FootnoteAnchor"/>
          <w:rtl w:val="true"/>
        </w:rPr>
        <w:footnoteReference w:id="1752"/>
      </w:r>
      <w:r>
        <w:rPr>
          <w:rFonts w:ascii="IRNazanin" w:hAnsi="IRNazanin" w:eastAsia="IRNazanin"/>
          <w:color w:val="111111"/>
          <w:sz w:val="28"/>
          <w:sz w:val="28"/>
          <w:szCs w:val="28"/>
          <w:rtl w:val="true"/>
          <w:lang w:bidi="fa-IR"/>
        </w:rPr>
        <w:t>من جهة روایة ابن محبوب عن أبی حمزة وهو 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علی الذی یقال له الوشّاء ، وهو معدود من الممدوحین عند بعض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عدم الطریق إلیه </w:t>
      </w:r>
      <w:r>
        <w:rPr>
          <w:rStyle w:val="FootnoteAnchor"/>
          <w:rtl w:val="true"/>
        </w:rPr>
        <w:footnoteReference w:id="1754"/>
      </w:r>
      <w:r>
        <w:rPr>
          <w:rFonts w:ascii="IRNazanin" w:hAnsi="IRNazanin" w:eastAsia="IRNazanin"/>
          <w:color w:val="111111"/>
          <w:sz w:val="28"/>
          <w:sz w:val="28"/>
          <w:szCs w:val="28"/>
          <w:rtl w:val="true"/>
          <w:lang w:bidi="fa-IR"/>
        </w:rPr>
        <w:t>فی المشیخة واختصاص</w:t>
      </w:r>
    </w:p>
    <w:p>
      <w:pPr>
        <w:pStyle w:val="Heading4"/>
        <w:numPr>
          <w:ilvl w:val="3"/>
          <w:numId w:val="1"/>
        </w:numPr>
        <w:rPr/>
      </w:pPr>
      <w:bookmarkStart w:id="1181" w:name="__RefHeading___Toc147358_2142443653"/>
      <w:bookmarkStart w:id="1182" w:name="_Toc457"/>
      <w:bookmarkEnd w:id="1181"/>
      <w:r>
        <w:rPr>
          <w:rtl w:val="true"/>
        </w:rPr>
        <w:t>جمهور غیر معلوم الحال</w:t>
      </w:r>
      <w:bookmarkEnd w:id="1182"/>
    </w:p>
    <w:p>
      <w:pPr>
        <w:pStyle w:val="Heading4"/>
        <w:numPr>
          <w:ilvl w:val="3"/>
          <w:numId w:val="1"/>
        </w:numPr>
        <w:rPr/>
      </w:pPr>
      <w:bookmarkStart w:id="1183" w:name="__RefHeading___Toc147360_2142443653"/>
      <w:bookmarkStart w:id="1184" w:name="_Toc458"/>
      <w:bookmarkEnd w:id="1183"/>
      <w:r>
        <w:rPr>
          <w:rtl w:val="true"/>
        </w:rPr>
        <w:t>عبدالرحمان بن عبدالله مجهول</w:t>
      </w:r>
      <w:bookmarkEnd w:id="1184"/>
    </w:p>
    <w:p>
      <w:pPr>
        <w:pStyle w:val="Heading4"/>
        <w:numPr>
          <w:ilvl w:val="3"/>
          <w:numId w:val="1"/>
        </w:numPr>
        <w:rPr/>
      </w:pPr>
      <w:bookmarkStart w:id="1185" w:name="__RefHeading___Toc147362_2142443653"/>
      <w:bookmarkStart w:id="1186" w:name="_Toc459"/>
      <w:bookmarkEnd w:id="1185"/>
      <w:r>
        <w:rPr>
          <w:rtl w:val="true"/>
        </w:rPr>
        <w:t>الحسن بن علی الوشّاء ممدوح</w:t>
      </w:r>
      <w:bookmarkEnd w:id="118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7" w:name="__RefHeading___Toc147364_2142443653"/>
      <w:bookmarkStart w:id="1188" w:name="_Toc460"/>
      <w:bookmarkEnd w:id="1187"/>
      <w:r>
        <w:rPr>
          <w:rtl w:val="true"/>
        </w:rPr>
        <w:t>بحث حول غیاث بن إبراهیم</w:t>
      </w:r>
      <w:bookmarkStart w:id="1189" w:name="pg15025_160570"/>
      <w:bookmarkEnd w:id="1188"/>
    </w:p>
    <w:p>
      <w:pPr>
        <w:pStyle w:val="BookText"/>
        <w:rPr/>
      </w:pPr>
      <w:bookmarkEnd w:id="1189"/>
      <w:r>
        <w:rPr>
          <w:rFonts w:ascii="IRNazanin" w:hAnsi="IRNazanin" w:eastAsia="IRNazanin"/>
          <w:color w:val="111111"/>
          <w:sz w:val="28"/>
          <w:sz w:val="28"/>
          <w:szCs w:val="28"/>
          <w:rtl w:val="true"/>
          <w:lang w:bidi="fa-IR"/>
        </w:rPr>
        <w:t xml:space="preserve">الطریق فی الفهرست بکتابه </w:t>
      </w:r>
      <w:r>
        <w:rPr>
          <w:rStyle w:val="FootnoteAnchor"/>
          <w:rtl w:val="true"/>
        </w:rPr>
        <w:footnoteReference w:id="1755"/>
      </w:r>
      <w:r>
        <w:rPr>
          <w:rFonts w:ascii="IRNazanin" w:hAnsi="IRNazanin" w:eastAsia="IRNazanin"/>
          <w:color w:val="111111"/>
          <w:sz w:val="28"/>
          <w:sz w:val="28"/>
          <w:szCs w:val="28"/>
          <w:rtl w:val="true"/>
          <w:lang w:bidi="fa-IR"/>
        </w:rPr>
        <w:t xml:space="preserve">ما قدّمناه فی بیان حاله من أنّ العلاّمة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بتری ثقة </w:t>
      </w:r>
      <w:r>
        <w:rPr>
          <w:rStyle w:val="FootnoteAnchor"/>
          <w:rtl w:val="true"/>
        </w:rPr>
        <w:footnoteReference w:id="1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شیخنا ذلک عن الکشی عن حمدویه عن بعض أشیاخه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دلالة الأوّل علی أنّه لا یجمر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لا یجمّر الکفن ولا یمسّ المیت بالطیب </w:t>
      </w:r>
      <w:r>
        <w:rPr>
          <w:rStyle w:val="FootnoteAnchor"/>
          <w:rtl w:val="true"/>
        </w:rPr>
        <w:footnoteReference w:id="1757"/>
      </w:r>
      <w:r>
        <w:rPr>
          <w:rFonts w:ascii="IRNazanin" w:hAnsi="IRNazanin" w:eastAsia="IRNazanin"/>
          <w:color w:val="111111"/>
          <w:sz w:val="28"/>
          <w:sz w:val="28"/>
          <w:szCs w:val="28"/>
          <w:rtl w:val="true"/>
          <w:lang w:bidi="fa-IR"/>
        </w:rPr>
        <w:t>غیر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أنّه نهی عن أنّ تتبع الجنازة بمجمرة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النهی عن قرب المیت الدخنة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نفی البأس عن دخنة کفن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الباقر علیه السلام کان یجمّر المیت بالعود فیه المسک </w:t>
      </w:r>
      <w:r>
        <w:rPr>
          <w:rStyle w:val="FootnoteAnchor"/>
          <w:rtl w:val="true"/>
        </w:rPr>
        <w:footnoteReference w:id="1758"/>
      </w:r>
      <w:r>
        <w:rPr>
          <w:rFonts w:ascii="IRNazanin" w:hAnsi="IRNazanin" w:eastAsia="IRNazanin"/>
          <w:color w:val="111111"/>
          <w:sz w:val="28"/>
          <w:sz w:val="28"/>
          <w:szCs w:val="28"/>
          <w:rtl w:val="true"/>
          <w:lang w:bidi="fa-IR"/>
        </w:rPr>
        <w:t>، وتضمّن أیضاً أنّه علیه السلام کان یکره أنّ یتبع المیت بمجمرة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کما تری حمل الخبرین علی التقیة ، وغیر خفیّ أنّ الخبر الأخیر تضمّن التجمیر بالعود فیه المسک </w:t>
      </w:r>
      <w:r>
        <w:rPr>
          <w:rStyle w:val="FootnoteAnchor"/>
          <w:rtl w:val="true"/>
        </w:rPr>
        <w:footnoteReference w:id="1759"/>
      </w:r>
      <w:r>
        <w:rPr>
          <w:rFonts w:ascii="IRNazanin" w:hAnsi="IRNazanin" w:eastAsia="IRNazanin"/>
          <w:color w:val="111111"/>
          <w:sz w:val="28"/>
          <w:sz w:val="28"/>
          <w:szCs w:val="28"/>
          <w:rtl w:val="true"/>
          <w:lang w:bidi="fa-IR"/>
        </w:rPr>
        <w:t>، فیمکن أنّ یخص ما دلّ علی عدم مسّ المیت بالطیب والدخنة بغیر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تضمّنه آخر الحدیث من کراهته أنّ یتبع المیت بمجمرة موافق لما تضمّن النهی عن الأتباع بمجمرة ، فالحمل علی التقیة فیه غیر لازم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0" w:name="__RefHeading___Toc147366_2142443653"/>
      <w:bookmarkStart w:id="1191" w:name="_Toc461"/>
      <w:bookmarkEnd w:id="1190"/>
      <w:r>
        <w:rPr>
          <w:rtl w:val="true"/>
        </w:rPr>
        <w:t>بیان الأخبار الناهیة عن تجمیر الکفن والجمع بینها وبین ما یعارضها</w:t>
      </w:r>
      <w:bookmarkStart w:id="1192" w:name="pg15025_160571"/>
      <w:bookmarkEnd w:id="1191"/>
    </w:p>
    <w:p>
      <w:pPr>
        <w:pStyle w:val="BookText"/>
        <w:rPr/>
      </w:pPr>
      <w:bookmarkEnd w:id="1192"/>
      <w:r>
        <w:rPr>
          <w:rFonts w:ascii="IRNazanin" w:hAnsi="IRNazanin" w:eastAsia="IRNazanin"/>
          <w:color w:val="111111"/>
          <w:sz w:val="28"/>
          <w:sz w:val="28"/>
          <w:szCs w:val="28"/>
          <w:rtl w:val="true"/>
          <w:lang w:bidi="fa-IR"/>
        </w:rPr>
        <w:t xml:space="preserve">وأمّا خبر ابن سنان فیمکن أنّ یخصّ بغیر العود مع ما معه من المسک ، إلاّ أنّ ظاهر التعلیل فی خبر ابن مسلم یقتضی الشمول لکل طیب ویتناول العود وغیره فکأنّ </w:t>
      </w:r>
      <w:r>
        <w:rPr>
          <w:rStyle w:val="FootnoteAnchor"/>
          <w:rtl w:val="true"/>
        </w:rPr>
        <w:footnoteReference w:id="1760"/>
      </w:r>
      <w:r>
        <w:rPr>
          <w:rFonts w:ascii="IRNazanin" w:hAnsi="IRNazanin" w:eastAsia="IRNazanin"/>
          <w:color w:val="111111"/>
          <w:sz w:val="28"/>
          <w:sz w:val="28"/>
          <w:szCs w:val="28"/>
          <w:rtl w:val="true"/>
          <w:lang w:bidi="fa-IR"/>
        </w:rPr>
        <w:t xml:space="preserve">الشیخ نظر إلی ذلک ، ومن یتوقف عمله علی الخبر الصحیح له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أبی حمزة تضمّن الدخنة بالنار لا مطلق الطیب ، وحینئذ لا بدّ له من حمل ما ینافیه علی التقیّة أو علی بیان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المختلف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المشهور کراهیة أن یجعل مع الکافور مسک </w:t>
      </w:r>
      <w:r>
        <w:rPr>
          <w:rStyle w:val="FootnoteAnchor"/>
          <w:rtl w:val="true"/>
        </w:rPr>
        <w:footnoteReference w:id="1761"/>
      </w:r>
      <w:r>
        <w:rPr>
          <w:rFonts w:ascii="IRNazanin" w:hAnsi="IRNazanin" w:eastAsia="IRNazanin"/>
          <w:color w:val="111111"/>
          <w:sz w:val="28"/>
          <w:sz w:val="28"/>
          <w:szCs w:val="28"/>
          <w:rtl w:val="true"/>
          <w:lang w:bidi="fa-IR"/>
        </w:rPr>
        <w:t xml:space="preserve">، واستدل بروایة محمد بن مسلم ، وحکی عن الصدوق أنّه استحب المسک </w:t>
      </w:r>
      <w:r>
        <w:rPr>
          <w:rStyle w:val="FootnoteAnchor"/>
          <w:rtl w:val="true"/>
        </w:rPr>
        <w:footnoteReference w:id="1762"/>
      </w:r>
      <w:r>
        <w:rPr>
          <w:rFonts w:ascii="IRNazanin" w:hAnsi="IRNazanin" w:eastAsia="IRNazanin"/>
          <w:color w:val="111111"/>
          <w:sz w:val="28"/>
          <w:sz w:val="28"/>
          <w:szCs w:val="28"/>
          <w:rtl w:val="true"/>
          <w:lang w:bidi="fa-IR"/>
        </w:rPr>
        <w:t xml:space="preserve">، وأنّه روی مرسلاً أنّ النبی صلی الله علیه و آله حنّط بمثقال مسک </w:t>
      </w:r>
      <w:r>
        <w:rPr>
          <w:rStyle w:val="FootnoteAnchor"/>
          <w:rtl w:val="true"/>
        </w:rPr>
        <w:footnoteReference w:id="1763"/>
      </w:r>
      <w:r>
        <w:rPr>
          <w:rFonts w:ascii="IRNazanin" w:hAnsi="IRNazanin" w:eastAsia="IRNazanin"/>
          <w:color w:val="111111"/>
          <w:sz w:val="28"/>
          <w:sz w:val="28"/>
          <w:szCs w:val="28"/>
          <w:rtl w:val="true"/>
          <w:lang w:bidi="fa-IR"/>
        </w:rPr>
        <w:t xml:space="preserve">، سوی الکافور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الصدوق وسُئل أبو الحسن الثالث علیه السلام هل یقرب إلی المیت المسک والبخور؟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764"/>
      </w:r>
      <w:r>
        <w:rPr>
          <w:rFonts w:ascii="IRNazanin" w:hAnsi="IRNazanin" w:eastAsia="IRNazanin"/>
          <w:color w:val="111111"/>
          <w:sz w:val="28"/>
          <w:sz w:val="28"/>
          <w:szCs w:val="28"/>
          <w:rtl w:val="true"/>
          <w:lang w:bidi="fa-IR"/>
        </w:rPr>
        <w:t xml:space="preserve">وأجاب العلاّمة عن الروایتین بالإرسال </w:t>
      </w:r>
      <w:r>
        <w:rPr>
          <w:rStyle w:val="FootnoteAnchor"/>
          <w:rtl w:val="true"/>
        </w:rPr>
        <w:footnoteReference w:id="1765"/>
      </w:r>
      <w:r>
        <w:rPr>
          <w:rFonts w:ascii="IRNazanin" w:hAnsi="IRNazanin" w:eastAsia="IRNazanin"/>
          <w:color w:val="111111"/>
          <w:sz w:val="28"/>
          <w:sz w:val="28"/>
          <w:szCs w:val="28"/>
          <w:rtl w:val="true"/>
          <w:lang w:bidi="fa-IR"/>
        </w:rPr>
        <w:t>، ولا یخفی أنّ مرسلة ابن أبی عمیر أقوی من روایة محمد بن مسلم عند الاعتبار الذی قدّمناه ، فاستناد العلاّمة فی الکراهة إلی روایة محمد وردّ روایتی الصدوق بالإرسال محلّ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المِجْمَر کمنْبَر الذی یوضع فیه الجمر بالدخنة</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3" w:name="__RefHeading___Toc147368_2142443653"/>
      <w:bookmarkStart w:id="1194" w:name="_Toc462"/>
      <w:bookmarkEnd w:id="1193"/>
      <w:r>
        <w:rPr>
          <w:rtl w:val="true"/>
        </w:rPr>
        <w:t>معنی المِجْمَر والدُخْتَة</w:t>
      </w:r>
      <w:bookmarkStart w:id="1195" w:name="pg15025_160572"/>
      <w:bookmarkEnd w:id="1194"/>
    </w:p>
    <w:p>
      <w:pPr>
        <w:pStyle w:val="BookText"/>
        <w:rPr/>
      </w:pPr>
      <w:bookmarkEnd w:id="1195"/>
      <w:r>
        <w:rPr>
          <w:rFonts w:ascii="IRNazanin" w:hAnsi="IRNazanin" w:eastAsia="IRNazanin"/>
          <w:color w:val="111111"/>
          <w:sz w:val="28"/>
          <w:sz w:val="28"/>
          <w:szCs w:val="28"/>
          <w:rtl w:val="true"/>
          <w:lang w:bidi="fa-IR"/>
        </w:rPr>
        <w:t xml:space="preserve">ویؤنّث کالمجمرة </w:t>
      </w:r>
      <w:r>
        <w:rPr>
          <w:rStyle w:val="FootnoteAnchor"/>
          <w:rtl w:val="true"/>
        </w:rPr>
        <w:footnoteReference w:id="1766"/>
      </w:r>
      <w:r>
        <w:rPr>
          <w:rFonts w:ascii="Amiri" w:hAnsi="Amiri" w:eastAsia="Amiri" w:cs="Amiri"/>
          <w:color w:val="111111"/>
          <w:sz w:val="28"/>
          <w:sz w:val="28"/>
          <w:szCs w:val="28"/>
          <w:rtl w:val="true"/>
          <w:lang w:bidi="ar-SA"/>
        </w:rPr>
        <w:t xml:space="preserve">، وذکر فی الدُّخْنَة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کُدْرَةٌ فی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والذریرة </w:t>
      </w:r>
      <w:r>
        <w:rPr>
          <w:rStyle w:val="FootnoteAnchor"/>
          <w:rtl w:val="true"/>
        </w:rPr>
        <w:footnoteReference w:id="1767"/>
      </w:r>
      <w:r>
        <w:rPr>
          <w:rFonts w:ascii="IRNazanin" w:hAnsi="IRNazanin" w:eastAsia="IRNazanin"/>
          <w:color w:val="111111"/>
          <w:sz w:val="28"/>
          <w:sz w:val="28"/>
          <w:szCs w:val="28"/>
          <w:rtl w:val="true"/>
          <w:lang w:bidi="fa-IR"/>
        </w:rPr>
        <w:t xml:space="preserve">تدخن بها البیوت </w:t>
      </w:r>
      <w:r>
        <w:rPr>
          <w:rStyle w:val="FootnoteAnchor"/>
          <w:rtl w:val="true"/>
        </w:rPr>
        <w:footnoteReference w:id="1768"/>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أنّ الکفن لا یکون إلاّ قطناً</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بن یحیی ، عن أبیه ، عن محمد بن أحمد بن یحیی </w:t>
      </w:r>
      <w:r>
        <w:rPr>
          <w:rStyle w:val="FootnoteAnchor"/>
          <w:rtl w:val="true"/>
        </w:rPr>
        <w:footnoteReference w:id="1770"/>
      </w:r>
      <w:r>
        <w:rPr>
          <w:rFonts w:ascii="IRNazanin" w:hAnsi="IRNazanin" w:eastAsia="IRNazanin"/>
          <w:color w:val="111111"/>
          <w:sz w:val="28"/>
          <w:sz w:val="28"/>
          <w:szCs w:val="28"/>
          <w:rtl w:val="true"/>
          <w:lang w:bidi="fa-IR"/>
        </w:rPr>
        <w:t xml:space="preserve">، عن أحمد بن الحسن بن علی ، عن عمرو بن سعید ، عن مصدّق بن صدقة ، عن عمّار بن موسی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الکفن یکون برداً ، فإنّ لم یکن برداً فاجعله کلّه قطناً ، فإنّ لم یکن </w:t>
      </w:r>
      <w:r>
        <w:rPr>
          <w:rStyle w:val="FootnoteAnchor"/>
          <w:rtl w:val="true"/>
        </w:rPr>
        <w:footnoteReference w:id="1771"/>
      </w:r>
      <w:r>
        <w:rPr>
          <w:rFonts w:ascii="IRNazanin" w:hAnsi="IRNazanin" w:eastAsia="IRNazanin"/>
          <w:color w:val="111111"/>
          <w:sz w:val="28"/>
          <w:sz w:val="28"/>
          <w:szCs w:val="28"/>
          <w:rtl w:val="true"/>
          <w:lang w:bidi="fa-IR"/>
        </w:rPr>
        <w:t xml:space="preserve">عمامة قطن فاجعل العمامة سابریّاً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 ، عن محمد بن الحسین ، عن عبد الرحمن بن أبی هاشم ، عن أبی خدیجة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الکتان کان </w:t>
      </w:r>
      <w:r>
        <w:rPr>
          <w:rStyle w:val="FootnoteAnchor"/>
          <w:rtl w:val="true"/>
        </w:rPr>
        <w:footnoteReference w:id="1772"/>
      </w:r>
      <w:r>
        <w:rPr>
          <w:rFonts w:ascii="IRNazanin" w:hAnsi="IRNazanin" w:eastAsia="IRNazanin"/>
          <w:color w:val="111111"/>
          <w:sz w:val="28"/>
          <w:sz w:val="28"/>
          <w:szCs w:val="28"/>
          <w:rtl w:val="true"/>
          <w:lang w:bidi="fa-IR"/>
        </w:rPr>
        <w:t xml:space="preserve">لبنی إسرائیل یکفنون به ، والقطن لُامّة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سهل بن زیاد ، عن محمد بن</w:t>
      </w:r>
    </w:p>
    <w:p>
      <w:pPr>
        <w:pStyle w:val="Heading3"/>
        <w:numPr>
          <w:ilvl w:val="2"/>
          <w:numId w:val="1"/>
        </w:numPr>
        <w:rPr/>
      </w:pPr>
      <w:bookmarkStart w:id="1196" w:name="__RefHeading___Toc147370_2142443653"/>
      <w:bookmarkStart w:id="1197" w:name="_Toc463"/>
      <w:bookmarkEnd w:id="1196"/>
      <w:r>
        <w:rPr>
          <w:rtl w:val="true"/>
        </w:rPr>
        <w:t>الکفن لایکون إلّا قطناً</w:t>
      </w:r>
      <w:bookmarkEnd w:id="119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8" w:name="__RefHeading___Toc147372_2142443653"/>
      <w:bookmarkStart w:id="1199" w:name="_Toc464"/>
      <w:bookmarkEnd w:id="1198"/>
      <w:r>
        <w:rPr>
          <w:rtl w:val="true"/>
        </w:rPr>
        <w:t>اشارة</w:t>
      </w:r>
      <w:bookmarkEnd w:id="1199"/>
    </w:p>
    <w:p>
      <w:pPr>
        <w:pStyle w:val="BookText"/>
        <w:rPr/>
      </w:pPr>
      <w:r>
        <w:rPr>
          <w:rFonts w:ascii="IRNazanin" w:hAnsi="IRNazanin" w:eastAsia="IRNazanin"/>
          <w:color w:val="111111"/>
          <w:sz w:val="28"/>
          <w:sz w:val="28"/>
          <w:szCs w:val="28"/>
          <w:rtl w:val="true"/>
          <w:lang w:bidi="fa-IR"/>
        </w:rPr>
        <w:t xml:space="preserve">عمرو بن سعید ، عن یونس بن یعقوب ، عن أبی الحسن الأوّل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کفّنت أبی فی ثوبین شطویّین کان یُحرِم فیهما ، وفی قمیص من قمصه ، وفی عمامة کانت لعلی بن الحسین علیهماالسلام ، وفی برد اشتریت بأربعین دیناراً ، لو کان الیوم لساوی أربعمائة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الوجه فی هذا الخبر الحال الذی لا یقدر فیها علی القطن ، علی أنه حکایة فعل ، ویجوز أنّ یکون ذلک یختصّ بهم علیهم السلام ولم یقل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تفعلوا أنتم ، وإذا لم یکن فیه لم یجب المصیر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الحسین </w:t>
      </w:r>
      <w:r>
        <w:rPr>
          <w:rStyle w:val="FootnoteAnchor"/>
          <w:rtl w:val="true"/>
        </w:rPr>
        <w:footnoteReference w:id="1773"/>
      </w:r>
      <w:r>
        <w:rPr>
          <w:rFonts w:ascii="IRNazanin" w:hAnsi="IRNazanin" w:eastAsia="IRNazanin"/>
          <w:color w:val="111111"/>
          <w:sz w:val="28"/>
          <w:sz w:val="28"/>
          <w:szCs w:val="28"/>
          <w:rtl w:val="true"/>
          <w:lang w:bidi="fa-IR"/>
        </w:rPr>
        <w:t xml:space="preserve">، عن محمد بن عیسی ، عن محمد بن سعید ، عن إسماعیل بن أبی زیاد ، عن جعفر ، عن أبیه ، عن آبائه ، عن علی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الکفن الحلّة ونعم الأُضحیة الکبش الأقرن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w:t>
      </w:r>
      <w:r>
        <w:rPr>
          <w:rStyle w:val="FootnoteAnchor"/>
          <w:rtl w:val="true"/>
        </w:rPr>
        <w:footnoteReference w:id="1774"/>
      </w:r>
      <w:r>
        <w:rPr>
          <w:rFonts w:ascii="IRNazanin" w:hAnsi="IRNazanin" w:eastAsia="IRNazanin"/>
          <w:color w:val="111111"/>
          <w:sz w:val="28"/>
          <w:sz w:val="28"/>
          <w:szCs w:val="28"/>
          <w:rtl w:val="true"/>
          <w:lang w:bidi="fa-IR"/>
        </w:rPr>
        <w:t>فی هذا الخبر أنّ نحمله علی ضرب من التقیة ؛ لأنّه موافق لمذاهب العامة ، والخبر الذی قدّمناه مطابق للأخبار التی أوردناها فی شرح غُسل المیت فی کتابنا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محمد بن عیسی ، عن الحسن بن راشد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ثیاب تعمل بالبصرة علی عمل القصب الیمانی من قز وقطن ، هل یصلح أنّ یکفّن فیها الموتی؟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القطن أکثر من القزّ فلا بأس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ینافی ما قدّمناه ؛ لأنّا إنّما نمنع من الثیاب التی لا تجوز الصلاة فیها وإنّ کان القطن الخالص أفضل ، وهذه الروایة محمولة </w:t>
      </w:r>
      <w:bookmarkStart w:id="1200" w:name="pg15025_160574"/>
    </w:p>
    <w:p>
      <w:pPr>
        <w:pStyle w:val="BookText"/>
        <w:rPr/>
      </w:pPr>
      <w:bookmarkEnd w:id="1200"/>
      <w:r>
        <w:rPr>
          <w:rFonts w:ascii="IRNazanin" w:hAnsi="IRNazanin" w:eastAsia="IRNazanin"/>
          <w:color w:val="111111"/>
          <w:sz w:val="28"/>
          <w:sz w:val="28"/>
          <w:szCs w:val="28"/>
          <w:rtl w:val="true"/>
          <w:lang w:bidi="fa-IR"/>
        </w:rPr>
        <w:t xml:space="preserve">علی الجواز دون الفضل ، والذی یدل علی أنّ الکتان مکروه زائداً علی ما مضی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أحمد بن یحیی ، عن یعقوب بن یزید ، عن عدّة من أصحابنا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یکفّن المیت فی کتان </w:t>
      </w:r>
      <w:r>
        <w:rPr>
          <w:rFonts w:eastAsia="IRNazanin" w:cs="IRNazanin"/>
          <w:color w:val="111111"/>
          <w:sz w:val="28"/>
          <w:szCs w:val="28"/>
          <w:rtl w:val="true"/>
          <w:lang w:bidi="fa-IR"/>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کما تقدم </w:t>
      </w:r>
      <w:r>
        <w:rPr>
          <w:rStyle w:val="FootnoteAnchor"/>
          <w:rtl w:val="true"/>
        </w:rPr>
        <w:footnoteReference w:id="1776"/>
      </w:r>
      <w:r>
        <w:rPr>
          <w:rFonts w:ascii="IRNazanin" w:hAnsi="IRNazanin" w:eastAsia="IRNazanin"/>
          <w:color w:val="111111"/>
          <w:sz w:val="28"/>
          <w:sz w:val="28"/>
          <w:szCs w:val="28"/>
          <w:rtl w:val="true"/>
          <w:lang w:bidi="fa-IR"/>
        </w:rPr>
        <w:t xml:space="preserve">القول </w:t>
      </w:r>
      <w:r>
        <w:rPr>
          <w:rStyle w:val="FootnoteAnchor"/>
          <w:rtl w:val="true"/>
        </w:rPr>
        <w:footnoteReference w:id="1777"/>
      </w:r>
      <w:r>
        <w:rPr>
          <w:rFonts w:ascii="Amiri" w:hAnsi="Amiri" w:eastAsia="Amiri" w:cs="Amiri"/>
          <w:color w:val="111111"/>
          <w:sz w:val="28"/>
          <w:sz w:val="28"/>
          <w:szCs w:val="28"/>
          <w:rtl w:val="true"/>
          <w:lang w:bidi="ar-SA"/>
        </w:rPr>
        <w:t>فیه مکرّراً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خدیجة </w:t>
      </w:r>
      <w:r>
        <w:rPr>
          <w:rStyle w:val="FootnoteAnchor"/>
          <w:rtl w:val="true"/>
        </w:rPr>
        <w:footnoteReference w:id="1778"/>
      </w:r>
      <w:r>
        <w:rPr>
          <w:rFonts w:ascii="IRNazanin" w:hAnsi="IRNazanin" w:eastAsia="IRNazanin"/>
          <w:color w:val="111111"/>
          <w:sz w:val="28"/>
          <w:sz w:val="28"/>
          <w:szCs w:val="28"/>
          <w:rtl w:val="true"/>
          <w:lang w:bidi="fa-IR"/>
        </w:rPr>
        <w:t xml:space="preserve">المفضّل بن صالح ، وقد تقدّم أنّ الشیخ ذکره مهملاً فی کتابه </w:t>
      </w:r>
      <w:r>
        <w:rPr>
          <w:rStyle w:val="FootnoteAnchor"/>
          <w:rtl w:val="true"/>
        </w:rPr>
        <w:footnoteReference w:id="1779"/>
      </w:r>
      <w:r>
        <w:rPr>
          <w:rStyle w:val="FootnoteAnchor"/>
          <w:rtl w:val="true"/>
        </w:rPr>
        <w:footnoteReference w:id="1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ضعیف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إمّا عبد الرحمن ففی الفهرست مذکور أنّ له کتاباً یرویه القاسم بن محمد الجعفی ، ورواه ابن أبی حمزة </w:t>
      </w:r>
      <w:r>
        <w:rPr>
          <w:rStyle w:val="FootnoteAnchor"/>
          <w:rtl w:val="true"/>
        </w:rPr>
        <w:footnoteReference w:id="1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والنجاشی ذکر عبد الرحمن بن محمد بن أبی هاشم ووثّقه مرّتین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کتابه یرویه القاسم بن محمد</w:t>
      </w:r>
    </w:p>
    <w:p>
      <w:pPr>
        <w:pStyle w:val="Heading4"/>
        <w:numPr>
          <w:ilvl w:val="3"/>
          <w:numId w:val="1"/>
        </w:numPr>
        <w:rPr/>
      </w:pPr>
      <w:bookmarkStart w:id="1201" w:name="__RefHeading___Toc147374_2142443653"/>
      <w:bookmarkStart w:id="1202" w:name="_Toc465"/>
      <w:bookmarkEnd w:id="1201"/>
      <w:r>
        <w:rPr>
          <w:rtl w:val="true"/>
        </w:rPr>
        <w:t>بحث حول أبی خدیجة</w:t>
      </w:r>
      <w:bookmarkEnd w:id="120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3" w:name="__RefHeading___Toc147376_2142443653"/>
      <w:bookmarkStart w:id="1204" w:name="_Toc466"/>
      <w:bookmarkEnd w:id="1203"/>
      <w:r>
        <w:rPr>
          <w:rtl w:val="true"/>
        </w:rPr>
        <w:t>بحث حول عبدالرحمان بن أبی هاشم</w:t>
      </w:r>
      <w:bookmarkStart w:id="1205" w:name="pg15025_160575"/>
      <w:bookmarkEnd w:id="1204"/>
    </w:p>
    <w:p>
      <w:pPr>
        <w:pStyle w:val="BookText"/>
        <w:rPr/>
      </w:pPr>
      <w:bookmarkEnd w:id="1205"/>
      <w:r>
        <w:rPr>
          <w:rFonts w:ascii="IRNazanin" w:hAnsi="IRNazanin" w:eastAsia="IRNazanin"/>
          <w:color w:val="111111"/>
          <w:sz w:val="28"/>
          <w:sz w:val="28"/>
          <w:szCs w:val="28"/>
          <w:rtl w:val="true"/>
          <w:lang w:bidi="fa-IR"/>
        </w:rPr>
        <w:t xml:space="preserve">ابن حسین بن حازم عنه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سهل وقد تکرّر ذکره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محمد بن عمرو بن سعید فهو ابن الزیّات الثقة فی النجاشی </w:t>
      </w:r>
      <w:r>
        <w:rPr>
          <w:rStyle w:val="FootnoteAnchor"/>
          <w:rtl w:val="true"/>
        </w:rPr>
        <w:footnoteReference w:id="1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ویونس بن یعقوب قدّمنا ذکره </w:t>
      </w:r>
      <w:r>
        <w:rPr>
          <w:rStyle w:val="FootnoteAnchor"/>
          <w:rtl w:val="true"/>
        </w:rPr>
        <w:footnoteReference w:id="1786"/>
      </w:r>
      <w:r>
        <w:rPr>
          <w:rFonts w:ascii="IRNazanin" w:hAnsi="IRNazanin" w:eastAsia="IRNazanin"/>
          <w:color w:val="111111"/>
          <w:sz w:val="28"/>
          <w:sz w:val="28"/>
          <w:szCs w:val="28"/>
          <w:rtl w:val="true"/>
          <w:lang w:bidi="fa-IR"/>
        </w:rPr>
        <w:t xml:space="preserve">وأنّه کان فطحیّاً ورجع وکان ثقة علی ما ذکره النجاشی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الطریق إلی محمد بن الحسین غیر مذکور فی المشیخة ، ومحمد بن سعید </w:t>
      </w:r>
      <w:r>
        <w:rPr>
          <w:rStyle w:val="FootnoteAnchor"/>
          <w:rtl w:val="true"/>
        </w:rPr>
        <w:footnoteReference w:id="1788"/>
      </w:r>
      <w:r>
        <w:rPr>
          <w:rFonts w:ascii="IRNazanin" w:hAnsi="IRNazanin" w:eastAsia="IRNazanin"/>
          <w:color w:val="111111"/>
          <w:sz w:val="28"/>
          <w:sz w:val="28"/>
          <w:szCs w:val="28"/>
          <w:rtl w:val="true"/>
          <w:lang w:bidi="fa-IR"/>
        </w:rPr>
        <w:t xml:space="preserve">فیه اشتراک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وإسماعیل بن أبی زیاد لا یبعد أنّ یکون هو السکونی ؛ لظاهر الروایة عن علی علیه السلام مع احتمال غیره ، بل یتفق لغیره الروایة بهذه الصورة فیما أظن ، والفائدة مع الاشتراک وغیره منتفیة لولا وجه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الحسن بن راشد ، وهو مشترک فی مثل هذا السند بین الضعیف والثقة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الإرسال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البُرد بالضم ثوب مخطّط </w:t>
      </w:r>
      <w:r>
        <w:rPr>
          <w:rStyle w:val="FootnoteAnchor"/>
          <w:rtl w:val="true"/>
        </w:rPr>
        <w:footnoteReference w:id="1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السابری ثوب رقیق</w:t>
      </w:r>
    </w:p>
    <w:p>
      <w:pPr>
        <w:pStyle w:val="Heading4"/>
        <w:numPr>
          <w:ilvl w:val="3"/>
          <w:numId w:val="1"/>
        </w:numPr>
        <w:rPr/>
      </w:pPr>
      <w:bookmarkStart w:id="1206" w:name="__RefHeading___Toc147378_2142443653"/>
      <w:bookmarkStart w:id="1207" w:name="_Toc467"/>
      <w:bookmarkEnd w:id="1206"/>
      <w:r>
        <w:rPr>
          <w:rtl w:val="true"/>
        </w:rPr>
        <w:t>محمّد بن عمرو بن سعید هو ابن الزیّات الثقة</w:t>
      </w:r>
      <w:bookmarkEnd w:id="1207"/>
    </w:p>
    <w:p>
      <w:pPr>
        <w:pStyle w:val="Heading4"/>
        <w:numPr>
          <w:ilvl w:val="3"/>
          <w:numId w:val="1"/>
        </w:numPr>
        <w:rPr/>
      </w:pPr>
      <w:bookmarkStart w:id="1208" w:name="__RefHeading___Toc147380_2142443653"/>
      <w:bookmarkStart w:id="1209" w:name="_Toc468"/>
      <w:bookmarkEnd w:id="1208"/>
      <w:r>
        <w:rPr>
          <w:rtl w:val="true"/>
        </w:rPr>
        <w:t>یونس بن یعقوب ثقة</w:t>
      </w:r>
      <w:bookmarkEnd w:id="1209"/>
    </w:p>
    <w:p>
      <w:pPr>
        <w:pStyle w:val="Heading4"/>
        <w:numPr>
          <w:ilvl w:val="3"/>
          <w:numId w:val="1"/>
        </w:numPr>
        <w:rPr/>
      </w:pPr>
      <w:bookmarkStart w:id="1210" w:name="__RefHeading___Toc147382_2142443653"/>
      <w:bookmarkStart w:id="1211" w:name="_Toc469"/>
      <w:bookmarkEnd w:id="1210"/>
      <w:r>
        <w:rPr>
          <w:rtl w:val="true"/>
        </w:rPr>
        <w:t>محمّد بن سعید مشترک</w:t>
      </w:r>
      <w:bookmarkEnd w:id="1211"/>
    </w:p>
    <w:p>
      <w:pPr>
        <w:pStyle w:val="Heading4"/>
        <w:numPr>
          <w:ilvl w:val="3"/>
          <w:numId w:val="1"/>
        </w:numPr>
        <w:rPr/>
      </w:pPr>
      <w:bookmarkStart w:id="1212" w:name="__RefHeading___Toc147384_2142443653"/>
      <w:bookmarkStart w:id="1213" w:name="_Toc470"/>
      <w:bookmarkEnd w:id="1212"/>
      <w:r>
        <w:rPr>
          <w:rtl w:val="true"/>
        </w:rPr>
        <w:t>کلمة حول إسماعیل بن أبی زیاد</w:t>
      </w:r>
      <w:bookmarkEnd w:id="1213"/>
    </w:p>
    <w:p>
      <w:pPr>
        <w:pStyle w:val="Heading4"/>
        <w:numPr>
          <w:ilvl w:val="3"/>
          <w:numId w:val="1"/>
        </w:numPr>
        <w:rPr/>
      </w:pPr>
      <w:bookmarkStart w:id="1214" w:name="__RefHeading___Toc147386_2142443653"/>
      <w:bookmarkStart w:id="1215" w:name="_Toc471"/>
      <w:bookmarkEnd w:id="1214"/>
      <w:r>
        <w:rPr>
          <w:rtl w:val="true"/>
        </w:rPr>
        <w:t>الحسن بن راشد مشترک</w:t>
      </w:r>
      <w:bookmarkEnd w:id="121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6" w:name="__RefHeading___Toc147388_2142443653"/>
      <w:bookmarkStart w:id="1217" w:name="_Toc472"/>
      <w:bookmarkEnd w:id="1216"/>
      <w:r>
        <w:rPr>
          <w:rtl w:val="true"/>
        </w:rPr>
        <w:t xml:space="preserve">معنی </w:t>
      </w:r>
      <w:r>
        <w:rPr>
          <w:rtl w:val="true"/>
        </w:rPr>
        <w:t xml:space="preserve">: </w:t>
      </w:r>
      <w:r>
        <w:rPr>
          <w:rtl w:val="true"/>
        </w:rPr>
        <w:t>البُرد ، السابری ، الحُلّة والقصب</w:t>
      </w:r>
      <w:bookmarkStart w:id="1218" w:name="pg15025_160576"/>
      <w:bookmarkEnd w:id="1217"/>
    </w:p>
    <w:p>
      <w:pPr>
        <w:pStyle w:val="BookText"/>
        <w:rPr/>
      </w:pPr>
      <w:bookmarkEnd w:id="1218"/>
      <w:r>
        <w:rPr>
          <w:rFonts w:ascii="Amiri" w:hAnsi="Amiri" w:eastAsia="Amiri" w:cs="Amiri"/>
          <w:color w:val="111111"/>
          <w:sz w:val="28"/>
          <w:sz w:val="28"/>
          <w:szCs w:val="28"/>
          <w:rtl w:val="true"/>
          <w:lang w:bidi="ar-SA"/>
        </w:rPr>
        <w:t xml:space="preserve">جیّد </w:t>
      </w:r>
      <w:r>
        <w:rPr>
          <w:rStyle w:val="FootnoteAnchor"/>
          <w:rtl w:val="true"/>
        </w:rPr>
        <w:footnoteReference w:id="1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عنه أنّ الشطاة قریة بمصر </w:t>
      </w:r>
      <w:r>
        <w:rPr>
          <w:rStyle w:val="FootnoteAnchor"/>
          <w:rtl w:val="true"/>
        </w:rPr>
        <w:footnoteReference w:id="1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الحُلّة واحدة الحلل وهی برود الیمن ، ولا تسمّی حُلّة إلاّ أنّ تکون ثوبین من جنس واحد </w:t>
      </w:r>
      <w:r>
        <w:rPr>
          <w:rStyle w:val="FootnoteAnchor"/>
          <w:rtl w:val="true"/>
        </w:rPr>
        <w:footnoteReference w:id="1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الحُلّة بالضم إزار ورداء برد أو غیره ، ولا تکون حُلّة إلاّ من ثوبین أو ثوب له بطانة </w:t>
      </w:r>
      <w:r>
        <w:rPr>
          <w:rStyle w:val="FootnoteAnchor"/>
          <w:rtl w:val="true"/>
        </w:rPr>
        <w:footnoteReference w:id="1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القَصَب محرّکةً ثیاب ناعمة من کتان </w:t>
      </w:r>
      <w:r>
        <w:rPr>
          <w:rStyle w:val="FootnoteAnchor"/>
          <w:rtl w:val="true"/>
        </w:rPr>
        <w:footnoteReference w:id="1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القَصَب ضرب من برود الیمن ، سُمّی بذلک لأنّه یُصبغ بالقَصَب وهو نبت بالیمن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یدل علی أنّ الکفن یکون بُرداً ، فإنّ لم یکن فاجعله کلّه قطناً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قول القاموس فی البرد ، وقد یستفاد من ظاهر الخبر أنّ البُرد لیس قطناً </w:t>
      </w:r>
      <w:r>
        <w:rPr>
          <w:rFonts w:eastAsia="IRNazanin" w:cs="IRNazanin"/>
          <w:color w:val="111111"/>
          <w:sz w:val="28"/>
          <w:szCs w:val="28"/>
          <w:rtl w:val="true"/>
          <w:lang w:bidi="fa-IR"/>
        </w:rPr>
        <w:t xml:space="preserve">) </w:t>
      </w:r>
      <w:r>
        <w:rPr>
          <w:rStyle w:val="FootnoteAnchor"/>
          <w:rtl w:val="true"/>
        </w:rPr>
        <w:footnoteReference w:id="1798"/>
      </w:r>
      <w:r>
        <w:rPr>
          <w:rFonts w:ascii="IRNazanin" w:hAnsi="IRNazanin" w:eastAsia="IRNazanin"/>
          <w:color w:val="111111"/>
          <w:sz w:val="28"/>
          <w:sz w:val="28"/>
          <w:szCs w:val="28"/>
          <w:rtl w:val="true"/>
          <w:lang w:bidi="fa-IR"/>
        </w:rPr>
        <w:t>أو أنّه مخلوط بغیره ، فالدلالة علی مطلوب الشیخ خفیّة بالنسبة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فبتقدیر کون الثوبین کتّاناً کما یستفاد من غالب الثیاب بمصر یحتمل أنّ یکون الوجه فی الرجحان من جهة الإحرام فیهما ، وما قاله الشیخ بُعده ظاهر بعد دلالة روایة أبی خدیجة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9" w:name="__RefHeading___Toc147390_2142443653"/>
      <w:bookmarkStart w:id="1220" w:name="_Toc473"/>
      <w:bookmarkEnd w:id="1219"/>
      <w:r>
        <w:rPr>
          <w:rtl w:val="true"/>
        </w:rPr>
        <w:t>بیان الأخبار الناهیة عن التکفین بالکتان والحریر والجلد</w:t>
      </w:r>
      <w:bookmarkEnd w:id="1220"/>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فیه متوجه بتقدیر کون الحُلّة من غیر القطن أو منه علی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الشیخ فیه لا یخلو من غرابة ؛ لأنّ ذکره فی مقام المنافاة لما دلّ علی أنّ القطن أفضل حال کونه محضاً ، 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نمنع من الثیاب التی لا تجوز الصلاة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عن المقام ؛ لأن ظاهر العنوان أنّ الکفن لا یکون إلاّ قطناً ، وإرادة استحباب القطن الخالص من هذا الکلام وإنّ کانت ممکنة إلاّ أنّه لم یأت بدلیل علی أنّ القطن الخالص أفضل ، لتصیر هذه الروایة محمولة علی الجواز ، بل الظاهر من روایة یعقوب بن یزید نفی الکتّان ، ومن روایة أبی خدیجة أنّ القطن لُامّة محمّد علیه السلام دون الکتّان ، والتسدید لکلام الشیخ غیر بعید ،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عبارة الصدوق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Style w:val="FootnoteAnchor"/>
          <w:rtl w:val="true"/>
        </w:rPr>
        <w:footnoteReference w:id="1799"/>
      </w:r>
      <w:r>
        <w:rPr>
          <w:rFonts w:ascii="IRNazanin" w:hAnsi="IRNazanin" w:eastAsia="IRNazanin"/>
          <w:color w:val="111111"/>
          <w:sz w:val="28"/>
          <w:sz w:val="28"/>
          <w:szCs w:val="28"/>
          <w:rtl w:val="true"/>
          <w:lang w:bidi="fa-IR"/>
        </w:rPr>
        <w:t xml:space="preserve">یجوز أنّ یکفّن المیت فی کتّان ولا إبریشم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التکفین بالحریر ثابت بإجماعنا ، علی ما حکاه شیخنا قدس سره لکنه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روایة الحسن بن راشد ، وذکر الروایة موجّهاً للاستدلال بها أنّه علیه السلام شرط فی دفع البأس أنّ یکون القطن أکثر ، فعلم منه أنّه لو کان القزّ صرفاً لم یجز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 مفاد الروایة وجود البأس مع المساواة وغلبة القزّ أیضاً ، لکن الروایة لمّا کانت ضعیفة اکتفی فیها بالتأیید لدعوی الإجماع ، غیر أنّ عبارة المحقق فی الشرائع وقعت بأنه لا یجوز التکفین بالحریر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ونقل قدس سره فی الشرح الإجماع عن المعتبر بالحکم المستفاد من العبارة ، والظاهر من العبارة مطلق الحریر ، إلاّ أنّ نقله عن المعتبر تفسیر القَصَب الیمانی یدل علی أنّ المحقق ذکر الروایة ، فربما کان الغرض الحریر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المستفاد من کثیر من الأخبار اعتبار الثوب فی الکفن ، وقد وقع الخلاف فی الجلد فمنعه بعض </w:t>
      </w:r>
      <w:r>
        <w:rPr>
          <w:rStyle w:val="FootnoteAnchor"/>
          <w:rtl w:val="true"/>
        </w:rPr>
        <w:footnoteReference w:id="1803"/>
      </w:r>
      <w:r>
        <w:rPr>
          <w:rFonts w:ascii="IRNazanin" w:hAnsi="IRNazanin" w:eastAsia="IRNazanin"/>
          <w:color w:val="111111"/>
          <w:sz w:val="28"/>
          <w:sz w:val="28"/>
          <w:szCs w:val="28"/>
          <w:rtl w:val="true"/>
          <w:lang w:bidi="fa-IR"/>
        </w:rPr>
        <w:t>؛ لأنّ الثوب لا یصدق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بعض الصدق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جوّزوه فی الکفّارة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علی هذا بما ورد من قلع الجلد عن الشهید </w:t>
      </w:r>
      <w:r>
        <w:rPr>
          <w:rStyle w:val="FootnoteAnchor"/>
          <w:rtl w:val="true"/>
        </w:rPr>
        <w:footnoteReference w:id="1805"/>
      </w:r>
      <w:r>
        <w:rPr>
          <w:rFonts w:ascii="IRNazanin" w:hAnsi="IRNazanin" w:eastAsia="IRNazanin"/>
          <w:color w:val="111111"/>
          <w:sz w:val="28"/>
          <w:sz w:val="28"/>
          <w:szCs w:val="28"/>
          <w:rtl w:val="true"/>
          <w:lang w:bidi="fa-IR"/>
        </w:rPr>
        <w:t>، وفیه تأمّل ظاهر ، لأنّ القلع لا ینحصر وجهه فیما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یعلم أنّ ما اعترض به جدّی </w:t>
      </w:r>
      <w:r>
        <w:rPr>
          <w:rStyle w:val="FootnoteAnchor"/>
          <w:rtl w:val="true"/>
        </w:rPr>
        <w:footnoteReference w:id="1806"/>
      </w:r>
      <w:r>
        <w:rPr>
          <w:rFonts w:ascii="IRNazanin" w:hAnsi="IRNazanin" w:eastAsia="IRNazanin"/>
          <w:color w:val="111111"/>
          <w:sz w:val="28"/>
          <w:sz w:val="28"/>
          <w:szCs w:val="28"/>
          <w:rtl w:val="true"/>
          <w:lang w:bidi="fa-IR"/>
        </w:rPr>
        <w:t xml:space="preserve">قدس سره علی الشهید رحمه الله فی تقدیمه </w:t>
      </w:r>
      <w:r>
        <w:rPr>
          <w:rStyle w:val="FootnoteAnchor"/>
          <w:rtl w:val="true"/>
        </w:rPr>
        <w:footnoteReference w:id="1807"/>
      </w:r>
      <w:r>
        <w:rPr>
          <w:rFonts w:ascii="IRNazanin" w:hAnsi="IRNazanin" w:eastAsia="IRNazanin"/>
          <w:color w:val="111111"/>
          <w:sz w:val="28"/>
          <w:sz w:val="28"/>
          <w:szCs w:val="28"/>
          <w:rtl w:val="true"/>
          <w:lang w:bidi="fa-IR"/>
        </w:rPr>
        <w:t xml:space="preserve">الجلد علی النجس والحریر حال الضرورة مستدلاًّ عن الشهید بأنّ ما دلّ علی النهی عن النجس بالمنطوق ، وعن الجلد بمفهوم ما یدل علی قلعه ، والمنطوق أولی من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مفهوم الموافقة أقوی من المنطوق فیقدّم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 لأنّ مفهوم الموافقة مع ما فیه من الإشکال الذی أسلفناه یتوقف علی العلّة ، وکونها فی المسکوت عنه أولی ، والحال أنّ فی هذا </w:t>
      </w:r>
      <w:bookmarkStart w:id="1221" w:name="pg15025_160579"/>
    </w:p>
    <w:p>
      <w:pPr>
        <w:pStyle w:val="BookText"/>
        <w:rPr/>
      </w:pPr>
      <w:bookmarkEnd w:id="1221"/>
      <w:r>
        <w:rPr>
          <w:rFonts w:ascii="IRNazanin" w:hAnsi="IRNazanin" w:eastAsia="IRNazanin"/>
          <w:color w:val="111111"/>
          <w:sz w:val="28"/>
          <w:sz w:val="28"/>
          <w:szCs w:val="28"/>
          <w:rtl w:val="true"/>
          <w:lang w:bidi="fa-IR"/>
        </w:rPr>
        <w:t>المقام لا علّة ولا أولویّة ، وعلی تقدیر مفهوم الموافقة فقوّته علی المنطوق محلّ تأمّل ، وأظن وجهه غیر خفیّ إلاّ فی بعض الصور علی سبیل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ذکرناه یتوجه علی الشهید رحمه الله أیضاً ، إلاّ أنّ مشی جدی قدس سره علی ما قاله مع ظن الوضوح هو الموجب للغرابة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موضع الکافور من المیت</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بن یعقوب ، عن علی بن إبراهیم ، عن أبیه ، عن ابن أبی عمیر ، عن حمّاد ، عن الحلبی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تحنّط المیت فاعمد إلی الکافور فامسح به آثار السجود منه ومفاصله کلّها ورأسه ولحیته وعلی صدره من الحنوط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الحنوط للرجل والمرأة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وأکره أنّ یتبع بمجمرة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 عن أیوب بن نوح ، عن ابن مسکان ، عن الکاهلی وحسین بن المختار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یوضع الکافور من المیت علی موضع المساجد وعلی اللبّة وباطن القدمین وموضع الشراک من القدمین وعلی الرکبتین والراحتین والجبهة واللبّة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فضالة ، عن أبان ، عن عبد الرحمن بن أبی عبد الله قال </w:t>
      </w:r>
      <w:r>
        <w:rPr>
          <w:rStyle w:val="FootnoteAnchor"/>
          <w:rtl w:val="true"/>
        </w:rPr>
        <w:footnoteReference w:id="18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تجعل فی مسامع المیت حنوطاً </w:t>
      </w:r>
      <w:r>
        <w:rPr>
          <w:rFonts w:eastAsia="IRNazanin" w:cs="IRNazanin"/>
          <w:color w:val="111111"/>
          <w:sz w:val="28"/>
          <w:szCs w:val="28"/>
          <w:rtl w:val="true"/>
          <w:lang w:bidi="fa-IR"/>
        </w:rPr>
        <w:t>».</w:t>
      </w:r>
    </w:p>
    <w:p>
      <w:pPr>
        <w:pStyle w:val="Heading3"/>
        <w:numPr>
          <w:ilvl w:val="2"/>
          <w:numId w:val="1"/>
        </w:numPr>
        <w:rPr/>
      </w:pPr>
      <w:bookmarkStart w:id="1222" w:name="__RefHeading___Toc147392_2142443653"/>
      <w:bookmarkStart w:id="1223" w:name="_Toc474"/>
      <w:bookmarkEnd w:id="1222"/>
      <w:r>
        <w:rPr>
          <w:rtl w:val="true"/>
        </w:rPr>
        <w:t>موضع الکافور من المیت</w:t>
      </w:r>
      <w:bookmarkEnd w:id="122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4" w:name="__RefHeading___Toc147394_2142443653"/>
      <w:bookmarkStart w:id="1225" w:name="_Toc475"/>
      <w:bookmarkEnd w:id="1224"/>
      <w:r>
        <w:rPr>
          <w:rtl w:val="true"/>
        </w:rPr>
        <w:t>اشارة</w:t>
      </w:r>
      <w:bookmarkEnd w:id="1225"/>
    </w:p>
    <w:p>
      <w:pPr>
        <w:pStyle w:val="BookText"/>
        <w:rPr/>
      </w:pPr>
      <w:r>
        <w:rPr>
          <w:rFonts w:ascii="IRNazanin" w:hAnsi="IRNazanin" w:eastAsia="IRNazanin"/>
          <w:color w:val="111111"/>
          <w:sz w:val="28"/>
          <w:sz w:val="28"/>
          <w:szCs w:val="28"/>
          <w:rtl w:val="true"/>
          <w:lang w:bidi="fa-IR"/>
        </w:rPr>
        <w:t xml:space="preserve">فأمّا ما رواه علی بن الحسین ، عن محمّد بن أحمد بن علی ، عن عبد الله بن الصلت ، عن النضر بن سوید ، عن عبد الله بن سنان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أصنع بالحنوط؟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تضع فی فمه ومسامعه وآثار السجود من وجهه ویدیه ورکبتیه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فالوجه فی هذا الخبر أنّ نحمل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مسامعه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حروف الصفات یقوم بعضها مقام بعض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وَلَأُصَلِّبَنَّکُمْ فِی جُذُوعِ النَّخْلِ </w:t>
      </w:r>
      <w:r>
        <w:rPr>
          <w:rFonts w:eastAsia="Amiri" w:cs="Amiri" w:ascii="Amiri" w:hAnsi="Amiri"/>
          <w:color w:val="111111"/>
          <w:sz w:val="28"/>
          <w:szCs w:val="28"/>
          <w:rtl w:val="true"/>
          <w:lang w:bidi="ar-SA"/>
        </w:rPr>
        <w:t xml:space="preserve">) </w:t>
      </w:r>
      <w:r>
        <w:rPr>
          <w:rStyle w:val="FootnoteAnchor"/>
          <w:rtl w:val="true"/>
        </w:rPr>
        <w:footnoteReference w:id="1810"/>
      </w:r>
      <w:r>
        <w:rPr>
          <w:rFonts w:ascii="IRNazanin" w:hAnsi="IRNazanin" w:eastAsia="IRNazanin"/>
          <w:color w:val="111111"/>
          <w:sz w:val="28"/>
          <w:sz w:val="28"/>
          <w:szCs w:val="28"/>
          <w:rtl w:val="true"/>
          <w:lang w:bidi="fa-IR"/>
        </w:rPr>
        <w:t xml:space="preserve">وإنّما أراد علی جذوع النخل ، وإنّما فعلنا ذلک لیوافق الأخبار الأوّلة ویوافق </w:t>
      </w:r>
      <w:r>
        <w:rPr>
          <w:rStyle w:val="FootnoteAnchor"/>
          <w:rtl w:val="true"/>
        </w:rPr>
        <w:footnoteReference w:id="1811"/>
      </w:r>
      <w:r>
        <w:rPr>
          <w:rFonts w:ascii="IRNazanin" w:hAnsi="IRNazanin" w:eastAsia="IRNazanin"/>
          <w:color w:val="111111"/>
          <w:sz w:val="28"/>
          <w:sz w:val="28"/>
          <w:szCs w:val="28"/>
          <w:rtl w:val="true"/>
          <w:lang w:bidi="fa-IR"/>
        </w:rPr>
        <w:t xml:space="preserve">ما أوردناه فی شرح تکفین المیّت فی کتابنا الکبیر </w:t>
      </w:r>
      <w:r>
        <w:rPr>
          <w:rStyle w:val="FootnoteAnchor"/>
          <w:rtl w:val="true"/>
        </w:rPr>
        <w:footnoteReference w:id="1812"/>
      </w:r>
      <w:r>
        <w:rPr>
          <w:rFonts w:ascii="IRNazanin" w:hAnsi="IRNazanin" w:eastAsia="IRNazanin"/>
          <w:color w:val="111111"/>
          <w:sz w:val="28"/>
          <w:sz w:val="28"/>
          <w:szCs w:val="28"/>
          <w:rtl w:val="true"/>
          <w:lang w:bidi="fa-IR"/>
        </w:rPr>
        <w:t>ولا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علی بن محمد ، عن محمد بن خالد ، عن ابن أبی عمیر ، عن حمّاد ، عن حریز ، عن زرارة ، عن أبی جعفر وأبی عبد الله علیهماالسلام قالا </w:t>
      </w:r>
      <w:r>
        <w:rPr>
          <w:rStyle w:val="FootnoteAnchor"/>
          <w:rtl w:val="true"/>
        </w:rPr>
        <w:footnoteReference w:id="18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جففت المیت عمدت إلی الکافور فمسحت به آثار السجود ومفاصله کلها ، واجعل فی فیه ومسامعه ورأسه ولحیته من الحنوط ، وعلی فرجه وصدره </w:t>
      </w:r>
      <w:r>
        <w:rPr>
          <w:rFonts w:eastAsia="IRNazanin" w:cs="IRNazanin"/>
          <w:color w:val="111111"/>
          <w:sz w:val="28"/>
          <w:szCs w:val="28"/>
          <w:rtl w:val="true"/>
          <w:lang w:bidi="fa-IR"/>
        </w:rPr>
        <w:t xml:space="preserve">» </w:t>
      </w:r>
      <w:r>
        <w:rPr>
          <w:rStyle w:val="FootnoteAnchor"/>
          <w:rtl w:val="true"/>
        </w:rPr>
        <w:footnoteReference w:id="181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حنوط الرجل والمرأة سواء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فالوجه فیه أیضاً ما قدّمناه فی الخبر الأوّل سواء</w:t>
      </w:r>
      <w:r>
        <w:rPr>
          <w:rFonts w:eastAsia="IRNazanin" w:cs="IRNazanin"/>
          <w:color w:val="111111"/>
          <w:sz w:val="28"/>
          <w:szCs w:val="28"/>
          <w:rtl w:val="true"/>
          <w:lang w:bidi="fa-IR"/>
        </w:rPr>
        <w:t xml:space="preserve">. </w:t>
      </w:r>
      <w:bookmarkStart w:id="1226" w:name="pg15025_160581"/>
    </w:p>
    <w:p>
      <w:pPr>
        <w:pStyle w:val="BookText"/>
        <w:rPr/>
      </w:pPr>
      <w:bookmarkEnd w:id="1226"/>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فیه غیر معلوم ، مع عدم الطریق إلیه فی المشیخة ، واحتمال علاّن بعید بالنسبة إلی روایته عن أیوب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ابن مسکان فهو عبد الله علی الظاهر ، وروایة أیوب بن نوح عنه لا بُعد فیها ؛ لروایة من هو فی مرتبة أیوب عنه مثل محمد بن الحسین بن أبی الخطاب وإبراهیم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الکاهلی فهو عبد الله بن یحیی ، وله مدح فی الرجال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وحسین بن المختار واقفیٌ فی کتاب الشیخ </w:t>
      </w:r>
      <w:r>
        <w:rPr>
          <w:rStyle w:val="FootnoteAnchor"/>
          <w:rtl w:val="true"/>
        </w:rPr>
        <w:footnoteReference w:id="1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إرشاد المفید ما یفید توثیقه </w:t>
      </w:r>
      <w:r>
        <w:rPr>
          <w:rStyle w:val="FootnoteAnchor"/>
          <w:rtl w:val="true"/>
        </w:rPr>
        <w:footnoteReference w:id="1818"/>
      </w:r>
      <w:r>
        <w:rPr>
          <w:rFonts w:ascii="IRNazanin" w:hAnsi="IRNazanin" w:eastAsia="IRNazanin"/>
          <w:color w:val="111111"/>
          <w:sz w:val="28"/>
          <w:sz w:val="28"/>
          <w:szCs w:val="28"/>
          <w:rtl w:val="true"/>
          <w:lang w:bidi="fa-IR"/>
        </w:rPr>
        <w:t xml:space="preserve">، لکن الاعتماد علیه مشکل ، کما یعلم من مراجعة الکتاب فی التوثیق الموجود فیه لجماعة اختص بهم من دون کتب الرجال ، بل وقع التصریح بضعفهم من غیره علی وجه یقرب من الاتفاق ، ولعلّ مراده بالتوثیق معنی آخر ، ومعه لا یتم المطلوب فی هذا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إثبات الکتاب للمفید مشکل أیضاً کما ذکره الوالد قدس سره </w:t>
      </w:r>
      <w:r>
        <w:rPr>
          <w:rFonts w:eastAsia="IRNazanin" w:cs="IRNazanin"/>
          <w:color w:val="111111"/>
          <w:sz w:val="28"/>
          <w:szCs w:val="28"/>
          <w:rtl w:val="true"/>
          <w:lang w:bidi="fa-IR"/>
        </w:rPr>
        <w:t xml:space="preserve">) </w:t>
      </w:r>
      <w:r>
        <w:rPr>
          <w:rStyle w:val="FootnoteAnchor"/>
          <w:rtl w:val="true"/>
        </w:rPr>
        <w:footnoteReference w:id="1819"/>
      </w:r>
      <w:r>
        <w:rPr>
          <w:rFonts w:ascii="IRNazanin" w:hAnsi="IRNazanin" w:eastAsia="IRNazanin"/>
          <w:color w:val="111111"/>
          <w:sz w:val="28"/>
          <w:sz w:val="28"/>
          <w:szCs w:val="28"/>
          <w:rtl w:val="true"/>
          <w:lang w:bidi="fa-IR"/>
        </w:rPr>
        <w:t>وقد أشرنا إلی ذلک فیما سبق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الطریق إلی فضالة غیر مذکور فی المشیخة ، وفی</w:t>
      </w:r>
    </w:p>
    <w:p>
      <w:pPr>
        <w:pStyle w:val="Heading4"/>
        <w:numPr>
          <w:ilvl w:val="3"/>
          <w:numId w:val="1"/>
        </w:numPr>
        <w:rPr/>
      </w:pPr>
      <w:bookmarkStart w:id="1227" w:name="__RefHeading___Toc147396_2142443653"/>
      <w:bookmarkStart w:id="1228" w:name="_Toc476"/>
      <w:bookmarkEnd w:id="1227"/>
      <w:r>
        <w:rPr>
          <w:rtl w:val="true"/>
        </w:rPr>
        <w:t>علی بن محمّد الراوی عن أیوب بن نوح غیر معلوم</w:t>
      </w:r>
      <w:bookmarkEnd w:id="1228"/>
    </w:p>
    <w:p>
      <w:pPr>
        <w:pStyle w:val="Heading4"/>
        <w:numPr>
          <w:ilvl w:val="3"/>
          <w:numId w:val="1"/>
        </w:numPr>
        <w:rPr/>
      </w:pPr>
      <w:bookmarkStart w:id="1229" w:name="__RefHeading___Toc147398_2142443653"/>
      <w:bookmarkStart w:id="1230" w:name="_Toc477"/>
      <w:bookmarkEnd w:id="1229"/>
      <w:r>
        <w:rPr>
          <w:rtl w:val="true"/>
        </w:rPr>
        <w:t>کلمة حول روایة ایوب بن نوح عن عبدالله بن مسکان</w:t>
      </w:r>
      <w:bookmarkEnd w:id="1230"/>
    </w:p>
    <w:p>
      <w:pPr>
        <w:pStyle w:val="Heading4"/>
        <w:numPr>
          <w:ilvl w:val="3"/>
          <w:numId w:val="1"/>
        </w:numPr>
        <w:rPr/>
      </w:pPr>
      <w:bookmarkStart w:id="1231" w:name="__RefHeading___Toc147400_2142443653"/>
      <w:bookmarkStart w:id="1232" w:name="_Toc478"/>
      <w:bookmarkEnd w:id="1231"/>
      <w:r>
        <w:rPr>
          <w:rtl w:val="true"/>
        </w:rPr>
        <w:t>الکاهلی هو عبدالله بن یحیی وهو ممدوح</w:t>
      </w:r>
      <w:bookmarkEnd w:id="1232"/>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3" w:name="__RefHeading___Toc147402_2142443653"/>
      <w:bookmarkStart w:id="1234" w:name="_Toc479"/>
      <w:bookmarkEnd w:id="1233"/>
      <w:r>
        <w:rPr>
          <w:rtl w:val="true"/>
        </w:rPr>
        <w:t>بحث حول الحسین بن المختار</w:t>
      </w:r>
      <w:bookmarkStart w:id="1235" w:name="pg15025_160582"/>
      <w:bookmarkEnd w:id="1234"/>
    </w:p>
    <w:p>
      <w:pPr>
        <w:pStyle w:val="BookText"/>
        <w:rPr/>
      </w:pPr>
      <w:bookmarkEnd w:id="1235"/>
      <w:r>
        <w:rPr>
          <w:rFonts w:ascii="IRNazanin" w:hAnsi="IRNazanin" w:eastAsia="IRNazanin"/>
          <w:color w:val="111111"/>
          <w:sz w:val="28"/>
          <w:sz w:val="28"/>
          <w:szCs w:val="28"/>
          <w:rtl w:val="true"/>
          <w:lang w:bidi="fa-IR"/>
        </w:rPr>
        <w:t xml:space="preserve">الفهرست اختص الطریق بکتابه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روایة فضالة عن عبد الرحمن بواسطة أبان لا مانع منه ، وإنّ تقدّم من الشیخ روایة فضالة عن عبد الرحمن بغیر واسطة أبان فی باب الرجل یموت فی السفر </w:t>
      </w:r>
      <w:r>
        <w:rPr>
          <w:rStyle w:val="FootnoteAnchor"/>
          <w:rtl w:val="true"/>
        </w:rPr>
        <w:footnoteReference w:id="1821"/>
      </w:r>
      <w:r>
        <w:rPr>
          <w:rFonts w:ascii="IRNazanin" w:hAnsi="IRNazanin" w:eastAsia="IRNazanin"/>
          <w:color w:val="111111"/>
          <w:sz w:val="28"/>
          <w:sz w:val="28"/>
          <w:szCs w:val="28"/>
          <w:rtl w:val="true"/>
          <w:lang w:bidi="fa-IR"/>
        </w:rPr>
        <w:t xml:space="preserve">، ویأتی أیضاً ، فما قاله شیخنا أیّده الله فی فوائد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تقدم روایة فضالة عن عبد الرحمن بغیر واسطة أبان ویأتی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به مجرّد البیان فهو حق ، وإنّ أُرید غیره ففیه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أحمد بن علی وقد قدّمنا احتمال کونه ابن أبی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فوائد شیخنا أیّده الله هنا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کأنّه محمد ابن أبی قتادة علی بن محمد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یحتمل الغیر کما لا یخفی علی من راجع ما ذکره أصحاب الرجال أیضاً ، وبقیّة رجال السند لا یحتاج إلی البیان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علی بن محمد السابق علی ما یظن ، واحتمال التغایر ممکن ، لکن الفائدة منتفیة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Style w:val="FootnoteAnchor"/>
          <w:rtl w:val="true"/>
        </w:rPr>
        <w:footnoteReference w:id="1823"/>
      </w:r>
      <w:r>
        <w:rPr>
          <w:rFonts w:ascii="IRNazanin" w:hAnsi="IRNazanin" w:eastAsia="IRNazanin"/>
          <w:color w:val="111111"/>
          <w:sz w:val="28"/>
          <w:sz w:val="28"/>
          <w:szCs w:val="28"/>
          <w:rtl w:val="true"/>
          <w:lang w:bidi="fa-IR"/>
        </w:rPr>
        <w:t xml:space="preserve">الجمیع کما تری یدل علی أنّ وضع الحنوط غیر مختصّ بما قیّده جماعة من الأصحاب أعنی المساجد </w:t>
      </w:r>
      <w:r>
        <w:rPr>
          <w:rStyle w:val="FootnoteAnchor"/>
          <w:rtl w:val="true"/>
        </w:rPr>
        <w:footnoteReference w:id="1824"/>
      </w:r>
      <w:r>
        <w:rPr>
          <w:rFonts w:ascii="IRNazanin" w:hAnsi="IRNazanin" w:eastAsia="IRNazanin"/>
          <w:color w:val="111111"/>
          <w:sz w:val="28"/>
          <w:sz w:val="28"/>
          <w:szCs w:val="28"/>
          <w:rtl w:val="true"/>
          <w:lang w:bidi="fa-IR"/>
        </w:rPr>
        <w:t>، وما قاله المفید من إضافة</w:t>
      </w:r>
    </w:p>
    <w:p>
      <w:pPr>
        <w:pStyle w:val="Heading4"/>
        <w:numPr>
          <w:ilvl w:val="3"/>
          <w:numId w:val="1"/>
        </w:numPr>
        <w:rPr/>
      </w:pPr>
      <w:bookmarkStart w:id="1236" w:name="__RefHeading___Toc147404_2142443653"/>
      <w:bookmarkStart w:id="1237" w:name="_Toc480"/>
      <w:bookmarkEnd w:id="1236"/>
      <w:r>
        <w:rPr>
          <w:rtl w:val="true"/>
        </w:rPr>
        <w:t>کلمة حول روایة فضالة عن عبدالرحمان بن أبی عبدالله</w:t>
      </w:r>
      <w:bookmarkEnd w:id="1237"/>
    </w:p>
    <w:p>
      <w:pPr>
        <w:pStyle w:val="Heading4"/>
        <w:numPr>
          <w:ilvl w:val="3"/>
          <w:numId w:val="1"/>
        </w:numPr>
        <w:rPr/>
      </w:pPr>
      <w:bookmarkStart w:id="1238" w:name="__RefHeading___Toc147406_2142443653"/>
      <w:bookmarkStart w:id="1239" w:name="_Toc481"/>
      <w:bookmarkEnd w:id="1238"/>
      <w:r>
        <w:rPr>
          <w:rtl w:val="true"/>
        </w:rPr>
        <w:t>بحث حول محمّد بن أحمد بن علی</w:t>
      </w:r>
      <w:bookmarkEnd w:id="123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0" w:name="__RefHeading___Toc147408_2142443653"/>
      <w:bookmarkStart w:id="1241" w:name="_Toc482"/>
      <w:bookmarkEnd w:id="1240"/>
      <w:r>
        <w:rPr>
          <w:rtl w:val="true"/>
        </w:rPr>
        <w:t>بیان مواضع الحنوط من المیت</w:t>
      </w:r>
      <w:bookmarkEnd w:id="1241"/>
    </w:p>
    <w:p>
      <w:pPr>
        <w:pStyle w:val="BookText"/>
        <w:rPr/>
      </w:pPr>
      <w:r>
        <w:rPr>
          <w:rFonts w:ascii="IRNazanin" w:hAnsi="IRNazanin" w:eastAsia="IRNazanin"/>
          <w:color w:val="111111"/>
          <w:sz w:val="28"/>
          <w:sz w:val="28"/>
          <w:szCs w:val="28"/>
          <w:rtl w:val="true"/>
          <w:lang w:bidi="fa-IR"/>
        </w:rPr>
        <w:t xml:space="preserve">طرف الأنف کما سبق الإشارة إلی ذلک </w:t>
      </w:r>
      <w:r>
        <w:rPr>
          <w:rStyle w:val="FootnoteAnchor"/>
          <w:rtl w:val="true"/>
        </w:rPr>
        <w:footnoteReference w:id="1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أضاف السمع والبصر والفم والمغابن وهی الآباط وأُصول الأفخاذ </w:t>
      </w:r>
      <w:r>
        <w:rPr>
          <w:rStyle w:val="FootnoteAnchor"/>
          <w:rtl w:val="true"/>
        </w:rPr>
        <w:footnoteReference w:id="1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بعضها یدل علی ما قاله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شیخنا قدس سره روایة عبد الله بن سنان واصفاً لها بالصحة </w:t>
      </w:r>
      <w:r>
        <w:rPr>
          <w:rStyle w:val="FootnoteAnchor"/>
          <w:rtl w:val="true"/>
        </w:rPr>
        <w:footnoteReference w:id="1827"/>
      </w:r>
      <w:r>
        <w:rPr>
          <w:rFonts w:ascii="IRNazanin" w:hAnsi="IRNazanin" w:eastAsia="IRNazanin"/>
          <w:color w:val="111111"/>
          <w:sz w:val="28"/>
          <w:sz w:val="28"/>
          <w:szCs w:val="28"/>
          <w:rtl w:val="true"/>
          <w:lang w:bidi="fa-IR"/>
        </w:rPr>
        <w:t>، ولعلّها من غیر کتابی الشیخ ، أو أنّه اعتمد علی کون محمد بن أحمد هو ابن أبی قتادة ، ولا یخفی علیک الحال بعد وجود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ذکر جدّی قدس سره فی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تمسح مساجده بالکافور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الإجماع واقع علی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Style w:val="FootnoteAnchor"/>
          <w:rtl w:val="true"/>
        </w:rPr>
        <w:footnoteReference w:id="1828"/>
      </w:r>
      <w:r>
        <w:rPr>
          <w:rStyle w:val="FootnoteAnchor"/>
          <w:rtl w:val="true"/>
        </w:rPr>
        <w:footnoteReference w:id="1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مراده بالإجماع أنّ القدر المذکور متفق علیه ، إمّا للاختصاص ، أو لکونه فی ضمن غیره ، وإلاّ فالخلاف موجود ، أو أنّه اعتمد علی ما نقل عن الشیخ فی الخلاف أنّه ادّعی إجماع الفرقة علی المساجد </w:t>
      </w:r>
      <w:r>
        <w:rPr>
          <w:rStyle w:val="FootnoteAnchor"/>
          <w:rtl w:val="true"/>
        </w:rPr>
        <w:footnoteReference w:id="1830"/>
      </w:r>
      <w:r>
        <w:rPr>
          <w:rFonts w:ascii="IRNazanin" w:hAnsi="IRNazanin" w:eastAsia="IRNazanin"/>
          <w:color w:val="111111"/>
          <w:sz w:val="28"/>
          <w:sz w:val="28"/>
          <w:szCs w:val="28"/>
          <w:rtl w:val="true"/>
          <w:lang w:bidi="fa-IR"/>
        </w:rPr>
        <w:t>، والأمر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غریب ما وقع أنّ العلاّمة فی المختلف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علی أنف المیت ولا اذنُه ولا عینه ولا فیه شی‌ء من الکافور والقطن ، واستدل علیه بالإجماع</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علی مواضع السجود منه کافوراً مسحوقاً ، وعدّ الأنف من جملة مواضع السجود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منه علی ظهر أنفه الذی کان یرغم به لربّه فی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یونس عن رجاله ، وذکر الروایة إلی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اعمد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کافور مسحوق </w:t>
      </w:r>
      <w:r>
        <w:rPr>
          <w:rFonts w:eastAsia="IRNazanin" w:cs="IRNazanin"/>
          <w:color w:val="111111"/>
          <w:sz w:val="28"/>
          <w:szCs w:val="28"/>
          <w:rtl w:val="true"/>
          <w:lang w:bidi="fa-IR"/>
        </w:rPr>
        <w:t xml:space="preserve">) </w:t>
      </w:r>
      <w:r>
        <w:rPr>
          <w:rStyle w:val="FootnoteAnchor"/>
          <w:rtl w:val="true"/>
        </w:rPr>
        <w:footnoteReference w:id="1831"/>
      </w:r>
      <w:r>
        <w:rPr>
          <w:rFonts w:ascii="IRNazanin" w:hAnsi="IRNazanin" w:eastAsia="IRNazanin"/>
          <w:color w:val="111111"/>
          <w:sz w:val="28"/>
          <w:sz w:val="28"/>
          <w:szCs w:val="28"/>
          <w:rtl w:val="true"/>
          <w:lang w:bidi="fa-IR"/>
        </w:rPr>
        <w:t xml:space="preserve">وضعه علی جبهته موضع سجوده وامسح بالکافور علی جمیع مغابنه من الیدین والرجلین ومن وسط راحتیه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تمام الحدیث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تجعل فی منخریه ولا فی بصره ولا فی مسامعه ولا وجهه قطناً ولا کافوراً </w:t>
      </w:r>
      <w:r>
        <w:rPr>
          <w:rFonts w:eastAsia="IRNazanin" w:cs="IRNazanin"/>
          <w:color w:val="111111"/>
          <w:sz w:val="28"/>
          <w:szCs w:val="28"/>
          <w:rtl w:val="true"/>
          <w:lang w:bidi="fa-IR"/>
        </w:rPr>
        <w:t xml:space="preserve">»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احتجاج المفید بما رواه الحلبی فی الحسن عن أبی عبد الله علیه السلام ، وذکر الروایة الاولی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یعمّ المواضع التی یجب علیها السجود ویستحب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أجاب العلاّمة بأنّ آثار السجود إنّما یفهم منها عند الإطلاق المساجد السبعة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 خبر یونس إنّما تضمن النهی عن جعل الحنوط فی المنخر ، وکلام الشیخ فی الخلاف یقتضی أنّ لا یترک علی الأنف </w:t>
      </w:r>
      <w:r>
        <w:rPr>
          <w:rStyle w:val="FootnoteAnchor"/>
          <w:rtl w:val="true"/>
        </w:rPr>
        <w:footnoteReference w:id="1834"/>
      </w:r>
      <w:r>
        <w:rPr>
          <w:rFonts w:ascii="IRNazanin" w:hAnsi="IRNazanin" w:eastAsia="IRNazanin"/>
          <w:color w:val="111111"/>
          <w:sz w:val="28"/>
          <w:sz w:val="28"/>
          <w:szCs w:val="28"/>
          <w:rtl w:val="true"/>
          <w:lang w:bidi="fa-IR"/>
        </w:rPr>
        <w:t xml:space="preserve">، وقد تقدم </w:t>
      </w:r>
      <w:r>
        <w:rPr>
          <w:rStyle w:val="FootnoteAnchor"/>
          <w:rtl w:val="true"/>
        </w:rPr>
        <w:footnoteReference w:id="1835"/>
      </w:r>
      <w:r>
        <w:rPr>
          <w:rFonts w:ascii="IRNazanin" w:hAnsi="IRNazanin" w:eastAsia="IRNazanin"/>
          <w:color w:val="111111"/>
          <w:sz w:val="28"/>
          <w:sz w:val="28"/>
          <w:szCs w:val="28"/>
          <w:rtl w:val="true"/>
          <w:lang w:bidi="fa-IR"/>
        </w:rPr>
        <w:t xml:space="preserve">من الشیخ فی باب کیفیّة غُسل المیت روایة حمران ، وفیها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والحنوط کیف أصنع </w:t>
      </w:r>
      <w:r>
        <w:rPr>
          <w:rStyle w:val="FootnoteAnchor"/>
          <w:rtl w:val="true"/>
        </w:rPr>
        <w:footnoteReference w:id="1836"/>
      </w:r>
      <w:r>
        <w:rPr>
          <w:rFonts w:ascii="IRNazanin" w:hAnsi="IRNazanin" w:eastAsia="IRNazanin"/>
          <w:color w:val="111111"/>
          <w:sz w:val="28"/>
          <w:sz w:val="28"/>
          <w:szCs w:val="28"/>
          <w:rtl w:val="true"/>
          <w:lang w:bidi="fa-IR"/>
        </w:rPr>
        <w:t xml:space="preserve">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یوضع فی منخره وموضع </w:t>
      </w:r>
    </w:p>
    <w:p>
      <w:pPr>
        <w:pStyle w:val="BookText"/>
        <w:rPr/>
      </w:pPr>
      <w:r>
        <w:rPr>
          <w:rFonts w:ascii="IRNazanin" w:hAnsi="IRNazanin" w:eastAsia="IRNazanin"/>
          <w:color w:val="111111"/>
          <w:sz w:val="28"/>
          <w:sz w:val="28"/>
          <w:szCs w:val="28"/>
          <w:rtl w:val="true"/>
          <w:lang w:bidi="fa-IR"/>
        </w:rPr>
        <w:t xml:space="preserve">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فیما سبق </w:t>
      </w:r>
      <w:r>
        <w:rPr>
          <w:rStyle w:val="FootnoteAnchor"/>
          <w:rtl w:val="true"/>
        </w:rPr>
        <w:footnoteReference w:id="1837"/>
      </w:r>
      <w:r>
        <w:rPr>
          <w:rFonts w:ascii="IRNazanin" w:hAnsi="IRNazanin" w:eastAsia="IRNazanin"/>
          <w:color w:val="111111"/>
          <w:sz w:val="28"/>
          <w:sz w:val="28"/>
          <w:szCs w:val="28"/>
          <w:rtl w:val="true"/>
          <w:lang w:bidi="fa-IR"/>
        </w:rPr>
        <w:t xml:space="preserve">أنّه لا یبعد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الشیخ هنا من جواز استعمالها ، وأنت خبیر بأنّ ما ذکرناه یتأیّد بما تضمّنه خبر یونس بسبب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الشیخ الإجماع علی ما نقله العلاّمة عنه علی أنّه لا یترک علی الأنف ، لو حملنا کلامه علی ظاهره لأدّی إلی المنافاة لقول المفید وهو شیخه ، فکیف یدعی الإجماع علی خلافه ، ومثل هذا لا ینبغی الغفلة فی الاستدلال عنه مع تعارض الأخبار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روایة یونس تضمنت وضع الحنوط علی الجبهة من مواضع السجود فقط وجمیع المغابن من الیدین والرجلین ومن وسط راحتیه ، فإنّ أراد العلاّمة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 الاستدلال علی عدم الوضع علی الأنف وما معه ، أمکن التوجیه فی دفع ما 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الروایة علی خلاف ما علیه المعروفون من الأصحاب </w:t>
      </w:r>
      <w:r>
        <w:rPr>
          <w:rStyle w:val="FootnoteAnchor"/>
          <w:rtl w:val="true"/>
        </w:rPr>
        <w:footnoteReference w:id="1838"/>
      </w:r>
      <w:r>
        <w:rPr>
          <w:rFonts w:ascii="IRNazanin" w:hAnsi="IRNazanin" w:eastAsia="IRNazanin"/>
          <w:color w:val="111111"/>
          <w:sz w:val="28"/>
          <w:sz w:val="28"/>
          <w:szCs w:val="28"/>
          <w:rtl w:val="true"/>
          <w:lang w:bidi="fa-IR"/>
        </w:rPr>
        <w:t xml:space="preserve">ومن اعتبار المساجد السبعة ، لکن الروایة الأخیرة هنا </w:t>
      </w:r>
      <w:r>
        <w:rPr>
          <w:rStyle w:val="FootnoteAnchor"/>
          <w:rtl w:val="true"/>
        </w:rPr>
        <w:footnoteReference w:id="1839"/>
      </w:r>
      <w:r>
        <w:rPr>
          <w:rFonts w:ascii="IRNazanin" w:hAnsi="IRNazanin" w:eastAsia="IRNazanin"/>
          <w:color w:val="111111"/>
          <w:sz w:val="28"/>
          <w:sz w:val="28"/>
          <w:szCs w:val="28"/>
          <w:rtl w:val="true"/>
          <w:lang w:bidi="fa-IR"/>
        </w:rPr>
        <w:t>تنافی ما رواه یونس ؛ لتضمّنها وضع الحنوط فی فیه ومسامعه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الشیخ فی تأویلها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علی أنّ الوضع علی الفم فکیف یقول فی الخلاف لا یترک علی فیه </w:t>
      </w:r>
      <w:r>
        <w:rPr>
          <w:rStyle w:val="FootnoteAnchor"/>
          <w:rtl w:val="true"/>
        </w:rPr>
        <w:footnoteReference w:id="1840"/>
      </w:r>
      <w:r>
        <w:rPr>
          <w:rFonts w:ascii="IRNazanin" w:hAnsi="IRNazanin" w:eastAsia="IRNazanin"/>
          <w:color w:val="111111"/>
          <w:sz w:val="28"/>
          <w:sz w:val="28"/>
          <w:szCs w:val="28"/>
          <w:rtl w:val="true"/>
          <w:lang w:bidi="fa-IR"/>
        </w:rPr>
        <w:t>؟ وهل هذا إلاّ تنافٍ فی کلامیه؟ فکیف یستدل العلاّمة بالخبر مع عدم الالتفات إلی المعارض وما فی کلامی الشیخ؟</w:t>
      </w:r>
      <w:r>
        <w:rPr>
          <w:rFonts w:eastAsia="IRNazanin" w:cs="IRNazanin"/>
          <w:color w:val="111111"/>
          <w:sz w:val="28"/>
          <w:szCs w:val="28"/>
          <w:rtl w:val="true"/>
          <w:lang w:bidi="fa-IR"/>
        </w:rPr>
        <w:t xml:space="preserve">! </w:t>
      </w:r>
      <w:bookmarkStart w:id="1242" w:name="pg15025_160586"/>
    </w:p>
    <w:p>
      <w:pPr>
        <w:pStyle w:val="BookText"/>
        <w:rPr/>
      </w:pPr>
      <w:bookmarkEnd w:id="1242"/>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فاختلاف الأخبار فی الحنوط ربما یؤذن بالاستحباب ، لکن وجوب الحنوط علی المساجد قد سمعت القول فیه </w:t>
      </w:r>
      <w:r>
        <w:rPr>
          <w:rStyle w:val="FootnoteAnchor"/>
          <w:rtl w:val="true"/>
        </w:rPr>
        <w:footnoteReference w:id="1841"/>
      </w:r>
      <w:r>
        <w:rPr>
          <w:rFonts w:ascii="IRNazanin" w:hAnsi="IRNazanin" w:eastAsia="IRNazanin"/>
          <w:color w:val="111111"/>
          <w:sz w:val="28"/>
          <w:sz w:val="28"/>
          <w:szCs w:val="28"/>
          <w:rtl w:val="true"/>
          <w:lang w:bidi="fa-IR"/>
        </w:rPr>
        <w:t xml:space="preserve">، ووجدت فی کلام بعض أهل الخلاف </w:t>
      </w:r>
      <w:r>
        <w:rPr>
          <w:rStyle w:val="FootnoteAnchor"/>
          <w:rtl w:val="true"/>
        </w:rPr>
        <w:footnoteReference w:id="1842"/>
      </w:r>
      <w:r>
        <w:rPr>
          <w:rFonts w:ascii="IRNazanin" w:hAnsi="IRNazanin" w:eastAsia="IRNazanin"/>
          <w:color w:val="111111"/>
          <w:sz w:val="28"/>
          <w:sz w:val="28"/>
          <w:szCs w:val="28"/>
          <w:rtl w:val="true"/>
          <w:lang w:bidi="fa-IR"/>
        </w:rPr>
        <w:t>ما یقتضی حمل ما دلّ علی وضع الحنوط فی الفم والأنف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المعتبر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اختلاف الأخبار فی مقدار کافور الحنوط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الروایات کلّها ضعف ، فإذاً الواجب الاقتصار علی ما یحصل به الامتثال ، ویحمل ذلک یعنی ما فی الأخبار علی الفضیلة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ذکره رحمه الله وجه ، وعلی هذا فأقلّ الفضل فی مثقال ، ثمّ ما فوقه إلی ثلاثة عشر وثُلث ، کما هو المشهور من تقسیمه صلی الله علیه و آله الأربعین بینه وبین علی وفاطمة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وللأصحاب خلاف أیضاً فی مشارکة الغُسل للحنوط فی المقادیر ، فنفاها جماعة ؛ لمرفوعة علی بن إبراهیم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فی الحنوط ثلاثة عشر درهماً وثُلث أکثره </w:t>
      </w:r>
      <w:r>
        <w:rPr>
          <w:rFonts w:eastAsia="IRNazanin" w:cs="IRNazanin"/>
          <w:color w:val="111111"/>
          <w:sz w:val="28"/>
          <w:szCs w:val="28"/>
          <w:rtl w:val="true"/>
          <w:lang w:bidi="fa-IR"/>
        </w:rPr>
        <w:t xml:space="preserve">» </w:t>
      </w:r>
      <w:r>
        <w:rPr>
          <w:rStyle w:val="FootnoteAnchor"/>
          <w:rtl w:val="true"/>
        </w:rPr>
        <w:footnoteReference w:id="1844"/>
      </w:r>
      <w:r>
        <w:rPr>
          <w:rFonts w:ascii="IRNazanin" w:hAnsi="IRNazanin" w:eastAsia="IRNazanin"/>
          <w:color w:val="111111"/>
          <w:sz w:val="28"/>
          <w:sz w:val="28"/>
          <w:szCs w:val="28"/>
          <w:rtl w:val="true"/>
          <w:lang w:bidi="fa-IR"/>
        </w:rPr>
        <w:t>والاحتیاط سهل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اللَّبَب ، المنحر کاللَّبَّة وموضع القلادة من الصدر </w:t>
      </w:r>
      <w:r>
        <w:rPr>
          <w:rStyle w:val="FootnoteAnchor"/>
          <w:rtl w:val="true"/>
        </w:rPr>
        <w:footnoteReference w:id="1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الحنوط کصبور وکتاب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طیبٍ یُخلَط للمیت </w:t>
      </w:r>
      <w:r>
        <w:rPr>
          <w:rStyle w:val="FootnoteAnchor"/>
          <w:rtl w:val="true"/>
        </w:rPr>
        <w:footnoteReference w:id="1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p>
    <w:p>
      <w:pPr>
        <w:pStyle w:val="Heading4"/>
        <w:numPr>
          <w:ilvl w:val="3"/>
          <w:numId w:val="1"/>
        </w:numPr>
        <w:rPr/>
      </w:pPr>
      <w:bookmarkStart w:id="1243" w:name="__RefHeading___Toc147410_2142443653"/>
      <w:bookmarkStart w:id="1244" w:name="_Toc483"/>
      <w:bookmarkEnd w:id="1243"/>
      <w:r>
        <w:rPr>
          <w:rtl w:val="true"/>
        </w:rPr>
        <w:t>مقدار کافور الحنوط</w:t>
      </w:r>
      <w:bookmarkEnd w:id="1244"/>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5" w:name="__RefHeading___Toc147412_2142443653"/>
      <w:bookmarkStart w:id="1246" w:name="_Toc484"/>
      <w:bookmarkEnd w:id="1245"/>
      <w:r>
        <w:rPr>
          <w:rtl w:val="true"/>
        </w:rPr>
        <w:t>معننی الَّبَّة والحَنوط وعَمَدَ</w:t>
      </w:r>
      <w:bookmarkStart w:id="1247" w:name="pg15025_160587"/>
      <w:bookmarkEnd w:id="1246"/>
    </w:p>
    <w:p>
      <w:pPr>
        <w:pStyle w:val="BookText"/>
        <w:rPr/>
      </w:pPr>
      <w:bookmarkEnd w:id="1247"/>
      <w:r>
        <w:rPr>
          <w:rFonts w:ascii="IRNazanin" w:hAnsi="IRNazanin" w:eastAsia="IRNazanin"/>
          <w:color w:val="111111"/>
          <w:sz w:val="28"/>
          <w:sz w:val="28"/>
          <w:szCs w:val="28"/>
          <w:rtl w:val="true"/>
          <w:lang w:bidi="fa-IR"/>
        </w:rPr>
        <w:t xml:space="preserve">عمد للشی‌ء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قصده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السنّة فی حلّ الأزرار عند نزول القبر</w:t>
      </w:r>
    </w:p>
    <w:p>
      <w:pPr>
        <w:pStyle w:val="BookText"/>
        <w:rPr/>
      </w:pPr>
      <w:r>
        <w:rPr>
          <w:rFonts w:ascii="IRNazanin" w:hAnsi="IRNazanin" w:eastAsia="IRNazanin"/>
          <w:color w:val="111111"/>
          <w:sz w:val="28"/>
          <w:sz w:val="28"/>
          <w:szCs w:val="28"/>
          <w:rtl w:val="true"/>
          <w:lang w:bidi="fa-IR"/>
        </w:rPr>
        <w:t xml:space="preserve">أخبرنی الحسین بن عبید الله ، عن أحمد بن محمد بن یحیی ، عن أبیه ، عن محمد بن أحمد بن یحیی ، عن محمد بن عبد الله المسمعی ، عن إسماعیل بن یسار </w:t>
      </w:r>
      <w:r>
        <w:rPr>
          <w:rStyle w:val="FootnoteAnchor"/>
          <w:rtl w:val="true"/>
        </w:rPr>
        <w:footnoteReference w:id="1848"/>
      </w:r>
      <w:r>
        <w:rPr>
          <w:rFonts w:ascii="IRNazanin" w:hAnsi="IRNazanin" w:eastAsia="IRNazanin"/>
          <w:color w:val="111111"/>
          <w:sz w:val="28"/>
          <w:sz w:val="28"/>
          <w:szCs w:val="28"/>
          <w:rtl w:val="true"/>
          <w:lang w:bidi="fa-IR"/>
        </w:rPr>
        <w:t xml:space="preserve">الواسطی ، عن سیف بن عمیرة ، عن أبی بکر الحضرمی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تنزل القبر وعلیک عمامة ولا قلنسوة ولا رداء ولا حذاء وحلّ أزرارک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بالخفّ فی وقت الضرورة والتقیة ولیجهد </w:t>
      </w:r>
      <w:r>
        <w:rPr>
          <w:rStyle w:val="FootnoteAnchor"/>
          <w:rtl w:val="true"/>
        </w:rPr>
        <w:footnoteReference w:id="1849"/>
      </w:r>
      <w:r>
        <w:rPr>
          <w:rFonts w:ascii="IRNazanin" w:hAnsi="IRNazanin" w:eastAsia="IRNazanin"/>
          <w:color w:val="111111"/>
          <w:sz w:val="28"/>
          <w:sz w:val="28"/>
          <w:szCs w:val="28"/>
          <w:rtl w:val="true"/>
          <w:lang w:bidi="fa-IR"/>
        </w:rPr>
        <w:t xml:space="preserve">فی ذلک جهده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بن أحمد بن یحیی ، عن یعقوب بن یزید ، عن إبراهیم بن عقبة ، عن محمد بن إسماعیل بن بزیع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الحسن علیه السلام دخل القبر ولم یحلّ أزراره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هذا الخبر رفع الحظر عمّن لم یحلّ أزراره ؛ لأنّ فعل ذلک من المسنونات دون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محمد بن عبد الله المسمعی ولم أقف علیه فی</w:t>
      </w:r>
    </w:p>
    <w:p>
      <w:pPr>
        <w:pStyle w:val="Heading3"/>
        <w:numPr>
          <w:ilvl w:val="2"/>
          <w:numId w:val="1"/>
        </w:numPr>
        <w:rPr/>
      </w:pPr>
      <w:bookmarkStart w:id="1248" w:name="__RefHeading___Toc147414_2142443653"/>
      <w:bookmarkStart w:id="1249" w:name="_Toc485"/>
      <w:bookmarkEnd w:id="1248"/>
      <w:r>
        <w:rPr>
          <w:rtl w:val="true"/>
        </w:rPr>
        <w:t>السنّة فی حلّ الأزرار عند نزول القبر</w:t>
      </w:r>
      <w:bookmarkEnd w:id="1249"/>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0" w:name="__RefHeading___Toc147416_2142443653"/>
      <w:bookmarkStart w:id="1251" w:name="_Toc486"/>
      <w:bookmarkEnd w:id="1250"/>
      <w:r>
        <w:rPr>
          <w:rtl w:val="true"/>
        </w:rPr>
        <w:t>محمّد بن عبدالله المسمعی غیر مذکور فی الرجال</w:t>
      </w:r>
      <w:bookmarkStart w:id="1252" w:name="pg15025_160588"/>
      <w:bookmarkEnd w:id="1251"/>
    </w:p>
    <w:p>
      <w:pPr>
        <w:pStyle w:val="BookText"/>
        <w:rPr/>
      </w:pPr>
      <w:bookmarkEnd w:id="1252"/>
      <w:r>
        <w:rPr>
          <w:rFonts w:ascii="IRNazanin" w:hAnsi="IRNazanin" w:eastAsia="IRNazanin"/>
          <w:color w:val="111111"/>
          <w:sz w:val="28"/>
          <w:sz w:val="28"/>
          <w:szCs w:val="28"/>
          <w:rtl w:val="true"/>
          <w:lang w:bidi="fa-IR"/>
        </w:rPr>
        <w:t xml:space="preserve">الرجال ، وأمّا إسماعیل بن یسار ففی الرجال ابن یسار الهاشمی ، لا الواسطی ، ولا یبعد أنّ یکون واحداً ؛ لأنّ الهاشمی ذکره النجاشی </w:t>
      </w:r>
      <w:r>
        <w:rPr>
          <w:rStyle w:val="FootnoteAnchor"/>
          <w:rtl w:val="true"/>
        </w:rPr>
        <w:footnoteReference w:id="1850"/>
      </w:r>
      <w:r>
        <w:rPr>
          <w:rFonts w:ascii="IRNazanin" w:hAnsi="IRNazanin" w:eastAsia="IRNazanin"/>
          <w:color w:val="111111"/>
          <w:sz w:val="28"/>
          <w:sz w:val="28"/>
          <w:szCs w:val="28"/>
          <w:rtl w:val="true"/>
          <w:lang w:bidi="fa-IR"/>
        </w:rPr>
        <w:t xml:space="preserve">، والشیخ ذکر ابن یسار البصری </w:t>
      </w:r>
      <w:r>
        <w:rPr>
          <w:rStyle w:val="FootnoteAnchor"/>
          <w:rtl w:val="true"/>
        </w:rPr>
        <w:footnoteReference w:id="1851"/>
      </w:r>
      <w:r>
        <w:rPr>
          <w:rFonts w:ascii="IRNazanin" w:hAnsi="IRNazanin" w:eastAsia="IRNazanin"/>
          <w:color w:val="111111"/>
          <w:sz w:val="28"/>
          <w:sz w:val="28"/>
          <w:szCs w:val="28"/>
          <w:rtl w:val="true"/>
          <w:lang w:bidi="fa-IR"/>
        </w:rPr>
        <w:t xml:space="preserve">والموجود فی النسخ بالنون ، وأظن أنه بالباء الموحدة والشین المعجمة وواسط من نواحی البصرة ، وعلی کل حال فالرجل غیر ثقة ولا ممدوح ، بل الهاشمی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أصحابنا بالضعف </w:t>
      </w:r>
      <w:r>
        <w:rPr>
          <w:rStyle w:val="FootnoteAnchor"/>
          <w:rtl w:val="true"/>
        </w:rPr>
        <w:footnoteReference w:id="1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الاتحاد لا تخفی الحقیقة ، وغیر المذکورین تقدّم القول فیهما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إبراهیم بن عقبة ، وهو مذکور مهملاً فی رجال الهادی علیه السلام من کتاب الشیخ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الخبرین ظاهر ، وما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فعله علیه السلام لرفع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وجه ، ویحتمل أن یکون لخوف ضرر علی البدن ، وقد روی الشیخ فی التهذیب عن سیف بن عمیرة روایة أُخری قال فیها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بالخفّ فإنّ فی خلع الخفّ شناعة </w:t>
      </w:r>
      <w:r>
        <w:rPr>
          <w:rFonts w:eastAsia="IRNazanin" w:cs="IRNazanin"/>
          <w:color w:val="111111"/>
          <w:sz w:val="28"/>
          <w:szCs w:val="28"/>
          <w:rtl w:val="true"/>
          <w:lang w:bidi="fa-IR"/>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3" w:name="__RefHeading___Toc147418_2142443653"/>
      <w:bookmarkStart w:id="1254" w:name="_Toc487"/>
      <w:bookmarkEnd w:id="1253"/>
      <w:r>
        <w:rPr>
          <w:rtl w:val="true"/>
        </w:rPr>
        <w:t>بحث حول إسماعیل بن یسار</w:t>
      </w:r>
      <w:bookmarkEnd w:id="1254"/>
    </w:p>
    <w:p>
      <w:pPr>
        <w:pStyle w:val="Heading4"/>
        <w:numPr>
          <w:ilvl w:val="3"/>
          <w:numId w:val="1"/>
        </w:numPr>
        <w:rPr/>
      </w:pPr>
      <w:bookmarkStart w:id="1255" w:name="__RefHeading___Toc147420_2142443653"/>
      <w:bookmarkStart w:id="1256" w:name="_Toc488"/>
      <w:bookmarkEnd w:id="1255"/>
      <w:r>
        <w:rPr>
          <w:rtl w:val="true"/>
        </w:rPr>
        <w:t>إبراهیم بن عقبة مهمل</w:t>
      </w:r>
      <w:bookmarkEnd w:id="125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7" w:name="__RefHeading___Toc147422_2142443653"/>
      <w:bookmarkStart w:id="1258" w:name="_Toc489"/>
      <w:bookmarkEnd w:id="1257"/>
      <w:r>
        <w:rPr>
          <w:rtl w:val="true"/>
        </w:rPr>
        <w:t>استحباب حلّ الأزرار عند نزول القبر</w:t>
      </w:r>
      <w:bookmarkStart w:id="1259" w:name="pg15025_160589"/>
      <w:bookmarkEnd w:id="1258"/>
    </w:p>
    <w:p>
      <w:pPr>
        <w:pStyle w:val="BookText"/>
        <w:rPr/>
      </w:pPr>
      <w:bookmarkEnd w:id="125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المقتول شهیداً بین الصفَّین</w:t>
      </w:r>
    </w:p>
    <w:p>
      <w:pPr>
        <w:pStyle w:val="BookText"/>
        <w:rPr/>
      </w:pPr>
      <w:r>
        <w:rPr>
          <w:rFonts w:ascii="IRNazanin" w:hAnsi="IRNazanin" w:eastAsia="IRNazanin"/>
          <w:color w:val="111111"/>
          <w:sz w:val="28"/>
          <w:sz w:val="28"/>
          <w:szCs w:val="28"/>
          <w:rtl w:val="true"/>
          <w:lang w:bidi="fa-IR"/>
        </w:rPr>
        <w:t xml:space="preserve">أخبرنی الشیخ رحمه الله عن أبی جعفر محمد بن علی ، عن أبیه ، عن محمد بن یحیی ، عن محمد بن أحمد بن یحیی ، عن موسی بن جعفر ، عن علی بن سعید ، عن عبید الله </w:t>
      </w:r>
      <w:r>
        <w:rPr>
          <w:rStyle w:val="FootnoteAnchor"/>
          <w:rtl w:val="true"/>
        </w:rPr>
        <w:footnoteReference w:id="1856"/>
      </w:r>
      <w:r>
        <w:rPr>
          <w:rFonts w:ascii="IRNazanin" w:hAnsi="IRNazanin" w:eastAsia="IRNazanin"/>
          <w:color w:val="111111"/>
          <w:sz w:val="28"/>
          <w:sz w:val="28"/>
          <w:szCs w:val="28"/>
          <w:rtl w:val="true"/>
          <w:lang w:bidi="fa-IR"/>
        </w:rPr>
        <w:t xml:space="preserve">بن الدهقان ، عن أبی خالد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کل الموتی الغریق وأکیل السّبُع وکل شی‌ء ، إلاّ ما قتل بین الصفَّین ، فإنّ کان به رمق غسّل وإلاّ فلا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 عن سعد بن عبد الله ، عن هارون بن مسلم ، عن مسعدة بن صدقة ، عن حمّاد </w:t>
      </w:r>
      <w:r>
        <w:rPr>
          <w:rStyle w:val="FootnoteAnchor"/>
          <w:rtl w:val="true"/>
        </w:rPr>
        <w:footnoteReference w:id="1857"/>
      </w:r>
      <w:r>
        <w:rPr>
          <w:rFonts w:ascii="IRNazanin" w:hAnsi="IRNazanin" w:eastAsia="IRNazanin"/>
          <w:color w:val="111111"/>
          <w:sz w:val="28"/>
          <w:sz w:val="28"/>
          <w:szCs w:val="28"/>
          <w:rtl w:val="true"/>
          <w:lang w:bidi="fa-IR"/>
        </w:rPr>
        <w:t xml:space="preserve">، عن </w:t>
      </w:r>
      <w:r>
        <w:rPr>
          <w:rStyle w:val="FootnoteAnchor"/>
          <w:rtl w:val="true"/>
        </w:rPr>
        <w:footnoteReference w:id="1858"/>
      </w:r>
      <w:r>
        <w:rPr>
          <w:rFonts w:ascii="IRNazanin" w:hAnsi="IRNazanin" w:eastAsia="IRNazanin"/>
          <w:color w:val="111111"/>
          <w:sz w:val="28"/>
          <w:sz w:val="28"/>
          <w:szCs w:val="28"/>
          <w:rtl w:val="true"/>
          <w:lang w:bidi="fa-IR"/>
        </w:rPr>
        <w:t xml:space="preserve">جعفر ، عن أبیه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علیه السلام لم یغسّل عمّار بن یاسر ولا هاشم بن عتبة المِرقال ، ودفنهما فی ثیابهما ولم یصلِّ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یصلِّ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الراوی ؛ لأنّ الصلاة لا تسقط علی المیت علی کل حال ،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محمد بن یعقوب ، عن محمد بن یحیی </w:t>
      </w:r>
      <w:r>
        <w:rPr>
          <w:rStyle w:val="FootnoteAnchor"/>
          <w:rtl w:val="true"/>
        </w:rPr>
        <w:footnoteReference w:id="1859"/>
      </w:r>
      <w:r>
        <w:rPr>
          <w:rFonts w:ascii="IRNazanin" w:hAnsi="IRNazanin" w:eastAsia="IRNazanin"/>
          <w:color w:val="111111"/>
          <w:sz w:val="28"/>
          <w:sz w:val="28"/>
          <w:szCs w:val="28"/>
          <w:rtl w:val="true"/>
          <w:lang w:bidi="fa-IR"/>
        </w:rPr>
        <w:t xml:space="preserve">، عن أحمد بن محمد ، عن علی بن الحکم ، عن الحسین بن عثمان ، عن ابن مسکان ،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الذی</w:t>
      </w:r>
    </w:p>
    <w:p>
      <w:pPr>
        <w:pStyle w:val="Heading3"/>
        <w:numPr>
          <w:ilvl w:val="2"/>
          <w:numId w:val="1"/>
        </w:numPr>
        <w:rPr/>
      </w:pPr>
      <w:bookmarkStart w:id="1260" w:name="__RefHeading___Toc147424_2142443653"/>
      <w:bookmarkStart w:id="1261" w:name="_Toc490"/>
      <w:bookmarkEnd w:id="1260"/>
      <w:r>
        <w:rPr>
          <w:rtl w:val="true"/>
        </w:rPr>
        <w:t>المقتول شهیداً بین الصَفَّین</w:t>
      </w:r>
      <w:bookmarkEnd w:id="126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2" w:name="__RefHeading___Toc147426_2142443653"/>
      <w:bookmarkStart w:id="1263" w:name="_Toc491"/>
      <w:bookmarkEnd w:id="1262"/>
      <w:r>
        <w:rPr>
          <w:rtl w:val="true"/>
        </w:rPr>
        <w:t>اشارة</w:t>
      </w:r>
      <w:bookmarkEnd w:id="1263"/>
    </w:p>
    <w:p>
      <w:pPr>
        <w:pStyle w:val="BookText"/>
        <w:rPr/>
      </w:pPr>
      <w:r>
        <w:rPr>
          <w:rFonts w:ascii="IRNazanin" w:hAnsi="IRNazanin" w:eastAsia="IRNazanin"/>
          <w:color w:val="111111"/>
          <w:sz w:val="28"/>
          <w:sz w:val="28"/>
          <w:szCs w:val="28"/>
          <w:rtl w:val="true"/>
          <w:lang w:bidi="fa-IR"/>
        </w:rPr>
        <w:t xml:space="preserve">یقتل فی سبیل الله أیغسّل ویکفّن ویحنّط ویصلّی علیه؟ فقال </w:t>
      </w:r>
      <w:r>
        <w:rPr>
          <w:rStyle w:val="FootnoteAnchor"/>
          <w:rtl w:val="true"/>
        </w:rPr>
        <w:footnoteReference w:id="1860"/>
      </w:r>
      <w:r>
        <w:rPr>
          <w:rStyle w:val="FootnoteAnchor"/>
          <w:rtl w:val="true"/>
        </w:rPr>
        <w:footnoteReference w:id="18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صلّی علی حمزة وکفّنه </w:t>
      </w:r>
      <w:r>
        <w:rPr>
          <w:rStyle w:val="FootnoteAnchor"/>
          <w:rtl w:val="true"/>
        </w:rPr>
        <w:footnoteReference w:id="1862"/>
      </w:r>
      <w:r>
        <w:rPr>
          <w:rFonts w:ascii="Amiri" w:hAnsi="Amiri" w:eastAsia="Amiri" w:cs="Amiri"/>
          <w:color w:val="111111"/>
          <w:sz w:val="28"/>
          <w:sz w:val="28"/>
          <w:szCs w:val="28"/>
          <w:rtl w:val="true"/>
          <w:lang w:bidi="ar-SA"/>
        </w:rPr>
        <w:t xml:space="preserve">لأنّه کان جُرِّد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الإسناد عن محمد بن یعقوب ، عن علی بن إبراهیم ، عن أبیه ، عن حماد ، عن حریز ، عن إسماعیل بن جابر وزرارة ، عن أبی جعفر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رأیت الشهید یدفن بدمائه؟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فی ثیابه بدمائه ولا یغسّل ولا یحنّط ویدفن کما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عن محمد بن یعقوب ، عن حمید بن زیاد ، عن الحسن بن محمد ، عن غیر واحد ، عن أبان ، عن أبی مریم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إذا کان به رمق غُسّل وکُفّن وحُنّط وصلّی علیه ، وإن لم یکن به رمق دفن فی أثوابه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w:t>
      </w:r>
      <w:r>
        <w:rPr>
          <w:rFonts w:eastAsia="IRNazanin" w:cs="IRNazanin"/>
          <w:color w:val="111111"/>
          <w:sz w:val="28"/>
          <w:szCs w:val="28"/>
          <w:rtl w:val="true"/>
          <w:lang w:bidi="fa-IR"/>
        </w:rPr>
        <w:t xml:space="preserve">) </w:t>
      </w:r>
      <w:r>
        <w:rPr>
          <w:rStyle w:val="FootnoteAnchor"/>
          <w:rtl w:val="true"/>
        </w:rPr>
        <w:footnoteReference w:id="1863"/>
      </w:r>
      <w:r>
        <w:rPr>
          <w:rFonts w:ascii="IRNazanin" w:hAnsi="IRNazanin" w:eastAsia="IRNazanin"/>
          <w:color w:val="111111"/>
          <w:sz w:val="28"/>
          <w:sz w:val="28"/>
          <w:szCs w:val="28"/>
          <w:rtl w:val="true"/>
          <w:lang w:bidi="fa-IR"/>
        </w:rPr>
        <w:t xml:space="preserve">بن یحیی ، عن أبی جعفر ، عن أبی الجوزاء ، عن الحسین بن علوان ، عن عمرو </w:t>
      </w:r>
      <w:r>
        <w:rPr>
          <w:rStyle w:val="FootnoteAnchor"/>
          <w:rtl w:val="true"/>
        </w:rPr>
        <w:footnoteReference w:id="1864"/>
      </w:r>
      <w:r>
        <w:rPr>
          <w:rFonts w:ascii="IRNazanin" w:hAnsi="IRNazanin" w:eastAsia="IRNazanin"/>
          <w:color w:val="111111"/>
          <w:sz w:val="28"/>
          <w:sz w:val="28"/>
          <w:szCs w:val="28"/>
          <w:rtl w:val="true"/>
          <w:lang w:bidi="fa-IR"/>
        </w:rPr>
        <w:t xml:space="preserve">بن خالد ، عن زید بن علی ، عن أبیه ، عن آبائه ، عن علی علیهم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الشهید من یومه أو من الغد فواروه فی ثیابه ، فإن بقی أیاماً حتی تتغیّر جراحته غُسّل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خبر موافق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نعمل به </w:t>
      </w:r>
      <w:r>
        <w:rPr>
          <w:rFonts w:eastAsia="Amiri" w:cs="Amiri" w:ascii="Amiri" w:hAnsi="Amiri"/>
          <w:color w:val="111111"/>
          <w:sz w:val="28"/>
          <w:szCs w:val="28"/>
          <w:rtl w:val="true"/>
          <w:lang w:bidi="ar-SA"/>
        </w:rPr>
        <w:t xml:space="preserve">) </w:t>
      </w:r>
      <w:r>
        <w:rPr>
          <w:rStyle w:val="FootnoteAnchor"/>
          <w:rtl w:val="true"/>
        </w:rPr>
        <w:footnoteReference w:id="1865"/>
      </w:r>
      <w:r>
        <w:rPr>
          <w:rFonts w:ascii="Amiri" w:hAnsi="Amiri" w:eastAsia="Amiri" w:cs="Amiri"/>
          <w:color w:val="111111"/>
          <w:sz w:val="28"/>
          <w:sz w:val="28"/>
          <w:szCs w:val="28"/>
          <w:rtl w:val="true"/>
          <w:lang w:bidi="ar-SA"/>
        </w:rPr>
        <w:t xml:space="preserve">لأنّا بیّنّا أنّ القتیل إذا </w:t>
      </w:r>
      <w:bookmarkStart w:id="1264" w:name="pg15025_160591"/>
    </w:p>
    <w:p>
      <w:pPr>
        <w:pStyle w:val="BookText"/>
        <w:rPr/>
      </w:pPr>
      <w:bookmarkEnd w:id="1264"/>
      <w:r>
        <w:rPr>
          <w:rFonts w:ascii="IRNazanin" w:hAnsi="IRNazanin" w:eastAsia="IRNazanin"/>
          <w:color w:val="111111"/>
          <w:sz w:val="28"/>
          <w:sz w:val="28"/>
          <w:szCs w:val="28"/>
          <w:rtl w:val="true"/>
          <w:lang w:bidi="fa-IR"/>
        </w:rPr>
        <w:t xml:space="preserve">لم یمت فی المعرکة وجب غُسله تغیّر أو لم یتغیّر ، وینبغی أن یکون العمل علیه ، وهو موافق لما ذکرناه أیضاً فی کتابنا الکبیر </w:t>
      </w:r>
      <w:r>
        <w:rPr>
          <w:rStyle w:val="FootnoteAnchor"/>
          <w:rtl w:val="true"/>
        </w:rPr>
        <w:footnoteReference w:id="1866"/>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موسی بن جعفر ، والظاهر أنّه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الراوی عنه فی الفهرست محمد بن أحمد بن یحیی </w:t>
      </w:r>
      <w:r>
        <w:rPr>
          <w:rStyle w:val="FootnoteAnchor"/>
          <w:rtl w:val="true"/>
        </w:rPr>
        <w:footnoteReference w:id="1868"/>
      </w:r>
      <w:r>
        <w:rPr>
          <w:rFonts w:ascii="IRNazanin" w:hAnsi="IRNazanin" w:eastAsia="IRNazanin"/>
          <w:color w:val="111111"/>
          <w:sz w:val="28"/>
          <w:sz w:val="28"/>
          <w:szCs w:val="28"/>
          <w:rtl w:val="true"/>
          <w:lang w:bidi="fa-IR"/>
        </w:rPr>
        <w:t xml:space="preserve">، وفی فوائد شیخنا أیّده الله علی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البغدادی </w:t>
      </w:r>
      <w:r>
        <w:rPr>
          <w:rFonts w:eastAsia="IRNazanin" w:cs="IRNazanin"/>
          <w:color w:val="111111"/>
          <w:sz w:val="28"/>
          <w:szCs w:val="28"/>
          <w:rtl w:val="true"/>
          <w:lang w:bidi="fa-IR"/>
        </w:rPr>
        <w:t xml:space="preserve">) </w:t>
      </w:r>
      <w:r>
        <w:rPr>
          <w:rStyle w:val="FootnoteAnchor"/>
          <w:rtl w:val="true"/>
        </w:rPr>
        <w:footnoteReference w:id="1869"/>
      </w:r>
      <w:r>
        <w:rPr>
          <w:rFonts w:ascii="IRNazanin" w:hAnsi="IRNazanin" w:eastAsia="IRNazanin"/>
          <w:color w:val="111111"/>
          <w:sz w:val="28"/>
          <w:sz w:val="28"/>
          <w:szCs w:val="28"/>
          <w:rtl w:val="true"/>
          <w:lang w:bidi="fa-IR"/>
        </w:rPr>
        <w:t>المهمل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الکلام التوقّف فی ذلک ، ولعلّ الوجه أنّ المرتبة لا تأبی غیره ، والأمر کذلک ، إلاّ أنّ ما نقلناه عن الفهرست </w:t>
      </w:r>
      <w:r>
        <w:rPr>
          <w:rStyle w:val="FootnoteAnchor"/>
          <w:rtl w:val="true"/>
        </w:rPr>
        <w:footnoteReference w:id="1870"/>
      </w:r>
      <w:r>
        <w:rPr>
          <w:rFonts w:ascii="IRNazanin" w:hAnsi="IRNazanin" w:eastAsia="IRNazanin"/>
          <w:color w:val="111111"/>
          <w:sz w:val="28"/>
          <w:sz w:val="28"/>
          <w:szCs w:val="28"/>
          <w:rtl w:val="true"/>
          <w:lang w:bidi="fa-IR"/>
        </w:rPr>
        <w:t>یقتضی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بن سعید فهو مشترک </w:t>
      </w:r>
      <w:r>
        <w:rPr>
          <w:rStyle w:val="FootnoteAnchor"/>
          <w:rtl w:val="true"/>
        </w:rPr>
        <w:footnoteReference w:id="1871"/>
      </w:r>
      <w:r>
        <w:rPr>
          <w:rFonts w:ascii="IRNazanin" w:hAnsi="IRNazanin" w:eastAsia="IRNazanin"/>
          <w:color w:val="111111"/>
          <w:sz w:val="28"/>
          <w:sz w:val="28"/>
          <w:szCs w:val="28"/>
          <w:rtl w:val="true"/>
          <w:lang w:bidi="fa-IR"/>
        </w:rPr>
        <w:t>بین مهملین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وعبید الله بن الدهقان ضعیف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یرجع لعلی بن الحسین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وهارون بن المسلم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وکان له مذهب فی الجبر والتشبیه </w:t>
      </w:r>
      <w:r>
        <w:rPr>
          <w:rStyle w:val="FootnoteAnchor"/>
          <w:rtl w:val="true"/>
        </w:rPr>
        <w:footnoteReference w:id="18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یخلو هذا من إجمال ، فإنّ احتمال أن یراد له مذهب فی نفی الجبر بعید </w:t>
      </w:r>
      <w:r>
        <w:rPr>
          <w:rFonts w:eastAsia="IRNazanin" w:cs="IRNazanin"/>
          <w:color w:val="111111"/>
          <w:sz w:val="28"/>
          <w:szCs w:val="28"/>
          <w:rtl w:val="true"/>
          <w:lang w:bidi="fa-IR"/>
        </w:rPr>
        <w:t xml:space="preserve">) </w:t>
      </w:r>
      <w:r>
        <w:rPr>
          <w:rStyle w:val="FootnoteAnchor"/>
          <w:rtl w:val="true"/>
        </w:rPr>
        <w:footnoteReference w:id="1874"/>
      </w:r>
      <w:r>
        <w:rPr>
          <w:rFonts w:ascii="IRNazanin" w:hAnsi="IRNazanin" w:eastAsia="IRNazanin"/>
          <w:color w:val="111111"/>
          <w:sz w:val="28"/>
          <w:sz w:val="28"/>
          <w:szCs w:val="28"/>
          <w:rtl w:val="true"/>
          <w:lang w:bidi="fa-IR"/>
        </w:rPr>
        <w:t>وإرادة القول بالجبر والتشبیه یقتضی عدم صحّة العقیدة ، والله تعالی أعلم بالحال</w:t>
      </w:r>
      <w:r>
        <w:rPr>
          <w:rFonts w:eastAsia="IRNazanin" w:cs="IRNazanin"/>
          <w:color w:val="111111"/>
          <w:sz w:val="28"/>
          <w:szCs w:val="28"/>
          <w:rtl w:val="true"/>
          <w:lang w:bidi="fa-IR"/>
        </w:rPr>
        <w:t>.</w:t>
      </w:r>
    </w:p>
    <w:p>
      <w:pPr>
        <w:pStyle w:val="Heading4"/>
        <w:numPr>
          <w:ilvl w:val="3"/>
          <w:numId w:val="1"/>
        </w:numPr>
        <w:rPr/>
      </w:pPr>
      <w:bookmarkStart w:id="1265" w:name="__RefHeading___Toc147428_2142443653"/>
      <w:bookmarkStart w:id="1266" w:name="_Toc492"/>
      <w:bookmarkEnd w:id="1265"/>
      <w:r>
        <w:rPr>
          <w:rtl w:val="true"/>
        </w:rPr>
        <w:t>بحث حول موسی بن جعفر البغدادی</w:t>
      </w:r>
      <w:bookmarkEnd w:id="1266"/>
    </w:p>
    <w:p>
      <w:pPr>
        <w:pStyle w:val="Heading4"/>
        <w:numPr>
          <w:ilvl w:val="3"/>
          <w:numId w:val="1"/>
        </w:numPr>
        <w:rPr/>
      </w:pPr>
      <w:bookmarkStart w:id="1267" w:name="__RefHeading___Toc147430_2142443653"/>
      <w:bookmarkStart w:id="1268" w:name="_Toc493"/>
      <w:bookmarkEnd w:id="1267"/>
      <w:r>
        <w:rPr>
          <w:rtl w:val="true"/>
        </w:rPr>
        <w:t>علی بن سعید مشترک بین مهملین</w:t>
      </w:r>
      <w:bookmarkEnd w:id="1268"/>
    </w:p>
    <w:p>
      <w:pPr>
        <w:pStyle w:val="Heading4"/>
        <w:numPr>
          <w:ilvl w:val="3"/>
          <w:numId w:val="1"/>
        </w:numPr>
        <w:rPr/>
      </w:pPr>
      <w:bookmarkStart w:id="1269" w:name="__RefHeading___Toc147432_2142443653"/>
      <w:bookmarkStart w:id="1270" w:name="_Toc494"/>
      <w:bookmarkEnd w:id="1269"/>
      <w:r>
        <w:rPr>
          <w:rtl w:val="true"/>
        </w:rPr>
        <w:t>عبید الله بن الدهقان ضعیف</w:t>
      </w:r>
      <w:bookmarkEnd w:id="1270"/>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1" w:name="__RefHeading___Toc147434_2142443653"/>
      <w:bookmarkStart w:id="1272" w:name="_Toc495"/>
      <w:bookmarkEnd w:id="1271"/>
      <w:r>
        <w:rPr>
          <w:rtl w:val="true"/>
        </w:rPr>
        <w:t>بحث حول هارون بن مسلم</w:t>
      </w:r>
      <w:bookmarkStart w:id="1273" w:name="pg15025_160592"/>
      <w:bookmarkEnd w:id="1272"/>
    </w:p>
    <w:p>
      <w:pPr>
        <w:pStyle w:val="BookText"/>
        <w:rPr/>
      </w:pPr>
      <w:bookmarkEnd w:id="1273"/>
      <w:r>
        <w:rPr>
          <w:rFonts w:ascii="IRNazanin" w:hAnsi="IRNazanin" w:eastAsia="IRNazanin"/>
          <w:color w:val="111111"/>
          <w:sz w:val="28"/>
          <w:sz w:val="28"/>
          <w:szCs w:val="28"/>
          <w:rtl w:val="true"/>
          <w:lang w:bidi="fa-IR"/>
        </w:rPr>
        <w:t xml:space="preserve">ومسعدة بن صدقة ذکره النجاشی مهملاً </w:t>
      </w:r>
      <w:r>
        <w:rPr>
          <w:rStyle w:val="FootnoteAnchor"/>
          <w:rtl w:val="true"/>
        </w:rPr>
        <w:footnoteReference w:id="1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بتری </w:t>
      </w:r>
      <w:r>
        <w:rPr>
          <w:rStyle w:val="FootnoteAnchor"/>
          <w:rtl w:val="true"/>
        </w:rPr>
        <w:footnoteReference w:id="1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رجال الباقر علیه السلام من کتابه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عامی </w:t>
      </w:r>
      <w:r>
        <w:rPr>
          <w:rFonts w:eastAsia="IRNazanin" w:cs="IRNazanin"/>
          <w:color w:val="111111"/>
          <w:sz w:val="28"/>
          <w:szCs w:val="28"/>
          <w:rtl w:val="true"/>
          <w:lang w:bidi="fa-IR"/>
        </w:rPr>
        <w:t xml:space="preserve">) </w:t>
      </w:r>
      <w:r>
        <w:rPr>
          <w:rStyle w:val="FootnoteAnchor"/>
          <w:rtl w:val="true"/>
        </w:rPr>
        <w:footnoteReference w:id="1877"/>
      </w:r>
      <w:r>
        <w:rPr>
          <w:rFonts w:ascii="IRNazanin" w:hAnsi="IRNazanin" w:eastAsia="IRNazanin"/>
          <w:color w:val="111111"/>
          <w:sz w:val="28"/>
          <w:sz w:val="28"/>
          <w:szCs w:val="28"/>
          <w:rtl w:val="true"/>
          <w:lang w:bidi="fa-IR"/>
        </w:rPr>
        <w:t xml:space="preserve">؛ وفی الفهرست ذکره مهملاً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ارتیاب بعد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حمید بن زیاد وقد تقدّم </w:t>
      </w:r>
      <w:r>
        <w:rPr>
          <w:rStyle w:val="FootnoteAnchor"/>
          <w:rtl w:val="true"/>
        </w:rPr>
        <w:footnoteReference w:id="1879"/>
      </w:r>
      <w:r>
        <w:rPr>
          <w:rFonts w:ascii="IRNazanin" w:hAnsi="IRNazanin" w:eastAsia="IRNazanin"/>
          <w:color w:val="111111"/>
          <w:sz w:val="28"/>
          <w:sz w:val="28"/>
          <w:szCs w:val="28"/>
          <w:rtl w:val="true"/>
          <w:lang w:bidi="fa-IR"/>
        </w:rPr>
        <w:t xml:space="preserve">؛ والحسن بن محمد هو ابن سماعة وقد ذکرناه سابقاً أیضاً </w:t>
      </w:r>
      <w:r>
        <w:rPr>
          <w:rStyle w:val="FootnoteAnchor"/>
          <w:rtl w:val="true"/>
        </w:rPr>
        <w:footnoteReference w:id="1880"/>
      </w:r>
      <w:r>
        <w:rPr>
          <w:rFonts w:ascii="IRNazanin" w:hAnsi="IRNazanin" w:eastAsia="IRNazanin"/>
          <w:color w:val="111111"/>
          <w:sz w:val="28"/>
          <w:sz w:val="28"/>
          <w:szCs w:val="28"/>
          <w:rtl w:val="true"/>
          <w:lang w:bidi="fa-IR"/>
        </w:rPr>
        <w:t>؛ وفیه الإرسال ؛ وأبو مریم هو الأنصاری الثقة ، واسمه عبد الغفار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الجوزاء وقد سبق </w:t>
      </w:r>
      <w:r>
        <w:rPr>
          <w:rStyle w:val="FootnoteAnchor"/>
          <w:rtl w:val="true"/>
        </w:rPr>
        <w:footnoteReference w:id="1881"/>
      </w:r>
      <w:r>
        <w:rPr>
          <w:rFonts w:ascii="IRNazanin" w:hAnsi="IRNazanin" w:eastAsia="IRNazanin"/>
          <w:color w:val="111111"/>
          <w:sz w:val="28"/>
          <w:sz w:val="28"/>
          <w:szCs w:val="28"/>
          <w:rtl w:val="true"/>
          <w:lang w:bidi="fa-IR"/>
        </w:rPr>
        <w:t>أنّ اسمه المنبّه بن عبد الله ، وکذلک بقیّة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الدلالة علی أنّ من قتل بین الصفَّین لا یغسّل ، وإنّ کان به رمق 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قاله الشیخ فیه من الوهم وإنّ بَعُدَ إلاّ أنّه لا بدّ منه ، لما یفهم من ظاهر الأصحاب أنّه لا قائل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الشیخ من دلالة الروایة الثالثة علی ما قاله محلّ تأمّل ؛ لأن</w:t>
      </w:r>
    </w:p>
    <w:p>
      <w:pPr>
        <w:pStyle w:val="Heading4"/>
        <w:numPr>
          <w:ilvl w:val="3"/>
          <w:numId w:val="1"/>
        </w:numPr>
        <w:rPr/>
      </w:pPr>
      <w:bookmarkStart w:id="1274" w:name="__RefHeading___Toc147436_2142443653"/>
      <w:bookmarkStart w:id="1275" w:name="_Toc496"/>
      <w:bookmarkEnd w:id="1274"/>
      <w:r>
        <w:rPr>
          <w:rtl w:val="true"/>
        </w:rPr>
        <w:t>بحث حول مسعدة بن صدقة</w:t>
      </w:r>
      <w:bookmarkEnd w:id="1275"/>
    </w:p>
    <w:p>
      <w:pPr>
        <w:pStyle w:val="Heading4"/>
        <w:numPr>
          <w:ilvl w:val="3"/>
          <w:numId w:val="1"/>
        </w:numPr>
        <w:rPr/>
      </w:pPr>
      <w:bookmarkStart w:id="1276" w:name="__RefHeading___Toc147438_2142443653"/>
      <w:bookmarkStart w:id="1277" w:name="_Toc497"/>
      <w:bookmarkEnd w:id="1276"/>
      <w:r>
        <w:rPr>
          <w:rtl w:val="true"/>
        </w:rPr>
        <w:t>أبو مریم الأنصاری ثقة</w:t>
      </w:r>
      <w:bookmarkEnd w:id="127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8" w:name="__RefHeading___Toc147440_2142443653"/>
      <w:bookmarkStart w:id="1279" w:name="_Toc498"/>
      <w:bookmarkEnd w:id="1278"/>
      <w:r>
        <w:rPr>
          <w:rtl w:val="true"/>
        </w:rPr>
        <w:t>بیان ما دلّ علی عدم غسل الشهید ودفعة بثیابه</w:t>
      </w:r>
      <w:bookmarkEnd w:id="1279"/>
    </w:p>
    <w:p>
      <w:pPr>
        <w:pStyle w:val="BookText"/>
        <w:rPr/>
      </w:pPr>
      <w:r>
        <w:rPr>
          <w:rFonts w:ascii="IRNazanin" w:hAnsi="IRNazanin" w:eastAsia="IRNazanin"/>
          <w:color w:val="111111"/>
          <w:sz w:val="28"/>
          <w:sz w:val="28"/>
          <w:szCs w:val="28"/>
          <w:rtl w:val="true"/>
          <w:lang w:bidi="fa-IR"/>
        </w:rPr>
        <w:t xml:space="preserve">التعلیل بکونه جُرِّدَ محتمل لأنّ یکون للتکفین والصلاة ، إلاّ أنّ الظاهر ما قاله الشیخ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متن الروایة فی الکافی والتهذیب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یدفن کما هو فی ثیابه إلاّ أنّ یکون به رمق ثم مات فإنّه یغسّل ویکفّن ویحنّط ویصلّی علیه ، إنّ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1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ذکرناه آت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مدلول هذه الروایة والأولی أنّه إذا أُدرک </w:t>
      </w:r>
      <w:r>
        <w:rPr>
          <w:rStyle w:val="FootnoteAnchor"/>
          <w:rtl w:val="true"/>
        </w:rPr>
        <w:footnoteReference w:id="1883"/>
      </w:r>
      <w:r>
        <w:rPr>
          <w:rFonts w:ascii="IRNazanin" w:hAnsi="IRNazanin" w:eastAsia="IRNazanin"/>
          <w:color w:val="111111"/>
          <w:sz w:val="28"/>
          <w:sz w:val="28"/>
          <w:szCs w:val="28"/>
          <w:rtl w:val="true"/>
          <w:lang w:bidi="fa-IR"/>
        </w:rPr>
        <w:t xml:space="preserve">وبه رمق یغسّل ، فما ذکره من رأینا کلامه وأوّلهم الشیخ </w:t>
      </w:r>
      <w:r>
        <w:rPr>
          <w:rStyle w:val="FootnoteAnchor"/>
          <w:rtl w:val="true"/>
        </w:rPr>
        <w:footnoteReference w:id="1884"/>
      </w:r>
      <w:r>
        <w:rPr>
          <w:rFonts w:ascii="IRNazanin" w:hAnsi="IRNazanin" w:eastAsia="IRNazanin"/>
          <w:color w:val="111111"/>
          <w:sz w:val="28"/>
          <w:sz w:val="28"/>
          <w:szCs w:val="28"/>
          <w:rtl w:val="true"/>
          <w:lang w:bidi="fa-IR"/>
        </w:rPr>
        <w:t>من أنّه إذا مات فی المعرکة لا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تأمّل ، إلاّ أنّ شیخنا قدس سره فی المدارک قال عند قول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الذی قتل بین یدی الإمام ومات فی المعرکة لا یغسّل ، 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الحکم مجمع علیه بین الأصحاب ، بل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 أهل العلم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أنّه بعد ذلک أورد الإشکال فی الروایات </w:t>
      </w:r>
      <w:r>
        <w:rPr>
          <w:rStyle w:val="FootnoteAnchor"/>
          <w:rtl w:val="true"/>
        </w:rPr>
        <w:footnoteReference w:id="1886"/>
      </w:r>
      <w:r>
        <w:rPr>
          <w:rFonts w:ascii="IRNazanin" w:hAnsi="IRNazanin" w:eastAsia="IRNazanin"/>
          <w:color w:val="111111"/>
          <w:sz w:val="28"/>
          <w:sz w:val="28"/>
          <w:szCs w:val="28"/>
          <w:rtl w:val="true"/>
          <w:lang w:bidi="fa-IR"/>
        </w:rPr>
        <w:t>ولم ینبّه علی جهة عدم الخلاف</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فوائده علی هذا الکتاب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فیما رواه الشیخ من الروایات ما یدل علی هذا الحکم یعنی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یمت فی المعرکة وإنّما المستفاد منها أنّ الشهید إذا لم یدرکه المسلمون وبه رمق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وإنّ دلّ بظاهره علی عدم الصلاة إلاّ أنّ احتمال إرادة </w:t>
      </w:r>
      <w:r>
        <w:rPr>
          <w:rStyle w:val="FootnoteAnchor"/>
          <w:rtl w:val="true"/>
        </w:rPr>
        <w:footnoteReference w:id="1887"/>
      </w:r>
      <w:r>
        <w:rPr>
          <w:rFonts w:ascii="IRNazanin" w:hAnsi="IRNazanin" w:eastAsia="IRNazanin"/>
          <w:color w:val="111111"/>
          <w:sz w:val="28"/>
          <w:sz w:val="28"/>
          <w:szCs w:val="28"/>
          <w:rtl w:val="true"/>
          <w:lang w:bidi="fa-IR"/>
        </w:rPr>
        <w:t>الدفن بالثیاب لا من جهة الصلاة أظهر ، مضافاً إلی غیره من الروایات الدالة علی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ظهور فی عدم الصلاة من حیث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کفّن وحنّط وصلّی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یکن به رمق دفن فی أثوابه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تأویله غیر بعید ، بل ربما یدّعی عدم الظهور أیضاً ، وفیه کما تری دلالة علی ما قلناه سابقاً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قاله الشیخ فی توجیهه متوجّه ، ولا دلالة فیه علی ما قاله من </w:t>
      </w:r>
      <w:r>
        <w:rPr>
          <w:rStyle w:val="FootnoteAnchor"/>
          <w:rtl w:val="true"/>
        </w:rPr>
        <w:footnoteReference w:id="1889"/>
      </w:r>
      <w:r>
        <w:rPr>
          <w:rFonts w:ascii="IRNazanin" w:hAnsi="IRNazanin" w:eastAsia="IRNazanin"/>
          <w:color w:val="111111"/>
          <w:sz w:val="28"/>
          <w:sz w:val="28"/>
          <w:szCs w:val="28"/>
          <w:rtl w:val="true"/>
          <w:lang w:bidi="fa-IR"/>
        </w:rPr>
        <w:t>قدّمناه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فما تضمّنته الأخبار من الثیاب </w:t>
      </w:r>
      <w:r>
        <w:rPr>
          <w:rStyle w:val="FootnoteAnchor"/>
          <w:rtl w:val="true"/>
        </w:rPr>
        <w:footnoteReference w:id="1890"/>
      </w:r>
      <w:r>
        <w:rPr>
          <w:rFonts w:ascii="IRNazanin" w:hAnsi="IRNazanin" w:eastAsia="IRNazanin"/>
          <w:color w:val="111111"/>
          <w:sz w:val="28"/>
          <w:sz w:val="28"/>
          <w:szCs w:val="28"/>
          <w:rtl w:val="true"/>
          <w:lang w:bidi="fa-IR"/>
        </w:rPr>
        <w:t xml:space="preserve">ربما یدل علی ما یصدق علیه الثیاب فمثل الخفّ والفرو غیر معلوم الصدق ، والمنقول عن الشیخ فی الخلاف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ینزع عنه إلاّ الجلود </w:t>
      </w:r>
      <w:r>
        <w:rPr>
          <w:rStyle w:val="FootnoteAnchor"/>
          <w:rtl w:val="true"/>
        </w:rPr>
        <w:footnoteReference w:id="1891"/>
      </w:r>
      <w:r>
        <w:rPr>
          <w:rFonts w:ascii="IRNazanin" w:hAnsi="IRNazanin" w:eastAsia="IRNazanin"/>
          <w:color w:val="111111"/>
          <w:sz w:val="28"/>
          <w:sz w:val="28"/>
          <w:szCs w:val="28"/>
          <w:rtl w:val="true"/>
          <w:lang w:bidi="fa-IR"/>
        </w:rPr>
        <w:t xml:space="preserve">وفی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یدفن جمیع ما علیه إلاّ الخفّین </w:t>
      </w:r>
      <w:r>
        <w:rPr>
          <w:rStyle w:val="FootnoteAnchor"/>
          <w:rtl w:val="true"/>
        </w:rPr>
        <w:footnoteReference w:id="1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المقنعة عن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ینزع عنه السراویل والفرو والقلنسوة إذا لم یصبها دم ، فإن أصابها دم دفنت معه </w:t>
      </w:r>
      <w:r>
        <w:rPr>
          <w:rStyle w:val="FootnoteAnchor"/>
          <w:rtl w:val="true"/>
        </w:rPr>
        <w:footnoteReference w:id="1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روایة عمرو بن خالد ، ولا یخفی علیک أنّ المناط صدق الثوب</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الحلبی دلالة علی دفن ما أصابه الدم من ثیابه </w:t>
      </w:r>
      <w:r>
        <w:rPr>
          <w:rStyle w:val="FootnoteAnchor"/>
          <w:rtl w:val="true"/>
        </w:rPr>
        <w:footnoteReference w:id="1894"/>
      </w:r>
      <w:r>
        <w:rPr>
          <w:rFonts w:ascii="IRNazanin" w:hAnsi="IRNazanin" w:eastAsia="IRNazanin"/>
          <w:color w:val="111111"/>
          <w:sz w:val="28"/>
          <w:sz w:val="28"/>
          <w:szCs w:val="28"/>
          <w:rtl w:val="true"/>
          <w:lang w:bidi="fa-IR"/>
        </w:rPr>
        <w:t xml:space="preserve">، </w:t>
      </w:r>
      <w:bookmarkStart w:id="1280" w:name="pg15025_160595"/>
    </w:p>
    <w:p>
      <w:pPr>
        <w:pStyle w:val="BookText"/>
        <w:rPr/>
      </w:pPr>
      <w:bookmarkEnd w:id="1280"/>
      <w:r>
        <w:rPr>
          <w:rFonts w:ascii="IRNazanin" w:hAnsi="IRNazanin" w:eastAsia="IRNazanin"/>
          <w:color w:val="111111"/>
          <w:sz w:val="28"/>
          <w:sz w:val="28"/>
          <w:szCs w:val="28"/>
          <w:rtl w:val="true"/>
          <w:lang w:bidi="fa-IR"/>
        </w:rPr>
        <w:t>ویحتمل أنّ یراد کل ما أصابه الدم ولو بقرینة المقام إنّ لم یتحقق صدق الثوب ، ولا یخلو من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الرَّمَق 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بقیّة الحیاة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المیت یموت فی المرکب</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بن یعقوب ، عن حمید بن زیاد ، عن غیر واحد ، عن أبان ، عن رجل ، عن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یموت مع القوم فی البحر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یغسّل ویکفّن ویصلّی علیه ویثقل ویرمی به فی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عن محمد بن یعقوب ، عن عدّة من أصحابنا ، عن سهل بن زیاد رفعه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الرجل فی السفینة ولم یقدر علی الشط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یکفّن ویحنّط فی ثوب ویصلّی علیه ویلقی فی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أبی جعفر محمد بن علی ، عن أبیه ، عن محمد بن یحیی ، عن أحمد بن محمد ، عن محمد بن خالد البرقی ، عن أبی البختری وهب بن وهب القرشی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المیت فی البحر غُسِّل وکُفِّن وحُنِّط وصُلّی</w:t>
      </w:r>
    </w:p>
    <w:p>
      <w:pPr>
        <w:pStyle w:val="Heading4"/>
        <w:numPr>
          <w:ilvl w:val="3"/>
          <w:numId w:val="1"/>
        </w:numPr>
        <w:rPr/>
      </w:pPr>
      <w:bookmarkStart w:id="1281" w:name="__RefHeading___Toc147442_2142443653"/>
      <w:bookmarkStart w:id="1282" w:name="_Toc499"/>
      <w:bookmarkEnd w:id="1281"/>
      <w:r>
        <w:rPr>
          <w:rtl w:val="true"/>
        </w:rPr>
        <w:t>معنی الرَمَق</w:t>
      </w:r>
      <w:bookmarkEnd w:id="1282"/>
    </w:p>
    <w:p>
      <w:pPr>
        <w:pStyle w:val="Heading3"/>
        <w:numPr>
          <w:ilvl w:val="2"/>
          <w:numId w:val="1"/>
        </w:numPr>
        <w:rPr/>
      </w:pPr>
      <w:bookmarkStart w:id="1283" w:name="__RefHeading___Toc147444_2142443653"/>
      <w:bookmarkStart w:id="1284" w:name="_Toc500"/>
      <w:bookmarkEnd w:id="1283"/>
      <w:r>
        <w:rPr>
          <w:rtl w:val="true"/>
        </w:rPr>
        <w:t>المیت یموت فی المرکب</w:t>
      </w:r>
      <w:bookmarkEnd w:id="128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5" w:name="__RefHeading___Toc147446_2142443653"/>
      <w:bookmarkStart w:id="1286" w:name="_Toc501"/>
      <w:bookmarkEnd w:id="1285"/>
      <w:r>
        <w:rPr>
          <w:rtl w:val="true"/>
        </w:rPr>
        <w:t>اشارة</w:t>
      </w:r>
      <w:bookmarkStart w:id="1287" w:name="pg15025_160596"/>
      <w:bookmarkEnd w:id="1286"/>
    </w:p>
    <w:p>
      <w:pPr>
        <w:pStyle w:val="BookText"/>
        <w:rPr/>
      </w:pPr>
      <w:bookmarkEnd w:id="1287"/>
      <w:r>
        <w:rPr>
          <w:rFonts w:ascii="IRNazanin" w:hAnsi="IRNazanin" w:eastAsia="IRNazanin"/>
          <w:color w:val="111111"/>
          <w:sz w:val="28"/>
          <w:sz w:val="28"/>
          <w:szCs w:val="28"/>
          <w:rtl w:val="true"/>
          <w:lang w:bidi="fa-IR"/>
        </w:rPr>
        <w:t xml:space="preserve">علیه ثم یوثق فی رجلیه حجر ویرمی به </w:t>
      </w:r>
      <w:r>
        <w:rPr>
          <w:rStyle w:val="FootnoteAnchor"/>
          <w:rtl w:val="true"/>
        </w:rPr>
        <w:footnoteReference w:id="1896"/>
      </w:r>
      <w:r>
        <w:rPr>
          <w:rFonts w:ascii="IRNazanin" w:hAnsi="IRNazanin" w:eastAsia="IRNazanin"/>
          <w:color w:val="111111"/>
          <w:sz w:val="28"/>
          <w:sz w:val="28"/>
          <w:szCs w:val="28"/>
          <w:rtl w:val="true"/>
          <w:lang w:bidi="fa-IR"/>
        </w:rPr>
        <w:t xml:space="preserve">فی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سعد بن عبد الله ، عن محمد بن الحسین ، عن صفوان ، عن عبد الله بن مسکان ، عن أیوب بن الحرّ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رجل مات وهو فی السفینة فی البحر کیف یُصنع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یوضع فی خابیة ویوکی رأسها ویطرح فی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فی هذه الروایة أنّ نحملها علی ضرب من الاستحباب عند التمکن من ذلک ، والروایات الأوّلة علی تعذّر ذلک ودفع </w:t>
      </w:r>
      <w:r>
        <w:rPr>
          <w:rStyle w:val="FootnoteAnchor"/>
          <w:rtl w:val="true"/>
        </w:rPr>
        <w:footnoteReference w:id="1897"/>
      </w:r>
      <w:r>
        <w:rPr>
          <w:rFonts w:ascii="IRNazanin" w:hAnsi="IRNazanin" w:eastAsia="IRNazanin"/>
          <w:color w:val="111111"/>
          <w:sz w:val="28"/>
          <w:sz w:val="28"/>
          <w:szCs w:val="28"/>
          <w:rtl w:val="true"/>
          <w:lang w:bidi="fa-IR"/>
        </w:rPr>
        <w:t>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إرسال ، وحمید بن زیاد تقدّم القول بأنه واقفی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سهل بن زیاد ، وهو مرفوع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أبو البختری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کذّاباً </w:t>
      </w:r>
      <w:r>
        <w:rPr>
          <w:rStyle w:val="FootnoteAnchor"/>
          <w:rtl w:val="true"/>
        </w:rPr>
        <w:footnoteReference w:id="1899"/>
      </w:r>
      <w:r>
        <w:rPr>
          <w:rFonts w:ascii="IRNazanin" w:hAnsi="IRNazanin" w:eastAsia="IRNazanin"/>
          <w:color w:val="111111"/>
          <w:sz w:val="28"/>
          <w:sz w:val="28"/>
          <w:szCs w:val="28"/>
          <w:rtl w:val="true"/>
          <w:lang w:bidi="fa-IR"/>
        </w:rPr>
        <w:t xml:space="preserve">، وفی الفقیه فی باب الحدود قال فی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جاء عن وهب بن وهب وهو ضعیف </w:t>
      </w:r>
      <w:r>
        <w:rPr>
          <w:rStyle w:val="FootnoteAnchor"/>
          <w:rtl w:val="true"/>
        </w:rPr>
        <w:footnoteReference w:id="1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ذلک کله </w:t>
      </w:r>
      <w:r>
        <w:rPr>
          <w:rStyle w:val="FootnoteAnchor"/>
          <w:rtl w:val="true"/>
        </w:rPr>
        <w:footnoteReference w:id="1901"/>
      </w:r>
      <w:r>
        <w:rPr>
          <w:rFonts w:ascii="IRNazanin" w:hAnsi="IRNazanin" w:eastAsia="IRNazanin"/>
          <w:color w:val="111111"/>
          <w:sz w:val="28"/>
          <w:sz w:val="28"/>
          <w:szCs w:val="28"/>
          <w:rtl w:val="true"/>
          <w:lang w:bidi="fa-IR"/>
        </w:rPr>
        <w:t xml:space="preserve">، والوصف بالقرشی مذکور فی رجال الصادق علیه السلام من کتاب الشیخ </w:t>
      </w:r>
      <w:r>
        <w:rPr>
          <w:rStyle w:val="FootnoteAnchor"/>
          <w:rtl w:val="true"/>
        </w:rPr>
        <w:footnoteReference w:id="1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والراوی عنه هنا کما تری محمد بن</w:t>
      </w:r>
    </w:p>
    <w:p>
      <w:pPr>
        <w:pStyle w:val="Heading4"/>
        <w:numPr>
          <w:ilvl w:val="3"/>
          <w:numId w:val="1"/>
        </w:numPr>
        <w:rPr/>
      </w:pPr>
      <w:bookmarkStart w:id="1288" w:name="__RefHeading___Toc147448_2142443653"/>
      <w:bookmarkStart w:id="1289" w:name="_Toc502"/>
      <w:bookmarkEnd w:id="1288"/>
      <w:r>
        <w:rPr>
          <w:rtl w:val="true"/>
        </w:rPr>
        <w:t>حمید بن زیاد واقفی</w:t>
      </w:r>
      <w:bookmarkEnd w:id="1289"/>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0" w:name="__RefHeading___Toc147450_2142443653"/>
      <w:bookmarkStart w:id="1291" w:name="_Toc503"/>
      <w:bookmarkEnd w:id="1290"/>
      <w:r>
        <w:rPr>
          <w:rtl w:val="true"/>
        </w:rPr>
        <w:t>بحث حول أبی البختری وهب بن وهب</w:t>
      </w:r>
      <w:bookmarkStart w:id="1292" w:name="pg15025_160597"/>
      <w:bookmarkEnd w:id="1291"/>
    </w:p>
    <w:p>
      <w:pPr>
        <w:pStyle w:val="BookText"/>
        <w:rPr/>
      </w:pPr>
      <w:bookmarkEnd w:id="1292"/>
      <w:r>
        <w:rPr>
          <w:rFonts w:ascii="IRNazanin" w:hAnsi="IRNazanin" w:eastAsia="IRNazanin"/>
          <w:color w:val="111111"/>
          <w:sz w:val="28"/>
          <w:sz w:val="28"/>
          <w:szCs w:val="28"/>
          <w:rtl w:val="true"/>
          <w:lang w:bidi="fa-IR"/>
        </w:rPr>
        <w:t xml:space="preserve">خالد ، وفی الفهرست أنّ الراوی لکتابة أحمد بن أبی عبد الله </w:t>
      </w:r>
      <w:r>
        <w:rPr>
          <w:rStyle w:val="FootnoteAnchor"/>
          <w:rtl w:val="true"/>
        </w:rPr>
        <w:footnoteReference w:id="1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لا مانع من روایة الأب والابن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بن قولویه فقد قدّمنا أنّ مشایخنا لا یتوقفون فی توثیقه </w:t>
      </w:r>
      <w:r>
        <w:rPr>
          <w:rStyle w:val="FootnoteAnchor"/>
          <w:rtl w:val="true"/>
        </w:rPr>
        <w:footnoteReference w:id="1904"/>
      </w:r>
      <w:r>
        <w:rPr>
          <w:rFonts w:ascii="IRNazanin" w:hAnsi="IRNazanin" w:eastAsia="IRNazanin"/>
          <w:color w:val="111111"/>
          <w:sz w:val="28"/>
          <w:sz w:val="28"/>
          <w:szCs w:val="28"/>
          <w:rtl w:val="true"/>
          <w:lang w:bidi="fa-IR"/>
        </w:rPr>
        <w:t>، ولا یخلو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دلالة الأوّل بإطلاقه علی عدم اعتبار الاستقبال حال الرمی فی البحر ، وکذلک علی عدم اعتبار تعذّر الشطّ کما یستفاد من مفهوم الشرط فی الثانی ، إلاّ أنّ تقیید الإطلاق من المقید أعنی مفهوم الشرط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الاستقبال فقد ذکره جدّی قدس سره </w:t>
      </w:r>
      <w:r>
        <w:rPr>
          <w:rStyle w:val="FootnoteAnchor"/>
          <w:rtl w:val="true"/>
        </w:rPr>
        <w:footnoteReference w:id="1905"/>
      </w:r>
      <w:r>
        <w:rPr>
          <w:rFonts w:ascii="IRNazanin" w:hAnsi="IRNazanin" w:eastAsia="IRNazanin"/>
          <w:color w:val="111111"/>
          <w:sz w:val="28"/>
          <w:sz w:val="28"/>
          <w:szCs w:val="28"/>
          <w:rtl w:val="true"/>
          <w:lang w:bidi="fa-IR"/>
        </w:rPr>
        <w:t xml:space="preserve">وقبله الشهید </w:t>
      </w:r>
      <w:r>
        <w:rPr>
          <w:rStyle w:val="FootnoteAnchor"/>
          <w:rtl w:val="true"/>
        </w:rPr>
        <w:footnoteReference w:id="1906"/>
      </w:r>
      <w:r>
        <w:rPr>
          <w:rFonts w:ascii="IRNazanin" w:hAnsi="IRNazanin" w:eastAsia="IRNazanin"/>
          <w:color w:val="111111"/>
          <w:sz w:val="28"/>
          <w:sz w:val="28"/>
          <w:szCs w:val="28"/>
          <w:rtl w:val="true"/>
          <w:lang w:bidi="fa-IR"/>
        </w:rPr>
        <w:t xml:space="preserve">، وینقل أیضاً عن ابن الجنید </w:t>
      </w:r>
      <w:r>
        <w:rPr>
          <w:rStyle w:val="FootnoteAnchor"/>
          <w:rtl w:val="true"/>
        </w:rPr>
        <w:footnoteReference w:id="1907"/>
      </w:r>
      <w:r>
        <w:rPr>
          <w:rFonts w:ascii="IRNazanin" w:hAnsi="IRNazanin" w:eastAsia="IRNazanin"/>
          <w:color w:val="111111"/>
          <w:sz w:val="28"/>
          <w:sz w:val="28"/>
          <w:szCs w:val="28"/>
          <w:rtl w:val="true"/>
          <w:lang w:bidi="fa-IR"/>
        </w:rPr>
        <w:t xml:space="preserve">؛ لأنه دفن حیث یحصل به مقصود الدفن ، والظاهر أنّ مرادهم </w:t>
      </w:r>
      <w:r>
        <w:rPr>
          <w:rStyle w:val="FootnoteAnchor"/>
          <w:rtl w:val="true"/>
        </w:rPr>
        <w:footnoteReference w:id="1908"/>
      </w:r>
      <w:r>
        <w:rPr>
          <w:rFonts w:ascii="IRNazanin" w:hAnsi="IRNazanin" w:eastAsia="IRNazanin"/>
          <w:color w:val="111111"/>
          <w:sz w:val="28"/>
          <w:sz w:val="28"/>
          <w:szCs w:val="28"/>
          <w:rtl w:val="true"/>
          <w:lang w:bidi="fa-IR"/>
        </w:rPr>
        <w:t>إضجاعه علی جانبه الأیمن مستقبل القبلة ، کما فی المدفون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کما تری معتبرها یدل علی الوضع فی الخابیة والطرح فی الماء ، من غیر تقیید بالاستقبال ، والاحتیاط مطلوب</w:t>
      </w:r>
      <w:r>
        <w:rPr>
          <w:rFonts w:eastAsia="IRNazanin" w:cs="IRNazanin"/>
          <w:color w:val="111111"/>
          <w:sz w:val="28"/>
          <w:szCs w:val="28"/>
          <w:rtl w:val="true"/>
          <w:lang w:bidi="fa-IR"/>
        </w:rPr>
        <w:t>.</w:t>
      </w:r>
    </w:p>
    <w:p>
      <w:pPr>
        <w:pStyle w:val="Heading4"/>
        <w:numPr>
          <w:ilvl w:val="3"/>
          <w:numId w:val="1"/>
        </w:numPr>
        <w:rPr/>
      </w:pPr>
      <w:bookmarkStart w:id="1293" w:name="__RefHeading___Toc147452_2142443653"/>
      <w:bookmarkStart w:id="1294" w:name="_Toc504"/>
      <w:bookmarkEnd w:id="1293"/>
      <w:r>
        <w:rPr>
          <w:rtl w:val="true"/>
        </w:rPr>
        <w:t>إشارة إلی حال محمّد بن قولویه</w:t>
      </w:r>
      <w:bookmarkEnd w:id="1294"/>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5" w:name="__RefHeading___Toc147454_2142443653"/>
      <w:bookmarkStart w:id="1296" w:name="_Toc505"/>
      <w:bookmarkEnd w:id="1295"/>
      <w:r>
        <w:rPr>
          <w:rtl w:val="true"/>
        </w:rPr>
        <w:t>کیفیة دفن المیت فی البحر</w:t>
      </w:r>
      <w:bookmarkStart w:id="1297" w:name="pg15025_160598"/>
      <w:bookmarkEnd w:id="1296"/>
    </w:p>
    <w:p>
      <w:pPr>
        <w:pStyle w:val="BookText"/>
        <w:rPr/>
      </w:pPr>
      <w:bookmarkEnd w:id="1297"/>
      <w:r>
        <w:rPr>
          <w:rFonts w:ascii="IRNazanin" w:hAnsi="IRNazanin" w:eastAsia="IRNazanin"/>
          <w:color w:val="111111"/>
          <w:sz w:val="28"/>
          <w:sz w:val="28"/>
          <w:szCs w:val="28"/>
          <w:rtl w:val="true"/>
          <w:lang w:bidi="fa-IR"/>
        </w:rPr>
        <w:t xml:space="preserve">وما ذکره الشیخ فی الجمع بین الأخبار تضمّن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تعذّر الخابیة فی الأخبار الأُول ، 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الحظر فی رمیه مثقلاً ، فیکون الوضع فی خابیة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الحمل علی الاستحباب لا مقتضی له ؛ إذ لا معارض </w:t>
      </w:r>
      <w:r>
        <w:rPr>
          <w:rStyle w:val="FootnoteAnchor"/>
          <w:rtl w:val="true"/>
        </w:rPr>
        <w:footnoteReference w:id="1909"/>
      </w:r>
      <w:r>
        <w:rPr>
          <w:rFonts w:ascii="IRNazanin" w:hAnsi="IRNazanin" w:eastAsia="IRNazanin"/>
          <w:color w:val="111111"/>
          <w:sz w:val="28"/>
          <w:sz w:val="28"/>
          <w:szCs w:val="28"/>
          <w:rtl w:val="true"/>
          <w:lang w:bidi="fa-IR"/>
        </w:rPr>
        <w:t xml:space="preserve">لذلک </w:t>
      </w:r>
      <w:r>
        <w:rPr>
          <w:rStyle w:val="FootnoteAnchor"/>
          <w:rtl w:val="true"/>
        </w:rPr>
        <w:footnoteReference w:id="1910"/>
      </w:r>
      <w:r>
        <w:rPr>
          <w:rFonts w:ascii="IRNazanin" w:hAnsi="IRNazanin" w:eastAsia="IRNazanin"/>
          <w:color w:val="111111"/>
          <w:sz w:val="28"/>
          <w:sz w:val="28"/>
          <w:szCs w:val="28"/>
          <w:rtl w:val="true"/>
          <w:lang w:bidi="fa-IR"/>
        </w:rPr>
        <w:t xml:space="preserve">إلاّ ما دلّ علی رمیه مثقلاً ، فإذا حمل علی التعذّر کان واجباً علی ظاهر الأخبار ، من حیث إنّ الجملة الخبریة فی </w:t>
      </w:r>
      <w:r>
        <w:rPr>
          <w:rStyle w:val="FootnoteAnchor"/>
          <w:rtl w:val="true"/>
        </w:rPr>
        <w:footnoteReference w:id="1911"/>
      </w:r>
      <w:r>
        <w:rPr>
          <w:rFonts w:ascii="IRNazanin" w:hAnsi="IRNazanin" w:eastAsia="IRNazanin"/>
          <w:color w:val="111111"/>
          <w:sz w:val="28"/>
          <w:sz w:val="28"/>
          <w:szCs w:val="28"/>
          <w:rtl w:val="true"/>
          <w:lang w:bidi="fa-IR"/>
        </w:rPr>
        <w:t>معنی الأمر ، وإنّ کان فیه کلام تقدّم ، إلاّ أنّ ذکر التکفین وغیره قرینة الوجوب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مراد الشیخ أنّ إطلاق الأخبار فی الرمی مثقلاً یعطی عدم اشتراط غیره ، والمقیّد لا ینافیه لیحمل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واضح ؛ لأنّ المنافاة قد یتحقق بالخابیة حین لا یصیر مثقلاً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کون الأخبار من قبیل المطلق والمقیّد لا یخلو من إجمال ، و </w:t>
      </w:r>
      <w:r>
        <w:rPr>
          <w:rStyle w:val="FootnoteAnchor"/>
          <w:rtl w:val="true"/>
        </w:rPr>
        <w:footnoteReference w:id="1912"/>
      </w:r>
      <w:r>
        <w:rPr>
          <w:rFonts w:ascii="IRNazanin" w:hAnsi="IRNazanin" w:eastAsia="IRNazanin"/>
          <w:color w:val="111111"/>
          <w:sz w:val="28"/>
          <w:sz w:val="28"/>
          <w:szCs w:val="28"/>
          <w:rtl w:val="true"/>
          <w:lang w:bidi="fa-IR"/>
        </w:rPr>
        <w:t xml:space="preserve">أنّ الحکم من الشیخ بالاستحباب علی الإطلاق مشکل </w:t>
      </w:r>
      <w:r>
        <w:rPr>
          <w:rFonts w:eastAsia="IRNazanin" w:cs="IRNazanin"/>
          <w:color w:val="111111"/>
          <w:sz w:val="28"/>
          <w:szCs w:val="28"/>
          <w:rtl w:val="true"/>
          <w:lang w:bidi="fa-IR"/>
        </w:rPr>
        <w:t xml:space="preserve">) </w:t>
      </w:r>
      <w:r>
        <w:rPr>
          <w:rStyle w:val="FootnoteAnchor"/>
          <w:rtl w:val="true"/>
        </w:rPr>
        <w:footnoteReference w:id="1913"/>
      </w:r>
      <w:r>
        <w:rPr>
          <w:rFonts w:ascii="IRNazanin" w:hAnsi="IRNazanin" w:eastAsia="IRNazanin"/>
          <w:color w:val="111111"/>
          <w:sz w:val="28"/>
          <w:sz w:val="28"/>
          <w:szCs w:val="28"/>
          <w:rtl w:val="true"/>
          <w:lang w:bidi="fa-IR"/>
        </w:rPr>
        <w:t>وعلی تقدیر اختصاص العمل بالصحیح یسهل الخطب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الوِکاء ، کَکِساء رباط القربة وغیرها وقد وکاها وأوکاها وکلّ ما شدّ رأسه من وعاء ونحوه وکاء </w:t>
      </w:r>
      <w:r>
        <w:rPr>
          <w:rStyle w:val="FootnoteAnchor"/>
          <w:rtl w:val="true"/>
        </w:rPr>
        <w:footnoteReference w:id="1914"/>
      </w:r>
      <w:r>
        <w:rPr>
          <w:rFonts w:ascii="IRNazanin" w:hAnsi="IRNazanin" w:eastAsia="IRNazanin"/>
          <w:color w:val="111111"/>
          <w:sz w:val="28"/>
          <w:sz w:val="28"/>
          <w:szCs w:val="28"/>
          <w:rtl w:val="true"/>
          <w:lang w:bidi="fa-IR"/>
        </w:rPr>
        <w:t>، والخابیة من خبأت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8" w:name="__RefHeading___Toc147456_2142443653"/>
      <w:bookmarkStart w:id="1299" w:name="_Toc506"/>
      <w:bookmarkEnd w:id="1298"/>
      <w:r>
        <w:rPr>
          <w:rtl w:val="true"/>
        </w:rPr>
        <w:t>معنی الوکاء والخابیة</w:t>
      </w:r>
      <w:bookmarkStart w:id="1300" w:name="pg15025_160599"/>
      <w:bookmarkEnd w:id="1299"/>
    </w:p>
    <w:p>
      <w:pPr>
        <w:pStyle w:val="BookText"/>
        <w:rPr/>
      </w:pPr>
      <w:bookmarkEnd w:id="1300"/>
      <w:r>
        <w:rPr>
          <w:rFonts w:ascii="IRNazanin" w:hAnsi="IRNazanin" w:eastAsia="IRNazanin"/>
          <w:color w:val="111111"/>
          <w:sz w:val="28"/>
          <w:sz w:val="28"/>
          <w:szCs w:val="28"/>
          <w:rtl w:val="true"/>
          <w:lang w:bidi="fa-IR"/>
        </w:rPr>
        <w:t xml:space="preserve">الشی‌ء إذا سترته وهی الحُبّ </w:t>
      </w:r>
      <w:r>
        <w:rPr>
          <w:rStyle w:val="FootnoteAnchor"/>
          <w:rtl w:val="true"/>
        </w:rPr>
        <w:footnoteReference w:id="1915"/>
      </w:r>
      <w:r>
        <w:rPr>
          <w:rFonts w:ascii="IRNazanin" w:hAnsi="IRNazanin" w:eastAsia="IRNazanin"/>
          <w:color w:val="111111"/>
          <w:sz w:val="28"/>
          <w:sz w:val="28"/>
          <w:szCs w:val="28"/>
          <w:rtl w:val="true"/>
          <w:lang w:bidi="fa-IR"/>
        </w:rPr>
        <w:t xml:space="preserve">، وکان حقّها الهمزة لکن العرب ترکوا همزتها کما نقله بعض الأصحاب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تربیع الجنازة</w:t>
      </w:r>
    </w:p>
    <w:p>
      <w:pPr>
        <w:pStyle w:val="BookText"/>
        <w:rPr/>
      </w:pPr>
      <w:r>
        <w:rPr>
          <w:rFonts w:ascii="IRNazanin" w:hAnsi="IRNazanin" w:eastAsia="IRNazanin"/>
          <w:color w:val="111111"/>
          <w:sz w:val="28"/>
          <w:sz w:val="28"/>
          <w:szCs w:val="28"/>
          <w:rtl w:val="true"/>
          <w:lang w:bidi="fa-IR"/>
        </w:rPr>
        <w:t xml:space="preserve">أخبرنی الشیخ رحمه الله عن أبی القاسم جعفر بن محمد ، عن محمد ابن یعقوب ، عن علی ، عن أبیه ، عن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 ، عن </w:t>
      </w:r>
      <w:r>
        <w:rPr>
          <w:rFonts w:eastAsia="IRNazanin" w:cs="IRNazanin"/>
          <w:color w:val="111111"/>
          <w:sz w:val="28"/>
          <w:szCs w:val="28"/>
          <w:rtl w:val="true"/>
          <w:lang w:bidi="fa-IR"/>
        </w:rPr>
        <w:t xml:space="preserve">) </w:t>
      </w:r>
      <w:r>
        <w:rPr>
          <w:rStyle w:val="FootnoteAnchor"/>
          <w:rtl w:val="true"/>
        </w:rPr>
        <w:footnoteReference w:id="1917"/>
      </w:r>
      <w:r>
        <w:rPr>
          <w:rFonts w:ascii="IRNazanin" w:hAnsi="IRNazanin" w:eastAsia="IRNazanin"/>
          <w:color w:val="111111"/>
          <w:sz w:val="28"/>
          <w:sz w:val="28"/>
          <w:szCs w:val="28"/>
          <w:rtl w:val="true"/>
          <w:lang w:bidi="fa-IR"/>
        </w:rPr>
        <w:t xml:space="preserve">علی بن عقبة ، عن موسی بن أکیل ، عن العلاء بن سیّابة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تبدأ فی حمل السریر من الجانب الأیمن ثم تمرّ علیه من خلفه إلی الجانب الآخر </w:t>
      </w:r>
      <w:r>
        <w:rPr>
          <w:rStyle w:val="FootnoteAnchor"/>
          <w:rtl w:val="true"/>
        </w:rPr>
        <w:footnoteReference w:id="1918"/>
      </w:r>
      <w:r>
        <w:rPr>
          <w:rFonts w:ascii="IRNazanin" w:hAnsi="IRNazanin" w:eastAsia="IRNazanin"/>
          <w:color w:val="111111"/>
          <w:sz w:val="28"/>
          <w:sz w:val="28"/>
          <w:szCs w:val="28"/>
          <w:rtl w:val="true"/>
          <w:lang w:bidi="fa-IR"/>
        </w:rPr>
        <w:t xml:space="preserve">حتی ترجع إلی المقدّم کذلک دوران الرحی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 عن أبیه ، عن غیر واحد ، عن یونس ، عن علی بن یقطین ، عن أبی الحسن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فی حمل الجنازة أن تستقبل جانب السریر بشقّک الأیمن فتلزم الأیسر بکفّک الأیمن ثم تمرّ علیه إلی الجانب الرابع مما یلی یسارک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علی الأشعری ، عن محمد بن عبد الجبار ، عن علی بن حدید ، عن سیف بن عمیرة ، عن عمرو بن شمر ، عن جابر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أن تحمل السریر من جوانبه الأربع وما کان بعد ذلک من حمل فهو تطوّع </w:t>
      </w:r>
      <w:r>
        <w:rPr>
          <w:rFonts w:eastAsia="IRNazanin" w:cs="IRNazanin"/>
          <w:color w:val="111111"/>
          <w:sz w:val="28"/>
          <w:szCs w:val="28"/>
          <w:rtl w:val="true"/>
          <w:lang w:bidi="fa-IR"/>
        </w:rPr>
        <w:t>».</w:t>
      </w:r>
    </w:p>
    <w:p>
      <w:pPr>
        <w:pStyle w:val="Heading3"/>
        <w:numPr>
          <w:ilvl w:val="2"/>
          <w:numId w:val="1"/>
        </w:numPr>
        <w:rPr/>
      </w:pPr>
      <w:bookmarkStart w:id="1301" w:name="__RefHeading___Toc147458_2142443653"/>
      <w:bookmarkStart w:id="1302" w:name="_Toc507"/>
      <w:bookmarkEnd w:id="1301"/>
      <w:r>
        <w:rPr>
          <w:rtl w:val="true"/>
        </w:rPr>
        <w:t>تربیع الجنازة</w:t>
      </w:r>
      <w:bookmarkEnd w:id="1302"/>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3" w:name="__RefHeading___Toc147460_2142443653"/>
      <w:bookmarkStart w:id="1304" w:name="_Toc508"/>
      <w:bookmarkEnd w:id="1303"/>
      <w:r>
        <w:rPr>
          <w:rtl w:val="true"/>
        </w:rPr>
        <w:t>اشارة</w:t>
      </w:r>
      <w:bookmarkStart w:id="1305" w:name="pg15025_160600"/>
      <w:bookmarkEnd w:id="1304"/>
    </w:p>
    <w:p>
      <w:pPr>
        <w:pStyle w:val="BookText"/>
        <w:rPr/>
      </w:pPr>
      <w:bookmarkEnd w:id="1305"/>
      <w:r>
        <w:rPr>
          <w:rFonts w:ascii="IRNazanin" w:hAnsi="IRNazanin" w:eastAsia="IRNazanin"/>
          <w:color w:val="111111"/>
          <w:sz w:val="28"/>
          <w:sz w:val="28"/>
          <w:szCs w:val="28"/>
          <w:rtl w:val="true"/>
          <w:lang w:bidi="fa-IR"/>
        </w:rPr>
        <w:t xml:space="preserve">فأمّا ما رواه علی بن الحسین ، عن علی بن موسی ، عن أحمد بن محمد ، عن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أسأله عن سریر المیت یحمل إله جانب یبدأ به فی الحمل من جوانبه الأربع أو ما خفّ علی الرجل یحمل من أیّ الجوانب شاء؟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أیّها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هذه الروایة رفع الحظر عن حمل الجنائز من أیّ جوانبها شاء ، لأنّ الذی قدّمناه من المسنون دون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ابن فضال وقد تکرّر القول فیه </w:t>
      </w:r>
      <w:r>
        <w:rPr>
          <w:rStyle w:val="FootnoteAnchor"/>
          <w:rtl w:val="true"/>
        </w:rPr>
        <w:footnoteReference w:id="1919"/>
      </w:r>
      <w:r>
        <w:rPr>
          <w:rFonts w:ascii="IRNazanin" w:hAnsi="IRNazanin" w:eastAsia="IRNazanin"/>
          <w:color w:val="111111"/>
          <w:sz w:val="28"/>
          <w:sz w:val="28"/>
          <w:szCs w:val="28"/>
          <w:rtl w:val="true"/>
          <w:lang w:bidi="fa-IR"/>
        </w:rPr>
        <w:t xml:space="preserve">، وعلی بن عقبة لا یبعد أنّ یکون هو علی بن عقبة بن خالد الذی وثّقه النجاشی مرّتین </w:t>
      </w:r>
      <w:r>
        <w:rPr>
          <w:rStyle w:val="FootnoteAnchor"/>
          <w:rtl w:val="true"/>
        </w:rPr>
        <w:footnoteReference w:id="1920"/>
      </w:r>
      <w:r>
        <w:rPr>
          <w:rFonts w:ascii="Amiri" w:hAnsi="Amiri" w:eastAsia="Amiri" w:cs="Amiri"/>
          <w:color w:val="111111"/>
          <w:sz w:val="28"/>
          <w:sz w:val="28"/>
          <w:szCs w:val="28"/>
          <w:rtl w:val="true"/>
          <w:lang w:bidi="ar-SA"/>
        </w:rPr>
        <w:t xml:space="preserve">، لأنّ </w:t>
      </w:r>
      <w:r>
        <w:rPr>
          <w:rStyle w:val="FootnoteAnchor"/>
          <w:rtl w:val="true"/>
        </w:rPr>
        <w:footnoteReference w:id="1921"/>
      </w:r>
      <w:r>
        <w:rPr>
          <w:rFonts w:ascii="IRNazanin" w:hAnsi="IRNazanin" w:eastAsia="IRNazanin"/>
          <w:color w:val="111111"/>
          <w:sz w:val="28"/>
          <w:sz w:val="28"/>
          <w:szCs w:val="28"/>
          <w:rtl w:val="true"/>
          <w:lang w:bidi="fa-IR"/>
        </w:rPr>
        <w:t xml:space="preserve">علی بن عقبة المذکور فی رجال الصادق علیه السلام من کتاب الشیخ مهملاً </w:t>
      </w:r>
      <w:r>
        <w:rPr>
          <w:rStyle w:val="FootnoteAnchor"/>
          <w:rtl w:val="true"/>
        </w:rPr>
        <w:footnoteReference w:id="1922"/>
      </w:r>
      <w:r>
        <w:rPr>
          <w:rFonts w:ascii="IRNazanin" w:hAnsi="IRNazanin" w:eastAsia="IRNazanin"/>
          <w:color w:val="111111"/>
          <w:sz w:val="28"/>
          <w:sz w:val="28"/>
          <w:szCs w:val="28"/>
          <w:rtl w:val="true"/>
          <w:lang w:bidi="fa-IR"/>
        </w:rPr>
        <w:t xml:space="preserve">غیره ، والذی فی الفهرست مذکور مهملاً وأنّ الراوی عنه الحسن بن علی ابن فضال </w:t>
      </w:r>
      <w:r>
        <w:rPr>
          <w:rStyle w:val="FootnoteAnchor"/>
          <w:rtl w:val="true"/>
        </w:rPr>
        <w:footnoteReference w:id="1923"/>
      </w:r>
      <w:r>
        <w:rPr>
          <w:rFonts w:ascii="Amiri" w:hAnsi="Amiri" w:eastAsia="Amiri" w:cs="Amiri"/>
          <w:color w:val="111111"/>
          <w:sz w:val="28"/>
          <w:sz w:val="28"/>
          <w:szCs w:val="28"/>
          <w:rtl w:val="true"/>
          <w:lang w:bidi="ar-SA"/>
        </w:rPr>
        <w:t xml:space="preserve">کأنّه </w:t>
      </w:r>
      <w:r>
        <w:rPr>
          <w:rStyle w:val="FootnoteAnchor"/>
          <w:rtl w:val="true"/>
        </w:rPr>
        <w:footnoteReference w:id="1924"/>
      </w:r>
      <w:r>
        <w:rPr>
          <w:rFonts w:ascii="IRNazanin" w:hAnsi="IRNazanin" w:eastAsia="IRNazanin"/>
          <w:color w:val="111111"/>
          <w:sz w:val="28"/>
          <w:sz w:val="28"/>
          <w:szCs w:val="28"/>
          <w:rtl w:val="true"/>
          <w:lang w:bidi="fa-IR"/>
        </w:rPr>
        <w:t xml:space="preserve">هو ابن </w:t>
      </w:r>
      <w:r>
        <w:rPr>
          <w:rStyle w:val="FootnoteAnchor"/>
          <w:rtl w:val="true"/>
        </w:rPr>
        <w:footnoteReference w:id="1925"/>
      </w:r>
      <w:r>
        <w:rPr>
          <w:rFonts w:ascii="IRNazanin" w:hAnsi="IRNazanin" w:eastAsia="IRNazanin"/>
          <w:color w:val="111111"/>
          <w:sz w:val="28"/>
          <w:sz w:val="28"/>
          <w:szCs w:val="28"/>
          <w:rtl w:val="true"/>
          <w:lang w:bidi="fa-IR"/>
        </w:rPr>
        <w:t xml:space="preserve">عقبة بن خالد ، فیدفع الإشکال من جهة علی ابن عقبة ، وقد قدّمنا فیه الکلام أیضاً </w:t>
      </w:r>
      <w:r>
        <w:rPr>
          <w:rStyle w:val="FootnoteAnchor"/>
          <w:rtl w:val="true"/>
        </w:rPr>
        <w:footnoteReference w:id="1926"/>
      </w:r>
      <w:r>
        <w:rPr>
          <w:rFonts w:ascii="IRNazanin" w:hAnsi="IRNazanin" w:eastAsia="IRNazanin"/>
          <w:color w:val="111111"/>
          <w:sz w:val="28"/>
          <w:sz w:val="28"/>
          <w:szCs w:val="28"/>
          <w:rtl w:val="true"/>
          <w:lang w:bidi="fa-IR"/>
        </w:rPr>
        <w:t xml:space="preserve">والإعادة لکون الراوی هنا الحسن ابن علی الموهم لکونه المذکور فی الفهرست مهملاً </w:t>
      </w:r>
      <w:r>
        <w:rPr>
          <w:rStyle w:val="FootnoteAnchor"/>
          <w:rtl w:val="true"/>
        </w:rPr>
        <w:footnoteReference w:id="1927"/>
      </w:r>
      <w:r>
        <w:rPr>
          <w:rFonts w:ascii="Amiri" w:hAnsi="Amiri" w:eastAsia="Amiri" w:cs="Amiri"/>
          <w:color w:val="111111"/>
          <w:sz w:val="28"/>
          <w:sz w:val="28"/>
          <w:szCs w:val="28"/>
          <w:rtl w:val="true"/>
          <w:lang w:bidi="ar-SA"/>
        </w:rPr>
        <w:t>، وإنّ کان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6" w:name="__RefHeading___Toc147462_2142443653"/>
      <w:bookmarkStart w:id="1307" w:name="_Toc509"/>
      <w:bookmarkEnd w:id="1306"/>
      <w:r>
        <w:rPr>
          <w:rtl w:val="true"/>
        </w:rPr>
        <w:t>بحث حول علی بن عقبة</w:t>
      </w:r>
      <w:bookmarkStart w:id="1308" w:name="pg15025_160601"/>
      <w:bookmarkEnd w:id="1307"/>
    </w:p>
    <w:p>
      <w:pPr>
        <w:pStyle w:val="BookText"/>
        <w:rPr/>
      </w:pPr>
      <w:bookmarkEnd w:id="1308"/>
      <w:r>
        <w:rPr>
          <w:rFonts w:ascii="IRNazanin" w:hAnsi="IRNazanin" w:eastAsia="IRNazanin"/>
          <w:color w:val="111111"/>
          <w:sz w:val="28"/>
          <w:sz w:val="28"/>
          <w:szCs w:val="28"/>
          <w:rtl w:val="true"/>
          <w:lang w:bidi="fa-IR"/>
        </w:rPr>
        <w:t>فی البین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موسی بن أکیل فهو ثقة فی النجاشی </w:t>
      </w:r>
      <w:r>
        <w:rPr>
          <w:rStyle w:val="FootnoteAnchor"/>
          <w:rtl w:val="true"/>
        </w:rPr>
        <w:footnoteReference w:id="1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والعلاء بن سیابة مهمل فی رجال الصادق علیه السلام من کتاب الشیخ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مع الإرسال یونس ، والظاهر أنّه ابن عبد الرحمن ، لأنّه مولی علی بن یقطین ، وفیه نوع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حدید وقد تکرّر القول فیه </w:t>
      </w:r>
      <w:r>
        <w:rPr>
          <w:rStyle w:val="FootnoteAnchor"/>
          <w:rtl w:val="true"/>
        </w:rPr>
        <w:footnoteReference w:id="1930"/>
      </w:r>
      <w:r>
        <w:rPr>
          <w:rFonts w:ascii="IRNazanin" w:hAnsi="IRNazanin" w:eastAsia="IRNazanin"/>
          <w:color w:val="111111"/>
          <w:sz w:val="28"/>
          <w:sz w:val="28"/>
          <w:szCs w:val="28"/>
          <w:rtl w:val="true"/>
          <w:lang w:bidi="fa-IR"/>
        </w:rPr>
        <w:t>من أنّ الشیخ ضعّفه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بن موسی وهو غیر مذکور فی الرجال علی ما رأیت ، وعلی بن الحسین مشترک </w:t>
      </w:r>
      <w:r>
        <w:rPr>
          <w:rStyle w:val="FootnoteAnchor"/>
          <w:rtl w:val="true"/>
        </w:rPr>
        <w:footnoteReference w:id="1931"/>
      </w:r>
      <w:r>
        <w:rPr>
          <w:rFonts w:ascii="IRNazanin" w:hAnsi="IRNazanin" w:eastAsia="IRNazanin"/>
          <w:color w:val="111111"/>
          <w:sz w:val="28"/>
          <w:sz w:val="28"/>
          <w:szCs w:val="28"/>
          <w:rtl w:val="true"/>
          <w:lang w:bidi="fa-IR"/>
        </w:rPr>
        <w:t xml:space="preserve">ولا یبعد کونه ابن بابویه ، والحسین هو ابن سعید صرّح به فی الفقیه ، کما صرّح بأنّ المکتوب إلیه الرضا علیه السلام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یراد بالجانب الأیمن جانب المیت وهو یسار السریر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تمرّ علیه 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خلف المیت لو کان جالسا </w:t>
      </w:r>
      <w:r>
        <w:rPr>
          <w:rStyle w:val="FootnoteAnchor"/>
          <w:rtl w:val="true"/>
        </w:rPr>
        <w:footnoteReference w:id="1933"/>
      </w:r>
      <w:r>
        <w:rPr>
          <w:rFonts w:ascii="IRNazanin" w:hAnsi="IRNazanin" w:eastAsia="IRNazanin"/>
          <w:color w:val="111111"/>
          <w:sz w:val="28"/>
          <w:sz w:val="28"/>
          <w:szCs w:val="28"/>
          <w:rtl w:val="true"/>
          <w:lang w:bidi="fa-IR"/>
        </w:rPr>
        <w:t>؛ ویحتمل أنّ یراد بالأیمن جانب السریر ، وهو أیسر المیت ، ویراد بالجانب الآخر المؤخّر فیحمل بمؤخّر السریر الأیسر ویمرّ علیه إلی</w:t>
      </w:r>
    </w:p>
    <w:p>
      <w:pPr>
        <w:pStyle w:val="Heading4"/>
        <w:numPr>
          <w:ilvl w:val="3"/>
          <w:numId w:val="1"/>
        </w:numPr>
        <w:rPr/>
      </w:pPr>
      <w:bookmarkStart w:id="1309" w:name="__RefHeading___Toc147464_2142443653"/>
      <w:bookmarkStart w:id="1310" w:name="_Toc510"/>
      <w:bookmarkEnd w:id="1309"/>
      <w:r>
        <w:rPr>
          <w:rtl w:val="true"/>
        </w:rPr>
        <w:t>موسی بن أکیل ثقة</w:t>
      </w:r>
      <w:bookmarkEnd w:id="1310"/>
    </w:p>
    <w:p>
      <w:pPr>
        <w:pStyle w:val="Heading4"/>
        <w:numPr>
          <w:ilvl w:val="3"/>
          <w:numId w:val="1"/>
        </w:numPr>
        <w:rPr/>
      </w:pPr>
      <w:bookmarkStart w:id="1311" w:name="__RefHeading___Toc147466_2142443653"/>
      <w:bookmarkStart w:id="1312" w:name="_Toc511"/>
      <w:bookmarkEnd w:id="1311"/>
      <w:r>
        <w:rPr>
          <w:rtl w:val="true"/>
        </w:rPr>
        <w:t>العلاء بن سیّابة مهمل</w:t>
      </w:r>
      <w:bookmarkEnd w:id="1312"/>
    </w:p>
    <w:p>
      <w:pPr>
        <w:pStyle w:val="Heading4"/>
        <w:numPr>
          <w:ilvl w:val="3"/>
          <w:numId w:val="1"/>
        </w:numPr>
        <w:rPr/>
      </w:pPr>
      <w:bookmarkStart w:id="1313" w:name="__RefHeading___Toc147468_2142443653"/>
      <w:bookmarkStart w:id="1314" w:name="_Toc512"/>
      <w:bookmarkEnd w:id="1313"/>
      <w:r>
        <w:rPr>
          <w:rtl w:val="true"/>
        </w:rPr>
        <w:t>یونس الذی یروی عن علی بن یقطین هو ابن عبدالرحمان</w:t>
      </w:r>
      <w:bookmarkEnd w:id="1314"/>
    </w:p>
    <w:p>
      <w:pPr>
        <w:pStyle w:val="Heading4"/>
        <w:numPr>
          <w:ilvl w:val="3"/>
          <w:numId w:val="1"/>
        </w:numPr>
        <w:rPr/>
      </w:pPr>
      <w:bookmarkStart w:id="1315" w:name="__RefHeading___Toc147470_2142443653"/>
      <w:bookmarkStart w:id="1316" w:name="_Toc513"/>
      <w:bookmarkEnd w:id="1315"/>
      <w:r>
        <w:rPr>
          <w:rtl w:val="true"/>
        </w:rPr>
        <w:t>إشارة إلی ضعف علی بن حدید</w:t>
      </w:r>
      <w:bookmarkEnd w:id="1316"/>
    </w:p>
    <w:p>
      <w:pPr>
        <w:pStyle w:val="Heading4"/>
        <w:numPr>
          <w:ilvl w:val="3"/>
          <w:numId w:val="1"/>
        </w:numPr>
        <w:rPr/>
      </w:pPr>
      <w:bookmarkStart w:id="1317" w:name="__RefHeading___Toc147472_2142443653"/>
      <w:bookmarkStart w:id="1318" w:name="_Toc514"/>
      <w:bookmarkEnd w:id="1317"/>
      <w:r>
        <w:rPr>
          <w:rtl w:val="true"/>
        </w:rPr>
        <w:t>علی بن موسی غیر مذکور فی الرجال</w:t>
      </w:r>
      <w:bookmarkEnd w:id="1318"/>
    </w:p>
    <w:p>
      <w:pPr>
        <w:pStyle w:val="Heading4"/>
        <w:numPr>
          <w:ilvl w:val="3"/>
          <w:numId w:val="1"/>
        </w:numPr>
        <w:rPr/>
      </w:pPr>
      <w:bookmarkStart w:id="1319" w:name="__RefHeading___Toc147474_2142443653"/>
      <w:bookmarkStart w:id="1320" w:name="_Toc515"/>
      <w:bookmarkEnd w:id="1319"/>
      <w:r>
        <w:rPr>
          <w:rtl w:val="true"/>
        </w:rPr>
        <w:t>علی بن الحسین مشترک</w:t>
      </w:r>
      <w:bookmarkEnd w:id="1320"/>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1" w:name="__RefHeading___Toc147476_2142443653"/>
      <w:bookmarkStart w:id="1322" w:name="_Toc516"/>
      <w:bookmarkEnd w:id="1321"/>
      <w:r>
        <w:rPr>
          <w:rtl w:val="true"/>
        </w:rPr>
        <w:t>کیفیة التربیع</w:t>
      </w:r>
      <w:bookmarkEnd w:id="1322"/>
    </w:p>
    <w:p>
      <w:pPr>
        <w:pStyle w:val="BookText"/>
        <w:rPr/>
      </w:pPr>
      <w:r>
        <w:rPr>
          <w:rFonts w:ascii="IRNazanin" w:hAnsi="IRNazanin" w:eastAsia="IRNazanin"/>
          <w:color w:val="111111"/>
          <w:sz w:val="28"/>
          <w:sz w:val="28"/>
          <w:szCs w:val="28"/>
          <w:rtl w:val="true"/>
          <w:lang w:bidi="fa-IR"/>
        </w:rPr>
        <w:t xml:space="preserve">مقدّمه ، کما نقل عن الشیخ فی المبسوط والنهایة وادعی علیه الإجماع </w:t>
      </w:r>
      <w:r>
        <w:rPr>
          <w:rStyle w:val="FootnoteAnchor"/>
          <w:rtl w:val="true"/>
        </w:rPr>
        <w:footnoteReference w:id="1934"/>
      </w:r>
      <w:r>
        <w:rPr>
          <w:rFonts w:ascii="IRNazanin" w:hAnsi="IRNazanin" w:eastAsia="IRNazanin"/>
          <w:color w:val="111111"/>
          <w:sz w:val="28"/>
          <w:sz w:val="28"/>
          <w:szCs w:val="28"/>
          <w:rtl w:val="true"/>
          <w:lang w:bidi="fa-IR"/>
        </w:rPr>
        <w:t xml:space="preserve">، وفی الخلاف نقل عنه أنّه قال بالاحتمال الأوّل ، وعبارته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بمیامنه مقدّم السریر الأیسر ثم یدور حوله حتی یرجع إلی المقدّم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فی النهایة والمبسوط استدل بالروایة الأُولی علی ما ذکره ، وبروایة الفضل بن یونس عن الکاظم علیه السلام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یکن یتقی فیه فإنّ تربیع الجنازة الذی جرت به السنّة أنّ یبدأ بالید الیمنی ثم بالرجل الیمنی ثم بالرجل الیسری ثم بالید الیسری حتی یدور حولها </w:t>
      </w:r>
      <w:r>
        <w:rPr>
          <w:rFonts w:eastAsia="IRNazanin" w:cs="IRNazanin"/>
          <w:color w:val="111111"/>
          <w:sz w:val="28"/>
          <w:szCs w:val="28"/>
          <w:rtl w:val="true"/>
          <w:lang w:bidi="fa-IR"/>
        </w:rPr>
        <w:t xml:space="preserve">»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نظری القاصر أنّ ما نقل عن الشیخ فی النهایة والمبسوط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لا توافقه </w:t>
      </w:r>
      <w:r>
        <w:rPr>
          <w:rFonts w:eastAsia="IRNazanin" w:cs="IRNazanin"/>
          <w:color w:val="111111"/>
          <w:sz w:val="28"/>
          <w:szCs w:val="28"/>
          <w:rtl w:val="true"/>
          <w:lang w:bidi="fa-IR"/>
        </w:rPr>
        <w:t xml:space="preserve">) </w:t>
      </w:r>
      <w:r>
        <w:rPr>
          <w:rStyle w:val="FootnoteAnchor"/>
          <w:rtl w:val="true"/>
        </w:rPr>
        <w:footnoteReference w:id="1937"/>
      </w:r>
      <w:r>
        <w:rPr>
          <w:rFonts w:ascii="IRNazanin" w:hAnsi="IRNazanin" w:eastAsia="IRNazanin"/>
          <w:color w:val="111111"/>
          <w:sz w:val="28"/>
          <w:sz w:val="28"/>
          <w:szCs w:val="28"/>
          <w:rtl w:val="true"/>
          <w:lang w:bidi="fa-IR"/>
        </w:rPr>
        <w:t xml:space="preserve">روایة الفضل بن یونس ؛ لأنّ مقتضی ما قاله أنّ یبدأ بمقدّم السریر الأیمن ، ومقدم السریر الأیمن علی یسار المیت ، ومفاد روایة الفضل أنّ یبدأ بالید الیمنی ، والظاهر منها ید المیت ، وهی یسار السریر ، وینبه </w:t>
      </w:r>
      <w:r>
        <w:rPr>
          <w:rStyle w:val="FootnoteAnchor"/>
          <w:rtl w:val="true"/>
        </w:rPr>
        <w:footnoteReference w:id="1938"/>
      </w:r>
      <w:r>
        <w:rPr>
          <w:rFonts w:ascii="IRNazanin" w:hAnsi="IRNazanin" w:eastAsia="IRNazanin"/>
          <w:color w:val="111111"/>
          <w:sz w:val="28"/>
          <w:sz w:val="28"/>
          <w:szCs w:val="28"/>
          <w:rtl w:val="true"/>
          <w:lang w:bidi="fa-IR"/>
        </w:rPr>
        <w:t xml:space="preserve">علی کونها ید المیت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بالرجل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ذکره فی الخلاف یوافق روایة الفضل ، لکن المنقول عن الخلاف أنّه استدل بروایة علی بن یقطین وهی الثانیة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غموض </w:t>
      </w:r>
      <w:r>
        <w:rPr>
          <w:rStyle w:val="FootnoteAnchor"/>
          <w:rtl w:val="true"/>
        </w:rPr>
        <w:footnoteReference w:id="1940"/>
      </w:r>
      <w:r>
        <w:rPr>
          <w:rFonts w:ascii="IRNazanin" w:hAnsi="IRNazanin" w:eastAsia="IRNazanin"/>
          <w:color w:val="111111"/>
          <w:sz w:val="28"/>
          <w:sz w:val="28"/>
          <w:szCs w:val="28"/>
          <w:rtl w:val="true"/>
          <w:lang w:bidi="fa-IR"/>
        </w:rPr>
        <w:t xml:space="preserve">دلالتها علی 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الی ما یأتی </w:t>
      </w:r>
      <w:r>
        <w:rPr>
          <w:rStyle w:val="FootnoteAnchor"/>
          <w:rtl w:val="true"/>
        </w:rPr>
        <w:footnoteReference w:id="1941"/>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الاحتمال </w:t>
      </w:r>
      <w:r>
        <w:rPr>
          <w:rFonts w:eastAsia="IRNazanin" w:cs="IRNazanin"/>
          <w:color w:val="111111"/>
          <w:sz w:val="28"/>
          <w:szCs w:val="28"/>
          <w:rtl w:val="true"/>
          <w:lang w:bidi="fa-IR"/>
        </w:rPr>
        <w:t xml:space="preserve">)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ذکره الشهید رحمه الله من أنّ خبر علی بن یقطین یمکن حمله علی التربیع المشهور ، لأنّ الشیخ ادعی علیه الإجماع ، فکیف یخالف دعواه؟ ولأنّه 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دور الرحی ، کما فی الروایة </w:t>
      </w:r>
      <w:r>
        <w:rPr>
          <w:rStyle w:val="FootnoteAnchor"/>
          <w:rtl w:val="true"/>
        </w:rPr>
        <w:footnoteReference w:id="1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یتصور إلاّ علی البدأة بمقدّم السریر الأیمن والختم بمقدّمه الأیسر ، والإضافة هنا قد تتعاکس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تضمّنت أنّ تستقبل السریر بکتفک الأیمن وتلزم الأیسر بکفک </w:t>
      </w:r>
      <w:r>
        <w:rPr>
          <w:rStyle w:val="FootnoteAnchor"/>
          <w:rtl w:val="true"/>
        </w:rPr>
        <w:footnoteReference w:id="1945"/>
      </w:r>
      <w:r>
        <w:rPr>
          <w:rFonts w:ascii="IRNazanin" w:hAnsi="IRNazanin" w:eastAsia="IRNazanin"/>
          <w:color w:val="111111"/>
          <w:sz w:val="28"/>
          <w:sz w:val="28"/>
          <w:szCs w:val="28"/>
          <w:rtl w:val="true"/>
          <w:lang w:bidi="fa-IR"/>
        </w:rPr>
        <w:t>الأیمن ، وکیف تتم الموافقة لما ادعی علیه الشیخ الإجماع من البدأة بمقدّم السریر الأیمن ؛ إذ البدأة به إذا کانت بالأیمن من الشخص کیف یلزم الأیسر بکفه الأیمن؟ ، والحال أنّ الخبر تضمّن ذلک ، وحینئذ لا بدّ من حمل جانب السریر علی الأیسر لیحمل بالکتف الأیمن ، والکفّ الأیمن یلزم الأیسر ، أی أیسر السریر ، والمراد بلزومه رفع الکف والقبض علی ید السریر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الحمل المذکور یتصوّر بإدخال الرأس بین یدی السریر ویراد بالأیسر أیسر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 عدم التعارف لا یضرّ بالحال کما لا یخفی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الظاهر من ذکر الروایتین هنا کون الشیخ ظن أنّ مآلهما واحد ، والحال ما سمعته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الدور علی تقدیر البدأة بأیسر السریر لا یتم إلاّ بتقدیر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منه لیس تمام الدور ، بل کونه علی الیمین ، کما هو شأن دور الرحی ، 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وفی المنتهی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التربیع المستحب عندنا أنّ یبدأ الحامل بمقدّم السریر الأیمن ،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یمرّ معه </w:t>
      </w:r>
      <w:r>
        <w:rPr>
          <w:rFonts w:eastAsia="IRNazanin" w:cs="IRNazanin"/>
          <w:color w:val="111111"/>
          <w:sz w:val="28"/>
          <w:szCs w:val="28"/>
          <w:rtl w:val="true"/>
          <w:lang w:bidi="fa-IR"/>
        </w:rPr>
        <w:t xml:space="preserve">) </w:t>
      </w:r>
      <w:r>
        <w:rPr>
          <w:rStyle w:val="FootnoteAnchor"/>
          <w:rtl w:val="true"/>
        </w:rPr>
        <w:footnoteReference w:id="1946"/>
      </w:r>
      <w:r>
        <w:rPr>
          <w:rFonts w:ascii="IRNazanin" w:hAnsi="IRNazanin" w:eastAsia="IRNazanin"/>
          <w:color w:val="111111"/>
          <w:sz w:val="28"/>
          <w:sz w:val="28"/>
          <w:szCs w:val="28"/>
          <w:rtl w:val="true"/>
          <w:lang w:bidi="fa-IR"/>
        </w:rPr>
        <w:t xml:space="preserve">ویدور من خلفه إلی الجانب الأیسر فیأخذ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رجله الیسری </w:t>
      </w:r>
      <w:r>
        <w:rPr>
          <w:rFonts w:eastAsia="IRNazanin" w:cs="IRNazanin"/>
          <w:color w:val="111111"/>
          <w:sz w:val="28"/>
          <w:szCs w:val="28"/>
          <w:rtl w:val="true"/>
          <w:lang w:bidi="fa-IR"/>
        </w:rPr>
        <w:t xml:space="preserve">) </w:t>
      </w:r>
      <w:r>
        <w:rPr>
          <w:rStyle w:val="FootnoteAnchor"/>
          <w:rtl w:val="true"/>
        </w:rPr>
        <w:footnoteReference w:id="1947"/>
      </w:r>
      <w:r>
        <w:rPr>
          <w:rFonts w:ascii="IRNazanin" w:hAnsi="IRNazanin" w:eastAsia="IRNazanin"/>
          <w:color w:val="111111"/>
          <w:sz w:val="28"/>
          <w:sz w:val="28"/>
          <w:szCs w:val="28"/>
          <w:rtl w:val="true"/>
          <w:lang w:bidi="fa-IR"/>
        </w:rPr>
        <w:t xml:space="preserve">ویمرّ معه إلی أنّ یرجع إلی المقدّم کذلک دور الرحی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ما ذکرناه أنّ یبدأ فیضع قائمة السریر التی تلی الید الیمنی للمیت فیضعها علی کتفه الأیسر ، ثم ینتقل فیضع القائمة التی 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رجله الیمنی علی کتفه الأیسر ، ثم ینتقل فیضع القائمة التی تلی رجله الیسری علی کتفه الأیمن ثم ینتقل فیضع القائمة التی تلی یده الیسری علی کتفه الأیمن </w:t>
      </w:r>
      <w:r>
        <w:rPr>
          <w:rStyle w:val="FootnoteAnchor"/>
          <w:rtl w:val="true"/>
        </w:rPr>
        <w:footnoteReference w:id="1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الحال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جدّی قدس سره أنّ أفضل هیئاته أنّ یبدأ بمقدّم السریر الأیمن وهو الذی یلی یسار المیت فیحمله بکتفه الأیمن ، ثم ینتقل إلی مؤخّر السریر الأیمن فیحمله أیضاً بکتفه الأیمن ، ثم ینتقل إلی مؤخر الأیسر فیحمله بکتفه الأیسر ، ثم ینتقل إلی مقدّمه الأیسر فیحمله بکتفه الأیسر </w:t>
      </w:r>
      <w:r>
        <w:rPr>
          <w:rStyle w:val="FootnoteAnchor"/>
          <w:rtl w:val="true"/>
        </w:rPr>
        <w:footnoteReference w:id="1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ما لا یخفی </w:t>
      </w:r>
      <w:r>
        <w:rPr>
          <w:rFonts w:eastAsia="IRNazanin" w:cs="IRNazanin"/>
          <w:color w:val="111111"/>
          <w:sz w:val="28"/>
          <w:szCs w:val="28"/>
          <w:rtl w:val="true"/>
          <w:lang w:bidi="fa-IR"/>
        </w:rPr>
        <w:t xml:space="preserve">)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1952"/>
      </w:r>
      <w:r>
        <w:rPr>
          <w:rFonts w:ascii="IRNazanin" w:hAnsi="IRNazanin" w:eastAsia="IRNazanin"/>
          <w:color w:val="111111"/>
          <w:sz w:val="28"/>
          <w:sz w:val="28"/>
          <w:szCs w:val="28"/>
          <w:rtl w:val="true"/>
          <w:lang w:bidi="fa-IR"/>
        </w:rPr>
        <w:t xml:space="preserve">إذا عرفت هذا فاعلم أنّ الخبر الثالث لا یظهر فی بادئ النظر وجه عدم ذکره فی جملة ما ینافی الخبرین الأوّلین ؛ لأنّ ظاهره </w:t>
      </w:r>
      <w:r>
        <w:rPr>
          <w:rStyle w:val="FootnoteAnchor"/>
          <w:rtl w:val="true"/>
        </w:rPr>
        <w:footnoteReference w:id="1953"/>
      </w:r>
      <w:r>
        <w:rPr>
          <w:rFonts w:ascii="IRNazanin" w:hAnsi="IRNazanin" w:eastAsia="IRNazanin"/>
          <w:color w:val="111111"/>
          <w:sz w:val="28"/>
          <w:sz w:val="28"/>
          <w:szCs w:val="28"/>
          <w:rtl w:val="true"/>
          <w:lang w:bidi="fa-IR"/>
        </w:rPr>
        <w:t>الحمل من الجوانب الأربع کیف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نظری القاصر أنّ الشیخ فهم منه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بعد ذلک من حمل فهو تطوّع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أنّ الأفضل هو الحمل بالکیفیة السابقة فی الخبرین ، والحمل من الجوانب الأربع یتحقق به أصل الاستحباب ، وحینئذ یراد بقوله بعد ذلک الکیفیة الزائدة علی أصل الکیفیة بحمل الأربع کیف اتفق ، ولعلّ هذا المعنی أولی من الحمل علی أنّ تحقق حمل الجوانب الأربع یحصل به الاستحباب ، فلو کرّر ذلک بعد کان تطوّعاً ، لأنّ مساق الخبر یأبی عن هذا المعنی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Style w:val="FootnoteAnchor"/>
          <w:rtl w:val="true"/>
        </w:rPr>
        <w:footnoteReference w:id="1954"/>
      </w:r>
      <w:r>
        <w:rPr>
          <w:rFonts w:ascii="IRNazanin" w:hAnsi="IRNazanin" w:eastAsia="IRNazanin"/>
          <w:color w:val="111111"/>
          <w:sz w:val="28"/>
          <w:sz w:val="28"/>
          <w:szCs w:val="28"/>
          <w:rtl w:val="true"/>
          <w:lang w:bidi="fa-IR"/>
        </w:rPr>
        <w:t xml:space="preserve">ما قاله جدّی قدس سره فی شرح الإرشاد من استحباب حمل السریر بأربعة رجال فی معنی التربیع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أولی من الحمل بین العمودین کما استحبّه العامّة ، قال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أنّ یحمل السریر من جوانبه الأربع وما کان بعد ذلک فهو تطوّع </w:t>
      </w:r>
      <w:r>
        <w:rPr>
          <w:rFonts w:eastAsia="IRNazanin" w:cs="IRNazanin"/>
          <w:color w:val="111111"/>
          <w:sz w:val="28"/>
          <w:szCs w:val="28"/>
          <w:rtl w:val="true"/>
          <w:lang w:bidi="fa-IR"/>
        </w:rPr>
        <w:t xml:space="preserve">» </w:t>
      </w:r>
      <w:r>
        <w:rPr>
          <w:rStyle w:val="FootnoteAnchor"/>
          <w:rtl w:val="true"/>
        </w:rPr>
        <w:footnoteReference w:id="1955"/>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الخبر التربیع بالنسبة إلی کل شخص</w:t>
      </w:r>
      <w:r>
        <w:rPr>
          <w:rFonts w:eastAsia="IRNazanin" w:cs="IRNazanin"/>
          <w:color w:val="111111"/>
          <w:sz w:val="28"/>
          <w:szCs w:val="28"/>
          <w:rtl w:val="true"/>
          <w:lang w:bidi="fa-IR"/>
        </w:rPr>
        <w:t xml:space="preserve">. </w:t>
      </w:r>
      <w:bookmarkStart w:id="1323" w:name="pg15025_160606"/>
    </w:p>
    <w:p>
      <w:pPr>
        <w:pStyle w:val="BookText"/>
        <w:rPr/>
      </w:pPr>
      <w:bookmarkEnd w:id="1323"/>
      <w:r>
        <w:rPr>
          <w:rFonts w:ascii="IRNazanin" w:hAnsi="IRNazanin" w:eastAsia="IRNazanin"/>
          <w:color w:val="111111"/>
          <w:sz w:val="28"/>
          <w:sz w:val="28"/>
          <w:szCs w:val="28"/>
          <w:rtl w:val="true"/>
          <w:lang w:bidi="fa-IR"/>
        </w:rPr>
        <w:t xml:space="preserve">وفی الروضة ذکر التربیع وهو الحمل بأربعة رجال ثم ذکر التناوب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الأفضل البدأة بأیمن السریر</w:t>
      </w:r>
      <w:r>
        <w:rPr>
          <w:rFonts w:eastAsia="IRNazanin" w:cs="IRNazanin"/>
          <w:color w:val="111111"/>
          <w:sz w:val="28"/>
          <w:szCs w:val="28"/>
          <w:rtl w:val="true"/>
          <w:lang w:bidi="fa-IR"/>
        </w:rPr>
        <w:t xml:space="preserve">. </w:t>
      </w:r>
      <w:r>
        <w:rPr>
          <w:rStyle w:val="FootnoteAnchor"/>
          <w:rtl w:val="true"/>
        </w:rPr>
        <w:footnoteReference w:id="1956"/>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التناوب علی ظاهر کلامه قدس سره مرتبة ثانیة ، والثالثة الکیفیّة المذکورة ، والمستفاد من الأخبار انتفاء الأوّل علی ما أظن ، والتناوب مرتبة واحدة ، لکن اختلاف أنظار الفقهاء فیها أوجب التغایر ، ولو أراد بالتناوب حمل الإنسان بأربع جوانب کیف اتفق کما هو مفاد بعض الأخبار السابقة </w:t>
      </w:r>
      <w:r>
        <w:rPr>
          <w:rStyle w:val="FootnoteAnchor"/>
          <w:rtl w:val="true"/>
        </w:rPr>
        <w:footnoteReference w:id="1957"/>
      </w:r>
      <w:r>
        <w:rPr>
          <w:rFonts w:ascii="IRNazanin" w:hAnsi="IRNazanin" w:eastAsia="IRNazanin"/>
          <w:color w:val="111111"/>
          <w:sz w:val="28"/>
          <w:sz w:val="28"/>
          <w:szCs w:val="28"/>
          <w:rtl w:val="true"/>
          <w:lang w:bidi="fa-IR"/>
        </w:rPr>
        <w:t>بَعُدَ عن اللفظ ، وإرادة التناوب فی الأربعة غیر مستفادة من الأخبار ، فلیتأمّل وما قاله الشیخ فی وجه الجمع بین روایة الحسین وما تقدّم لا یخلو من بُعد ؛ لأنّ ظاهر السؤال عن البدأة بأیّ جانب کان فی الفضل لا فی الوجوب ، لکن ضرورة الجمع تقتضی ما قاله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احتمل أنّ یکون المراد فی خبر الحسین أنّ المستحب یتحقق بأیّ جانب شاء ، والأکملیّة أمر آخر ، وکأنّه علیه السلام ذکر أصل الاستحباب فی الجواب علی معنی أنّ المستحب یتحقق به ویجوز أنّ یکون ترک الصورة الأُخری للتقیة ، کما یظهر من روایة الفضل بن یونس ،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النهی عن تجصیص القبر وتطیینه</w:t>
      </w:r>
    </w:p>
    <w:p>
      <w:pPr>
        <w:pStyle w:val="BookText"/>
        <w:rPr/>
      </w:pPr>
      <w:r>
        <w:rPr>
          <w:rFonts w:ascii="IRNazanin" w:hAnsi="IRNazanin" w:eastAsia="IRNazanin"/>
          <w:color w:val="111111"/>
          <w:sz w:val="28"/>
          <w:sz w:val="28"/>
          <w:szCs w:val="28"/>
          <w:rtl w:val="true"/>
          <w:lang w:bidi="fa-IR"/>
        </w:rPr>
        <w:t xml:space="preserve">أخبرنی الشیخ رحمه الله عن أبی جعفر محمد </w:t>
      </w:r>
      <w:r>
        <w:rPr>
          <w:rStyle w:val="FootnoteAnchor"/>
          <w:rtl w:val="true"/>
        </w:rPr>
        <w:footnoteReference w:id="1958"/>
      </w:r>
      <w:r>
        <w:rPr>
          <w:rFonts w:ascii="IRNazanin" w:hAnsi="IRNazanin" w:eastAsia="IRNazanin"/>
          <w:color w:val="111111"/>
          <w:sz w:val="28"/>
          <w:sz w:val="28"/>
          <w:szCs w:val="28"/>
          <w:rtl w:val="true"/>
          <w:lang w:bidi="fa-IR"/>
        </w:rPr>
        <w:t>بن علی ، عن أبیه ، عن محمد ابن یحیی ، عن محمد بن الحسین بن أبی الخطاب ،</w:t>
      </w:r>
    </w:p>
    <w:p>
      <w:pPr>
        <w:pStyle w:val="Heading4"/>
        <w:numPr>
          <w:ilvl w:val="3"/>
          <w:numId w:val="1"/>
        </w:numPr>
        <w:rPr/>
      </w:pPr>
      <w:bookmarkStart w:id="1324" w:name="__RefHeading___Toc147478_2142443653"/>
      <w:bookmarkStart w:id="1325" w:name="_Toc517"/>
      <w:bookmarkEnd w:id="1324"/>
      <w:r>
        <w:rPr>
          <w:rtl w:val="true"/>
        </w:rPr>
        <w:t>کلام الشهید الثانی فی معنی التربیع والمناقشة فیه</w:t>
      </w:r>
      <w:bookmarkEnd w:id="1325"/>
    </w:p>
    <w:p>
      <w:pPr>
        <w:pStyle w:val="Heading3"/>
        <w:numPr>
          <w:ilvl w:val="2"/>
          <w:numId w:val="1"/>
        </w:numPr>
        <w:rPr/>
      </w:pPr>
      <w:bookmarkStart w:id="1326" w:name="__RefHeading___Toc147480_2142443653"/>
      <w:bookmarkStart w:id="1327" w:name="_Toc518"/>
      <w:bookmarkEnd w:id="1326"/>
      <w:r>
        <w:rPr>
          <w:rtl w:val="true"/>
        </w:rPr>
        <w:t>النهی عن تجصیص القبر وتطیینه</w:t>
      </w:r>
      <w:bookmarkEnd w:id="132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8" w:name="__RefHeading___Toc147482_2142443653"/>
      <w:bookmarkStart w:id="1329" w:name="_Toc519"/>
      <w:bookmarkEnd w:id="1328"/>
      <w:r>
        <w:rPr>
          <w:rtl w:val="true"/>
        </w:rPr>
        <w:t>اشارة</w:t>
      </w:r>
      <w:bookmarkStart w:id="1330" w:name="pg15025_160607"/>
      <w:bookmarkEnd w:id="1329"/>
    </w:p>
    <w:p>
      <w:pPr>
        <w:pStyle w:val="BookText"/>
        <w:rPr/>
      </w:pPr>
      <w:bookmarkEnd w:id="1330"/>
      <w:r>
        <w:rPr>
          <w:rFonts w:ascii="IRNazanin" w:hAnsi="IRNazanin" w:eastAsia="IRNazanin"/>
          <w:color w:val="111111"/>
          <w:sz w:val="28"/>
          <w:sz w:val="28"/>
          <w:szCs w:val="28"/>
          <w:rtl w:val="true"/>
          <w:lang w:bidi="fa-IR"/>
        </w:rPr>
        <w:t xml:space="preserve">عن علی بن أسباط ، عن علی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علیه السلام عن البناء علی القبر </w:t>
      </w:r>
      <w:r>
        <w:rPr>
          <w:rStyle w:val="FootnoteAnchor"/>
          <w:rtl w:val="true"/>
        </w:rPr>
        <w:footnoteReference w:id="1959"/>
      </w:r>
      <w:r>
        <w:rPr>
          <w:rFonts w:ascii="IRNazanin" w:hAnsi="IRNazanin" w:eastAsia="IRNazanin"/>
          <w:color w:val="111111"/>
          <w:sz w:val="28"/>
          <w:sz w:val="28"/>
          <w:szCs w:val="28"/>
          <w:rtl w:val="true"/>
          <w:lang w:bidi="fa-IR"/>
        </w:rPr>
        <w:t xml:space="preserve">والجلوس علیه هل یصلح؟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یصلح البناء علیه ولا الجلوس ولا تجصیصه ولا تطیینه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سهل بن زیاد ، عن ابن محبوب ، عن یونس بن یعقوب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أبو الحسن موسی علیه السلام من بغداد ومضی إلی المدینة ماتت ابنة له بفید ، فدفنها وأمر بعض موالیه أنّ یجصّص قبرها ویکتب علی لوح اسمها ویجعله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هذه الروایة رفع الحظر عن فعل ذلک وضرب من الرخصة ؛ لأنّ الروایة الأُولی وردت مورد الکراهة دون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w:t>
      </w:r>
      <w:r>
        <w:rPr>
          <w:rStyle w:val="FootnoteAnchor"/>
          <w:rtl w:val="true"/>
        </w:rPr>
        <w:footnoteReference w:id="1960"/>
      </w:r>
      <w:r>
        <w:rPr>
          <w:rFonts w:ascii="IRNazanin" w:hAnsi="IRNazanin" w:eastAsia="IRNazanin"/>
          <w:color w:val="111111"/>
          <w:sz w:val="28"/>
          <w:sz w:val="28"/>
          <w:szCs w:val="28"/>
          <w:rtl w:val="true"/>
          <w:lang w:bidi="fa-IR"/>
        </w:rPr>
        <w:t xml:space="preserve">بعد محمد بن قولویه علی ما مضی </w:t>
      </w:r>
      <w:r>
        <w:rPr>
          <w:rStyle w:val="FootnoteAnchor"/>
          <w:rtl w:val="true"/>
        </w:rPr>
        <w:footnoteReference w:id="1961"/>
      </w:r>
      <w:r>
        <w:rPr>
          <w:rStyle w:val="FootnoteAnchor"/>
          <w:rtl w:val="true"/>
        </w:rPr>
        <w:footnoteReference w:id="1962"/>
      </w:r>
      <w:r>
        <w:rPr>
          <w:rFonts w:ascii="IRNazanin" w:hAnsi="IRNazanin" w:eastAsia="IRNazanin"/>
          <w:color w:val="111111"/>
          <w:sz w:val="28"/>
          <w:sz w:val="28"/>
          <w:szCs w:val="28"/>
          <w:rtl w:val="true"/>
          <w:lang w:bidi="fa-IR"/>
        </w:rPr>
        <w:t xml:space="preserve">إلاّ علی بن أسباط فقد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وکان فطحیاً ثم رجع </w:t>
      </w:r>
      <w:r>
        <w:rPr>
          <w:rStyle w:val="FootnoteAnchor"/>
          <w:rtl w:val="true"/>
        </w:rPr>
        <w:footnoteReference w:id="1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یعلم أن </w:t>
      </w:r>
      <w:r>
        <w:rPr>
          <w:rStyle w:val="FootnoteAnchor"/>
          <w:rtl w:val="true"/>
        </w:rPr>
        <w:footnoteReference w:id="1964"/>
      </w:r>
      <w:r>
        <w:rPr>
          <w:rFonts w:ascii="IRNazanin" w:hAnsi="IRNazanin" w:eastAsia="IRNazanin"/>
          <w:color w:val="111111"/>
          <w:sz w:val="28"/>
          <w:sz w:val="28"/>
          <w:szCs w:val="28"/>
          <w:rtl w:val="true"/>
          <w:lang w:bidi="fa-IR"/>
        </w:rPr>
        <w:t xml:space="preserve">الروایات قبل الرجوع أو بعده ، إلاّ ما رواه عن الرضا علیه السلام ، فقد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عنه علیه السلام قبل ذلک </w:t>
      </w:r>
      <w:r>
        <w:rPr>
          <w:rStyle w:val="FootnoteAnchor"/>
          <w:rtl w:val="true"/>
        </w:rPr>
        <w:footnoteReference w:id="1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هذا الکلام أنّ روایته عن الرضا علیه السلام قبل الرجوع ، وقد قدّمنا فیه القول مفصلا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1" w:name="__RefHeading___Toc147484_2142443653"/>
      <w:bookmarkStart w:id="1332" w:name="_Toc520"/>
      <w:bookmarkEnd w:id="1331"/>
      <w:r>
        <w:rPr>
          <w:rtl w:val="true"/>
        </w:rPr>
        <w:t>بحث حول علی بن أسباط</w:t>
      </w:r>
      <w:bookmarkStart w:id="1333" w:name="pg15025_160608"/>
      <w:bookmarkEnd w:id="1332"/>
    </w:p>
    <w:p>
      <w:pPr>
        <w:pStyle w:val="BookText"/>
        <w:rPr/>
      </w:pPr>
      <w:bookmarkEnd w:id="1333"/>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سهل بن زیاد ویونس بن یعقوب وقد تکرّرا فی الذکر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تضمّنه من جهة التجصیص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إجماعی </w:t>
      </w:r>
      <w:r>
        <w:rPr>
          <w:rStyle w:val="FootnoteAnchor"/>
          <w:rtl w:val="true"/>
        </w:rPr>
        <w:footnoteReference w:id="1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إطلاق النص یقتضی عدم الفرق بین وقوع التجصیص ابتداءً أو بعد الاندراس ، وینقل عن الشیخ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بالتجصیص ابتداءً وإنّما المکروه بعد الاندراس للخبر الثانی </w:t>
      </w:r>
      <w:r>
        <w:rPr>
          <w:rStyle w:val="FootnoteAnchor"/>
          <w:rtl w:val="true"/>
        </w:rPr>
        <w:footnoteReference w:id="1969"/>
      </w:r>
      <w:r>
        <w:rPr>
          <w:rFonts w:ascii="IRNazanin" w:hAnsi="IRNazanin" w:eastAsia="IRNazanin"/>
          <w:color w:val="111111"/>
          <w:sz w:val="28"/>
          <w:sz w:val="28"/>
          <w:szCs w:val="28"/>
          <w:rtl w:val="true"/>
          <w:lang w:bidi="fa-IR"/>
        </w:rPr>
        <w:t>، لکن فی هذا الکتاب جعل وجه الجمع دفع الحظر وبیان الرخصة ، ولا یخلو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بعض الأصحاب حمل ما دلّ علی عدم الکراهة علی قبور الصلحاء والعلماء والذریّة الطاهرة لحصول الثواب بزیارتهم </w:t>
      </w:r>
      <w:r>
        <w:rPr>
          <w:rStyle w:val="FootnoteAnchor"/>
          <w:rtl w:val="true"/>
        </w:rPr>
        <w:footnoteReference w:id="1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أیضاً من بُعد ؛ إذ کل مؤمن یحصل الثواب بزیارته ، علی أنّ علامة القبر لا تنحصر فی التجصیص وما ذکر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البناء فأحتمل بعضهم أنّ یکون المراد به البناء علی نفس القبر بحیث یصیر داخل الحائط ونحوه ، وعلّل بأنّ حرمة المیت کحرمة الحیّ ، وأیّده بذکر الجلوس علی القبر ، وحمل أیضاً التطیین علی کونه من طین غیر القبر ، کما ورد فی بعض الأخبار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تطیّنوا القبر من غیر طینه </w:t>
      </w:r>
      <w:r>
        <w:rPr>
          <w:rFonts w:eastAsia="IRNazanin" w:cs="IRNazanin"/>
          <w:color w:val="111111"/>
          <w:sz w:val="28"/>
          <w:szCs w:val="28"/>
          <w:rtl w:val="true"/>
          <w:lang w:bidi="fa-IR"/>
        </w:rPr>
        <w:t xml:space="preserve">» </w:t>
      </w:r>
      <w:r>
        <w:rPr>
          <w:rStyle w:val="FootnoteAnchor"/>
          <w:rtl w:val="true"/>
        </w:rPr>
        <w:footnoteReference w:id="1971"/>
      </w:r>
      <w:r>
        <w:rPr>
          <w:rFonts w:ascii="IRNazanin" w:hAnsi="IRNazanin" w:eastAsia="IRNazanin"/>
          <w:color w:val="111111"/>
          <w:sz w:val="28"/>
          <w:sz w:val="28"/>
          <w:szCs w:val="28"/>
          <w:rtl w:val="true"/>
          <w:lang w:bidi="fa-IR"/>
        </w:rPr>
        <w:t>هذا ، وقد استثنی من ذلک قبور الأئمّة علیهم السلام لتعظیم</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4" w:name="__RefHeading___Toc147486_2142443653"/>
      <w:bookmarkStart w:id="1335" w:name="_Toc521"/>
      <w:bookmarkEnd w:id="1334"/>
      <w:r>
        <w:rPr>
          <w:rtl w:val="true"/>
        </w:rPr>
        <w:t>کراهیة تجصیص القبور وتطیینها والبناء علیها</w:t>
      </w:r>
      <w:bookmarkStart w:id="1336" w:name="pg15025_160609"/>
      <w:bookmarkEnd w:id="1335"/>
    </w:p>
    <w:p>
      <w:pPr>
        <w:pStyle w:val="BookText"/>
        <w:rPr/>
      </w:pPr>
      <w:bookmarkEnd w:id="1336"/>
      <w:r>
        <w:rPr>
          <w:rFonts w:ascii="IRNazanin" w:hAnsi="IRNazanin" w:eastAsia="IRNazanin"/>
          <w:color w:val="111111"/>
          <w:sz w:val="28"/>
          <w:sz w:val="28"/>
          <w:szCs w:val="28"/>
          <w:rtl w:val="true"/>
          <w:lang w:bidi="fa-IR"/>
        </w:rPr>
        <w:t xml:space="preserve">شعائر الله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المنتهی حمل النهی عن البناء فی المواضع المسبلة ، لأنّ فیها تضییقاً علی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الأملاک فلا بأس به </w:t>
      </w:r>
      <w:r>
        <w:rPr>
          <w:rStyle w:val="FootnoteAnchor"/>
          <w:rtl w:val="true"/>
        </w:rPr>
        <w:footnoteReference w:id="1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کما تری لکن الأخبار غیر سلیمة ، والأصل لا یخرج عنه بمثلها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 ، منزل بطریق مکة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کیفیة التعزیة</w:t>
      </w:r>
    </w:p>
    <w:p>
      <w:pPr>
        <w:pStyle w:val="BookText"/>
        <w:rPr/>
      </w:pPr>
      <w:r>
        <w:rPr>
          <w:rFonts w:ascii="IRNazanin" w:hAnsi="IRNazanin" w:eastAsia="IRNazanin"/>
          <w:color w:val="111111"/>
          <w:sz w:val="28"/>
          <w:sz w:val="28"/>
          <w:szCs w:val="28"/>
          <w:rtl w:val="true"/>
          <w:lang w:bidi="fa-IR"/>
        </w:rPr>
        <w:t>أخبرنی الحسین بن عبید الله ، عن عدّة من أصحابنا ، عن محمد بن یعقوب ، عن علی بن إبراهیم ،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إسماعیل ، عن الفضل بن شاذان جمیعاً عن ابن أبی عمیر ، عن هشام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موسی بن جعفر علیه السلام یعزّی قبل الدفن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ابن أبی عمیر ، عن بعض أصحابه </w:t>
      </w:r>
      <w:r>
        <w:rPr>
          <w:rStyle w:val="FootnoteAnchor"/>
          <w:rtl w:val="true"/>
        </w:rPr>
        <w:footnoteReference w:id="1975"/>
      </w:r>
      <w:r>
        <w:rPr>
          <w:rFonts w:ascii="IRNazanin" w:hAnsi="IRNazanin" w:eastAsia="IRNazanin"/>
          <w:color w:val="111111"/>
          <w:sz w:val="28"/>
          <w:sz w:val="28"/>
          <w:szCs w:val="28"/>
          <w:rtl w:val="true"/>
          <w:lang w:bidi="fa-IR"/>
        </w:rPr>
        <w:t xml:space="preserve">،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التعزیة لأهل المصیبة بعد ما یدفن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هذه الروایة أنّ نحملها علی الفضل والاستحباب</w:t>
      </w:r>
      <w:r>
        <w:rPr>
          <w:rFonts w:eastAsia="IRNazanin" w:cs="IRNazanin"/>
          <w:color w:val="111111"/>
          <w:sz w:val="28"/>
          <w:szCs w:val="28"/>
          <w:rtl w:val="true"/>
          <w:lang w:bidi="fa-IR"/>
        </w:rPr>
        <w:t>.</w:t>
      </w:r>
    </w:p>
    <w:p>
      <w:pPr>
        <w:pStyle w:val="Heading4"/>
        <w:numPr>
          <w:ilvl w:val="3"/>
          <w:numId w:val="1"/>
        </w:numPr>
        <w:rPr/>
      </w:pPr>
      <w:bookmarkStart w:id="1337" w:name="__RefHeading___Toc147488_2142443653"/>
      <w:bookmarkStart w:id="1338" w:name="_Toc522"/>
      <w:bookmarkEnd w:id="1337"/>
      <w:r>
        <w:rPr>
          <w:rtl w:val="true"/>
        </w:rPr>
        <w:t>معنی فید</w:t>
      </w:r>
      <w:bookmarkEnd w:id="1338"/>
    </w:p>
    <w:p>
      <w:pPr>
        <w:pStyle w:val="Heading3"/>
        <w:numPr>
          <w:ilvl w:val="2"/>
          <w:numId w:val="1"/>
        </w:numPr>
        <w:rPr/>
      </w:pPr>
      <w:bookmarkStart w:id="1339" w:name="__RefHeading___Toc147490_2142443653"/>
      <w:bookmarkStart w:id="1340" w:name="_Toc523"/>
      <w:bookmarkEnd w:id="1339"/>
      <w:r>
        <w:rPr>
          <w:rtl w:val="true"/>
        </w:rPr>
        <w:t>کیفیة التعزیة</w:t>
      </w:r>
      <w:bookmarkEnd w:id="1340"/>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1" w:name="__RefHeading___Toc147492_2142443653"/>
      <w:bookmarkStart w:id="1342" w:name="_Toc524"/>
      <w:bookmarkEnd w:id="1341"/>
      <w:r>
        <w:rPr>
          <w:rtl w:val="true"/>
        </w:rPr>
        <w:t>اشارة</w:t>
      </w:r>
      <w:bookmarkStart w:id="1343" w:name="pg15025_160610"/>
      <w:bookmarkEnd w:id="1342"/>
    </w:p>
    <w:p>
      <w:pPr>
        <w:pStyle w:val="BookText"/>
        <w:rPr/>
      </w:pPr>
      <w:bookmarkEnd w:id="1343"/>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 لأنّ العدّة قد تقدّمت </w:t>
      </w:r>
      <w:r>
        <w:rPr>
          <w:rStyle w:val="FootnoteAnchor"/>
          <w:rtl w:val="true"/>
        </w:rPr>
        <w:footnoteReference w:id="1976"/>
      </w:r>
      <w:r>
        <w:rPr>
          <w:rFonts w:ascii="IRNazanin" w:hAnsi="IRNazanin" w:eastAsia="IRNazanin"/>
          <w:color w:val="111111"/>
          <w:sz w:val="28"/>
          <w:sz w:val="28"/>
          <w:szCs w:val="28"/>
          <w:rtl w:val="true"/>
          <w:lang w:bidi="fa-IR"/>
        </w:rPr>
        <w:t>، وفیها من 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الطریق إلی ابن أبی عمیر غیر سلیم فی المشیخة </w:t>
      </w:r>
      <w:r>
        <w:rPr>
          <w:rStyle w:val="FootnoteAnchor"/>
          <w:rtl w:val="true"/>
        </w:rPr>
        <w:footnoteReference w:id="1977"/>
      </w:r>
      <w:r>
        <w:rPr>
          <w:rFonts w:ascii="IRNazanin" w:hAnsi="IRNazanin" w:eastAsia="IRNazanin"/>
          <w:color w:val="111111"/>
          <w:sz w:val="28"/>
          <w:sz w:val="28"/>
          <w:szCs w:val="28"/>
          <w:rtl w:val="true"/>
          <w:lang w:bidi="fa-IR"/>
        </w:rPr>
        <w:t xml:space="preserve">، ویمکن أنّ یستفاد صحّته من الفهرست ، لأنّه ذکر الطریق إلی جمیع کتبه وروایاته </w:t>
      </w:r>
      <w:r>
        <w:rPr>
          <w:rStyle w:val="FootnoteAnchor"/>
          <w:rtl w:val="true"/>
        </w:rPr>
        <w:footnoteReference w:id="1978"/>
      </w:r>
      <w:r>
        <w:rPr>
          <w:rFonts w:ascii="IRNazanin" w:hAnsi="IRNazanin" w:eastAsia="IRNazanin"/>
          <w:color w:val="111111"/>
          <w:sz w:val="28"/>
          <w:sz w:val="28"/>
          <w:szCs w:val="28"/>
          <w:rtl w:val="true"/>
          <w:lang w:bidi="fa-IR"/>
        </w:rPr>
        <w:t xml:space="preserve">، غیر أنّ فیه الإرسال وقد قدّمنا القول فیه </w:t>
      </w:r>
      <w:r>
        <w:rPr>
          <w:rStyle w:val="FootnoteAnchor"/>
          <w:rtl w:val="true"/>
        </w:rPr>
        <w:footnoteReference w:id="1979"/>
      </w:r>
      <w:r>
        <w:rPr>
          <w:rFonts w:ascii="IRNazanin" w:hAnsi="IRNazanin" w:eastAsia="IRNazanin"/>
          <w:color w:val="111111"/>
          <w:sz w:val="28"/>
          <w:sz w:val="28"/>
          <w:szCs w:val="28"/>
          <w:rtl w:val="true"/>
          <w:lang w:bidi="fa-IR"/>
        </w:rPr>
        <w:t xml:space="preserve">، وأنّ الشیخ حکم بردّ بعض مراسیله فی باب العتق من هذا الکتاب </w:t>
      </w:r>
      <w:r>
        <w:rPr>
          <w:rStyle w:val="FootnoteAnchor"/>
          <w:rtl w:val="true"/>
        </w:rPr>
        <w:footnoteReference w:id="1980"/>
      </w:r>
      <w:r>
        <w:rPr>
          <w:rFonts w:ascii="IRNazanin" w:hAnsi="IRNazanin" w:eastAsia="IRNazanin"/>
          <w:color w:val="111111"/>
          <w:sz w:val="28"/>
          <w:sz w:val="28"/>
          <w:szCs w:val="28"/>
          <w:rtl w:val="true"/>
          <w:lang w:bidi="fa-IR"/>
        </w:rPr>
        <w:t>، فلا یکون الاتفاق واقعاً علی قبولها ، وبدون ذلک لا یتم الحکم بالقبول کما حرّر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Style w:val="FootnoteAnchor"/>
          <w:rtl w:val="true"/>
        </w:rPr>
        <w:footnoteReference w:id="1981"/>
      </w:r>
      <w:r>
        <w:rPr>
          <w:rFonts w:ascii="IRNazanin" w:hAnsi="IRNazanin" w:eastAsia="IRNazanin"/>
          <w:color w:val="111111"/>
          <w:sz w:val="28"/>
          <w:sz w:val="28"/>
          <w:szCs w:val="28"/>
          <w:rtl w:val="true"/>
          <w:lang w:bidi="fa-IR"/>
        </w:rPr>
        <w:t>محتمل لأنّ تکون الروایة فی میت واحد مرّتین قبل وبعد ، ولأنّ یکون فی میت قبل وآخر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من الحمل لا یتم علی الوجهین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الفضل إذا کان بعد فإذا حصل معه الفعل قبل لا یکون أقلّ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فعله علیه السلام قبل إمّا أنّ یکون لبیان الجواز ولا وجه له فی الأفعال المستحبة ، وإمّا أنّ یکون لتحقق الاستحباب فیه وإنّ کان بعد</w:t>
      </w:r>
    </w:p>
    <w:p>
      <w:pPr>
        <w:pStyle w:val="Heading4"/>
        <w:numPr>
          <w:ilvl w:val="3"/>
          <w:numId w:val="1"/>
        </w:numPr>
        <w:rPr/>
      </w:pPr>
      <w:bookmarkStart w:id="1344" w:name="__RefHeading___Toc147494_2142443653"/>
      <w:bookmarkStart w:id="1345" w:name="_Toc525"/>
      <w:bookmarkEnd w:id="1344"/>
      <w:r>
        <w:rPr>
          <w:rtl w:val="true"/>
        </w:rPr>
        <w:t>کلمة حول طریق الشیخ إلی ابن أبی عمیر</w:t>
      </w:r>
      <w:bookmarkEnd w:id="134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6" w:name="__RefHeading___Toc147496_2142443653"/>
      <w:bookmarkStart w:id="1347" w:name="_Toc526"/>
      <w:bookmarkEnd w:id="1346"/>
      <w:r>
        <w:rPr>
          <w:rtl w:val="true"/>
        </w:rPr>
        <w:t>التعزیة قبل الدفن أو بعده؟</w:t>
      </w:r>
      <w:bookmarkStart w:id="1348" w:name="pg15025_160611"/>
      <w:bookmarkEnd w:id="1347"/>
    </w:p>
    <w:p>
      <w:pPr>
        <w:pStyle w:val="BookText"/>
        <w:rPr/>
      </w:pPr>
      <w:bookmarkEnd w:id="1348"/>
      <w:r>
        <w:rPr>
          <w:rFonts w:ascii="IRNazanin" w:hAnsi="IRNazanin" w:eastAsia="IRNazanin"/>
          <w:color w:val="111111"/>
          <w:sz w:val="28"/>
          <w:sz w:val="28"/>
          <w:szCs w:val="28"/>
          <w:rtl w:val="true"/>
          <w:lang w:bidi="fa-IR"/>
        </w:rPr>
        <w:t xml:space="preserve">أفضل ، وفیه أنّه لا یلائم قول الشیخ علی الفضل والاستحباب ، بل ینبغی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الأفضلیة ، وعلی کل حال فترک الإمام علیه السلام الأفضل محلّ تأمّل ، ولعلّه علیه السلام رأی المصلحة فی التعزیة قبل ، فکان لها رجحان بالعارض ، وإنّ کان الأصل فیها بعد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حمل ما دلّ علی التعزیة قبل وبعد فی میت واحد علی الأفضلیة أمکن ، وفی بعض الأخبار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التعزیة إلاّ عند القبر </w:t>
      </w:r>
      <w:r>
        <w:rPr>
          <w:rFonts w:eastAsia="IRNazanin" w:cs="IRNazanin"/>
          <w:color w:val="111111"/>
          <w:sz w:val="28"/>
          <w:szCs w:val="28"/>
          <w:rtl w:val="true"/>
          <w:lang w:bidi="fa-IR"/>
        </w:rPr>
        <w:t xml:space="preserve">»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جدّی قدس سره أنّ التعزیة تَفعِلة من العزاء وهو الصبر ، والمراد بها الحمل علی الصبر والتسلّی </w:t>
      </w:r>
      <w:r>
        <w:rPr>
          <w:rStyle w:val="FootnoteAnchor"/>
          <w:rtl w:val="true"/>
        </w:rPr>
        <w:footnoteReference w:id="1983"/>
      </w:r>
      <w:r>
        <w:rPr>
          <w:rFonts w:ascii="IRNazanin" w:hAnsi="IRNazanin" w:eastAsia="IRNazanin"/>
          <w:color w:val="111111"/>
          <w:sz w:val="28"/>
          <w:sz w:val="28"/>
          <w:szCs w:val="28"/>
          <w:rtl w:val="true"/>
          <w:lang w:bidi="fa-IR"/>
        </w:rPr>
        <w:t xml:space="preserve">عن المصاب بإسناد الأمر إلی الله تعالی وحکمته ، والتذکیر بما وعد الله علی الصبر </w:t>
      </w:r>
      <w:r>
        <w:rPr>
          <w:rStyle w:val="FootnoteAnchor"/>
          <w:rtl w:val="true"/>
        </w:rPr>
        <w:footnoteReference w:id="1984"/>
      </w:r>
      <w:r>
        <w:rPr>
          <w:rFonts w:ascii="IRNazanin" w:hAnsi="IRNazanin" w:eastAsia="IRNazanin"/>
          <w:color w:val="111111"/>
          <w:sz w:val="28"/>
          <w:sz w:val="28"/>
          <w:szCs w:val="28"/>
          <w:rtl w:val="true"/>
          <w:lang w:bidi="fa-IR"/>
        </w:rPr>
        <w:t xml:space="preserve">، وقد روی عن رسول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التعزیة تورث الجنّة </w:t>
      </w:r>
      <w:r>
        <w:rPr>
          <w:rFonts w:eastAsia="IRNazanin" w:cs="IRNazanin"/>
          <w:color w:val="111111"/>
          <w:sz w:val="28"/>
          <w:szCs w:val="28"/>
          <w:rtl w:val="true"/>
          <w:lang w:bidi="fa-IR"/>
        </w:rPr>
        <w:t xml:space="preserve">»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9" w:name="__RefHeading___Toc147498_2142443653"/>
      <w:bookmarkStart w:id="1350" w:name="_Toc527"/>
      <w:bookmarkEnd w:id="1349"/>
      <w:r>
        <w:rPr>
          <w:rtl w:val="true"/>
        </w:rPr>
        <w:t>معنی التعزیة</w:t>
      </w:r>
      <w:bookmarkStart w:id="1351" w:name="pg15025_160612"/>
      <w:bookmarkEnd w:id="1350"/>
    </w:p>
    <w:p>
      <w:pPr>
        <w:pStyle w:val="Heading2"/>
        <w:numPr>
          <w:ilvl w:val="1"/>
          <w:numId w:val="1"/>
        </w:numPr>
        <w:rPr/>
      </w:pPr>
      <w:bookmarkStart w:id="1352" w:name="__RefHeading___Toc147500_2142443653"/>
      <w:bookmarkStart w:id="1353" w:name="_Toc528"/>
      <w:bookmarkEnd w:id="1351"/>
      <w:bookmarkEnd w:id="1352"/>
      <w:r>
        <w:rPr>
          <w:rtl w:val="true"/>
        </w:rPr>
        <w:t>فهرس الموضوعات</w:t>
      </w:r>
      <w:bookmarkEnd w:id="1353"/>
    </w:p>
    <w:p>
      <w:pPr>
        <w:pStyle w:val="BookText"/>
        <w:rPr/>
      </w:pPr>
      <w:r>
        <w:rPr>
          <w:rFonts w:ascii="IRNazanin" w:hAnsi="IRNazanin" w:eastAsia="IRNazanin"/>
          <w:color w:val="111111"/>
          <w:sz w:val="28"/>
          <w:sz w:val="28"/>
          <w:szCs w:val="28"/>
          <w:rtl w:val="true"/>
          <w:lang w:bidi="fa-IR"/>
        </w:rPr>
        <w:t>أبواب التیمّم</w:t>
      </w:r>
    </w:p>
    <w:p>
      <w:pPr>
        <w:pStyle w:val="BookText"/>
        <w:rPr/>
      </w:pPr>
      <w:r>
        <w:rPr>
          <w:rFonts w:ascii="IRNazanin" w:hAnsi="IRNazanin" w:eastAsia="IRNazanin"/>
          <w:color w:val="111111"/>
          <w:sz w:val="28"/>
          <w:sz w:val="28"/>
          <w:szCs w:val="28"/>
          <w:rtl w:val="true"/>
          <w:lang w:bidi="fa-IR"/>
        </w:rPr>
        <w:t>الدقیق لا یجوز التیمّم 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بحث حول محمّد بن علی بن 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بحث حول محمّد بن أحمد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وجه استفاده عدم جواز التیمّم بالدقیق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هو الماء أو الصعید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معنی الصعید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بحث حول عبدالرحمان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هل بثبت التوثیق بالوکالة؟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المراد بالوضوء فی حدیث عبید بن زرارة هو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معنی الوضاءة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التیمّم فی الأرض الوحلة والطین والماء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حول محمّد بن عیسی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حول ابن بکیر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معاویة بن حکیم وثّقه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بحث حول عبدالله بن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التیمّم بالوحل والطین والغبار ، والأقوال فیه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معنی اللبد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أحمد بن هلال ضعیف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طرق الشیخ إلی الحسین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التخییر بین التیمّم بالطین وغبار الثوب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هل یجوز التیمّم بالثوب الذی لاغبار فیه؟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هل الطین والوحل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الرجل یکون فی أرض غطاها الثلج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بحث حول علی بن 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معاویة بن شریح مهمل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قول العلّامة فی حکم من لایجد إلّا الثلج ،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قول ابن إدریس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قول المفید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معنی الدَمَق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العبیدی هو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طریق الشیخ إلی محمّد بن علی 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بحث حول محمّد بن مسلم فی تعیّن التیمّم وإن أمکن الغسل بالثلج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ما المراد بالتیمّم فی حدیث 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معنی تُوبِقُ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المتیمّم إذا وجد الماء لا یجب علیه إعادة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حول عمر بن اُذینة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وجوب طلب الماء علی السمافر وکیفیّته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ما المراد بالطهور فی حدیث ابن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بحث حول محمّد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توجیه ما دلّ علی إعادة الصلاة لمن صلّی بالتیمّم ثمّ وجد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بحث حول حمّاد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معاویة بن میسرة مهمل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ظهور الأخبار فی جواز التیمّم قبل آخر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قول ابن بابویه بجواز التیمّم فی أوّل الوقت وجواب العلّامة عنه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المناقشة فی جواب العلّامة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الجمع بین ما دلّ علی وجوب الطلب وآیة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استدلال المحقّق الأردبیلی للتوسعة فی التیمّم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الجنب إذا تیمّم وصلّی هل تجب علیه الإعادة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بحث حول العیص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دلالة الأخبار علی إجزاء الصلاة الواقعة بالتیمّم وعدم وجوب إعادتها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محمّد بن أحمد بن یحی لایروی عن سعد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بحث حول محمّد بن الحسین وسعد وطبقتهما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المناقشة فی توجیه الشیخ لما دلّ علی وجوب الإعادة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علی بن أحمد بن أشیم غیر معلوم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أبو بصیر الذی یروی عنه شعیب العقرقونی هو المخلط</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عبدالله بن سلیمان مهمل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توجیه ما دلّ علی وجوب الغُسل علی متعمّد الجنابة ولو مع المشقّة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معنی العَنَت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المتیمّم یجوز أن یصلّی بتیمّمه صلوات کثیرة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حول حمّاد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إشارة إلی حال السکونی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محمّد بن سعید بن غزوان مهمل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أبو همام هو إسماعیل بن همام الثقة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دلالة الأخبار علی وجوب تأخیر الصلاة مع التیمّم المبتدأ وجواز فعلها فی أوّل الوقت فی صورة الاستدامة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المناقشة فی توجیه الشیخ لما دلّ علی وجوب التیمّم لکل صلاة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هل ینتقض التیمّم بمجرّد إصابة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وجوب 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علی بن سالم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الحسن بن موسی الخشاب لا یبعد ثبوت مدحه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بحث حول داود بن کثیر الرقی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وجوب طلب الماء وکیفیته وحدّة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معنی الحَزن والغلوة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انتفاء وجوب الطلب فی حق من یکون عذره غیر فقدان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هل یجب الطلب علی غیر 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حکم من تیقّن وجود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حکم من تکرّر خروجه من مصره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حکم أخلّ بالطلب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التیمّم لا یجب إلّا فی آخر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استدلال صاحب المدارک بحدیث محمّد بن مسلم وزرارة علی وجوب التأخیر مع إمکان وجود الماء ، والمناقشة فیه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دلائل العلّامة علی وجوب التأخیر مع إمکان وجود الماء والمناقشة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من دخل فی الصلاة بتیمّم ثمّ وجد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حول محمّد بن سماعة والحسن بن 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بحث حول محمّد بن حمران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إشارة إلی حال عبدالله بن عاصم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إشارة إلی حال المعلی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بحث حول الحسن بن الحسین اللؤلؤی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وجوه الجمع بین روایة محمّد بن حمران وروایة عبدالله بن عاصم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علی بن السندی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توجیه ما دلّ علی أنّ من صلّی رکعة بتیمّم ثم وجد الماء یقطع الصلاة فیتوضّأ ثم یبنی علی ما مضی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بحث حول موسی بن سعدان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بحث حول الحسین بن أبی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المثنی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الحسن الصقیل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المناقشة فی توجیه الشیخ لروایة الحسن الصقیل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الرجل تصیب ثوبه الجنابة ولایجد الماء لغَسله ولیس معه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تفسیر قول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 عن الحسین ، عن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بحث حول محمّد بن عبدالحمید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سیف بن عمیرة لا ارتیاب فیه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الجمع بین روایة سماعة وروایة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بحث حول القاسم بن محمّد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طریق الشیخ إلی علی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علی بن الحکم الذی یروی عنه أحمد بن محمّد بن عیسی هو الثقة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ما المراد بأبی جعفر الذی یروی عنه سعد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توجیه ما دل علی جواز الصلاة فی الثوب 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وجوب الإعادة علی المتیمّم الذی صلّی فی الثوب 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کیفیّة التیمّم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بحث حول عبدالله بن یحیی الکاهلی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بحث حول داود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توجیه ما دلّ علی أنّ المسح فی التیمّم من موضع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توجیه ما دلّ علی اعتبار مسح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الجمع بین ما دلّ علی ضرب الید علی الأرض وما دلّ علی وضعها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محل المسح فی الکفّین ظهورهما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تفسیر الجبهة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کلمة حول قصّة تیمّم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دلالة روایة داود بن النعمان علی کفایة ضربة واحدة فی التیمّم بدلاً عن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اعتبار الضرب بالدین معاً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توجیه ما دلّ علی مسح الذراعین فی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عدد المرّات فی التیمّم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بحث حول ابن بکیر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تعریف الموثّق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بحث حول عمرو بن أبی المقدام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القاسم بن عروة مهمل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وحدة الضربات فی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الحسین بن سعید لایروی عن ابن مسکان بغیر واسطة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المناقشة فی توجیه الشیخ للروایات الدالّة علی تعدّد الضرب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توجیه صاحب المدارک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کلام الاسترابادی فی المسألة والناقشة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فی حدیث 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تطهیر الثیاب والبدن من النجاسات</w:t>
      </w:r>
    </w:p>
    <w:p>
      <w:pPr>
        <w:pStyle w:val="BookText"/>
        <w:rPr/>
      </w:pPr>
      <w:r>
        <w:rPr>
          <w:rFonts w:ascii="IRNazanin" w:hAnsi="IRNazanin" w:eastAsia="IRNazanin"/>
          <w:color w:val="111111"/>
          <w:sz w:val="28"/>
          <w:sz w:val="28"/>
          <w:szCs w:val="28"/>
          <w:rtl w:val="true"/>
          <w:lang w:bidi="fa-IR"/>
        </w:rPr>
        <w:t>بول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بحث حول النوفلی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بحث حول السکونی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قول ابن الجنید بطهارة بول الصبی وجواب العلّامة عنه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المناقشة فی جواب العلّامة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شهادة الصدوق بصحة ما فی کتابه أقوی من توثیق النجاشی والشیخ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معنی المثانة والعضد والمنکب</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أدلّة اعتبار العصر فی ما یقبله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توجیه الشیخ لما دل علی تساوی بول الغلام والجاریة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الجواب عن المناقشة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سواء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علی بن الحکم الذی یروی عنه أحمد بن محمّد بن عیسی هو الثقة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بحث حول الحسین بن أبی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إشارة إلی حال عثمان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وجه الجمع بین ما دلّ علی الصّب والعصر وما دلّ علی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مالفرق بین الصّب والغَسل؟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لزوم غَسلْ کلّ الثوب الذی أصابه بول الصبی ولم یوجد مکانه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ما هی العلّة فی لزوم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معنی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المذی یصیب الثوب والجسد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بحث حول إرسال ابن أبی عمیر عن غیر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بحث حول علی بن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حال الحسین بن أبی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دلالة مرسلة ابن أبی عمیر علی طهارة المذی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هل تدل المرسلة علی عدم ناقضیة مسّ الفرج للوضوء؟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أدلّة ابن الجنید علی نجاسة المذی والجوب عنها والمناقشة فی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کلام حول دعوی العلّامة الإجماع علی طهارة المذی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معنی الإنعاظ والنضح</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المقدار الذی یجب إزالته من الدم ومالایجب</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حماد الذی یروی عنه إبراهیم بن هاشم هو حماد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بحث حول الحسین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بحث حول إسماعیل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إشارة إلی جلالة زیاد بن ابی الحلال وعبدالله بن أبی یعفور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علی بن حدید ضعیف</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أبو جعفر الذی یروی عنه سعد بن عبدالله هو أحمد بن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کلمة حول إسماعیل بن عبدالرحمان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مایستفاد من روایة محمّد بن مسلم فی مسألة رؤیة الدم فی الثوب فی حال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حکم الدم إذا کان مساویاً للدرهم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حکم الدم المتفرّق إذا لم یبلغ کل موضع منه قدر الدرهم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بحث حول معاویة بن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بحث حول عبدالله بن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بحث حول مثنّی بن عبدالسلام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حکم الدم إذا کان قدر حمصة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بحث حول العلاء بن رزین ورواة کتابه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المعلّی بن عثمان ثقة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حکم دم القرح والجرح</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الدمل ، براء ، نقه ، القرح ، ربط</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ذرق الدجاج</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بحث حول محمّد بن عیسی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بحث حول وهب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بحث حول فارس بن حاتم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حکم ذرق الدجاج</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فارس بن سلیمان ممدوح</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معنی الخرء والذرق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أبوال الدوابّ والبغال والحمیر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بحث حول أبان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بحث حول الحسین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بحث حول معلّی بن محمّد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أبو مریم اسمه عبدالغفّار ، ثقة</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عبدالأعلی بن أعین مهمل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بحث حول یونس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حکم أبوال الدوابّ والحمیر والبغال وأرواثها فی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أدلّة القائلین بالطهارة والمناقشة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معنی النضح والرشّ والفرق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بحث حول القاسم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بحث حول ابن بکیر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الحکم بن مسکین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بحث حول المعلّی بن خنیس</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ما المراد بالکراهة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فکرهه ، فی روایة زرارة؟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صاحب المعالم لطهارة أبوال الدوابّ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معنی قوله علیه السلام فی الدوابّ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ممّا جعلها الله للأکل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معنی صکّ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الرجل یصلّی فی ثوب فیه نجاسة قبل أن یعلم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بحث حول حفص بن غیاث</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ثبوت النجاسة بالظنّ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هل تثبت النجاسة بشهادة العدلین؟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هل تثبت النجاسة بشهادة العدل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هل الجاهل معذور؟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إطلاق العذرة علی فضلة غیر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عدم وجوب إعادة الصلاة مع إخبار صاحب الثوب بنجاسته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معنی العذرة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بحث حول سهل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علی بن محمّد الروای عن سهل بن زیاد هو علّان الثقة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عبد الکریم بن عمر ثقة واقفی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الحسین بن زیاد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ابن مسکان الذی یروی عنه محمّد بن سنان هو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إبراهیم بن میمون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إشارة إلی حال روایة محمّد بن عیسی عن یونس</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وهب بن عبد ربّة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بحث حول ما دلّ علی وحوب الإعادة علی من صلّی فی الثوب النجس جهلاً ووجه الجمع بینه وبین ما دلّ علی عدم الإعادة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معنی النکتة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ابن سنان الروای عن أبی بصیر هو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کلمة حول أبی بصیر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عیسی ضعیف</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حول ما دلّ علی إعادة الناسی وحمله علی الاستحباب</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بحث حول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حفص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عبدالله بن جبلة واقفی ثقة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میمون الصیقل مجهول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الحسن بن علی بن عبدالله هو ابن المغیرة الثقة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سعد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توجیه الشیخ لروایة أبی بصیر الدالّة علی الإعادة مع العلم بالنجاسة وعدمه والمناقشة فیه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قول العلّامة بأنّ الجاهل یعید فی الوقت فقط والجواب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ما یستفاد من حدیث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ثوبی دم رعاف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کلام الشیخ البهائی حول حدیث زرارة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صحة سند حدیث العلاء وتوجیه عدّ المحقق إیّاه حسناً</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بحث حول عبدالله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إشارة إلی جهالة سلیمان بن رشید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کلام حول دلالة روایة العلاء علی عدم إعادة الناسی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حمل الشیخ لروایة العلاء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بیان الإشکالات الواردة علی روایة علی بن مهزیار والجواب عنها</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عرق الجنب والحائض یصیب الثوب</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بحث حول عمر بن أذینة</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بحث حول أبی أسامة زید الشحام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بحث حول القاسم بن محمّد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علی بن أبی حمزة الذی یروی عنه القاسم بن محمّد هو البطائنی الواقفی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حمزة بن حمران مهمل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بصیر الذی یروی عنه شعیب هو الضریر المذموم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حول المنبّه بن عبدالله ومعنی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الحسین بن علوان عامی غیر موثق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بحث حول عمرو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بیان الأخبار الدالّة علی طهارة عرق الجنب والحائض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معنی قطّب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إشارة إلی حال إسحاق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بحث حول أحمد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بحث حول عمّار الساباطی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علی بن محمّد بن الزبیر فیه کلام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إشارة إلی حال أحمد بن 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سورة بن کلیب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توجیه ما دلّ علی أنّ الحائض تغسل الثوب الذی عرقت فیه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بحث حول محمّد بن عبدالحمید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بحث حول أبی جمیلة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بحث حول محمّد بن أبی حمزة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توجیه ما دلّ علی أنّ الحائض لاتصلّی فی الثوب المستمرّ علیها إلی حین الطهر حتی تغسله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معنی الطمث</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طرق الشیخ إلی سعد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أبو جعفر هو أحمد بن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علی بن الحکم الذی یروی عنه أحمد بن محمّد بن عیسی هو الثقة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کلمة الحول أبی بصیر إذا روی عنه عاصم بن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توجیه خبری الحلبی وأبی بصیر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حکم عرق المجنب من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ما دلّ علی جواز التنشّف بالثوب الذی فیه منی یابس</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بول الخشاف</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موسی بن عمر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یحیی بن عمر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بحث حول داود الرقّی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بحث حول محمّد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بحث حول غیاث بن إبراهیم الأسدی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حکم بول الخشاف والمناقشة فی نجاسته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الخمر یصیب الثوب والنبیذ المسکر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خیران الخادم ثقة</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بیان ما دلّ علی عدم جواز الصلاة فی ثوب أصابه خمر أو مسکر والأقوال فی نجاستهما وطهارتهما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أبو بکر الحضرمی غیر معلوم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کلمة حول سند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عن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بحث حول الحسن بن أبی سارة</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صالح بن سیابة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الحسن بن موسی الحنّاط مهمل</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بیان الأخبار الدالّة علی طهارة النبیذ والخمر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ما معنی الرجس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معنی مَجّ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طرق الشیخ إلی علی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بحث حول الحسین بن محمّد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علی بن محمّد الراوی عن سهل بن زیاد هو علّان الرازی الثقة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حال عبدالحمید بن أبی الدیلم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الصلّت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المناقشة فی توجیه الشیخ لروایة علی بن مهزیار ودلالتها علی نجاسة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معنی البُصاق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الثوب یصیب جسد المیت من الإنسان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عبد الوهّاب مشترک بین مهملین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إسماعیل الجعفی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بعض طرق الشیخ إلی محمّد بن أحمد بن یحیی صحیح</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بیان الخبر الدالّ علی غَسل الثوب الذی یصیب جسد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بیان ما دلّ علی عدم غَسل الثوب الذی وقع علی حمار میت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بیان ما دلّ علی نضح الثوب الذی وقع علی کلب میت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الأرض والبواری والحصر یصیبها البول وتحقّقها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عثمان بن عبدالله مهمل</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عثمان بن عبد الملک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أبو بکر الحضرمی غیر ثقة ولا ممدوح</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هل الشمس مطهرة لکلّ موضع؟</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هل مجرّد إصابة الشمس کافٍ للطهارة؟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دلالة الأدلّة علی جواز الصلاة علی الموضع لا طهارته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لو أصابت الشمس المحل ولم ییبس</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إشعار روایة عمّار ببقاء المحل علی النجاسة والجواب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التدافع فی روایة عمّار فیما لو جفّ بغیر الشمس والجواب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بیان روایة علی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توجیه روایة محمّد بن إسماعیل بن بزیع الدالّة علی عدم مطهّریة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أبواب الجنائز</w:t>
      </w:r>
    </w:p>
    <w:p>
      <w:pPr>
        <w:pStyle w:val="BookText"/>
        <w:rPr/>
      </w:pPr>
      <w:r>
        <w:rPr>
          <w:rFonts w:ascii="IRNazanin" w:hAnsi="IRNazanin" w:eastAsia="IRNazanin"/>
          <w:color w:val="111111"/>
          <w:sz w:val="28"/>
          <w:sz w:val="28"/>
          <w:szCs w:val="28"/>
          <w:rtl w:val="true"/>
          <w:lang w:bidi="fa-IR"/>
        </w:rPr>
        <w:t>الرجل یموت وهو جنب</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حول الحسن بن حمزة العلوی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حول علی الذی یروی عنه الحسین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علی بن الصلت مذدور بما لایفید توثیقاً والمدحاً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بحث حول عبدالرحمان بن أبی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المثنّی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ابن مسکان فیه الحتمال الاشتراک</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بیان ما دلّ علی کفایة غُسل واحد للمیت الجنب</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بحث فی تداخل الاُغسال</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لیس للشیخ طریق إلی إبراهیم بن هاشم فی المشیخة</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علی بن محمّد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سعید بن محمّد الکوفی غیر مذکور فی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محمّد بن أبی حمزة التیملی مهمل</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محمّد بن خالد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محمّد بن أحمد بن علی بن حفص ثقة</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المناقشة فی توجیه الشیخ لما دلّ علی عدم کفایة غُسل واحد للمیت الجنب</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حکم من مات وعلیه غُسل غیر غُسل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حدّ الماء الذی یغسّل به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بحث حول حفص بن البختری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فضیل سُکّرة مهمل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المناقشة فی توجیه الشیخ لما دلّ علی تحدید ماء غُسل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توضیح حول بئر غرس</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جواز غسل الرجل امرأته والمرأة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بحث حول داود بن سرحان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بحث حول ابن نوح</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ما دلّ علی جواز تغسیل المرأة زوجها والرجل امرأته من وراء الثیاب</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حول حمید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بحث حول الحسن بن محمّد الکندی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إشارة إلی حال الوشّاء</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مالمراد بالمحرم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أوذات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بیان حول روایتی عبدالله بن سنان وزرارة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المرأة التی خرجت من العدّة هل یجوز لها أن تغسّل زوجها؟</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منصور الذی یروی عنه صفوان بن یحیی هو ابن حازم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بیان ما دلّ علی جواز غسل الرجل امرأته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بحث حول أبی خالد القمّاط</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أبو حمزة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عبدالرحمان بن سالم الأشل ضعیف</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المفضّل بن عمر ضعیف</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الحسن بن موسی الخشاب ممدوح</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بحث حول غیاث بن کلوب</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بیان ما دلّ علی عدم جواز غسل الرجل المرأة إلّا عند الضرورة</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بحث حول الولایة فی تغسیل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من یموت فی السفر ولیس له معه مماثل ولامحرم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عبدالرحمان بن سالم ضعیف</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إشارة إلی ضعیف المفضّل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محمّد بن مروان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بیان ما دلّ علی الاکتفاء بغَسل مواضغ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الجمع بین ما دلّ علی غسل مواضع التیمّم وما دلّ علی عدم الغسل أصلاَ</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هل یسقط التیمّم أیضاً؟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الحسین بن علوان عامی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حول عمرو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کلمة حول طریق الشیخ إلی علی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محمّد بن سالم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أحمد بن النضر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عمرو بن شمر ضعیف</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بحث حول جابر بن یزید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بیان روایتی عمرو بن خالد وجابر والمناقشة فی توجیه الشیخ لهما</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بحث حول محمّد بن أسلم الجبلی</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بیان ما دلّ علی غَسل الکفّین أو موضع التیمّم أو موضع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الحسن بن علی الراوی عن أبی جمیلة هو ابن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بیان روایة زید الشحّام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هل یجوز تفصیل أهل الکتاب للمسلم؟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بحث حول روایة الحسن بن علی الوشّاء عن عبدالله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بحث حول الحسن بن علی بن خرّزاد</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بحث حول الحسن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بحث حول علی بن 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أبو سعید الراوی عن أبی عبدالله علیه السلام غیر معلوم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المناقشة فی توجیه الشیخ لما دلّ علی جواز تغسیل الأجنبی للأجنبیة من وراء الثیاب</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کیفیة غُسل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عثمان النواء مهمل</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بحث حول إبراهیم الخزّاز</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حمران بن أعین فیه کلام</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حکم جعل الحنوط فی مسامع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الرفق بالمیت حین الغُسل وعدم غمز مفاصله</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کیفیة العمامة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 الکافور علی منخر المیت ومساجده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قِطَع الکفن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معنی الرفق والغمز</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أبو العباس هو الفضل بن عبدالملک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بحث حول علی بن عقبه</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ذبیان بن حکیم مهمل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العلاء بن سیابة</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حکم غمز بطن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حکم إقعاد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معنی القَراح</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تقدیم الوضوء علی غسل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بحث حول المُسلی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عبدالله بن عبید مشترک بین مهملین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إشارة إلی ضعف علی بن حدید</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بحث حول سند روایة حریز</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بحث حول محمّد بن یحیی المعاذی</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بحث حول محمّد بن حفص بن غیاث</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لیث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بحث حول علی بن محمّد القاشانی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مالمراد بالوضوء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یوضّأ وضوء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هل وضوء المیت قبل غسله واجب؟</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بیان حول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ویطرح فیه سبع ورقات </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بیان حول روایتی معاویة بن عمّار وأبی خیثمة</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معنی الاُشنان والکرسف</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حول طریق الشیخ إلی علی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إشارة إلی جلالة عبدالله بن جعفر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بحث حول إبراهیم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کلمة حول مراسیل ابن أبی عمیر</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بیان روایة یعقوب بن یقطین والمناقشة فی توجیه لها</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الترتیب بین الأعضاء فی غسل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لادلیل علی وجوب وضوء المیت قبل غسله</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الارتماس فی غسل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معنی الإفاضة والحُرض</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تجمیر الکفن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بحث حول أحمد بن محمّد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بحث حول ابن جمهور</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جمهور غیر معلوم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عبدالرحمان بن عبدالله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الحسن بن علی الوشّاء ممدوح</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بحث حول غیاث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بیان الأخبار الناهیة عن تجمیر الکفن والجمع بینها وبین ما یعارضها</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معنی المِجْمَر والدُخْتَة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الکفن لایکون إلّا قطناً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بحث حول أبی خدیجة</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بحث حول عبدالرحمان بن أبی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محمّد بن عمرو بن سعید هو ابن الزیّات الثقة</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یونس بن یعقوب ثقة</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محمّد بن سعید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حول إسماعیل بن أبی زیاد</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راشد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 ، السابری ، الحُلّة والقصب</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بیان الأخبار الناهیة عن التکفین بالکتان والحریر والجلد</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موضع الکافور من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علی بن محمّد الراوی عن أیوب بن نوح غیر 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کلمة حول روایة ایوب بن نوح عن عبدالله بن مسکان</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الکاهلی هو عبدالله بن یحیی وهو ممدوح</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بحث حول الحسین بن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کلمة حول روایة فضالة عن عبدالرحمان بن أبی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بحث حول محمّد بن أحمد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بیان مواضع الحنوط من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مقدار کافور الحنوط</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معننی الَّبَّة والحَنوط وعَمَدَ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السنّة فی حلّ الأزرار عند نزول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محمّد بن عبدالله المسمعی غیر مذکور فی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بحث حول إسماعیل بن یسار</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إبراهیم بن عقبة مهمل</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استحباب حلّ الأزرار عند نزول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المقتول شهیداً بین الصَفَّین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بحث حول موسی بن جعفر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علی بن سعید مشترک بین مهملین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الدهقان ضعیف</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حول هارون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بحث حول مسعدة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أبو مریم الأنصاری ثقة</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بیان ما دلّ علی عدم غسل الشهید ودفعة بثیابه</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معنی الرَمَق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المیت یموت فی المرکب</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حمید بن زیاد واقفی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بحث حول أبی البختری وهب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إشارة إلی حال محمّد بن قولویه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کیفیة دفن المیت فی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معنی الوکاء والخابیة</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تربیع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بحث حول علی بن عقبة</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موسی بن أکیل ثقة</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العلاء بن سیّابة مهمل</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یونس الذی یروی عن علی بن یقطین هو ابن عبدالرحمان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إشارة إلی ضعف علی بن حدید</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علی بن موسی غیر مذکور فی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علی بن الحسین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کیفیة التربیع</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کلام الشهید الثانی فی معنی التربیع والمناقشة فیه</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النهی عن تجصیص القبر وتطیینه</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حول علی بن أسباط</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کراهیة تجصیص القبور وتطیینها والبناء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معنی فید</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کیفیة التعزیة</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کلمة حول طریق الشیخ إلی ابن أبی عمیر</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التعزیة قبل الدفن أو بعده؟</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التعزیة</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قدس سره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 والصواب ما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الکتاب الکبیر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فأنهی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علیه السلام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 والصواب ما أثبتناه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حذفناها لاستقامة المعنی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حذفناها لاستقامة المعنی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فی الموضعین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المعاذی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 والصواب ما أثبتناه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 والصواب ما أثبتناه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المفخر من الآجر ویحتمل ارادة اللّبن المعروف فمن البعد بمکان ، کما یخفی علی تقدیر تسلیم دخوله فی حیّز الإمکان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التیمم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الأرض ، وما أثبتناه من المصدر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صعد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صعد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صعد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یعلم مما أشرنا إلیه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والأمر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الوضاءة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وضأ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تیمم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فی ثلج فلینظر لبد سرجه فلیتیمم من غباره أو شی‌ء مغبّر ، وفی الهامش أنها زیادة من التهذیب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ذکر فساد المذهب من النجاشی وإن لم یوثقه یقتضی نوع توقف ثبوت فساد المذهب ، إلاّ ان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ثبوت التوثیق من الشیخ مقارن لفساد المذهب ، فاللازم من التوثیق فساد المذهب ، وفیه أنّ المعارضة إنّما هو فی فساد المذهب ، أمّا التوثیق فلا ، ویشکل بان عدم التوثیق من النجاشی معارض ، فلیتأمل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محمد بن شاذان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لبد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منبت الشجر کالغَیْضة وهی الآجام ، تهذیب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أجم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 قال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الوحل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وحل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یحصل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السفر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رجال النجاشی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السدی بدل السری ، وفی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السری نقلاً عن الکشی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دَمَقْ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استعماله و</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تمکّن من ذلک وخاف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تمکنه ذلک ،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یمکنه ذلک ویخاف علی نفسه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غیر وضوء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لا علی وضوء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علی وضوء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الشهید الثانی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الشهید الثانی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الجنید فی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قال به السید المرتضی فی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إدریس الحلّی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المرتضی فی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الحلی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یراد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 والظاهر ما أثبتناه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ویأتی فی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أیضا سعد عن ، وهو موافق للتهذیب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قطعاً ، وساقط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العین وتشدید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التحیّر فی الکلام والمراد هنا الجهل ، 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عیا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فأتوا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الحدیث الأوّل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روایة الحسین عن حماد بن عیسی بناء علی ظاهره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یمکن أن یقرأ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تیمّم فصلّی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حماد بن عثمان فی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فی منهج المقال علی هذا الاحتمال ، ولکن نقله الوحید البهبهانی فی تعلیقته علیه عن جدّه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العبارة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ما یمکن أن یقرأ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یفید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ومضت 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الثانیة ، وتأتی أیضاً فی الباب الآتی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یصلّی فیه فیصلّی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المسنونة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الوالد وشیخنا قدس سره فی فوائد الکتاب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 بن الحسن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هو ابن سماعة بن مهران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مسائل خلافه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 والظاهر ما أثبتناه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 وما أثبتناه من المصدر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التحریر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لدعوا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الخیاط</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تری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أوجه أخویه ، وفیهما غیر ثقة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الشهید الثانی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أیضاً من أخبار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الثانیة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کتبه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خلاف الأمرین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تمعک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جعل یتمرغ فی التراب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معک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علی بن بابویه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وحکاه عن والد الصدوق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لشرح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القارئ شرح 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لاستقامة العبارة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الشهیدان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المستحب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علی بن بابویه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جبهته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کلاهما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الشهید الثانی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ثابت هو عمر بن أبی المقدام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أبی المقدام ثابت بن هرمز العجلی مولاهم کوفی تابعی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عیسی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مرتین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وللغسل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الاستبصار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التیمم ،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الشیخ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نستعین الاستعانة وعلیه التکلان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نستعین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عندی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تطبع بعد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للماثل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ینقلها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ولعل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لخلاف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بالصب ،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المدارک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الفاضلان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الشریعة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یستوی فیه الواحد والاثنان والجمع والمذکر والمؤنّث</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ههنا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لدلک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النجاسة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التعین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سَمج کَکَرُمَ سَماجَة قبُحَ ،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سمج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ما کان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ما خرج</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یقطین بدل علی بن یقطین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المدارک والحبل المتین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نعظ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نضح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أبی عبد الله علیه السلام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فنسی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موجود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ما ذکرناه أنّ العلاّمة فی فوائد الخلاصة جزم بأنّ ما یذکره الشیخ وغیره عن سعد بن عبد الله عن أبی جعفر ، فالمراد بأبی جعفر أحمد بن محمد بن عیسی والحال أنّ فی الکافی فی تاریخ مولد النبی صلی الله علیه و آله سعد بن عبد الله عن أبی جعفر محمد بن عمرو بن سعید ، نعم الشیخ صرّح بأنه أحمد بن محمد فی التهذیب فی کتاب الطهارة فی سؤر الکلب ، فتأمل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یزد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أعلم أحداً حام حول هذا المبحث</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جاعلاً الدلیل من الروایة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ساقه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حکیم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أصحاب الکاظم والرضا علیهماالسلام ولم یذکره فی أصحاب الصادق علیه السلام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خیاط</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معلی بن عثمان ، وفی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معلی أبی عثمان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القرح أو الجرح</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إنشاء الله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معلّی بن عثمان أبو عثمان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زید الأحول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فی شرح الألفیّة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تحریر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الدّمال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برأ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نَقِه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القرح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رَبَطه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 ، والظاهر ما أثبتناه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الصحیح عن زید الشحّام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الصحیح عن زرارة وأخیه بکیر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علی غیرهما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العلاّمة فی المختلف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رجیع</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علی بن العباس بن نوح</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خَرِئ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الزرَقُ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قدّمنا فیه کلاماً فی الجزء الأوّل ونذکر هنا ما لا بد منه ، لبعد العهد زیادة الفائدة والحاصل أنّ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تختلف الروایة فیه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أثبتناه من المصدر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توثیقه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والخامس ، والصواب ما أثبتناه بقرینة ما ذکر بعده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صفوان بن یحیی ومحمد بن أبی عمیر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 والظاهر ما أثبتناه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الکراهیة وللتقیة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الکراهة أو التقیة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الکراهیة أو للتقیة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ولکن نسب إلی النجاشی هناک ما نسبه إلی الشیخ فی الفهرست هنا ، فراجع</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 والظاهر ما أثبتناه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به الشهید الثانی فی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الروایة رواها عبد الله بن أبی یعفور أیضاً وهو ممن وثقه النجاشی مرتین ، 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ثیاباً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فی المتن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الدین والقرض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یترجح</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بالکراهیة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صَکَّه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الثانی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جواهر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المصدر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تمشیه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یعلم سنده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یسلم یشده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لاستقامة المعنی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وبتفاوت یسیر فی المتن ،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یحرم بالمصاهرة ونحوها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واختلاف فی حکمهما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یعلم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 ما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 وما أثبتناه من المصدر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ولعل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بالنجاسة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صلاته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الاستبصار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یعید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الکریم بن عمرو</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أبی بصیر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اتفق من روایة علی بن إبراهیم عن محمد بن عیسی هو فی النسخة التی وقفت علیها ولا مانع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العبارة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لاستقامة المتن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وکذلک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المتأخرین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یضیع</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دم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فیصلی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إبراهیم بن هاشم کما تقدم فی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مشترک بین الثقة وغیره ،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وهیب</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سیف</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النجاشی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علیه فی المبسوط</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الظنیان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یظهر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یتحقق</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الخارجیة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 تأمل هذا الحدیث لا یرتاب فی أنّ ، والموجود جعل نسخة فی الهامش</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الحبل المتین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وکنت خالی الذهن من ذلک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فأجاب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 ، وما أثبتناه من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الشیخ رحمه الله أورد الروایة فی موضعین من التهذیب ، الأوّل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سندها لا یوجد سعد بن عبد الله ، والثانی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سندها لا یوجد محمد بن علی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یجمع فیما رأینا من نسخ التهذیب بین محمد بن علی وسعد بن عبد الله ، ولعلّ نسخة المصنف کانت مشتملة علی الجمع ویحتمل أنّه جمع بین السندین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مشطوبة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للنسیان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شیخنا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بمماسة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لممارسة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بن 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بکیر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الکشی فی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یذکر روایة القاسم عنه ولکنّه نص علیه فی کتاب الرجال عند ذکر القاسم بن محمد الجوهری فی أصحاب الصادق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حواشی الشهید الثانی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فالإشکال فی دلالة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الجنب الرجل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الجنب</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فلتغسله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 مأخذه قول ابن الغضائری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کذّاب یضع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وعدّه النجاشی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ممّن غُمز فیهم وضُعّفوا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الوهم وقع فی الکشی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لکون الوهم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ابنته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ذکرهما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ابتلّ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یخفی أنّه لیس فی السند المبحوث عنه عنوان أبی جعفر وعلی ابن الحکم ، ولبس فیه إضمار أیضاً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بقرینة روایة الحسین بن سعید عنه ، راجع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الحلی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إدریس بن یزداد ، وفی الذکری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إدریس بن زیاد الکفرتوثی ، وهو الصواب ، 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الخشاشیف</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الشهید الثانی علی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عادة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الهروی</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عذر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الهروی</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 وما أثبتناه من المصدر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المذکور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أیصلّی</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یصلّی</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أحمد بن الحسن بن علی وعمار الساباطی ، راجع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والفقیه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البرقی ، وفی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عن أبی عبد الله البرقی</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به ، إلاّ أنّ تشتهی أنّ تغسله لأثره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 وما 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لمذاهب کثیرة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الحسن بن علی بن فضال وعبد الله بن بکیر راجع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الخیّاط</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لاستقامة المعنی</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الجوهری فی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والفیروزآبادی فی 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منظور فی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کالفیروزآبادی فی 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السعود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الزمخشری فی تفسیر 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والفخر الرازی فی التفسیر الکبیر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الشیخ فی التبیان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کثیر فی تفسیره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الثوب والرجل ، وفی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ثوب الرجل</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فاغسل ، وفی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فاغسله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 ثوبی</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یعقوب</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الماء قدر کر لم ینجسه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والتقریر فیه موجود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جعفر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یبیّن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إبراهیم بن هاشم ، راجع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خلاصته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فی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الحلّی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الاحتجاج بالإجماع ، ولکنه موجود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یبس ، والأولی ما أثبتناه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الساباطی</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للقوشجی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المعنی</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 وهو خطأ 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میّت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 میّت</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مبحث الأموات مکرّراً أیضاً دحلا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غیره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ووصفه بالحسن لا بالصحة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رووا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النفرة ،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نَبَا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بتفاوت یسیر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عثمان</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النعمان ، والصواب ما أثبتناه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قریب ، ویأتی فی جانب الرجل</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الدرایة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الأوّل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والاعتراض محل بحث اما الأوّل فلأنّ نساء العالم لا وجه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النسخ ، أثبتناها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معهما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القاسم بن محمّد الجوهری وعلی ، راجع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ومریم علیهماالسلام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العلاّمة فی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الجنازة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أیّهما یصلی علیها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وتحریر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 ولکن حکاه فی روض الجنان عن بعض الأصحاب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بسهل بن زیاد ، 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فی 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ویطهرنه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یقرأ بالظاء المعجمة والمهملة ، أمّا المعجمة فیراد بعدم الإظهار عدم کشف المئزر ، وأمّا بالمهملة فیراد لا یلمسنه بأیدیهن ، ولا یطهّرنه بالأیدی بل بالصبّ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الاحتمالان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یراد</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صببنا الماء علیها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من أهل الکتاب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النسخ ، أثبتناها من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الاستحباب</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دفنها</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حکاه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تحسن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بکافور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طرفیها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سلیمان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کالشافعی فی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 ، وأمّا ما</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شائع</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یؤخذ</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أُکفّنه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أبیضین صحاریین</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أضفناه من المصدر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فیه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البهائی فی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التکفین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ثوب تام ، کما فی نسخة من الکافی</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الرفق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غمزه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الأسنان 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فیجوز</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برجلک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بوجهه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المتقدمتین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یعلمها</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عبید</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بالماء القراح یطرح</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بعد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تبدأ</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توضأ</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 والظاهر ان الصحیح ما أثبتناه کما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والصحیح کما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بنت سیرین</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فلتمسح</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تحرّکها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فابدأ</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أغمز</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إسماعیل بن علی المسلی وبحر المسلی ،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إیهام</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شیرة</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شیرة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خصته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الأُشنة </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کرسف </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فتغسلها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یغسل</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البحث</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الاستحباب</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بجمیع</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فتات من قصب الطیب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أمکن</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یغسل</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بماء الکافور</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 </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وضمتین</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الحرض </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وحدّثنا</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تمسحوا</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والسکونی</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أبی حمزة</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فربما</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لمذهب</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ولعله سهو من قلمه الشریف فإنّ المذکور فی سند الحدیث عبد الله بن عبد الرحمن کما تقدم عنه حین نقله فی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موجود فی کتب الرجال أیضاً 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کالنجاشی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إلی غیاث بن إبراهیم</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الطیب</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المشک</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المشک</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المشک</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الجمرة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وذریرة</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الدخن </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یحیی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أحمد بن الحسن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أحمد یحیی ، وما أثبتناه من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تجد</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والوجه</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الکتان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أبا خدیجة هو کنیة سالم بن مُکرم بن عبد الله ، وقد وثقه النجاشی مرتین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الشیخ قد وثقه علی ما نقله عنه فی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ضعّفه فی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المفضّل بن صالح یکنّی بأبی جمیلة ، راجع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کتابیه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السبر </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شطاة </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حلل </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 </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کالأردبیلی فی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تقدیم</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ویطابق</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صدره وفرجه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ذکره المصنف فی النص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فی النص</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الکافور مسحوقاً</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المنخر</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یصنع</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کالشافعی فی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التکفین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ألبَّ </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الحنطة </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فلیجتهد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ولتجهد</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سیف بن عمیرة وأبی بکر الحضرمی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مصدق بن صدقة ، عن عمار</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یحیی</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یدفن کما هو فی ثیابه إلاّ أن یکون به رمق ثم مات فإنّه یغسّل ویکفّن ویحنّط</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واستوفیناه</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النجاشی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والتشبیه بعید</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أدرکت</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الروایة</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التأیید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عنها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عنها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عنها فی 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ورفع</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الوکاء </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خباه </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تمر</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أنّ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المحدثین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بنوع من التقریب</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صاحب 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التعبیر لا یوافق</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ونبه</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بکتفک</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یربعه</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أثبتناه من المصدر</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رجله الیسری علی کتفه الأیمن ثم ینتقل فیضع القائمة التی تلی یده الیسری علی کتفه الأیمن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یظن أنه غیر موافق لدور الرحی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روایة یونس تضمنت یمین المیت کما قدمناه ، وربما کان الحمل علی الأیمن بتقدیر البدأة بیمین المیت أخف وأقل مشقة من الدخول بین یدی السریر ، وعلی هذا فمن جانب رجل المیت وهو الجانب الأیسر أخف وکذا من جانب یده الیسری وقد یستفاد من روایة علی بن یقطین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الزیادة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القبور</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فض</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فید </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والتسلیة</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image" Target="media/image2.jpeg"/><Relationship Id="rId509" Type="http://schemas.openxmlformats.org/officeDocument/2006/relationships/image" Target="media/image2.jpeg"/><Relationship Id="rId510" Type="http://schemas.openxmlformats.org/officeDocument/2006/relationships/footer" Target="footer503.xml"/><Relationship Id="rId511" Type="http://schemas.openxmlformats.org/officeDocument/2006/relationships/footnotes" Target="footnotes.xml"/><Relationship Id="rId512" Type="http://schemas.openxmlformats.org/officeDocument/2006/relationships/numbering" Target="numbering.xml"/><Relationship Id="rId513" Type="http://schemas.openxmlformats.org/officeDocument/2006/relationships/fontTable" Target="fontTable.xml"/><Relationship Id="rId514" Type="http://schemas.openxmlformats.org/officeDocument/2006/relationships/settings" Target="settings.xml"/><Relationship Id="rId5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516</Pages>
  <Words>31294</Words>
  <Characters>136544</Characters>
  <CharactersWithSpaces>166394</CharactersWithSpaces>
  <Paragraphs>1516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2026-08-24T20:25:33Z</dcterms:created>
  <dc:creator>ghaemiyeh.com</dc:creator>
  <dc:description/>
  <dc:language>en-US</dc:language>
  <cp:lastModifiedBy/>
  <dcterms:modified xsi:type="dcterms:W3CDTF">2026-08-24T23:55:53Z</dcterms:modified>
  <cp:revision>1</cp:revision>
  <dc:subject/>
  <dc:title>استقصاء الإعتبار فی شرح الإستبصار جلد 3</dc:title>
</cp:coreProperties>
</file>

<file path=docProps/custom.xml><?xml version="1.0" encoding="utf-8"?>
<Properties xmlns="http://schemas.openxmlformats.org/officeDocument/2006/custom-properties" xmlns:vt="http://schemas.openxmlformats.org/officeDocument/2006/docPropsVTypes"/>
</file>